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8D819">
      <w:pPr>
        <w:pStyle w:val="10"/>
        <w:spacing w:before="240"/>
        <w:rPr>
          <w:rFonts w:ascii="Times New Roman"/>
          <w:sz w:val="20"/>
          <w:lang w:val="en-US"/>
        </w:rPr>
      </w:pPr>
      <w:r>
        <w:rPr>
          <w:rFonts w:hint="eastAsia" w:ascii="Times New Roman"/>
          <w:sz w:val="20"/>
          <w:lang w:val="en-US"/>
        </w:rPr>
        <w:t xml:space="preserve"> </w:t>
      </w:r>
    </w:p>
    <w:p w14:paraId="5801777C">
      <w:pPr>
        <w:pStyle w:val="2"/>
        <w:spacing w:before="240"/>
        <w:ind w:left="40"/>
      </w:pPr>
      <w:bookmarkStart w:id="0" w:name="中国重汽集团济南地球村电子商务有限公司"/>
      <w:bookmarkEnd w:id="0"/>
      <w:r>
        <w:t>重汽</w:t>
      </w:r>
      <w:r>
        <w:rPr>
          <w:rFonts w:hint="eastAsia"/>
        </w:rPr>
        <w:t>（</w:t>
      </w:r>
      <w:r>
        <w:rPr>
          <w:rFonts w:hint="eastAsia"/>
          <w:lang w:val="en-US"/>
        </w:rPr>
        <w:t>济南</w:t>
      </w:r>
      <w:r>
        <w:rPr>
          <w:rFonts w:hint="eastAsia"/>
        </w:rPr>
        <w:t>）汽车配件销售</w:t>
      </w:r>
      <w:r>
        <w:rPr>
          <w:rFonts w:hint="eastAsia"/>
          <w:lang w:val="en-US"/>
        </w:rPr>
        <w:t>服务</w:t>
      </w:r>
      <w:r>
        <w:t>有限公司</w:t>
      </w:r>
    </w:p>
    <w:p w14:paraId="5A1E11D1">
      <w:pPr>
        <w:pStyle w:val="10"/>
        <w:spacing w:before="240"/>
        <w:rPr>
          <w:rFonts w:ascii="微软雅黑"/>
          <w:b/>
          <w:sz w:val="48"/>
        </w:rPr>
      </w:pPr>
    </w:p>
    <w:p w14:paraId="6FE81685">
      <w:pPr>
        <w:spacing w:before="240"/>
        <w:ind w:left="38"/>
        <w:jc w:val="center"/>
        <w:rPr>
          <w:rFonts w:ascii="微软雅黑" w:eastAsia="微软雅黑"/>
          <w:b/>
          <w:sz w:val="44"/>
        </w:rPr>
      </w:pPr>
      <w:bookmarkStart w:id="1" w:name="_Hlk56434880"/>
      <w:r>
        <w:rPr>
          <w:rFonts w:hint="eastAsia" w:ascii="微软雅黑" w:eastAsia="微软雅黑"/>
          <w:b/>
          <w:sz w:val="44"/>
        </w:rPr>
        <w:t>配件仓储</w:t>
      </w:r>
      <w:r>
        <w:rPr>
          <w:rFonts w:hint="eastAsia" w:ascii="微软雅黑" w:eastAsia="微软雅黑"/>
          <w:b/>
          <w:sz w:val="44"/>
          <w:lang w:val="en-US"/>
        </w:rPr>
        <w:t>及包装</w:t>
      </w:r>
      <w:r>
        <w:rPr>
          <w:rFonts w:hint="eastAsia" w:ascii="微软雅黑" w:eastAsia="微软雅黑"/>
          <w:b/>
          <w:sz w:val="44"/>
        </w:rPr>
        <w:t>外包服务项目</w:t>
      </w:r>
    </w:p>
    <w:bookmarkEnd w:id="1"/>
    <w:p w14:paraId="29A6233D">
      <w:pPr>
        <w:pStyle w:val="10"/>
        <w:spacing w:before="240"/>
        <w:rPr>
          <w:rFonts w:ascii="微软雅黑"/>
          <w:b/>
          <w:sz w:val="69"/>
        </w:rPr>
      </w:pPr>
    </w:p>
    <w:p w14:paraId="2B60368A">
      <w:pPr>
        <w:spacing w:before="240"/>
        <w:ind w:left="4752" w:right="4717"/>
        <w:jc w:val="both"/>
        <w:rPr>
          <w:rFonts w:ascii="黑体" w:eastAsia="黑体"/>
          <w:sz w:val="84"/>
        </w:rPr>
      </w:pPr>
      <w:r>
        <w:rPr>
          <w:rFonts w:hint="eastAsia" w:ascii="黑体" w:eastAsia="黑体"/>
          <w:sz w:val="84"/>
        </w:rPr>
        <w:t>招标书</w:t>
      </w:r>
    </w:p>
    <w:p w14:paraId="4FC5D9EA">
      <w:pPr>
        <w:pStyle w:val="4"/>
        <w:spacing w:before="240"/>
        <w:ind w:left="1401" w:right="1358"/>
        <w:jc w:val="center"/>
      </w:pPr>
      <w:bookmarkStart w:id="2" w:name="招_标_人：中国重汽集团济南地球村电子商务有限公司"/>
      <w:bookmarkEnd w:id="2"/>
    </w:p>
    <w:p w14:paraId="374E7D2F">
      <w:pPr>
        <w:pStyle w:val="4"/>
        <w:spacing w:before="240"/>
        <w:ind w:left="1401" w:right="1358"/>
        <w:jc w:val="center"/>
        <w:rPr>
          <w:rFonts w:eastAsia="宋体"/>
          <w:sz w:val="28"/>
        </w:rPr>
        <w:sectPr>
          <w:headerReference r:id="rId3" w:type="default"/>
          <w:footerReference r:id="rId4" w:type="default"/>
          <w:pgSz w:w="11910" w:h="16840"/>
          <w:pgMar w:top="1242" w:right="1021" w:bottom="1162" w:left="1021" w:header="505" w:footer="975" w:gutter="0"/>
          <w:pgNumType w:start="1"/>
          <w:cols w:space="720" w:num="1"/>
        </w:sectPr>
      </w:pPr>
      <w:r>
        <w:t>招标人：重汽</w:t>
      </w:r>
      <w:r>
        <w:rPr>
          <w:rFonts w:hint="eastAsia"/>
        </w:rPr>
        <w:t>（</w:t>
      </w:r>
      <w:r>
        <w:rPr>
          <w:rFonts w:hint="eastAsia"/>
          <w:lang w:val="en-US"/>
        </w:rPr>
        <w:t>济南</w:t>
      </w:r>
      <w:r>
        <w:rPr>
          <w:rFonts w:hint="eastAsia"/>
        </w:rPr>
        <w:t>）汽车配件销售</w:t>
      </w:r>
      <w:r>
        <w:rPr>
          <w:rFonts w:hint="eastAsia"/>
          <w:lang w:val="en-US"/>
        </w:rPr>
        <w:t>服务有限</w:t>
      </w:r>
      <w:r>
        <w:t>公司202</w:t>
      </w:r>
      <w:r>
        <w:rPr>
          <w:rFonts w:hint="eastAsia"/>
          <w:lang w:val="en-US"/>
        </w:rPr>
        <w:t>6</w:t>
      </w:r>
      <w:r>
        <w:rPr>
          <w:rFonts w:hint="eastAsia"/>
        </w:rPr>
        <w:t>年</w:t>
      </w:r>
      <w:r>
        <w:rPr>
          <w:rFonts w:hint="eastAsia"/>
          <w:lang w:val="en-US"/>
        </w:rPr>
        <w:t>10</w:t>
      </w:r>
      <w:r>
        <w:t>月</w:t>
      </w:r>
    </w:p>
    <w:p w14:paraId="50C9939D">
      <w:pPr>
        <w:tabs>
          <w:tab w:val="left" w:pos="1812"/>
        </w:tabs>
        <w:spacing w:before="240"/>
        <w:ind w:left="45"/>
        <w:jc w:val="center"/>
        <w:rPr>
          <w:b/>
          <w:sz w:val="44"/>
        </w:rPr>
      </w:pPr>
      <w:bookmarkStart w:id="3" w:name="_bookmark0"/>
      <w:bookmarkEnd w:id="3"/>
      <w:r>
        <w:rPr>
          <w:b/>
          <w:sz w:val="44"/>
        </w:rPr>
        <w:t>第一章</w:t>
      </w:r>
      <w:r>
        <w:rPr>
          <w:b/>
          <w:sz w:val="44"/>
        </w:rPr>
        <w:tab/>
      </w:r>
      <w:r>
        <w:rPr>
          <w:b/>
          <w:sz w:val="44"/>
        </w:rPr>
        <w:t>招标公告</w:t>
      </w:r>
    </w:p>
    <w:p w14:paraId="2C5DF0F5">
      <w:pPr>
        <w:spacing w:before="240"/>
        <w:ind w:left="638"/>
        <w:rPr>
          <w:rFonts w:ascii="黑体" w:eastAsia="黑体"/>
          <w:b/>
          <w:sz w:val="32"/>
        </w:rPr>
      </w:pPr>
      <w:r>
        <w:rPr>
          <w:rFonts w:hint="eastAsia" w:ascii="黑体" w:eastAsia="黑体"/>
          <w:b/>
          <w:sz w:val="32"/>
        </w:rPr>
        <w:t>一、项目名称</w:t>
      </w:r>
    </w:p>
    <w:p w14:paraId="77BBF174">
      <w:pPr>
        <w:pStyle w:val="10"/>
        <w:spacing w:before="240"/>
        <w:ind w:left="1058"/>
        <w:rPr>
          <w:rFonts w:hint="eastAsia" w:asciiTheme="minorEastAsia" w:hAnsiTheme="minorEastAsia" w:eastAsiaTheme="minorEastAsia"/>
          <w:b/>
          <w:bCs/>
          <w:sz w:val="16"/>
          <w:lang w:eastAsia="zh-CN"/>
        </w:rPr>
      </w:pPr>
      <w:r>
        <w:rPr>
          <w:rFonts w:hint="eastAsia" w:asciiTheme="minorEastAsia" w:hAnsiTheme="minorEastAsia" w:eastAsiaTheme="minorEastAsia"/>
          <w:b/>
          <w:bCs/>
          <w:sz w:val="24"/>
          <w:lang w:val="en-US"/>
        </w:rPr>
        <w:t>重汽配件销售公司配件仓储及包装外包服务项目</w:t>
      </w:r>
      <w:r>
        <w:rPr>
          <w:rFonts w:hint="eastAsia" w:asciiTheme="minorEastAsia" w:hAnsiTheme="minorEastAsia" w:eastAsiaTheme="minorEastAsia"/>
          <w:b/>
          <w:bCs/>
          <w:sz w:val="24"/>
          <w:lang w:val="en-US" w:eastAsia="zh-CN"/>
        </w:rPr>
        <w:t>（ZBGL2026100098）</w:t>
      </w:r>
    </w:p>
    <w:p w14:paraId="5F167429">
      <w:pPr>
        <w:spacing w:before="240"/>
        <w:ind w:left="638"/>
        <w:rPr>
          <w:rFonts w:ascii="黑体" w:eastAsia="黑体"/>
          <w:b/>
          <w:sz w:val="32"/>
        </w:rPr>
      </w:pPr>
      <w:r>
        <w:rPr>
          <w:rFonts w:hint="eastAsia" w:ascii="黑体" w:eastAsia="黑体"/>
          <w:b/>
          <w:sz w:val="32"/>
        </w:rPr>
        <w:t>二、招标内容</w:t>
      </w:r>
    </w:p>
    <w:p w14:paraId="6B21F6D4">
      <w:pPr>
        <w:pStyle w:val="3"/>
        <w:spacing w:before="240"/>
        <w:ind w:firstLine="482" w:firstLineChars="200"/>
        <w:rPr>
          <w:rFonts w:ascii="宋体" w:hAnsi="宋体" w:eastAsia="宋体" w:cs="宋体"/>
          <w:b w:val="0"/>
          <w:bCs w:val="0"/>
          <w:color w:val="000000" w:themeColor="text1"/>
          <w:sz w:val="24"/>
          <w:szCs w:val="24"/>
          <w14:textFill>
            <w14:solidFill>
              <w14:schemeClr w14:val="tx1"/>
            </w14:solidFill>
          </w14:textFill>
        </w:rPr>
      </w:pPr>
      <w:bookmarkStart w:id="4" w:name="三、招标形式"/>
      <w:bookmarkEnd w:id="4"/>
      <w:r>
        <w:rPr>
          <w:rFonts w:ascii="宋体" w:hAnsi="宋体" w:eastAsia="宋体" w:cs="宋体"/>
          <w:bCs w:val="0"/>
          <w:sz w:val="24"/>
          <w:szCs w:val="24"/>
        </w:rPr>
        <w:t>1、业务内容：</w:t>
      </w:r>
      <w:r>
        <w:rPr>
          <w:rFonts w:hint="eastAsia" w:ascii="宋体" w:hAnsi="宋体" w:eastAsia="宋体" w:cs="宋体"/>
          <w:b w:val="0"/>
          <w:bCs w:val="0"/>
          <w:sz w:val="24"/>
          <w:szCs w:val="24"/>
        </w:rPr>
        <w:t>重汽配件销售公司配件仓储及包装外包服务，涵盖以下业务：循环取货前置清点与打托、集货运输、供应商来货卸车收货、清点验收、仓储保管、上下架作业、</w:t>
      </w:r>
      <w:r>
        <w:rPr>
          <w:rFonts w:hint="eastAsia" w:ascii="宋体" w:hAnsi="宋体" w:eastAsia="宋体" w:cs="宋体"/>
          <w:b w:val="0"/>
          <w:bCs w:val="0"/>
          <w:sz w:val="24"/>
          <w:szCs w:val="24"/>
          <w:lang w:val="en-US"/>
        </w:rPr>
        <w:t>包装方案设计、</w:t>
      </w:r>
      <w:r>
        <w:rPr>
          <w:rFonts w:hint="eastAsia" w:ascii="宋体" w:hAnsi="宋体" w:eastAsia="宋体" w:cs="宋体"/>
          <w:b w:val="0"/>
          <w:bCs w:val="0"/>
          <w:sz w:val="24"/>
          <w:szCs w:val="24"/>
        </w:rPr>
        <w:t>翻包作业、分拣作业、器具返空及逆向物流等。投标单位须自行投入仓库、物流搬运设备（叉车、拖车、AGV等）、运输车辆、周转器具、</w:t>
      </w:r>
      <w:r>
        <w:rPr>
          <w:rFonts w:hint="eastAsia" w:ascii="宋体" w:hAnsi="宋体" w:eastAsia="宋体" w:cs="宋体"/>
          <w:b w:val="0"/>
          <w:bCs w:val="0"/>
          <w:sz w:val="24"/>
          <w:szCs w:val="24"/>
          <w:lang w:val="en-US"/>
        </w:rPr>
        <w:t>包材、</w:t>
      </w:r>
      <w:r>
        <w:rPr>
          <w:rFonts w:hint="eastAsia" w:ascii="宋体" w:hAnsi="宋体" w:eastAsia="宋体" w:cs="宋体"/>
          <w:b w:val="0"/>
          <w:bCs w:val="0"/>
          <w:sz w:val="24"/>
          <w:szCs w:val="24"/>
        </w:rPr>
        <w:t>自动化包装分拣设备及作业人员等资源。具体业务明细详见第三章技术要求。</w:t>
      </w:r>
    </w:p>
    <w:p w14:paraId="6CF45B10">
      <w:pPr>
        <w:pStyle w:val="3"/>
        <w:spacing w:before="240"/>
      </w:pPr>
      <w:r>
        <w:t>三、招标形式</w:t>
      </w:r>
    </w:p>
    <w:p w14:paraId="4FBEC680">
      <w:pPr>
        <w:pStyle w:val="10"/>
        <w:spacing w:before="240"/>
        <w:ind w:left="1058"/>
        <w:rPr>
          <w:rFonts w:asciiTheme="minorEastAsia" w:hAnsiTheme="minorEastAsia" w:eastAsiaTheme="minorEastAsia"/>
          <w:b/>
          <w:bCs/>
          <w:sz w:val="24"/>
          <w:lang w:val="en-US"/>
        </w:rPr>
      </w:pPr>
      <w:r>
        <w:rPr>
          <w:rFonts w:hint="eastAsia" w:asciiTheme="minorEastAsia" w:hAnsiTheme="minorEastAsia" w:eastAsiaTheme="minorEastAsia"/>
          <w:b/>
          <w:bCs/>
          <w:sz w:val="24"/>
          <w:lang w:val="en-US"/>
        </w:rPr>
        <w:t>公开招标。</w:t>
      </w:r>
    </w:p>
    <w:p w14:paraId="4D52ED22">
      <w:pPr>
        <w:pStyle w:val="3"/>
        <w:spacing w:before="240"/>
      </w:pPr>
      <w:bookmarkStart w:id="5" w:name="四、议程安排"/>
      <w:bookmarkEnd w:id="5"/>
      <w:r>
        <w:t>四、议程安排</w:t>
      </w:r>
    </w:p>
    <w:p w14:paraId="31CF453B">
      <w:pPr>
        <w:pStyle w:val="3"/>
        <w:spacing w:before="240"/>
        <w:ind w:firstLine="480" w:firstLineChars="200"/>
        <w:rPr>
          <w:rFonts w:ascii="宋体" w:hAnsi="宋体" w:eastAsia="宋体" w:cs="宋体"/>
          <w:b w:val="0"/>
          <w:bCs w:val="0"/>
          <w:sz w:val="24"/>
          <w:szCs w:val="24"/>
          <w:highlight w:val="yellow"/>
        </w:rPr>
      </w:pPr>
      <w:bookmarkStart w:id="6" w:name="五、获取招标文件"/>
      <w:bookmarkEnd w:id="6"/>
      <w:r>
        <w:rPr>
          <w:rFonts w:hint="eastAsia" w:ascii="宋体" w:hAnsi="宋体" w:eastAsia="宋体" w:cs="宋体"/>
          <w:b w:val="0"/>
          <w:bCs w:val="0"/>
          <w:sz w:val="24"/>
          <w:szCs w:val="24"/>
          <w:highlight w:val="yellow"/>
        </w:rPr>
        <w:t>1.采购文件领取（公告）时间：2026年</w:t>
      </w:r>
      <w:r>
        <w:rPr>
          <w:rFonts w:ascii="宋体" w:hAnsi="宋体" w:eastAsia="宋体" w:cs="宋体"/>
          <w:b w:val="0"/>
          <w:bCs w:val="0"/>
          <w:sz w:val="24"/>
          <w:szCs w:val="24"/>
          <w:highlight w:val="yellow"/>
        </w:rPr>
        <w:t>10</w:t>
      </w:r>
      <w:r>
        <w:rPr>
          <w:rFonts w:hint="eastAsia" w:ascii="宋体" w:hAnsi="宋体" w:eastAsia="宋体" w:cs="宋体"/>
          <w:b w:val="0"/>
          <w:bCs w:val="0"/>
          <w:sz w:val="24"/>
          <w:szCs w:val="24"/>
          <w:highlight w:val="yellow"/>
        </w:rPr>
        <w:t>月</w:t>
      </w:r>
      <w:r>
        <w:rPr>
          <w:rFonts w:ascii="宋体" w:hAnsi="宋体" w:eastAsia="宋体" w:cs="宋体"/>
          <w:b w:val="0"/>
          <w:bCs w:val="0"/>
          <w:sz w:val="24"/>
          <w:szCs w:val="24"/>
          <w:highlight w:val="yellow"/>
        </w:rPr>
        <w:t>27</w:t>
      </w:r>
      <w:r>
        <w:rPr>
          <w:rFonts w:hint="eastAsia" w:ascii="宋体" w:hAnsi="宋体" w:eastAsia="宋体" w:cs="宋体"/>
          <w:b w:val="0"/>
          <w:bCs w:val="0"/>
          <w:sz w:val="24"/>
          <w:szCs w:val="24"/>
          <w:highlight w:val="yellow"/>
        </w:rPr>
        <w:t>日</w:t>
      </w:r>
    </w:p>
    <w:p w14:paraId="262EFEC4">
      <w:pPr>
        <w:pStyle w:val="3"/>
        <w:spacing w:before="240"/>
        <w:ind w:firstLine="480" w:firstLineChars="200"/>
        <w:rPr>
          <w:rFonts w:ascii="宋体" w:hAnsi="宋体" w:eastAsia="宋体" w:cs="宋体"/>
          <w:bCs w:val="0"/>
          <w:color w:val="FF0000"/>
          <w:sz w:val="24"/>
          <w:szCs w:val="24"/>
          <w:highlight w:val="yellow"/>
        </w:rPr>
      </w:pPr>
      <w:r>
        <w:rPr>
          <w:rFonts w:hint="eastAsia" w:ascii="宋体" w:hAnsi="宋体" w:eastAsia="宋体" w:cs="宋体"/>
          <w:b w:val="0"/>
          <w:bCs w:val="0"/>
          <w:sz w:val="24"/>
          <w:szCs w:val="24"/>
          <w:highlight w:val="yellow"/>
        </w:rPr>
        <w:t>2.应标截止时间：2026年</w:t>
      </w:r>
      <w:r>
        <w:rPr>
          <w:rFonts w:ascii="宋体" w:hAnsi="宋体" w:eastAsia="宋体" w:cs="宋体"/>
          <w:b w:val="0"/>
          <w:bCs w:val="0"/>
          <w:sz w:val="24"/>
          <w:szCs w:val="24"/>
          <w:highlight w:val="yellow"/>
        </w:rPr>
        <w:t>11</w:t>
      </w:r>
      <w:r>
        <w:rPr>
          <w:rFonts w:hint="eastAsia" w:ascii="宋体" w:hAnsi="宋体" w:eastAsia="宋体" w:cs="宋体"/>
          <w:b w:val="0"/>
          <w:bCs w:val="0"/>
          <w:sz w:val="24"/>
          <w:szCs w:val="24"/>
          <w:highlight w:val="yellow"/>
        </w:rPr>
        <w:t>月</w:t>
      </w:r>
      <w:r>
        <w:rPr>
          <w:rFonts w:ascii="宋体" w:hAnsi="宋体" w:eastAsia="宋体" w:cs="宋体"/>
          <w:b w:val="0"/>
          <w:bCs w:val="0"/>
          <w:sz w:val="24"/>
          <w:szCs w:val="24"/>
          <w:highlight w:val="yellow"/>
        </w:rPr>
        <w:t>7</w:t>
      </w:r>
      <w:r>
        <w:rPr>
          <w:rFonts w:hint="eastAsia" w:ascii="宋体" w:hAnsi="宋体" w:eastAsia="宋体" w:cs="宋体"/>
          <w:b w:val="0"/>
          <w:bCs w:val="0"/>
          <w:sz w:val="24"/>
          <w:szCs w:val="24"/>
          <w:highlight w:val="yellow"/>
        </w:rPr>
        <w:t>日</w:t>
      </w:r>
      <w:r>
        <w:rPr>
          <w:rFonts w:ascii="宋体" w:hAnsi="宋体" w:eastAsia="宋体" w:cs="宋体"/>
          <w:b w:val="0"/>
          <w:bCs w:val="0"/>
          <w:sz w:val="24"/>
          <w:szCs w:val="24"/>
          <w:highlight w:val="yellow"/>
        </w:rPr>
        <w:t>23</w:t>
      </w:r>
      <w:r>
        <w:rPr>
          <w:rFonts w:hint="eastAsia" w:ascii="宋体" w:hAnsi="宋体" w:eastAsia="宋体" w:cs="宋体"/>
          <w:b w:val="0"/>
          <w:bCs w:val="0"/>
          <w:sz w:val="24"/>
          <w:szCs w:val="24"/>
          <w:highlight w:val="yellow"/>
        </w:rPr>
        <w:t>点前</w:t>
      </w:r>
    </w:p>
    <w:p w14:paraId="6EE02C91">
      <w:pPr>
        <w:pStyle w:val="3"/>
        <w:spacing w:before="240"/>
        <w:ind w:firstLine="480" w:firstLineChars="200"/>
        <w:rPr>
          <w:rFonts w:ascii="宋体" w:hAnsi="宋体" w:eastAsia="宋体" w:cs="宋体"/>
          <w:b w:val="0"/>
          <w:bCs w:val="0"/>
          <w:sz w:val="24"/>
          <w:szCs w:val="24"/>
          <w:highlight w:val="yellow"/>
        </w:rPr>
      </w:pPr>
      <w:r>
        <w:rPr>
          <w:rFonts w:hint="eastAsia" w:ascii="宋体" w:hAnsi="宋体" w:eastAsia="宋体" w:cs="宋体"/>
          <w:b w:val="0"/>
          <w:bCs w:val="0"/>
          <w:sz w:val="24"/>
          <w:szCs w:val="24"/>
          <w:highlight w:val="yellow"/>
        </w:rPr>
        <w:t>3.采购文件答疑回复截止时间：202</w:t>
      </w:r>
      <w:r>
        <w:rPr>
          <w:rFonts w:ascii="宋体" w:hAnsi="宋体" w:eastAsia="宋体" w:cs="宋体"/>
          <w:b w:val="0"/>
          <w:bCs w:val="0"/>
          <w:sz w:val="24"/>
          <w:szCs w:val="24"/>
          <w:highlight w:val="yellow"/>
        </w:rPr>
        <w:t>6</w:t>
      </w:r>
      <w:r>
        <w:rPr>
          <w:rFonts w:hint="eastAsia" w:ascii="宋体" w:hAnsi="宋体" w:eastAsia="宋体" w:cs="宋体"/>
          <w:b w:val="0"/>
          <w:bCs w:val="0"/>
          <w:sz w:val="24"/>
          <w:szCs w:val="24"/>
          <w:highlight w:val="yellow"/>
        </w:rPr>
        <w:t>年</w:t>
      </w:r>
      <w:r>
        <w:rPr>
          <w:rFonts w:ascii="宋体" w:hAnsi="宋体" w:eastAsia="宋体" w:cs="宋体"/>
          <w:b w:val="0"/>
          <w:bCs w:val="0"/>
          <w:sz w:val="24"/>
          <w:szCs w:val="24"/>
          <w:highlight w:val="yellow"/>
        </w:rPr>
        <w:t>11</w:t>
      </w:r>
      <w:r>
        <w:rPr>
          <w:rFonts w:hint="eastAsia" w:ascii="宋体" w:hAnsi="宋体" w:eastAsia="宋体" w:cs="宋体"/>
          <w:b w:val="0"/>
          <w:bCs w:val="0"/>
          <w:sz w:val="24"/>
          <w:szCs w:val="24"/>
          <w:highlight w:val="yellow"/>
        </w:rPr>
        <w:t>月1</w:t>
      </w:r>
      <w:r>
        <w:rPr>
          <w:rFonts w:ascii="宋体" w:hAnsi="宋体" w:eastAsia="宋体" w:cs="宋体"/>
          <w:b w:val="0"/>
          <w:bCs w:val="0"/>
          <w:sz w:val="24"/>
          <w:szCs w:val="24"/>
          <w:highlight w:val="yellow"/>
        </w:rPr>
        <w:t>7</w:t>
      </w:r>
      <w:r>
        <w:rPr>
          <w:rFonts w:hint="eastAsia" w:ascii="宋体" w:hAnsi="宋体" w:eastAsia="宋体" w:cs="宋体"/>
          <w:b w:val="0"/>
          <w:bCs w:val="0"/>
          <w:sz w:val="24"/>
          <w:szCs w:val="24"/>
          <w:highlight w:val="yellow"/>
        </w:rPr>
        <w:t>日23点前；</w:t>
      </w:r>
    </w:p>
    <w:p w14:paraId="0665169E">
      <w:pPr>
        <w:pStyle w:val="3"/>
        <w:spacing w:before="240"/>
        <w:ind w:firstLine="480" w:firstLineChars="200"/>
        <w:rPr>
          <w:rFonts w:ascii="宋体" w:hAnsi="宋体" w:eastAsia="宋体" w:cs="宋体"/>
          <w:b w:val="0"/>
          <w:bCs w:val="0"/>
          <w:sz w:val="24"/>
          <w:szCs w:val="24"/>
          <w:highlight w:val="yellow"/>
        </w:rPr>
      </w:pPr>
      <w:r>
        <w:rPr>
          <w:rFonts w:hint="eastAsia" w:ascii="宋体" w:hAnsi="宋体" w:eastAsia="宋体" w:cs="宋体"/>
          <w:b w:val="0"/>
          <w:bCs w:val="0"/>
          <w:sz w:val="24"/>
          <w:szCs w:val="24"/>
          <w:highlight w:val="yellow"/>
        </w:rPr>
        <w:t>4.投标文件递交截止时间</w:t>
      </w:r>
      <w:r>
        <w:rPr>
          <w:rFonts w:hint="eastAsia" w:ascii="宋体" w:hAnsi="宋体" w:eastAsia="宋体" w:cs="宋体"/>
          <w:b w:val="0"/>
          <w:bCs w:val="0"/>
          <w:sz w:val="24"/>
          <w:szCs w:val="24"/>
          <w:highlight w:val="yellow"/>
          <w:lang w:eastAsia="zh-CN"/>
        </w:rPr>
        <w:t>、</w:t>
      </w:r>
      <w:r>
        <w:rPr>
          <w:rFonts w:hint="eastAsia" w:ascii="宋体" w:hAnsi="宋体" w:eastAsia="宋体" w:cs="宋体"/>
          <w:b w:val="0"/>
          <w:bCs w:val="0"/>
          <w:sz w:val="24"/>
          <w:szCs w:val="24"/>
          <w:highlight w:val="yellow"/>
        </w:rPr>
        <w:t>开标时间：2026年</w:t>
      </w:r>
      <w:r>
        <w:rPr>
          <w:rFonts w:ascii="宋体" w:hAnsi="宋体" w:eastAsia="宋体" w:cs="宋体"/>
          <w:b w:val="0"/>
          <w:bCs w:val="0"/>
          <w:sz w:val="24"/>
          <w:szCs w:val="24"/>
          <w:highlight w:val="yellow"/>
        </w:rPr>
        <w:t>11</w:t>
      </w:r>
      <w:r>
        <w:rPr>
          <w:rFonts w:hint="eastAsia" w:ascii="宋体" w:hAnsi="宋体" w:eastAsia="宋体" w:cs="宋体"/>
          <w:b w:val="0"/>
          <w:bCs w:val="0"/>
          <w:sz w:val="24"/>
          <w:szCs w:val="24"/>
          <w:highlight w:val="yellow"/>
        </w:rPr>
        <w:t>月</w:t>
      </w:r>
      <w:r>
        <w:rPr>
          <w:rFonts w:ascii="宋体" w:hAnsi="宋体" w:eastAsia="宋体" w:cs="宋体"/>
          <w:b w:val="0"/>
          <w:bCs w:val="0"/>
          <w:sz w:val="24"/>
          <w:szCs w:val="24"/>
          <w:highlight w:val="yellow"/>
        </w:rPr>
        <w:t>24</w:t>
      </w:r>
      <w:r>
        <w:rPr>
          <w:rFonts w:hint="eastAsia" w:ascii="宋体" w:hAnsi="宋体" w:eastAsia="宋体" w:cs="宋体"/>
          <w:b w:val="0"/>
          <w:bCs w:val="0"/>
          <w:sz w:val="24"/>
          <w:szCs w:val="24"/>
          <w:highlight w:val="yellow"/>
        </w:rPr>
        <w:t>日9点（若有变动另行通知）。</w:t>
      </w:r>
    </w:p>
    <w:p w14:paraId="549FFE6D">
      <w:pPr>
        <w:pStyle w:val="3"/>
        <w:spacing w:before="240"/>
        <w:ind w:firstLine="480" w:firstLineChars="200"/>
        <w:rPr>
          <w:rFonts w:ascii="宋体" w:hAnsi="宋体" w:eastAsia="宋体" w:cs="宋体"/>
          <w:b w:val="0"/>
          <w:bCs w:val="0"/>
          <w:sz w:val="24"/>
          <w:szCs w:val="24"/>
          <w:highlight w:val="yellow"/>
        </w:rPr>
      </w:pPr>
      <w:r>
        <w:rPr>
          <w:rFonts w:hint="eastAsia" w:ascii="宋体" w:hAnsi="宋体" w:eastAsia="宋体" w:cs="宋体"/>
          <w:b w:val="0"/>
          <w:bCs w:val="0"/>
          <w:sz w:val="24"/>
          <w:szCs w:val="24"/>
          <w:highlight w:val="yellow"/>
        </w:rPr>
        <w:t>5.开标地点：济南市高新区华奥路重汽科技大厦办公楼七层</w:t>
      </w:r>
      <w:r>
        <w:rPr>
          <w:rFonts w:ascii="宋体" w:hAnsi="宋体" w:eastAsia="宋体" w:cs="宋体"/>
          <w:b w:val="0"/>
          <w:bCs w:val="0"/>
          <w:sz w:val="24"/>
          <w:szCs w:val="24"/>
          <w:highlight w:val="yellow"/>
        </w:rPr>
        <w:t>705</w:t>
      </w:r>
      <w:r>
        <w:rPr>
          <w:rFonts w:hint="eastAsia" w:ascii="宋体" w:hAnsi="宋体" w:eastAsia="宋体" w:cs="宋体"/>
          <w:b w:val="0"/>
          <w:bCs w:val="0"/>
          <w:sz w:val="24"/>
          <w:szCs w:val="24"/>
          <w:highlight w:val="yellow"/>
        </w:rPr>
        <w:t>会议室（若有变动另行通知）</w:t>
      </w:r>
    </w:p>
    <w:p w14:paraId="26634E9A">
      <w:pPr>
        <w:pStyle w:val="3"/>
        <w:spacing w:before="240"/>
        <w:ind w:firstLine="480" w:firstLineChars="200"/>
        <w:rPr>
          <w:rFonts w:ascii="宋体" w:hAnsi="宋体" w:eastAsia="宋体" w:cs="宋体"/>
          <w:b w:val="0"/>
          <w:bCs w:val="0"/>
          <w:sz w:val="24"/>
          <w:szCs w:val="24"/>
          <w:highlight w:val="yellow"/>
        </w:rPr>
      </w:pPr>
      <w:r>
        <w:rPr>
          <w:rFonts w:hint="eastAsia" w:ascii="宋体" w:hAnsi="宋体" w:eastAsia="宋体" w:cs="宋体"/>
          <w:b w:val="0"/>
          <w:bCs w:val="0"/>
          <w:sz w:val="24"/>
          <w:szCs w:val="24"/>
          <w:highlight w:val="yellow"/>
        </w:rPr>
        <w:t>6.商务联系人：徐吉华</w:t>
      </w:r>
      <w:r>
        <w:rPr>
          <w:rFonts w:hint="eastAsia" w:ascii="宋体" w:hAnsi="宋体" w:eastAsia="宋体" w:cs="宋体"/>
          <w:b w:val="0"/>
          <w:bCs w:val="0"/>
          <w:sz w:val="24"/>
          <w:szCs w:val="24"/>
          <w:highlight w:val="yellow"/>
          <w:lang w:val="en-US" w:eastAsia="zh-CN"/>
        </w:rPr>
        <w:t xml:space="preserve"> </w:t>
      </w:r>
      <w:r>
        <w:rPr>
          <w:rFonts w:hint="eastAsia" w:ascii="宋体" w:hAnsi="宋体" w:eastAsia="宋体" w:cs="宋体"/>
          <w:b w:val="0"/>
          <w:bCs w:val="0"/>
          <w:sz w:val="24"/>
          <w:szCs w:val="24"/>
          <w:highlight w:val="yellow"/>
        </w:rPr>
        <w:t>1</w:t>
      </w:r>
      <w:r>
        <w:rPr>
          <w:rFonts w:ascii="宋体" w:hAnsi="宋体" w:eastAsia="宋体" w:cs="宋体"/>
          <w:b w:val="0"/>
          <w:bCs w:val="0"/>
          <w:sz w:val="24"/>
          <w:szCs w:val="24"/>
          <w:highlight w:val="yellow"/>
        </w:rPr>
        <w:t>59531</w:t>
      </w:r>
      <w:r>
        <w:rPr>
          <w:rFonts w:hint="eastAsia" w:ascii="宋体" w:hAnsi="宋体" w:eastAsia="宋体" w:cs="宋体"/>
          <w:b w:val="0"/>
          <w:bCs w:val="0"/>
          <w:sz w:val="24"/>
          <w:szCs w:val="24"/>
          <w:highlight w:val="yellow"/>
        </w:rPr>
        <w:t>77</w:t>
      </w:r>
      <w:r>
        <w:rPr>
          <w:rFonts w:ascii="宋体" w:hAnsi="宋体" w:eastAsia="宋体" w:cs="宋体"/>
          <w:b w:val="0"/>
          <w:bCs w:val="0"/>
          <w:sz w:val="24"/>
          <w:szCs w:val="24"/>
          <w:highlight w:val="yellow"/>
        </w:rPr>
        <w:t>257</w:t>
      </w:r>
      <w:r>
        <w:rPr>
          <w:rFonts w:hint="eastAsia" w:ascii="宋体" w:hAnsi="宋体" w:eastAsia="宋体" w:cs="宋体"/>
          <w:b w:val="0"/>
          <w:bCs w:val="0"/>
          <w:sz w:val="24"/>
          <w:szCs w:val="24"/>
          <w:highlight w:val="yellow"/>
        </w:rPr>
        <w:t>技术答疑联系人：刘志江</w:t>
      </w:r>
      <w:r>
        <w:rPr>
          <w:rFonts w:hint="eastAsia" w:ascii="宋体" w:hAnsi="宋体" w:eastAsia="宋体" w:cs="宋体"/>
          <w:b w:val="0"/>
          <w:bCs w:val="0"/>
          <w:sz w:val="24"/>
          <w:szCs w:val="24"/>
          <w:highlight w:val="yellow"/>
          <w:lang w:val="en-US" w:eastAsia="zh-CN"/>
        </w:rPr>
        <w:t xml:space="preserve"> </w:t>
      </w:r>
      <w:r>
        <w:rPr>
          <w:rFonts w:hint="eastAsia" w:ascii="宋体" w:hAnsi="宋体" w:eastAsia="宋体" w:cs="宋体"/>
          <w:b w:val="0"/>
          <w:bCs w:val="0"/>
          <w:sz w:val="24"/>
          <w:szCs w:val="24"/>
          <w:highlight w:val="yellow"/>
        </w:rPr>
        <w:t>17860603</w:t>
      </w:r>
      <w:r>
        <w:rPr>
          <w:rFonts w:ascii="宋体" w:hAnsi="宋体" w:eastAsia="宋体" w:cs="宋体"/>
          <w:b w:val="0"/>
          <w:bCs w:val="0"/>
          <w:sz w:val="24"/>
          <w:szCs w:val="24"/>
          <w:highlight w:val="yellow"/>
        </w:rPr>
        <w:t>982</w:t>
      </w:r>
      <w:r>
        <w:rPr>
          <w:rFonts w:hint="eastAsia" w:ascii="宋体" w:hAnsi="宋体" w:eastAsia="宋体" w:cs="宋体"/>
          <w:b w:val="0"/>
          <w:bCs w:val="0"/>
          <w:sz w:val="24"/>
          <w:szCs w:val="24"/>
          <w:highlight w:val="yellow"/>
        </w:rPr>
        <w:t>投标事宜联系人：</w:t>
      </w:r>
      <w:r>
        <w:rPr>
          <w:rFonts w:hint="eastAsia" w:ascii="宋体" w:hAnsi="宋体" w:eastAsia="宋体" w:cs="宋体"/>
          <w:b w:val="0"/>
          <w:bCs w:val="0"/>
          <w:sz w:val="24"/>
          <w:szCs w:val="24"/>
          <w:highlight w:val="yellow"/>
          <w:lang w:val="en-US" w:eastAsia="zh-CN"/>
        </w:rPr>
        <w:t>王瑄 17860605786</w:t>
      </w:r>
    </w:p>
    <w:p w14:paraId="644B6FD0">
      <w:pPr>
        <w:pStyle w:val="3"/>
        <w:spacing w:before="240"/>
        <w:ind w:firstLine="480" w:firstLineChars="200"/>
        <w:rPr>
          <w:rFonts w:hint="eastAsia" w:ascii="宋体" w:hAnsi="宋体" w:eastAsia="宋体" w:cs="宋体"/>
          <w:b w:val="0"/>
          <w:bCs w:val="0"/>
          <w:sz w:val="24"/>
          <w:szCs w:val="24"/>
          <w:highlight w:val="yellow"/>
        </w:rPr>
      </w:pPr>
      <w:r>
        <w:rPr>
          <w:rFonts w:hint="eastAsia" w:ascii="宋体" w:hAnsi="宋体" w:eastAsia="宋体" w:cs="宋体"/>
          <w:b w:val="0"/>
          <w:bCs w:val="0"/>
          <w:sz w:val="24"/>
          <w:szCs w:val="24"/>
          <w:highlight w:val="yellow"/>
        </w:rPr>
        <w:t>7.应标和投标:投标人需要按照附件《非生产供应商注册操作手册》完成注册。并按要求时间在“重汽E采通</w:t>
      </w:r>
      <w:r>
        <w:rPr>
          <w:rFonts w:ascii="宋体" w:hAnsi="宋体" w:eastAsia="宋体" w:cs="宋体"/>
          <w:b w:val="0"/>
          <w:bCs w:val="0"/>
          <w:sz w:val="24"/>
          <w:szCs w:val="24"/>
          <w:highlight w:val="yellow"/>
        </w:rPr>
        <w:t>”</w:t>
      </w:r>
      <w:r>
        <w:rPr>
          <w:rFonts w:hint="eastAsia" w:ascii="宋体" w:hAnsi="宋体" w:eastAsia="宋体" w:cs="宋体"/>
          <w:b w:val="0"/>
          <w:bCs w:val="0"/>
          <w:sz w:val="24"/>
          <w:szCs w:val="24"/>
          <w:highlight w:val="yellow"/>
        </w:rPr>
        <w:t>首先完成“应标”；应标通过后，投标人在“重汽E采通”上传标书要求的+资质文件、技术标文件、商务标文件等完成“投标”。“重汽E采通”平台网址链接：</w:t>
      </w:r>
      <w:r>
        <w:fldChar w:fldCharType="begin"/>
      </w:r>
      <w:r>
        <w:instrText xml:space="preserve"> HYPERLINK "https://ecaitong.sinotruk.com:8012/" \l "/login）" </w:instrText>
      </w:r>
      <w:r>
        <w:fldChar w:fldCharType="separate"/>
      </w:r>
      <w:r>
        <w:rPr>
          <w:rFonts w:hint="eastAsia" w:ascii="宋体" w:hAnsi="宋体" w:eastAsia="宋体" w:cs="宋体"/>
          <w:b w:val="0"/>
          <w:bCs w:val="0"/>
          <w:sz w:val="24"/>
          <w:szCs w:val="24"/>
          <w:highlight w:val="yellow"/>
        </w:rPr>
        <w:t>https://ecaitong.sinotruk.com:8012/#/login</w:t>
      </w:r>
      <w:r>
        <w:rPr>
          <w:rFonts w:hint="eastAsia" w:ascii="宋体" w:hAnsi="宋体" w:eastAsia="宋体" w:cs="宋体"/>
          <w:b w:val="0"/>
          <w:bCs w:val="0"/>
          <w:sz w:val="24"/>
          <w:szCs w:val="24"/>
          <w:highlight w:val="yellow"/>
        </w:rPr>
        <w:fldChar w:fldCharType="end"/>
      </w:r>
    </w:p>
    <w:p w14:paraId="7F42A271">
      <w:pPr>
        <w:rPr>
          <w:rFonts w:hint="eastAsia"/>
        </w:rPr>
      </w:pPr>
    </w:p>
    <w:p w14:paraId="00C07BEC">
      <w:pPr>
        <w:keepNext w:val="0"/>
        <w:keepLines w:val="0"/>
        <w:widowControl/>
        <w:suppressLineNumbers w:val="0"/>
        <w:ind w:firstLine="720" w:firstLineChars="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注:</w:t>
      </w:r>
      <w:r>
        <w:rPr>
          <w:rFonts w:hint="eastAsia" w:ascii="宋体" w:hAnsi="宋体" w:eastAsia="宋体" w:cs="宋体"/>
          <w:b/>
          <w:bCs/>
          <w:sz w:val="21"/>
          <w:szCs w:val="21"/>
          <w:highlight w:val="none"/>
        </w:rPr>
        <w:t>请务必在应标截止时间前完成注册及应标操作，注册审核需2-4日，应标截止时间精确到秒，逾期将无法应标。请自行掌握时间，避免无法应标</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请投标人确认中国重汽e采通系统中供应商信息完整、准确，因供应商信息不全或错误导致的报名不成功，由投标人自行承担。</w:t>
      </w:r>
    </w:p>
    <w:p w14:paraId="73473087">
      <w:pPr>
        <w:keepNext w:val="0"/>
        <w:keepLines w:val="0"/>
        <w:widowControl/>
        <w:suppressLineNumbers w:val="0"/>
        <w:ind w:firstLine="720" w:firstLineChars="0"/>
        <w:jc w:val="left"/>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p>
    <w:p w14:paraId="0C6F4E8F">
      <w:pPr>
        <w:keepNext w:val="0"/>
        <w:keepLines w:val="0"/>
        <w:widowControl/>
        <w:suppressLineNumbers w:val="0"/>
        <w:jc w:val="left"/>
        <w:rPr>
          <w:rFonts w:hint="eastAsia" w:ascii="Times New Roman" w:hAnsi="Times New Roman" w:cs="Times New Roman"/>
          <w:b/>
          <w:bCs/>
          <w:color w:val="auto"/>
          <w:lang w:val="en-US" w:eastAsia="zh-CN"/>
        </w:rPr>
      </w:pPr>
    </w:p>
    <w:p w14:paraId="2B63D627">
      <w:pPr>
        <w:ind w:left="720" w:leftChars="0" w:firstLine="720" w:firstLineChars="0"/>
        <w:rPr>
          <w:rFonts w:hint="default" w:eastAsia="宋体"/>
          <w:lang w:val="en-US" w:eastAsia="zh-CN"/>
        </w:rPr>
      </w:pPr>
    </w:p>
    <w:p w14:paraId="3B8E8956">
      <w:pPr>
        <w:pStyle w:val="3"/>
        <w:spacing w:before="240"/>
      </w:pPr>
      <w:r>
        <w:t>五、获取招标文件</w:t>
      </w:r>
    </w:p>
    <w:p w14:paraId="633ECEE7">
      <w:pPr>
        <w:pStyle w:val="3"/>
        <w:spacing w:before="240"/>
        <w:ind w:firstLine="480" w:firstLineChars="200"/>
        <w:rPr>
          <w:rFonts w:ascii="宋体" w:hAnsi="宋体" w:eastAsia="宋体" w:cs="宋体"/>
          <w:b w:val="0"/>
          <w:bCs w:val="0"/>
          <w:sz w:val="24"/>
          <w:szCs w:val="24"/>
          <w:highlight w:val="yellow"/>
        </w:rPr>
      </w:pPr>
      <w:r>
        <w:rPr>
          <w:rFonts w:ascii="宋体" w:hAnsi="宋体" w:eastAsia="宋体" w:cs="宋体"/>
          <w:b w:val="0"/>
          <w:bCs w:val="0"/>
          <w:sz w:val="24"/>
          <w:szCs w:val="24"/>
          <w:highlight w:val="yellow"/>
        </w:rPr>
        <w:t>1.时间：</w:t>
      </w:r>
      <w:r>
        <w:rPr>
          <w:rFonts w:hint="eastAsia" w:ascii="宋体" w:hAnsi="宋体" w:eastAsia="宋体" w:cs="宋体"/>
          <w:b w:val="0"/>
          <w:bCs w:val="0"/>
          <w:sz w:val="24"/>
          <w:szCs w:val="24"/>
          <w:highlight w:val="yellow"/>
        </w:rPr>
        <w:t>2026年</w:t>
      </w:r>
      <w:r>
        <w:rPr>
          <w:rFonts w:ascii="宋体" w:hAnsi="宋体" w:eastAsia="宋体" w:cs="宋体"/>
          <w:b w:val="0"/>
          <w:bCs w:val="0"/>
          <w:sz w:val="24"/>
          <w:szCs w:val="24"/>
          <w:highlight w:val="yellow"/>
        </w:rPr>
        <w:t>10</w:t>
      </w:r>
      <w:r>
        <w:rPr>
          <w:rFonts w:hint="eastAsia" w:ascii="宋体" w:hAnsi="宋体" w:eastAsia="宋体" w:cs="宋体"/>
          <w:b w:val="0"/>
          <w:bCs w:val="0"/>
          <w:sz w:val="24"/>
          <w:szCs w:val="24"/>
          <w:highlight w:val="yellow"/>
        </w:rPr>
        <w:t>月</w:t>
      </w:r>
      <w:r>
        <w:rPr>
          <w:rFonts w:hint="eastAsia" w:ascii="宋体" w:hAnsi="宋体" w:eastAsia="宋体" w:cs="宋体"/>
          <w:b w:val="0"/>
          <w:bCs w:val="0"/>
          <w:sz w:val="24"/>
          <w:szCs w:val="24"/>
          <w:highlight w:val="yellow"/>
          <w:lang w:val="en-US" w:eastAsia="zh-CN"/>
        </w:rPr>
        <w:t>2</w:t>
      </w:r>
      <w:r>
        <w:rPr>
          <w:rFonts w:ascii="宋体" w:hAnsi="宋体" w:eastAsia="宋体" w:cs="宋体"/>
          <w:b w:val="0"/>
          <w:bCs w:val="0"/>
          <w:sz w:val="24"/>
          <w:szCs w:val="24"/>
          <w:highlight w:val="yellow"/>
        </w:rPr>
        <w:t>7</w:t>
      </w:r>
      <w:r>
        <w:rPr>
          <w:rFonts w:hint="eastAsia" w:ascii="宋体" w:hAnsi="宋体" w:eastAsia="宋体" w:cs="宋体"/>
          <w:b w:val="0"/>
          <w:bCs w:val="0"/>
          <w:sz w:val="24"/>
          <w:szCs w:val="24"/>
          <w:highlight w:val="yellow"/>
        </w:rPr>
        <w:t>日至2026年</w:t>
      </w:r>
      <w:r>
        <w:rPr>
          <w:rFonts w:ascii="宋体" w:hAnsi="宋体" w:eastAsia="宋体" w:cs="宋体"/>
          <w:b w:val="0"/>
          <w:bCs w:val="0"/>
          <w:sz w:val="24"/>
          <w:szCs w:val="24"/>
          <w:highlight w:val="yellow"/>
        </w:rPr>
        <w:t>11</w:t>
      </w:r>
      <w:r>
        <w:rPr>
          <w:rFonts w:hint="eastAsia" w:ascii="宋体" w:hAnsi="宋体" w:eastAsia="宋体" w:cs="宋体"/>
          <w:b w:val="0"/>
          <w:bCs w:val="0"/>
          <w:sz w:val="24"/>
          <w:szCs w:val="24"/>
          <w:highlight w:val="yellow"/>
        </w:rPr>
        <w:t>月</w:t>
      </w:r>
      <w:r>
        <w:rPr>
          <w:rFonts w:ascii="宋体" w:hAnsi="宋体" w:eastAsia="宋体" w:cs="宋体"/>
          <w:b w:val="0"/>
          <w:bCs w:val="0"/>
          <w:sz w:val="24"/>
          <w:szCs w:val="24"/>
          <w:highlight w:val="yellow"/>
        </w:rPr>
        <w:t>7</w:t>
      </w:r>
      <w:r>
        <w:rPr>
          <w:rFonts w:hint="eastAsia" w:ascii="宋体" w:hAnsi="宋体" w:eastAsia="宋体" w:cs="宋体"/>
          <w:b w:val="0"/>
          <w:bCs w:val="0"/>
          <w:sz w:val="24"/>
          <w:szCs w:val="24"/>
          <w:highlight w:val="yellow"/>
        </w:rPr>
        <w:t>日</w:t>
      </w:r>
      <w:r>
        <w:rPr>
          <w:rFonts w:ascii="宋体" w:hAnsi="宋体" w:eastAsia="宋体" w:cs="宋体"/>
          <w:b w:val="0"/>
          <w:bCs w:val="0"/>
          <w:sz w:val="24"/>
          <w:szCs w:val="24"/>
          <w:highlight w:val="yellow"/>
        </w:rPr>
        <w:t>23</w:t>
      </w:r>
      <w:r>
        <w:rPr>
          <w:rFonts w:hint="eastAsia" w:ascii="宋体" w:hAnsi="宋体" w:eastAsia="宋体" w:cs="宋体"/>
          <w:b w:val="0"/>
          <w:bCs w:val="0"/>
          <w:sz w:val="24"/>
          <w:szCs w:val="24"/>
          <w:highlight w:val="yellow"/>
        </w:rPr>
        <w:t>点前。</w:t>
      </w:r>
    </w:p>
    <w:p w14:paraId="5CC03015">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2.</w:t>
      </w:r>
      <w:r>
        <w:rPr>
          <w:rFonts w:hint="eastAsia" w:ascii="宋体" w:hAnsi="宋体" w:eastAsia="宋体" w:cs="宋体"/>
          <w:b w:val="0"/>
          <w:bCs w:val="0"/>
          <w:sz w:val="24"/>
          <w:szCs w:val="24"/>
        </w:rPr>
        <w:t>获取方式：中国重汽官网通知公告或山东省阳光采购服务平台。</w:t>
      </w:r>
    </w:p>
    <w:p w14:paraId="12BECA42">
      <w:pPr>
        <w:pStyle w:val="3"/>
        <w:spacing w:before="240"/>
      </w:pPr>
      <w:r>
        <w:t>六、投标须知</w:t>
      </w:r>
    </w:p>
    <w:p w14:paraId="42983607">
      <w:pPr>
        <w:pStyle w:val="3"/>
        <w:spacing w:before="240"/>
        <w:ind w:firstLine="482" w:firstLineChars="200"/>
        <w:rPr>
          <w:rFonts w:ascii="宋体" w:hAnsi="宋体" w:eastAsia="宋体" w:cs="宋体"/>
          <w:bCs w:val="0"/>
          <w:sz w:val="24"/>
          <w:szCs w:val="24"/>
        </w:rPr>
      </w:pPr>
      <w:bookmarkStart w:id="7" w:name="1.合格投标人："/>
      <w:bookmarkEnd w:id="7"/>
      <w:r>
        <w:rPr>
          <w:rFonts w:hint="eastAsia" w:ascii="宋体" w:hAnsi="宋体" w:eastAsia="宋体" w:cs="宋体"/>
          <w:bCs w:val="0"/>
          <w:sz w:val="24"/>
          <w:szCs w:val="24"/>
        </w:rPr>
        <w:t>1、</w:t>
      </w:r>
      <w:r>
        <w:rPr>
          <w:rFonts w:ascii="宋体" w:hAnsi="宋体" w:eastAsia="宋体" w:cs="宋体"/>
          <w:bCs w:val="0"/>
          <w:sz w:val="24"/>
          <w:szCs w:val="24"/>
        </w:rPr>
        <w:t>合格投标人：</w:t>
      </w:r>
    </w:p>
    <w:p w14:paraId="223EC4A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投标人须遵守《中华人民共和国招标投标法》、《中华人民共和国民法典》及其它有关的法律和法规；为中华人民共和国境内注册的独立法人机构，具有独立承担民事责任的能力；公司成立三年以上（以营业执照成立日期到开标当日满三年为准）；注册资金1</w:t>
      </w:r>
      <w:r>
        <w:rPr>
          <w:rFonts w:ascii="宋体" w:hAnsi="宋体" w:eastAsia="宋体" w:cs="宋体"/>
          <w:b w:val="0"/>
          <w:bCs w:val="0"/>
          <w:sz w:val="24"/>
          <w:szCs w:val="24"/>
        </w:rPr>
        <w:t>0</w:t>
      </w:r>
      <w:r>
        <w:rPr>
          <w:rFonts w:hint="eastAsia" w:ascii="宋体" w:hAnsi="宋体" w:eastAsia="宋体" w:cs="宋体"/>
          <w:b w:val="0"/>
          <w:bCs w:val="0"/>
          <w:sz w:val="24"/>
          <w:szCs w:val="24"/>
        </w:rPr>
        <w:t>00万元人民币以上；经营范围满足招标项目需求；投标人的直接或间接股东、法定代表人、董事、监事、高管非重汽员工及其亲属；</w:t>
      </w:r>
    </w:p>
    <w:p w14:paraId="2630C6A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⑵投标人须于投标时提供具有统一社会信用代码的三证合一的营业执照副本原件及复印件（加盖公章）；</w:t>
      </w:r>
    </w:p>
    <w:p w14:paraId="3CBD7B2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w:t>
      </w:r>
      <w:r>
        <w:rPr>
          <w:rFonts w:ascii="宋体" w:hAnsi="宋体" w:eastAsia="宋体" w:cs="宋体"/>
          <w:b w:val="0"/>
          <w:bCs w:val="0"/>
          <w:sz w:val="24"/>
          <w:szCs w:val="24"/>
        </w:rPr>
        <w:t>具有良好的商业信誉，在国家企业信用信息公示系统中无</w:t>
      </w:r>
      <w:r>
        <w:rPr>
          <w:rFonts w:hint="eastAsia" w:ascii="宋体" w:hAnsi="宋体" w:eastAsia="宋体" w:cs="宋体"/>
          <w:b w:val="0"/>
          <w:bCs w:val="0"/>
          <w:sz w:val="24"/>
          <w:szCs w:val="24"/>
        </w:rPr>
        <w:t>与本项目有关的</w:t>
      </w:r>
      <w:r>
        <w:rPr>
          <w:rFonts w:ascii="宋体" w:hAnsi="宋体" w:eastAsia="宋体" w:cs="宋体"/>
          <w:b w:val="0"/>
          <w:bCs w:val="0"/>
          <w:sz w:val="24"/>
          <w:szCs w:val="24"/>
        </w:rPr>
        <w:t>行政处罚、列入经营异常名录和列入严重违法失信企业名单（黑名单）信息或上述信息已被移除的声明；</w:t>
      </w:r>
    </w:p>
    <w:p w14:paraId="7D46A30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⑷投标人须提供企业最近半年完税证明、信用证明材料（征信报告）；</w:t>
      </w:r>
    </w:p>
    <w:p w14:paraId="55408A6C">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⑸投标人须提供年度纳税信用评价信息（可从电子税务局查询截图，需加盖公章）；</w:t>
      </w:r>
    </w:p>
    <w:p w14:paraId="3F92C18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⑹投标人须提供企业对外担保说明（写明贵单位对外有无对外担保和质押业务，需加盖公章）；</w:t>
      </w:r>
    </w:p>
    <w:p w14:paraId="0F03E174">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⑺</w:t>
      </w:r>
      <w:r>
        <w:rPr>
          <w:rFonts w:ascii="宋体" w:hAnsi="宋体" w:eastAsia="宋体" w:cs="宋体"/>
          <w:b w:val="0"/>
          <w:bCs w:val="0"/>
          <w:sz w:val="24"/>
          <w:szCs w:val="24"/>
        </w:rPr>
        <w:t>投标人在近三年内在经营活动中无</w:t>
      </w:r>
      <w:r>
        <w:rPr>
          <w:rFonts w:hint="eastAsia" w:ascii="宋体" w:hAnsi="宋体" w:eastAsia="宋体" w:cs="宋体"/>
          <w:b w:val="0"/>
          <w:bCs w:val="0"/>
          <w:sz w:val="24"/>
          <w:szCs w:val="24"/>
        </w:rPr>
        <w:t>与本项目有关的</w:t>
      </w:r>
      <w:r>
        <w:rPr>
          <w:rFonts w:ascii="宋体" w:hAnsi="宋体" w:eastAsia="宋体" w:cs="宋体"/>
          <w:b w:val="0"/>
          <w:bCs w:val="0"/>
          <w:sz w:val="24"/>
          <w:szCs w:val="24"/>
        </w:rPr>
        <w:t>重大违法、违规的不良记录；</w:t>
      </w:r>
    </w:p>
    <w:p w14:paraId="5D706FD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⑻投标人须提供近三年(2023年1月1日至今)类似项目业绩及合同复印件（加盖公章，须有客户联系方式及联系人以供招标人核实确认），要求有1项以上同类业绩证明，每类业绩不低于50万元，各原则上提供一份满足要求的合同复印件即可；</w:t>
      </w:r>
    </w:p>
    <w:p w14:paraId="2C85A49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⑼</w:t>
      </w:r>
      <w:r>
        <w:rPr>
          <w:rFonts w:ascii="宋体" w:hAnsi="宋体" w:eastAsia="宋体" w:cs="宋体"/>
          <w:b w:val="0"/>
          <w:bCs w:val="0"/>
          <w:sz w:val="24"/>
          <w:szCs w:val="24"/>
        </w:rPr>
        <w:t>具有健全的财务会计制度，财务状况和市场行为良好。没有处于被有权机关吊销营业执照、吊销资质、停业整顿、取消投标资格以及财产被接管、冻结或进入破产程序等；</w:t>
      </w:r>
    </w:p>
    <w:p w14:paraId="2F13A13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⑽</w:t>
      </w:r>
      <w:r>
        <w:rPr>
          <w:rFonts w:ascii="宋体" w:hAnsi="宋体" w:eastAsia="宋体" w:cs="宋体"/>
          <w:b w:val="0"/>
          <w:bCs w:val="0"/>
          <w:sz w:val="24"/>
          <w:szCs w:val="24"/>
        </w:rPr>
        <w:t>投标人没有被列入招标人处《黑名单》（《黑名单》指投标人与招标人在以往或正在进行的合作中，存在招标人认为的违反合同约定或违反法律法规等的失信行为）的；</w:t>
      </w:r>
    </w:p>
    <w:p w14:paraId="4D6C32CD">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⑾</w:t>
      </w:r>
      <w:r>
        <w:rPr>
          <w:rFonts w:ascii="宋体" w:hAnsi="宋体" w:eastAsia="宋体" w:cs="宋体"/>
          <w:b w:val="0"/>
          <w:bCs w:val="0"/>
          <w:sz w:val="24"/>
          <w:szCs w:val="24"/>
        </w:rPr>
        <w:t>投标人须提供近三年的公司财务报表（资产负债表、损益表、现金流量表等）；</w:t>
      </w:r>
    </w:p>
    <w:p w14:paraId="5B1FF0EB">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⑿</w:t>
      </w:r>
      <w:r>
        <w:rPr>
          <w:rFonts w:ascii="宋体" w:hAnsi="宋体" w:eastAsia="宋体" w:cs="宋体"/>
          <w:b w:val="0"/>
          <w:bCs w:val="0"/>
          <w:sz w:val="24"/>
          <w:szCs w:val="24"/>
        </w:rPr>
        <w:t>投标人须提供法人授权委托书原件（在投标文件副本中可用复印件并加盖公章）及投标单位的法定代表人或授权代表的身份证原件；</w:t>
      </w:r>
    </w:p>
    <w:p w14:paraId="28514CF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⒀</w:t>
      </w:r>
      <w:r>
        <w:rPr>
          <w:rFonts w:ascii="宋体" w:hAnsi="宋体" w:eastAsia="宋体" w:cs="宋体"/>
          <w:b w:val="0"/>
          <w:bCs w:val="0"/>
          <w:sz w:val="24"/>
          <w:szCs w:val="24"/>
        </w:rPr>
        <w:t>投标人须具有履行合同所必须的设备、财务、技术、服务等方面的资质和能力；</w:t>
      </w:r>
    </w:p>
    <w:p w14:paraId="2F9864F5">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⒁</w:t>
      </w:r>
      <w:r>
        <w:rPr>
          <w:rFonts w:ascii="宋体" w:hAnsi="宋体" w:eastAsia="宋体" w:cs="宋体"/>
          <w:b w:val="0"/>
          <w:bCs w:val="0"/>
          <w:sz w:val="24"/>
          <w:szCs w:val="24"/>
        </w:rPr>
        <w:t>投标人须具有完全履行招标文件的所有要求的能力；</w:t>
      </w:r>
    </w:p>
    <w:p w14:paraId="247F56D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⒂</w:t>
      </w:r>
      <w:r>
        <w:rPr>
          <w:rFonts w:ascii="宋体" w:hAnsi="宋体" w:eastAsia="宋体" w:cs="宋体"/>
          <w:b w:val="0"/>
          <w:bCs w:val="0"/>
          <w:sz w:val="24"/>
          <w:szCs w:val="24"/>
        </w:rPr>
        <w:t>投标人须认可招标人的工作指令，包括节假日能正常开展工作的要求；</w:t>
      </w:r>
    </w:p>
    <w:p w14:paraId="3AF51C0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⒃</w:t>
      </w:r>
      <w:r>
        <w:rPr>
          <w:rFonts w:ascii="宋体" w:hAnsi="宋体" w:eastAsia="宋体" w:cs="宋体"/>
          <w:b w:val="0"/>
          <w:bCs w:val="0"/>
          <w:sz w:val="24"/>
          <w:szCs w:val="24"/>
        </w:rPr>
        <w:t>投标人须认可招标人终止合同后3个月</w:t>
      </w:r>
      <w:r>
        <w:rPr>
          <w:rFonts w:hint="eastAsia" w:ascii="宋体" w:hAnsi="宋体" w:eastAsia="宋体" w:cs="宋体"/>
          <w:b w:val="0"/>
          <w:bCs w:val="0"/>
          <w:sz w:val="24"/>
          <w:szCs w:val="24"/>
        </w:rPr>
        <w:t>无息</w:t>
      </w:r>
      <w:r>
        <w:rPr>
          <w:rFonts w:ascii="宋体" w:hAnsi="宋体" w:eastAsia="宋体" w:cs="宋体"/>
          <w:b w:val="0"/>
          <w:bCs w:val="0"/>
          <w:sz w:val="24"/>
          <w:szCs w:val="24"/>
        </w:rPr>
        <w:t>退还履约保证金的招标要求；</w:t>
      </w:r>
    </w:p>
    <w:p w14:paraId="5502273C">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⒄</w:t>
      </w:r>
      <w:r>
        <w:rPr>
          <w:rFonts w:ascii="宋体" w:hAnsi="宋体" w:eastAsia="宋体" w:cs="宋体"/>
          <w:b w:val="0"/>
          <w:bCs w:val="0"/>
          <w:sz w:val="24"/>
          <w:szCs w:val="24"/>
        </w:rPr>
        <w:t>本次招标项目不接受联合体投标；</w:t>
      </w:r>
    </w:p>
    <w:p w14:paraId="17EEE61B">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⒅</w:t>
      </w:r>
      <w:r>
        <w:rPr>
          <w:rFonts w:ascii="宋体" w:hAnsi="宋体" w:eastAsia="宋体" w:cs="宋体"/>
          <w:b w:val="0"/>
          <w:bCs w:val="0"/>
          <w:sz w:val="24"/>
          <w:szCs w:val="24"/>
        </w:rPr>
        <w:t>投标文件1</w:t>
      </w:r>
      <w:r>
        <w:rPr>
          <w:rFonts w:hint="eastAsia" w:ascii="宋体" w:hAnsi="宋体" w:eastAsia="宋体" w:cs="宋体"/>
          <w:b w:val="0"/>
          <w:bCs w:val="0"/>
          <w:sz w:val="24"/>
          <w:szCs w:val="24"/>
        </w:rPr>
        <w:t>份</w:t>
      </w:r>
      <w:r>
        <w:rPr>
          <w:rFonts w:ascii="宋体" w:hAnsi="宋体" w:eastAsia="宋体" w:cs="宋体"/>
          <w:b w:val="0"/>
          <w:bCs w:val="0"/>
          <w:sz w:val="24"/>
          <w:szCs w:val="24"/>
        </w:rPr>
        <w:t>正</w:t>
      </w:r>
      <w:r>
        <w:rPr>
          <w:rFonts w:hint="eastAsia" w:ascii="宋体" w:hAnsi="宋体" w:eastAsia="宋体" w:cs="宋体"/>
          <w:b w:val="0"/>
          <w:bCs w:val="0"/>
          <w:sz w:val="24"/>
          <w:szCs w:val="24"/>
        </w:rPr>
        <w:t>7份</w:t>
      </w:r>
      <w:r>
        <w:rPr>
          <w:rFonts w:ascii="宋体" w:hAnsi="宋体" w:eastAsia="宋体" w:cs="宋体"/>
          <w:b w:val="0"/>
          <w:bCs w:val="0"/>
          <w:sz w:val="24"/>
          <w:szCs w:val="24"/>
        </w:rPr>
        <w:t>副</w:t>
      </w:r>
      <w:r>
        <w:rPr>
          <w:rFonts w:hint="eastAsia" w:ascii="宋体" w:hAnsi="宋体" w:eastAsia="宋体" w:cs="宋体"/>
          <w:b w:val="0"/>
          <w:bCs w:val="0"/>
          <w:sz w:val="24"/>
          <w:szCs w:val="24"/>
        </w:rPr>
        <w:t>本，</w:t>
      </w:r>
      <w:r>
        <w:rPr>
          <w:rFonts w:ascii="宋体" w:hAnsi="宋体" w:eastAsia="宋体" w:cs="宋体"/>
          <w:b w:val="0"/>
          <w:bCs w:val="0"/>
          <w:sz w:val="24"/>
          <w:szCs w:val="24"/>
        </w:rPr>
        <w:t>共计</w:t>
      </w:r>
      <w:r>
        <w:rPr>
          <w:rFonts w:hint="eastAsia" w:ascii="宋体" w:hAnsi="宋体" w:eastAsia="宋体" w:cs="宋体"/>
          <w:b w:val="0"/>
          <w:bCs w:val="0"/>
          <w:sz w:val="24"/>
          <w:szCs w:val="24"/>
        </w:rPr>
        <w:t>8</w:t>
      </w:r>
      <w:r>
        <w:rPr>
          <w:rFonts w:ascii="宋体" w:hAnsi="宋体" w:eastAsia="宋体" w:cs="宋体"/>
          <w:b w:val="0"/>
          <w:bCs w:val="0"/>
          <w:sz w:val="24"/>
          <w:szCs w:val="24"/>
        </w:rPr>
        <w:t>份并附U盘电子版（详见本招标文件“第二章投标文件编制”）；</w:t>
      </w:r>
    </w:p>
    <w:p w14:paraId="78B8DE0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注：上述</w:t>
      </w:r>
      <w:r>
        <w:rPr>
          <w:rFonts w:ascii="宋体" w:hAnsi="宋体" w:eastAsia="宋体" w:cs="宋体"/>
          <w:b w:val="0"/>
          <w:bCs w:val="0"/>
          <w:sz w:val="24"/>
          <w:szCs w:val="24"/>
        </w:rPr>
        <w:t>1</w:t>
      </w:r>
      <w:r>
        <w:rPr>
          <w:rFonts w:hint="eastAsia" w:ascii="宋体" w:hAnsi="宋体" w:eastAsia="宋体" w:cs="宋体"/>
          <w:b w:val="0"/>
          <w:bCs w:val="0"/>
          <w:sz w:val="24"/>
          <w:szCs w:val="24"/>
        </w:rPr>
        <w:t>,</w:t>
      </w:r>
      <w:r>
        <w:rPr>
          <w:rFonts w:ascii="宋体" w:hAnsi="宋体" w:eastAsia="宋体" w:cs="宋体"/>
          <w:b w:val="0"/>
          <w:bCs w:val="0"/>
          <w:sz w:val="24"/>
          <w:szCs w:val="24"/>
        </w:rPr>
        <w:t>2</w:t>
      </w:r>
      <w:r>
        <w:rPr>
          <w:rFonts w:hint="eastAsia" w:ascii="宋体" w:hAnsi="宋体" w:eastAsia="宋体" w:cs="宋体"/>
          <w:b w:val="0"/>
          <w:bCs w:val="0"/>
          <w:sz w:val="24"/>
          <w:szCs w:val="24"/>
        </w:rPr>
        <w:t>,</w:t>
      </w:r>
      <w:r>
        <w:rPr>
          <w:rFonts w:ascii="宋体" w:hAnsi="宋体" w:eastAsia="宋体" w:cs="宋体"/>
          <w:b w:val="0"/>
          <w:bCs w:val="0"/>
          <w:sz w:val="24"/>
          <w:szCs w:val="24"/>
        </w:rPr>
        <w:t>3</w:t>
      </w:r>
      <w:r>
        <w:rPr>
          <w:rFonts w:hint="eastAsia" w:ascii="宋体" w:hAnsi="宋体" w:eastAsia="宋体" w:cs="宋体"/>
          <w:b w:val="0"/>
          <w:bCs w:val="0"/>
          <w:sz w:val="24"/>
          <w:szCs w:val="24"/>
        </w:rPr>
        <w:t>,4,5,6,8,11,12,18</w:t>
      </w:r>
      <w:r>
        <w:rPr>
          <w:rFonts w:ascii="宋体" w:hAnsi="宋体" w:eastAsia="宋体" w:cs="宋体"/>
          <w:b w:val="0"/>
          <w:bCs w:val="0"/>
          <w:sz w:val="24"/>
          <w:szCs w:val="24"/>
        </w:rPr>
        <w:t>项为必备的资格文件且开标当日上述第2</w:t>
      </w:r>
      <w:r>
        <w:rPr>
          <w:rFonts w:hint="eastAsia" w:ascii="宋体" w:hAnsi="宋体" w:eastAsia="宋体" w:cs="宋体"/>
          <w:b w:val="0"/>
          <w:bCs w:val="0"/>
          <w:sz w:val="24"/>
          <w:szCs w:val="24"/>
        </w:rPr>
        <w:t>,</w:t>
      </w:r>
      <w:r>
        <w:rPr>
          <w:rFonts w:ascii="宋体" w:hAnsi="宋体" w:eastAsia="宋体" w:cs="宋体"/>
          <w:b w:val="0"/>
          <w:bCs w:val="0"/>
          <w:sz w:val="24"/>
          <w:szCs w:val="24"/>
        </w:rPr>
        <w:t>3,</w:t>
      </w:r>
      <w:r>
        <w:rPr>
          <w:rFonts w:hint="eastAsia" w:ascii="宋体" w:hAnsi="宋体" w:eastAsia="宋体" w:cs="宋体"/>
          <w:b w:val="0"/>
          <w:bCs w:val="0"/>
          <w:sz w:val="24"/>
          <w:szCs w:val="24"/>
        </w:rPr>
        <w:t>5,6,12</w:t>
      </w:r>
      <w:r>
        <w:rPr>
          <w:rFonts w:ascii="宋体" w:hAnsi="宋体" w:eastAsia="宋体" w:cs="宋体"/>
          <w:b w:val="0"/>
          <w:bCs w:val="0"/>
          <w:sz w:val="24"/>
          <w:szCs w:val="24"/>
        </w:rPr>
        <w:t>项所述资格文件须提供原件，缺一项按废标处理。</w:t>
      </w:r>
    </w:p>
    <w:p w14:paraId="12C05238">
      <w:pPr>
        <w:pStyle w:val="3"/>
        <w:spacing w:before="240"/>
        <w:ind w:firstLine="482" w:firstLineChars="200"/>
        <w:rPr>
          <w:rFonts w:ascii="宋体" w:hAnsi="宋体" w:eastAsia="宋体" w:cs="宋体"/>
          <w:bCs w:val="0"/>
          <w:sz w:val="24"/>
          <w:szCs w:val="24"/>
        </w:rPr>
      </w:pPr>
      <w:r>
        <w:rPr>
          <w:rFonts w:hint="eastAsia" w:ascii="宋体" w:hAnsi="宋体" w:eastAsia="宋体" w:cs="宋体"/>
          <w:bCs w:val="0"/>
          <w:sz w:val="24"/>
          <w:szCs w:val="24"/>
        </w:rPr>
        <w:t>2、投标资格：</w:t>
      </w:r>
    </w:p>
    <w:p w14:paraId="071646E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投标人</w:t>
      </w:r>
      <w:r>
        <w:rPr>
          <w:rFonts w:ascii="宋体" w:hAnsi="宋体" w:eastAsia="宋体" w:cs="宋体"/>
          <w:b w:val="0"/>
          <w:bCs w:val="0"/>
          <w:sz w:val="24"/>
          <w:szCs w:val="24"/>
        </w:rPr>
        <w:t>必须携带以下证件的原件或公证件参加开标会并交验，否则视为自动放弃投标资格：</w:t>
      </w:r>
    </w:p>
    <w:p w14:paraId="69474E75">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法人授权委托书及被授权人的身份证；法人到场的，提供法定代表人资格证明文件和身份证；</w:t>
      </w:r>
    </w:p>
    <w:p w14:paraId="6972103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企业营业执照</w:t>
      </w:r>
      <w:r>
        <w:rPr>
          <w:rFonts w:hint="eastAsia" w:ascii="宋体" w:hAnsi="宋体" w:eastAsia="宋体" w:cs="宋体"/>
          <w:b w:val="0"/>
          <w:bCs w:val="0"/>
          <w:sz w:val="24"/>
          <w:szCs w:val="24"/>
        </w:rPr>
        <w:t>.</w:t>
      </w:r>
    </w:p>
    <w:p w14:paraId="2F8173A0">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逾期的投标文件招标人不予受理。</w:t>
      </w:r>
    </w:p>
    <w:p w14:paraId="5CFC98B9">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投标文件格式</w:t>
      </w:r>
    </w:p>
    <w:p w14:paraId="5A4ACD35">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详见本招标文件“第二章投标文件编制”，请投标人按格式要求进行填写。</w:t>
      </w:r>
    </w:p>
    <w:p w14:paraId="1B6F74F6">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3.报价：</w:t>
      </w:r>
    </w:p>
    <w:p w14:paraId="79E7AE95">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本次招标为公开招标，报价应为：</w:t>
      </w:r>
    </w:p>
    <w:p w14:paraId="73EC58B7">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在</w:t>
      </w:r>
      <w:r>
        <w:rPr>
          <w:rFonts w:ascii="宋体" w:hAnsi="宋体" w:eastAsia="宋体" w:cs="宋体"/>
          <w:b w:val="0"/>
          <w:bCs w:val="0"/>
          <w:sz w:val="24"/>
          <w:szCs w:val="24"/>
        </w:rPr>
        <w:t>与招标人或其指派的答疑人员充分沟通确认基础上，投标人在满足招标人提出的所有关于配件</w:t>
      </w:r>
      <w:r>
        <w:rPr>
          <w:rFonts w:hint="eastAsia" w:ascii="宋体" w:hAnsi="宋体" w:eastAsia="宋体" w:cs="宋体"/>
          <w:b w:val="0"/>
          <w:bCs w:val="0"/>
          <w:sz w:val="24"/>
          <w:szCs w:val="24"/>
        </w:rPr>
        <w:t>物流项目</w:t>
      </w:r>
      <w:r>
        <w:rPr>
          <w:rFonts w:ascii="宋体" w:hAnsi="宋体" w:eastAsia="宋体" w:cs="宋体"/>
          <w:b w:val="0"/>
          <w:bCs w:val="0"/>
          <w:sz w:val="24"/>
          <w:szCs w:val="24"/>
        </w:rPr>
        <w:t>全流程要求的前提下，与中标人签订合同的单位</w:t>
      </w:r>
      <w:r>
        <w:rPr>
          <w:rFonts w:hint="eastAsia" w:ascii="宋体" w:hAnsi="宋体" w:eastAsia="宋体" w:cs="宋体"/>
          <w:b w:val="0"/>
          <w:bCs w:val="0"/>
          <w:sz w:val="24"/>
          <w:szCs w:val="24"/>
        </w:rPr>
        <w:t>需</w:t>
      </w:r>
      <w:r>
        <w:rPr>
          <w:rFonts w:ascii="宋体" w:hAnsi="宋体" w:eastAsia="宋体" w:cs="宋体"/>
          <w:b w:val="0"/>
          <w:bCs w:val="0"/>
          <w:sz w:val="24"/>
          <w:szCs w:val="24"/>
        </w:rPr>
        <w:t>支付给中标人的所有费用。</w:t>
      </w:r>
    </w:p>
    <w:p w14:paraId="362864BA">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详见本招标书之“第二章投标文件编制”之“三、投标文件格式要求”之“格式3”。</w:t>
      </w:r>
    </w:p>
    <w:p w14:paraId="714155A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所有报价货币单位为：</w:t>
      </w:r>
      <w:r>
        <w:rPr>
          <w:rFonts w:hint="eastAsia" w:ascii="宋体" w:hAnsi="宋体" w:eastAsia="宋体" w:cs="宋体"/>
          <w:b w:val="0"/>
          <w:bCs w:val="0"/>
          <w:sz w:val="24"/>
          <w:szCs w:val="24"/>
        </w:rPr>
        <w:t>元（人民币），明确不含税金额、税率及价税合计金额。</w:t>
      </w:r>
    </w:p>
    <w:p w14:paraId="1BEE7A1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⑶计算原则：</w:t>
      </w:r>
    </w:p>
    <w:p w14:paraId="7701EE4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报价金额（操作服务费/固定分摊费用）=预计年销售出库金额×费率；</w:t>
      </w:r>
    </w:p>
    <w:p w14:paraId="38A471D0">
      <w:pPr>
        <w:pStyle w:val="3"/>
        <w:spacing w:before="240"/>
        <w:ind w:firstLine="480" w:firstLineChars="200"/>
        <w:rPr>
          <w:rFonts w:hint="eastAsia" w:ascii="宋体" w:hAnsi="宋体" w:eastAsia="宋体" w:cs="宋体"/>
          <w:b w:val="0"/>
          <w:bCs w:val="0"/>
          <w:sz w:val="24"/>
          <w:szCs w:val="24"/>
          <w:lang w:val="zh-CN" w:eastAsia="zh-CN" w:bidi="zh-CN"/>
        </w:rPr>
      </w:pPr>
      <w:r>
        <w:rPr>
          <w:rFonts w:hint="eastAsia" w:ascii="宋体" w:hAnsi="宋体" w:eastAsia="宋体" w:cs="宋体"/>
          <w:b w:val="0"/>
          <w:bCs w:val="0"/>
          <w:sz w:val="24"/>
          <w:szCs w:val="24"/>
        </w:rPr>
        <w:t>⑷</w:t>
      </w:r>
      <w:r>
        <w:rPr>
          <w:rFonts w:ascii="宋体" w:hAnsi="宋体" w:eastAsia="宋体" w:cs="宋体"/>
          <w:b w:val="0"/>
          <w:bCs w:val="0"/>
          <w:sz w:val="24"/>
          <w:szCs w:val="24"/>
        </w:rPr>
        <w:t>付款结算方式：</w:t>
      </w:r>
      <w:r>
        <w:rPr>
          <w:rFonts w:hint="eastAsia" w:ascii="宋体" w:hAnsi="宋体" w:eastAsia="宋体" w:cs="宋体"/>
          <w:b w:val="0"/>
          <w:bCs w:val="0"/>
          <w:sz w:val="24"/>
          <w:szCs w:val="24"/>
        </w:rPr>
        <w:t>半年期商业汇票（包括银行承兑汇票和商承承兑汇票）；收到按招标人要求开具的增值税专用发票后挂账满90天起付。</w:t>
      </w:r>
      <w:r>
        <w:rPr>
          <w:rFonts w:hint="eastAsia" w:ascii="宋体" w:hAnsi="宋体" w:eastAsia="宋体" w:cs="宋体"/>
          <w:b w:val="0"/>
          <w:bCs w:val="0"/>
          <w:sz w:val="24"/>
          <w:szCs w:val="24"/>
          <w:lang w:val="zh-CN" w:eastAsia="zh-CN" w:bidi="zh-CN"/>
        </w:rPr>
        <w:t>乙方完成甲方的需求，乙方开具合同价款100%的收据并增值税专用发票，经甲方核对无误后支付。</w:t>
      </w:r>
    </w:p>
    <w:p w14:paraId="2AF30EC9">
      <w:pPr>
        <w:ind w:left="720" w:leftChars="0" w:firstLine="720" w:firstLineChars="0"/>
      </w:pPr>
      <w:r>
        <w:rPr>
          <w:rFonts w:hint="eastAsia"/>
          <w:b/>
          <w:bCs/>
          <w:sz w:val="24"/>
          <w:szCs w:val="24"/>
          <w:lang w:val="en-US" w:eastAsia="zh-CN"/>
        </w:rPr>
        <w:t>付款方式及比例不允许偏离。</w:t>
      </w:r>
    </w:p>
    <w:p w14:paraId="0A44DD73">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4.技术规范及服务</w:t>
      </w:r>
    </w:p>
    <w:p w14:paraId="54E61C6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投标人应与</w:t>
      </w:r>
      <w:bookmarkStart w:id="8" w:name="_Hlk56064956"/>
      <w:r>
        <w:rPr>
          <w:rFonts w:ascii="宋体" w:hAnsi="宋体" w:eastAsia="宋体" w:cs="宋体"/>
          <w:b w:val="0"/>
          <w:bCs w:val="0"/>
          <w:sz w:val="24"/>
          <w:szCs w:val="24"/>
        </w:rPr>
        <w:t>招标人</w:t>
      </w:r>
      <w:bookmarkEnd w:id="8"/>
      <w:r>
        <w:rPr>
          <w:rFonts w:ascii="宋体" w:hAnsi="宋体" w:eastAsia="宋体" w:cs="宋体"/>
          <w:b w:val="0"/>
          <w:bCs w:val="0"/>
          <w:sz w:val="24"/>
          <w:szCs w:val="24"/>
        </w:rPr>
        <w:t>指派的答疑人员充分沟通，理解认可并接受相关技术规范及服务要求。</w:t>
      </w:r>
    </w:p>
    <w:p w14:paraId="2D9C965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投标人可免费提供的、包含但不限于招标人所要求的其他相关服务内容，按本招标书“第二章投标文件编制”要求，在其“开标一览表”中一并说明。</w:t>
      </w:r>
    </w:p>
    <w:p w14:paraId="3E82BEC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w:t>
      </w:r>
      <w:bookmarkStart w:id="9" w:name="_Hlk56064937"/>
      <w:r>
        <w:rPr>
          <w:rFonts w:hint="eastAsia" w:ascii="宋体" w:hAnsi="宋体" w:eastAsia="宋体" w:cs="宋体"/>
          <w:b w:val="0"/>
          <w:bCs w:val="0"/>
          <w:sz w:val="24"/>
          <w:szCs w:val="24"/>
        </w:rPr>
        <w:t>投标人</w:t>
      </w:r>
      <w:bookmarkEnd w:id="9"/>
      <w:r>
        <w:rPr>
          <w:rFonts w:hint="eastAsia" w:ascii="宋体" w:hAnsi="宋体" w:eastAsia="宋体" w:cs="宋体"/>
          <w:b w:val="0"/>
          <w:bCs w:val="0"/>
          <w:sz w:val="24"/>
          <w:szCs w:val="24"/>
        </w:rPr>
        <w:t>收到标书后，必须实地考察业务单位运作流程，熟悉相关业务后，在招标时提交技术方案、组织措施及相应预案。</w:t>
      </w:r>
    </w:p>
    <w:p w14:paraId="10CA62DC">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⑷</w:t>
      </w:r>
      <w:bookmarkStart w:id="10" w:name="_Hlk56065099"/>
      <w:r>
        <w:rPr>
          <w:rFonts w:hint="eastAsia" w:ascii="宋体" w:hAnsi="宋体" w:eastAsia="宋体" w:cs="宋体"/>
          <w:b w:val="0"/>
          <w:bCs w:val="0"/>
          <w:sz w:val="24"/>
          <w:szCs w:val="24"/>
        </w:rPr>
        <w:t>投标人</w:t>
      </w:r>
      <w:bookmarkEnd w:id="10"/>
      <w:r>
        <w:rPr>
          <w:rFonts w:hint="eastAsia" w:ascii="宋体" w:hAnsi="宋体" w:eastAsia="宋体" w:cs="宋体"/>
          <w:b w:val="0"/>
          <w:bCs w:val="0"/>
          <w:sz w:val="24"/>
          <w:szCs w:val="24"/>
        </w:rPr>
        <w:t>应严格执行</w:t>
      </w:r>
      <w:r>
        <w:rPr>
          <w:rFonts w:ascii="宋体" w:hAnsi="宋体" w:eastAsia="宋体" w:cs="宋体"/>
          <w:b w:val="0"/>
          <w:bCs w:val="0"/>
          <w:sz w:val="24"/>
          <w:szCs w:val="24"/>
        </w:rPr>
        <w:t>招标人</w:t>
      </w:r>
      <w:r>
        <w:rPr>
          <w:rFonts w:hint="eastAsia" w:ascii="宋体" w:hAnsi="宋体" w:eastAsia="宋体" w:cs="宋体"/>
          <w:b w:val="0"/>
          <w:bCs w:val="0"/>
          <w:sz w:val="24"/>
          <w:szCs w:val="24"/>
        </w:rPr>
        <w:t>的技术质量标准，如果投标人未按技术质量标准要求执行，投标人应无条件进行整改，所发生的所有费用均由投标人方承担。如投标人所供产品和服务质量存在严重缺陷，导致招标人产品市场形象受到损害，招标人有权中止或解除本合同，并由投标人承担违约责任。</w:t>
      </w:r>
    </w:p>
    <w:p w14:paraId="1158D6D8">
      <w:pPr>
        <w:pStyle w:val="3"/>
        <w:spacing w:before="240"/>
        <w:ind w:firstLine="480" w:firstLineChars="200"/>
        <w:rPr>
          <w:rFonts w:ascii="宋体" w:hAnsi="宋体" w:eastAsia="宋体" w:cs="宋体"/>
          <w:b w:val="0"/>
          <w:bCs w:val="0"/>
          <w:sz w:val="24"/>
          <w:szCs w:val="24"/>
        </w:rPr>
      </w:pPr>
      <w:bookmarkStart w:id="11" w:name="6.投标人应具有安全生产资质、条件，对所从事业务区域内的安全生产负全责，中标后与"/>
      <w:bookmarkEnd w:id="11"/>
      <w:r>
        <w:rPr>
          <w:rFonts w:ascii="宋体" w:hAnsi="宋体" w:eastAsia="宋体" w:cs="宋体"/>
          <w:b w:val="0"/>
          <w:bCs w:val="0"/>
          <w:sz w:val="24"/>
          <w:szCs w:val="24"/>
        </w:rPr>
        <w:t>投标人应具有安全生产资质、条件，对所从事业务区域内的安全生产负全责，中标后与招标人签订安全责任书。因投标人原因造成的安全生产事故，由投标人承担责任并赔偿因此给招标人造成的损失。</w:t>
      </w:r>
    </w:p>
    <w:p w14:paraId="32509944">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5.凡对本次招标提出的询问，均以</w:t>
      </w:r>
      <w:r>
        <w:rPr>
          <w:rFonts w:hint="eastAsia" w:ascii="宋体" w:hAnsi="宋体" w:eastAsia="宋体" w:cs="宋体"/>
          <w:bCs w:val="0"/>
          <w:sz w:val="24"/>
          <w:szCs w:val="24"/>
        </w:rPr>
        <w:t>招标人</w:t>
      </w:r>
      <w:r>
        <w:rPr>
          <w:rFonts w:ascii="宋体" w:hAnsi="宋体" w:eastAsia="宋体" w:cs="宋体"/>
          <w:bCs w:val="0"/>
          <w:sz w:val="24"/>
          <w:szCs w:val="24"/>
        </w:rPr>
        <w:t>的书面答复为准。</w:t>
      </w:r>
    </w:p>
    <w:p w14:paraId="119CC255">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6.其他</w:t>
      </w:r>
    </w:p>
    <w:p w14:paraId="378F25CB">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217871D6">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其余未尽事宜，均按合同约定。</w:t>
      </w:r>
    </w:p>
    <w:p w14:paraId="681770B7">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7.要求招标人或相关合同签订单位提供的配合，在标书文件中说明。</w:t>
      </w:r>
    </w:p>
    <w:p w14:paraId="598A3EA7">
      <w:pPr>
        <w:spacing w:before="240"/>
        <w:ind w:left="641" w:firstLine="321" w:firstLineChars="100"/>
        <w:rPr>
          <w:rFonts w:ascii="黑体" w:eastAsia="黑体"/>
          <w:b/>
          <w:sz w:val="32"/>
        </w:rPr>
      </w:pPr>
      <w:bookmarkStart w:id="12" w:name="4.评分标准"/>
      <w:bookmarkEnd w:id="12"/>
      <w:bookmarkStart w:id="13" w:name="9.要求招标人或相关合同签订单位提供的配合，在标书文件中说明。"/>
      <w:bookmarkEnd w:id="13"/>
      <w:r>
        <w:rPr>
          <w:rFonts w:hint="eastAsia" w:ascii="黑体" w:eastAsia="黑体"/>
          <w:b/>
          <w:sz w:val="32"/>
        </w:rPr>
        <w:t>七、投标、开标、评标</w:t>
      </w:r>
    </w:p>
    <w:p w14:paraId="1C65148A">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1.投标保证金</w:t>
      </w:r>
    </w:p>
    <w:p w14:paraId="2EF0FB4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投标人向招标人财务部门缴纳</w:t>
      </w:r>
      <w:r>
        <w:rPr>
          <w:rFonts w:hint="eastAsia" w:ascii="宋体" w:hAnsi="宋体" w:eastAsia="宋体" w:cs="宋体"/>
          <w:b w:val="0"/>
          <w:bCs w:val="0"/>
          <w:sz w:val="24"/>
          <w:szCs w:val="24"/>
          <w:lang w:val="en-US" w:eastAsia="zh-CN"/>
        </w:rPr>
        <w:t>8</w:t>
      </w:r>
      <w:r>
        <w:rPr>
          <w:rFonts w:ascii="宋体" w:hAnsi="宋体" w:eastAsia="宋体" w:cs="宋体"/>
          <w:b w:val="0"/>
          <w:bCs w:val="0"/>
          <w:sz w:val="24"/>
          <w:szCs w:val="24"/>
        </w:rPr>
        <w:t>0</w:t>
      </w:r>
      <w:r>
        <w:rPr>
          <w:rFonts w:hint="eastAsia" w:ascii="宋体" w:hAnsi="宋体" w:eastAsia="宋体" w:cs="宋体"/>
          <w:b w:val="0"/>
          <w:bCs w:val="0"/>
          <w:sz w:val="24"/>
          <w:szCs w:val="24"/>
        </w:rPr>
        <w:t>万元</w:t>
      </w:r>
      <w:r>
        <w:rPr>
          <w:rFonts w:ascii="宋体" w:hAnsi="宋体" w:eastAsia="宋体" w:cs="宋体"/>
          <w:b w:val="0"/>
          <w:bCs w:val="0"/>
          <w:sz w:val="24"/>
          <w:szCs w:val="24"/>
        </w:rPr>
        <w:t>（人民币），作为投标人本次投标的保证金</w:t>
      </w:r>
      <w:r>
        <w:rPr>
          <w:rFonts w:hint="eastAsia" w:ascii="宋体" w:hAnsi="宋体" w:eastAsia="宋体" w:cs="宋体"/>
          <w:b w:val="0"/>
          <w:bCs w:val="0"/>
          <w:sz w:val="24"/>
          <w:szCs w:val="24"/>
        </w:rPr>
        <w:t>，缴纳保证金后方可向投标人索取储备配件产品明细，并签订保密责任书</w:t>
      </w:r>
      <w:r>
        <w:rPr>
          <w:rFonts w:ascii="宋体" w:hAnsi="宋体" w:eastAsia="宋体" w:cs="宋体"/>
          <w:b w:val="0"/>
          <w:bCs w:val="0"/>
          <w:sz w:val="24"/>
          <w:szCs w:val="24"/>
        </w:rPr>
        <w:t>；</w:t>
      </w:r>
      <w:bookmarkStart w:id="29" w:name="_GoBack"/>
      <w:bookmarkEnd w:id="29"/>
    </w:p>
    <w:p w14:paraId="6D082F9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缴纳方式：基本账户转账</w:t>
      </w:r>
      <w:r>
        <w:rPr>
          <w:rFonts w:hint="eastAsia" w:ascii="宋体" w:hAnsi="宋体" w:eastAsia="宋体" w:cs="宋体"/>
          <w:b w:val="0"/>
          <w:bCs w:val="0"/>
          <w:sz w:val="24"/>
          <w:szCs w:val="24"/>
        </w:rPr>
        <w:t>（备注“配件仓储、包装服务项目”）</w:t>
      </w:r>
      <w:r>
        <w:rPr>
          <w:rFonts w:ascii="宋体" w:hAnsi="宋体" w:eastAsia="宋体" w:cs="宋体"/>
          <w:b w:val="0"/>
          <w:bCs w:val="0"/>
          <w:sz w:val="24"/>
          <w:szCs w:val="24"/>
        </w:rPr>
        <w:t>；</w:t>
      </w:r>
    </w:p>
    <w:p w14:paraId="40C2A9B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w:t>
      </w:r>
      <w:r>
        <w:rPr>
          <w:rFonts w:ascii="宋体" w:hAnsi="宋体" w:eastAsia="宋体" w:cs="宋体"/>
          <w:b w:val="0"/>
          <w:bCs w:val="0"/>
          <w:sz w:val="24"/>
          <w:szCs w:val="24"/>
        </w:rPr>
        <w:t>接收单位：</w:t>
      </w:r>
      <w:r>
        <w:rPr>
          <w:rFonts w:hint="eastAsia" w:ascii="宋体" w:hAnsi="宋体" w:eastAsia="宋体" w:cs="宋体"/>
          <w:b w:val="0"/>
          <w:bCs w:val="0"/>
          <w:sz w:val="24"/>
          <w:szCs w:val="24"/>
        </w:rPr>
        <w:t>重汽（济南）汽车配件销售服务有限公司</w:t>
      </w:r>
      <w:r>
        <w:rPr>
          <w:rFonts w:ascii="宋体" w:hAnsi="宋体" w:eastAsia="宋体" w:cs="宋体"/>
          <w:b w:val="0"/>
          <w:bCs w:val="0"/>
          <w:sz w:val="24"/>
          <w:szCs w:val="24"/>
        </w:rPr>
        <w:t>；</w:t>
      </w:r>
    </w:p>
    <w:p w14:paraId="46E70647">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⑷</w:t>
      </w:r>
      <w:r>
        <w:rPr>
          <w:rFonts w:ascii="宋体" w:hAnsi="宋体" w:eastAsia="宋体" w:cs="宋体"/>
          <w:b w:val="0"/>
          <w:bCs w:val="0"/>
          <w:sz w:val="24"/>
          <w:szCs w:val="24"/>
        </w:rPr>
        <w:t>转账信息：</w:t>
      </w:r>
    </w:p>
    <w:tbl>
      <w:tblPr>
        <w:tblStyle w:val="23"/>
        <w:tblW w:w="0" w:type="auto"/>
        <w:tblInd w:w="10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60"/>
      </w:tblGrid>
      <w:tr w14:paraId="281D0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5" w:hRule="atLeast"/>
        </w:trPr>
        <w:tc>
          <w:tcPr>
            <w:tcW w:w="8660" w:type="dxa"/>
            <w:vAlign w:val="center"/>
          </w:tcPr>
          <w:p w14:paraId="12D818B9">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开户银行：中国建设银行股份有限公司济南天桥支行</w:t>
            </w:r>
          </w:p>
        </w:tc>
      </w:tr>
      <w:tr w14:paraId="60C1A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8660" w:type="dxa"/>
            <w:vAlign w:val="center"/>
          </w:tcPr>
          <w:p w14:paraId="56ECC5CF">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户名：</w:t>
            </w:r>
            <w:r>
              <w:rPr>
                <w:rFonts w:hint="eastAsia" w:ascii="宋体" w:hAnsi="宋体" w:eastAsia="宋体" w:cs="宋体"/>
                <w:b w:val="0"/>
                <w:bCs w:val="0"/>
                <w:sz w:val="24"/>
                <w:szCs w:val="24"/>
              </w:rPr>
              <w:t>重汽（济南）汽车配件销售服务有限公司</w:t>
            </w:r>
          </w:p>
        </w:tc>
      </w:tr>
      <w:tr w14:paraId="5BE1C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8660" w:type="dxa"/>
            <w:vAlign w:val="center"/>
          </w:tcPr>
          <w:p w14:paraId="60C29A8B">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账号：37050161650800000201</w:t>
            </w:r>
          </w:p>
        </w:tc>
      </w:tr>
      <w:tr w14:paraId="78562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8660" w:type="dxa"/>
            <w:vAlign w:val="center"/>
          </w:tcPr>
          <w:p w14:paraId="7A131FF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联行号：105451000362</w:t>
            </w:r>
          </w:p>
        </w:tc>
      </w:tr>
    </w:tbl>
    <w:p w14:paraId="08CEED87">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⑸发生以下情况时，投标保证金不予返还：</w:t>
      </w:r>
    </w:p>
    <w:p w14:paraId="60320FAD">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①投标人在提交响应文件截止时间后撤回响应文件的；</w:t>
      </w:r>
    </w:p>
    <w:p w14:paraId="2BBC1B7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②投标人在响应文件中提供虚假材料的；</w:t>
      </w:r>
    </w:p>
    <w:p w14:paraId="60527C1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③除不可抗力外，自中标（成交）通知书发出之日起30日内，中标（成交）供应商无正当理由不签订合同的或在签订合同时提出无理附加条件的；</w:t>
      </w:r>
    </w:p>
    <w:p w14:paraId="1F6FA0B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④投标过程中被查实有串标、围标、陪标等违规违纪行为的；</w:t>
      </w:r>
    </w:p>
    <w:p w14:paraId="0F025A9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⑤投标人有违约违规行为或被投诉、举报的，或违反保密协议规定的，在调查处理期间，保证金暂不退还，待调查处理结束后按有关规定处理；</w:t>
      </w:r>
    </w:p>
    <w:p w14:paraId="3550640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⑥截至开标前3天，投标人无正当理由、未以书面形式递交说明而在投标截止日不来投标的；</w:t>
      </w:r>
    </w:p>
    <w:p w14:paraId="5C1805C6">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说明：</w:t>
      </w:r>
    </w:p>
    <w:p w14:paraId="7D662DB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发生以上情况，除投标保证金不予返还外，</w:t>
      </w:r>
      <w:r>
        <w:rPr>
          <w:rFonts w:ascii="宋体" w:hAnsi="宋体" w:eastAsia="宋体" w:cs="宋体"/>
          <w:b w:val="0"/>
          <w:bCs w:val="0"/>
          <w:sz w:val="24"/>
          <w:szCs w:val="24"/>
        </w:rPr>
        <w:t>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宋体" w:hAnsi="宋体" w:eastAsia="宋体" w:cs="宋体"/>
          <w:b w:val="0"/>
          <w:bCs w:val="0"/>
          <w:sz w:val="24"/>
          <w:szCs w:val="24"/>
        </w:rPr>
        <w:t>9</w:t>
      </w:r>
      <w:r>
        <w:rPr>
          <w:rFonts w:ascii="宋体" w:hAnsi="宋体" w:eastAsia="宋体" w:cs="宋体"/>
          <w:b w:val="0"/>
          <w:bCs w:val="0"/>
          <w:sz w:val="24"/>
          <w:szCs w:val="24"/>
        </w:rPr>
        <w:t>0个工作日内按投标人所提供的投标保证金退付表（详见本招标书“第二章投标文件编制”之“三、投标文件格式要求”之格式8相关要求）退还投标保证金（不计息）。</w:t>
      </w:r>
    </w:p>
    <w:p w14:paraId="4E455CED">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投标人在向招标人出示《投标保证金缴纳凭证》后方可进行</w:t>
      </w:r>
      <w:r>
        <w:rPr>
          <w:rFonts w:hint="eastAsia" w:ascii="宋体" w:hAnsi="宋体" w:eastAsia="宋体" w:cs="宋体"/>
          <w:b w:val="0"/>
          <w:bCs w:val="0"/>
          <w:sz w:val="24"/>
          <w:szCs w:val="24"/>
        </w:rPr>
        <w:t>投标</w:t>
      </w:r>
      <w:r>
        <w:rPr>
          <w:rFonts w:ascii="宋体" w:hAnsi="宋体" w:eastAsia="宋体" w:cs="宋体"/>
          <w:b w:val="0"/>
          <w:bCs w:val="0"/>
          <w:sz w:val="24"/>
          <w:szCs w:val="24"/>
        </w:rPr>
        <w:t>。</w:t>
      </w:r>
    </w:p>
    <w:p w14:paraId="55149FBD">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2.开标</w:t>
      </w:r>
    </w:p>
    <w:p w14:paraId="7232FE4E">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所有报价货币单位均为：</w:t>
      </w:r>
      <w:r>
        <w:rPr>
          <w:rFonts w:hint="eastAsia" w:ascii="宋体" w:hAnsi="宋体" w:eastAsia="宋体" w:cs="宋体"/>
          <w:b w:val="0"/>
          <w:bCs w:val="0"/>
          <w:sz w:val="24"/>
          <w:szCs w:val="24"/>
        </w:rPr>
        <w:t>元（人民币），明确不含税金额、税率及价税合计金额。</w:t>
      </w:r>
    </w:p>
    <w:p w14:paraId="41B548D1">
      <w:pPr>
        <w:pStyle w:val="3"/>
        <w:spacing w:before="240"/>
        <w:ind w:firstLine="482" w:firstLineChars="200"/>
        <w:rPr>
          <w:rFonts w:ascii="宋体" w:hAnsi="宋体" w:eastAsia="宋体" w:cs="宋体"/>
          <w:bCs w:val="0"/>
          <w:sz w:val="24"/>
          <w:szCs w:val="24"/>
        </w:rPr>
      </w:pPr>
      <w:r>
        <w:rPr>
          <w:rFonts w:hint="eastAsia" w:ascii="宋体" w:hAnsi="宋体" w:eastAsia="宋体" w:cs="宋体"/>
          <w:bCs w:val="0"/>
          <w:sz w:val="24"/>
          <w:szCs w:val="24"/>
        </w:rPr>
        <w:t>3.</w:t>
      </w:r>
      <w:r>
        <w:rPr>
          <w:rFonts w:ascii="宋体" w:hAnsi="宋体" w:eastAsia="宋体" w:cs="宋体"/>
          <w:bCs w:val="0"/>
          <w:sz w:val="24"/>
          <w:szCs w:val="24"/>
        </w:rPr>
        <w:t>评标</w:t>
      </w:r>
    </w:p>
    <w:p w14:paraId="20445AAF">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评标工作由招标人为该项目依法组织的、由</w:t>
      </w:r>
      <w:r>
        <w:rPr>
          <w:rFonts w:hint="eastAsia" w:ascii="宋体" w:hAnsi="宋体" w:eastAsia="宋体" w:cs="宋体"/>
          <w:b w:val="0"/>
          <w:bCs w:val="0"/>
          <w:sz w:val="24"/>
          <w:szCs w:val="24"/>
        </w:rPr>
        <w:t>五</w:t>
      </w:r>
      <w:r>
        <w:rPr>
          <w:rFonts w:ascii="宋体" w:hAnsi="宋体" w:eastAsia="宋体" w:cs="宋体"/>
          <w:b w:val="0"/>
          <w:bCs w:val="0"/>
          <w:sz w:val="24"/>
          <w:szCs w:val="24"/>
        </w:rPr>
        <w:t>人及以上单数成员组成的评标工作小组负责，参照以下评分标准，采用综合评定法，即由评标工作小组按照国家招投标有关规定，本着公平、公正、公开、有序的原则，在最大限度地满足招标文件实质性要求的前提下，按照招标文件中规定的各项因素进行综合评审，并根据报价情况同时结合项目需求，依据本招标书列示的相关报价规则，按需确定中标候选人及中标项目，有权对未中标人不做任何解释。</w:t>
      </w:r>
    </w:p>
    <w:p w14:paraId="53D81FEF">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自评标开始，直至签订合同为止，凡属于对投标文件的审查、澄清、评价和比较有关的资料，与评标有关的其他任何情况均需保密。</w:t>
      </w:r>
    </w:p>
    <w:p w14:paraId="532B85E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⑴本次招标技术标评价分为四个方面，赋分为100分，技术标得分≥60分入围商务标；</w:t>
      </w:r>
    </w:p>
    <w:p w14:paraId="21643D8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⑵商务标得分=当前轮次最低价/供方报价*商务标总分；商务标赋分为100分。</w:t>
      </w:r>
    </w:p>
    <w:p w14:paraId="4A59835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⑶采取综合评标法进行评标，技术分占</w:t>
      </w:r>
      <w:r>
        <w:rPr>
          <w:rFonts w:ascii="宋体" w:hAnsi="宋体" w:eastAsia="宋体" w:cs="宋体"/>
          <w:b w:val="0"/>
          <w:bCs w:val="0"/>
          <w:sz w:val="24"/>
          <w:szCs w:val="24"/>
        </w:rPr>
        <w:t>4</w:t>
      </w:r>
      <w:r>
        <w:rPr>
          <w:rFonts w:hint="eastAsia" w:ascii="宋体" w:hAnsi="宋体" w:eastAsia="宋体" w:cs="宋体"/>
          <w:b w:val="0"/>
          <w:bCs w:val="0"/>
          <w:sz w:val="24"/>
          <w:szCs w:val="24"/>
        </w:rPr>
        <w:t>0%，商务分占</w:t>
      </w:r>
      <w:r>
        <w:rPr>
          <w:rFonts w:ascii="宋体" w:hAnsi="宋体" w:eastAsia="宋体" w:cs="宋体"/>
          <w:b w:val="0"/>
          <w:bCs w:val="0"/>
          <w:sz w:val="24"/>
          <w:szCs w:val="24"/>
        </w:rPr>
        <w:t>6</w:t>
      </w:r>
      <w:r>
        <w:rPr>
          <w:rFonts w:hint="eastAsia" w:ascii="宋体" w:hAnsi="宋体" w:eastAsia="宋体" w:cs="宋体"/>
          <w:b w:val="0"/>
          <w:bCs w:val="0"/>
          <w:sz w:val="24"/>
          <w:szCs w:val="24"/>
        </w:rPr>
        <w:t>0%。</w:t>
      </w:r>
    </w:p>
    <w:p w14:paraId="7F1FE75F">
      <w:pPr>
        <w:pStyle w:val="3"/>
        <w:spacing w:before="240"/>
        <w:ind w:firstLine="482" w:firstLineChars="200"/>
        <w:rPr>
          <w:rFonts w:ascii="宋体" w:hAnsi="宋体" w:eastAsia="宋体" w:cs="宋体"/>
          <w:bCs w:val="0"/>
          <w:sz w:val="24"/>
          <w:szCs w:val="24"/>
        </w:rPr>
      </w:pPr>
      <w:r>
        <w:rPr>
          <w:rFonts w:hint="eastAsia" w:ascii="宋体" w:hAnsi="宋体" w:eastAsia="宋体" w:cs="宋体"/>
          <w:bCs w:val="0"/>
          <w:sz w:val="24"/>
          <w:szCs w:val="24"/>
        </w:rPr>
        <w:t>4.评标步骤:</w:t>
      </w:r>
    </w:p>
    <w:p w14:paraId="2F41EA9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为保证项目顺利实施，由招标人组织、按国家法律法规及公司相关规章制度要求，设立评标工作小组，同时依据以下评分标准，采用综合评标法，开标程序：</w:t>
      </w:r>
    </w:p>
    <w:p w14:paraId="2ECCA014">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（1）宣布开标会议开始。</w:t>
      </w:r>
    </w:p>
    <w:p w14:paraId="55B8DA4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（2）投标人或投标人推选的代表对投标文件密封情况进行检查（投标人参加现场开标会议的，视同认可投标文件密封完好）。</w:t>
      </w:r>
    </w:p>
    <w:p w14:paraId="22ECF61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（3）宣读评标纪律（线上招标则自动弹出阅读）</w:t>
      </w:r>
    </w:p>
    <w:p w14:paraId="5CC0D12A">
      <w:pPr>
        <w:pStyle w:val="3"/>
        <w:spacing w:before="240"/>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4）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val="0"/>
          <w:sz w:val="24"/>
          <w:szCs w:val="24"/>
          <w:lang w:val="en-US" w:eastAsia="zh-CN"/>
        </w:rPr>
        <w:t>评分详见</w:t>
      </w:r>
      <w:r>
        <w:rPr>
          <w:rFonts w:hint="eastAsia" w:ascii="宋体" w:hAnsi="宋体" w:eastAsia="宋体" w:cs="宋体"/>
          <w:b w:val="0"/>
          <w:bCs w:val="0"/>
          <w:sz w:val="24"/>
          <w:szCs w:val="24"/>
        </w:rPr>
        <w:t>评分标准；</w:t>
      </w:r>
    </w:p>
    <w:p w14:paraId="63D91C4E">
      <w:pPr>
        <w:pStyle w:val="3"/>
        <w:spacing w:before="240"/>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（5）经确认无误后，由工作人员当众拆封，拆启标书，进行唱标。</w:t>
      </w:r>
    </w:p>
    <w:p w14:paraId="7AADDA80">
      <w:pPr>
        <w:pStyle w:val="3"/>
        <w:spacing w:before="240"/>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rPr>
        <w:t>）商务标评审：</w:t>
      </w:r>
      <w:r>
        <w:rPr>
          <w:rFonts w:hint="eastAsia" w:ascii="宋体" w:hAnsi="宋体" w:eastAsia="宋体" w:cs="宋体"/>
          <w:b w:val="0"/>
          <w:bCs w:val="0"/>
          <w:sz w:val="24"/>
          <w:szCs w:val="24"/>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val="0"/>
          <w:bCs w:val="0"/>
          <w:sz w:val="24"/>
          <w:szCs w:val="24"/>
        </w:rPr>
        <w:t>综合评标</w:t>
      </w:r>
      <w:r>
        <w:rPr>
          <w:rFonts w:hint="eastAsia" w:ascii="宋体" w:hAnsi="宋体" w:eastAsia="宋体" w:cs="宋体"/>
          <w:b w:val="0"/>
          <w:bCs w:val="0"/>
          <w:sz w:val="24"/>
          <w:szCs w:val="24"/>
          <w:lang w:val="en-US" w:eastAsia="zh-CN"/>
        </w:rPr>
        <w:t xml:space="preserve">法推荐中标人，对未入围候选中标人不做任何解释。 </w:t>
      </w:r>
    </w:p>
    <w:p w14:paraId="6BDFC72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rPr>
        <w:t>）投标前请各投标方按照招标文件要求对项目方案进行充分准备，投标单位已默认认可上述开标、评标过程，无异议。招标人无义务对未入围投标方及未中标方做任何解释。</w:t>
      </w:r>
    </w:p>
    <w:p w14:paraId="5BBF12A9">
      <w:pPr>
        <w:pStyle w:val="10"/>
        <w:numPr>
          <w:ilvl w:val="0"/>
          <w:numId w:val="1"/>
        </w:numPr>
        <w:spacing w:before="240"/>
        <w:ind w:left="1058"/>
        <w:rPr>
          <w:b/>
          <w:bCs/>
          <w:color w:val="000000" w:themeColor="text1"/>
          <w:sz w:val="28"/>
          <w:szCs w:val="28"/>
          <w:lang w:val="en-US"/>
          <w14:textFill>
            <w14:solidFill>
              <w14:schemeClr w14:val="tx1"/>
            </w14:solidFill>
          </w14:textFill>
        </w:rPr>
      </w:pPr>
      <w:r>
        <w:rPr>
          <w:rFonts w:hint="eastAsia"/>
          <w:b/>
          <w:bCs/>
          <w:color w:val="000000" w:themeColor="text1"/>
          <w:sz w:val="28"/>
          <w:szCs w:val="28"/>
          <w:lang w:val="en-US"/>
          <w14:textFill>
            <w14:solidFill>
              <w14:schemeClr w14:val="tx1"/>
            </w14:solidFill>
          </w14:textFill>
        </w:rPr>
        <w:t>技术标评分标准：（总分100分）</w:t>
      </w:r>
    </w:p>
    <w:tbl>
      <w:tblPr>
        <w:tblStyle w:val="23"/>
        <w:tblW w:w="51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133"/>
        <w:gridCol w:w="1133"/>
        <w:gridCol w:w="6796"/>
        <w:gridCol w:w="861"/>
      </w:tblGrid>
      <w:tr w14:paraId="2746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2" w:type="pct"/>
            <w:vAlign w:val="center"/>
          </w:tcPr>
          <w:p w14:paraId="77FCBED5">
            <w:pPr>
              <w:pStyle w:val="12"/>
              <w:spacing w:before="240"/>
              <w:ind w:left="-27" w:leftChars="-125" w:hanging="248" w:hangingChars="137"/>
              <w:jc w:val="center"/>
              <w:rPr>
                <w:rFonts w:hAnsi="宋体"/>
                <w:b/>
                <w:bCs/>
                <w:sz w:val="18"/>
              </w:rPr>
            </w:pPr>
            <w:r>
              <w:rPr>
                <w:rFonts w:hint="eastAsia"/>
                <w:b/>
                <w:bCs/>
                <w:sz w:val="18"/>
              </w:rPr>
              <w:t>序号</w:t>
            </w:r>
          </w:p>
        </w:tc>
        <w:tc>
          <w:tcPr>
            <w:tcW w:w="533" w:type="pct"/>
            <w:vAlign w:val="center"/>
          </w:tcPr>
          <w:p w14:paraId="2FCE70CB">
            <w:pPr>
              <w:pStyle w:val="12"/>
              <w:spacing w:before="240"/>
              <w:ind w:left="-6" w:leftChars="-15" w:right="158" w:rightChars="72" w:hanging="27" w:hangingChars="15"/>
              <w:jc w:val="center"/>
              <w:rPr>
                <w:rFonts w:hAnsi="宋体"/>
                <w:b/>
                <w:bCs/>
                <w:sz w:val="18"/>
              </w:rPr>
            </w:pPr>
            <w:r>
              <w:rPr>
                <w:rFonts w:hint="eastAsia"/>
                <w:b/>
                <w:bCs/>
                <w:sz w:val="18"/>
              </w:rPr>
              <w:t>评审类别</w:t>
            </w:r>
          </w:p>
        </w:tc>
        <w:tc>
          <w:tcPr>
            <w:tcW w:w="533" w:type="pct"/>
            <w:vAlign w:val="center"/>
          </w:tcPr>
          <w:p w14:paraId="3D97070D">
            <w:pPr>
              <w:pStyle w:val="12"/>
              <w:spacing w:before="240"/>
              <w:ind w:left="-40" w:leftChars="-179" w:hanging="354" w:hangingChars="196"/>
              <w:jc w:val="center"/>
              <w:rPr>
                <w:rFonts w:hAnsi="宋体"/>
                <w:b/>
                <w:bCs/>
                <w:sz w:val="18"/>
              </w:rPr>
            </w:pPr>
            <w:r>
              <w:rPr>
                <w:rFonts w:hint="eastAsia"/>
                <w:b/>
                <w:bCs/>
                <w:sz w:val="18"/>
              </w:rPr>
              <w:t>评审内容</w:t>
            </w:r>
          </w:p>
        </w:tc>
        <w:tc>
          <w:tcPr>
            <w:tcW w:w="3197" w:type="pct"/>
            <w:vAlign w:val="center"/>
          </w:tcPr>
          <w:p w14:paraId="61D07997">
            <w:pPr>
              <w:pStyle w:val="12"/>
              <w:spacing w:before="240"/>
              <w:ind w:left="440"/>
              <w:jc w:val="center"/>
              <w:rPr>
                <w:rFonts w:hAnsi="宋体"/>
                <w:b/>
                <w:bCs/>
                <w:sz w:val="18"/>
              </w:rPr>
            </w:pPr>
            <w:r>
              <w:rPr>
                <w:rFonts w:hint="eastAsia"/>
                <w:b/>
                <w:bCs/>
                <w:sz w:val="18"/>
              </w:rPr>
              <w:t>评分标准</w:t>
            </w:r>
          </w:p>
        </w:tc>
        <w:tc>
          <w:tcPr>
            <w:tcW w:w="405" w:type="pct"/>
            <w:vAlign w:val="center"/>
          </w:tcPr>
          <w:p w14:paraId="3276821B">
            <w:pPr>
              <w:pStyle w:val="12"/>
              <w:spacing w:before="240"/>
              <w:ind w:left="18" w:leftChars="-50" w:hanging="128" w:hangingChars="71"/>
              <w:jc w:val="center"/>
              <w:rPr>
                <w:rFonts w:hAnsi="宋体"/>
                <w:b/>
                <w:bCs/>
                <w:sz w:val="18"/>
              </w:rPr>
            </w:pPr>
            <w:r>
              <w:rPr>
                <w:rFonts w:hint="eastAsia"/>
                <w:b/>
                <w:bCs/>
                <w:sz w:val="18"/>
              </w:rPr>
              <w:t>最高得分</w:t>
            </w:r>
          </w:p>
        </w:tc>
      </w:tr>
      <w:tr w14:paraId="4F7D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332" w:type="pct"/>
            <w:vAlign w:val="center"/>
          </w:tcPr>
          <w:p w14:paraId="1BDA0E28">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1</w:t>
            </w:r>
          </w:p>
        </w:tc>
        <w:tc>
          <w:tcPr>
            <w:tcW w:w="533" w:type="pct"/>
            <w:vAlign w:val="center"/>
          </w:tcPr>
          <w:p w14:paraId="6600727D">
            <w:pPr>
              <w:pStyle w:val="12"/>
              <w:spacing w:before="240"/>
              <w:ind w:left="-6" w:leftChars="-15" w:right="158" w:rightChars="72" w:hanging="27" w:hangingChars="15"/>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综合实力</w:t>
            </w:r>
          </w:p>
        </w:tc>
        <w:tc>
          <w:tcPr>
            <w:tcW w:w="533" w:type="pct"/>
            <w:vAlign w:val="center"/>
          </w:tcPr>
          <w:p w14:paraId="48404726">
            <w:pPr>
              <w:pStyle w:val="12"/>
              <w:spacing w:before="240"/>
              <w:ind w:left="-110" w:leftChars="-50" w:firstLine="12" w:firstLineChars="7"/>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项目经验</w:t>
            </w:r>
          </w:p>
        </w:tc>
        <w:tc>
          <w:tcPr>
            <w:tcW w:w="3197" w:type="pct"/>
            <w:vAlign w:val="center"/>
          </w:tcPr>
          <w:p w14:paraId="5385F2BF">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1、有汽车制造业内相关项目经验的每个案例加1分（需提供相关合同等证明材料），最高</w:t>
            </w:r>
            <w:r>
              <w:rPr>
                <w:rFonts w:asciiTheme="majorEastAsia" w:hAnsiTheme="majorEastAsia" w:eastAsiaTheme="majorEastAsia"/>
                <w:sz w:val="18"/>
                <w:szCs w:val="18"/>
              </w:rPr>
              <w:t>5</w:t>
            </w:r>
            <w:r>
              <w:rPr>
                <w:rFonts w:hint="eastAsia" w:asciiTheme="majorEastAsia" w:hAnsiTheme="majorEastAsia" w:eastAsiaTheme="majorEastAsia"/>
                <w:sz w:val="18"/>
                <w:szCs w:val="18"/>
              </w:rPr>
              <w:t>分；</w:t>
            </w:r>
          </w:p>
          <w:p w14:paraId="101D3139">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2、投标人提供自2021年</w:t>
            </w:r>
            <w:r>
              <w:rPr>
                <w:rFonts w:asciiTheme="majorEastAsia" w:hAnsiTheme="majorEastAsia" w:eastAsiaTheme="majorEastAsia"/>
                <w:sz w:val="18"/>
                <w:szCs w:val="18"/>
              </w:rPr>
              <w:t>1</w:t>
            </w:r>
            <w:r>
              <w:rPr>
                <w:rFonts w:hint="eastAsia" w:asciiTheme="majorEastAsia" w:hAnsiTheme="majorEastAsia" w:eastAsiaTheme="majorEastAsia"/>
                <w:sz w:val="18"/>
                <w:szCs w:val="18"/>
              </w:rPr>
              <w:t>月</w:t>
            </w:r>
            <w:r>
              <w:rPr>
                <w:rFonts w:asciiTheme="majorEastAsia" w:hAnsiTheme="majorEastAsia" w:eastAsiaTheme="majorEastAsia"/>
                <w:sz w:val="18"/>
                <w:szCs w:val="18"/>
              </w:rPr>
              <w:t>1</w:t>
            </w:r>
            <w:r>
              <w:rPr>
                <w:rFonts w:hint="eastAsia" w:asciiTheme="majorEastAsia" w:hAnsiTheme="majorEastAsia" w:eastAsiaTheme="majorEastAsia"/>
                <w:sz w:val="18"/>
                <w:szCs w:val="18"/>
              </w:rPr>
              <w:t>日至20</w:t>
            </w:r>
            <w:r>
              <w:rPr>
                <w:rFonts w:asciiTheme="majorEastAsia" w:hAnsiTheme="majorEastAsia" w:eastAsiaTheme="majorEastAsia"/>
                <w:sz w:val="18"/>
                <w:szCs w:val="18"/>
              </w:rPr>
              <w:t>25</w:t>
            </w:r>
            <w:r>
              <w:rPr>
                <w:rFonts w:hint="eastAsia" w:asciiTheme="majorEastAsia" w:hAnsiTheme="majorEastAsia" w:eastAsiaTheme="majorEastAsia"/>
                <w:sz w:val="18"/>
                <w:szCs w:val="18"/>
              </w:rPr>
              <w:t>年</w:t>
            </w:r>
            <w:r>
              <w:rPr>
                <w:rFonts w:asciiTheme="majorEastAsia" w:hAnsiTheme="majorEastAsia" w:eastAsiaTheme="majorEastAsia"/>
                <w:sz w:val="18"/>
                <w:szCs w:val="18"/>
              </w:rPr>
              <w:t>12</w:t>
            </w:r>
            <w:r>
              <w:rPr>
                <w:rFonts w:hint="eastAsia" w:asciiTheme="majorEastAsia" w:hAnsiTheme="majorEastAsia" w:eastAsiaTheme="majorEastAsia"/>
                <w:sz w:val="18"/>
                <w:szCs w:val="18"/>
              </w:rPr>
              <w:t>月</w:t>
            </w:r>
            <w:r>
              <w:rPr>
                <w:rFonts w:asciiTheme="majorEastAsia" w:hAnsiTheme="majorEastAsia" w:eastAsiaTheme="majorEastAsia"/>
                <w:sz w:val="18"/>
                <w:szCs w:val="18"/>
              </w:rPr>
              <w:t>31</w:t>
            </w:r>
            <w:r>
              <w:rPr>
                <w:rFonts w:hint="eastAsia" w:asciiTheme="majorEastAsia" w:hAnsiTheme="majorEastAsia" w:eastAsiaTheme="majorEastAsia"/>
                <w:sz w:val="18"/>
                <w:szCs w:val="18"/>
              </w:rPr>
              <w:t>日项目案例中，已实施最大的制造业物流服务项目规模，依次赋分1-</w:t>
            </w:r>
            <w:r>
              <w:rPr>
                <w:rFonts w:asciiTheme="majorEastAsia" w:hAnsiTheme="majorEastAsia" w:eastAsiaTheme="majorEastAsia"/>
                <w:sz w:val="18"/>
                <w:szCs w:val="18"/>
              </w:rPr>
              <w:t>5</w:t>
            </w:r>
            <w:r>
              <w:rPr>
                <w:rFonts w:hint="eastAsia" w:asciiTheme="majorEastAsia" w:hAnsiTheme="majorEastAsia" w:eastAsiaTheme="majorEastAsia"/>
                <w:sz w:val="18"/>
                <w:szCs w:val="18"/>
              </w:rPr>
              <w:t>分。</w:t>
            </w:r>
          </w:p>
        </w:tc>
        <w:tc>
          <w:tcPr>
            <w:tcW w:w="405" w:type="pct"/>
            <w:vAlign w:val="center"/>
          </w:tcPr>
          <w:p w14:paraId="0C6B2706">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10</w:t>
            </w:r>
          </w:p>
        </w:tc>
      </w:tr>
      <w:tr w14:paraId="188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32" w:type="pct"/>
            <w:vAlign w:val="center"/>
          </w:tcPr>
          <w:p w14:paraId="2D43D370">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3</w:t>
            </w:r>
          </w:p>
        </w:tc>
        <w:tc>
          <w:tcPr>
            <w:tcW w:w="533" w:type="pct"/>
            <w:vMerge w:val="restart"/>
            <w:vAlign w:val="center"/>
          </w:tcPr>
          <w:p w14:paraId="066083C7">
            <w:pPr>
              <w:pStyle w:val="12"/>
              <w:spacing w:before="240"/>
              <w:ind w:left="-6" w:leftChars="-15" w:right="158" w:rightChars="72" w:hanging="27" w:hangingChars="15"/>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项目</w:t>
            </w:r>
          </w:p>
          <w:p w14:paraId="40025D20">
            <w:pPr>
              <w:pStyle w:val="12"/>
              <w:spacing w:before="240"/>
              <w:ind w:right="158" w:rightChars="72"/>
              <w:rPr>
                <w:rFonts w:asciiTheme="majorEastAsia" w:hAnsiTheme="majorEastAsia" w:eastAsiaTheme="majorEastAsia"/>
                <w:sz w:val="18"/>
                <w:szCs w:val="18"/>
              </w:rPr>
            </w:pPr>
            <w:r>
              <w:rPr>
                <w:rFonts w:hint="eastAsia" w:asciiTheme="majorEastAsia" w:hAnsiTheme="majorEastAsia" w:eastAsiaTheme="majorEastAsia"/>
                <w:sz w:val="18"/>
                <w:szCs w:val="18"/>
              </w:rPr>
              <w:t>资源配置</w:t>
            </w:r>
          </w:p>
        </w:tc>
        <w:tc>
          <w:tcPr>
            <w:tcW w:w="533" w:type="pct"/>
            <w:vAlign w:val="center"/>
          </w:tcPr>
          <w:p w14:paraId="234150F8">
            <w:pPr>
              <w:pStyle w:val="12"/>
              <w:spacing w:before="240"/>
              <w:ind w:left="-394" w:leftChars="-179" w:firstLine="43" w:firstLineChars="24"/>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人员</w:t>
            </w:r>
          </w:p>
        </w:tc>
        <w:tc>
          <w:tcPr>
            <w:tcW w:w="3197" w:type="pct"/>
            <w:vAlign w:val="center"/>
          </w:tcPr>
          <w:p w14:paraId="4FF213FC">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1、</w:t>
            </w:r>
            <w:r>
              <w:rPr>
                <w:rFonts w:asciiTheme="majorEastAsia" w:hAnsiTheme="majorEastAsia" w:eastAsiaTheme="majorEastAsia"/>
                <w:sz w:val="18"/>
                <w:szCs w:val="18"/>
              </w:rPr>
              <w:t>管理架构及项目人员配置合理，配备物流规划专业人才队伍，满足基本运营要求，得3分；</w:t>
            </w:r>
          </w:p>
          <w:p w14:paraId="4E363C99">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2、</w:t>
            </w:r>
            <w:r>
              <w:rPr>
                <w:rFonts w:asciiTheme="majorEastAsia" w:hAnsiTheme="majorEastAsia" w:eastAsiaTheme="majorEastAsia"/>
                <w:sz w:val="18"/>
                <w:szCs w:val="18"/>
              </w:rPr>
              <w:t>项目经理具备国家承认的本科及以上学历，且有5年以上</w:t>
            </w:r>
            <w:bookmarkStart w:id="14" w:name="OLE_LINK1"/>
            <w:r>
              <w:rPr>
                <w:rFonts w:asciiTheme="majorEastAsia" w:hAnsiTheme="majorEastAsia" w:eastAsiaTheme="majorEastAsia"/>
                <w:sz w:val="18"/>
                <w:szCs w:val="18"/>
              </w:rPr>
              <w:t>商用车配件仓储/包装一体化项目管理经验</w:t>
            </w:r>
            <w:bookmarkEnd w:id="14"/>
            <w:r>
              <w:rPr>
                <w:rFonts w:asciiTheme="majorEastAsia" w:hAnsiTheme="majorEastAsia" w:eastAsiaTheme="majorEastAsia"/>
                <w:sz w:val="18"/>
                <w:szCs w:val="18"/>
              </w:rPr>
              <w:t>，得1分</w:t>
            </w:r>
            <w:r>
              <w:rPr>
                <w:rFonts w:hint="eastAsia" w:asciiTheme="majorEastAsia" w:hAnsiTheme="majorEastAsia" w:eastAsiaTheme="majorEastAsia"/>
                <w:sz w:val="18"/>
                <w:szCs w:val="18"/>
              </w:rPr>
              <w:t>，1</w:t>
            </w:r>
            <w:r>
              <w:rPr>
                <w:rFonts w:asciiTheme="majorEastAsia" w:hAnsiTheme="majorEastAsia" w:eastAsiaTheme="majorEastAsia"/>
                <w:sz w:val="18"/>
                <w:szCs w:val="18"/>
              </w:rPr>
              <w:t>0</w:t>
            </w:r>
            <w:r>
              <w:rPr>
                <w:rFonts w:hint="eastAsia" w:asciiTheme="majorEastAsia" w:hAnsiTheme="majorEastAsia" w:eastAsiaTheme="majorEastAsia"/>
                <w:sz w:val="18"/>
                <w:szCs w:val="18"/>
              </w:rPr>
              <w:t>年以上</w:t>
            </w:r>
            <w:r>
              <w:rPr>
                <w:rFonts w:asciiTheme="majorEastAsia" w:hAnsiTheme="majorEastAsia" w:eastAsiaTheme="majorEastAsia"/>
                <w:sz w:val="18"/>
                <w:szCs w:val="18"/>
              </w:rPr>
              <w:t>商用车配件仓储/包装一体化项目管理经验</w:t>
            </w:r>
            <w:r>
              <w:rPr>
                <w:rFonts w:hint="eastAsia" w:asciiTheme="majorEastAsia" w:hAnsiTheme="majorEastAsia" w:eastAsiaTheme="majorEastAsia"/>
                <w:sz w:val="18"/>
                <w:szCs w:val="18"/>
              </w:rPr>
              <w:t>得</w:t>
            </w:r>
            <w:r>
              <w:rPr>
                <w:rFonts w:asciiTheme="majorEastAsia" w:hAnsiTheme="majorEastAsia" w:eastAsiaTheme="majorEastAsia"/>
                <w:sz w:val="18"/>
                <w:szCs w:val="18"/>
              </w:rPr>
              <w:t>3</w:t>
            </w:r>
            <w:r>
              <w:rPr>
                <w:rFonts w:hint="eastAsia" w:asciiTheme="majorEastAsia" w:hAnsiTheme="majorEastAsia" w:eastAsiaTheme="majorEastAsia"/>
                <w:sz w:val="18"/>
                <w:szCs w:val="18"/>
              </w:rPr>
              <w:t>分。</w:t>
            </w:r>
          </w:p>
          <w:p w14:paraId="422D5459">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3、有包装专业设计人员团队，具备包装设计、工艺优化、质量管理能力，评标专家可自主加分1-</w:t>
            </w:r>
            <w:r>
              <w:rPr>
                <w:rFonts w:asciiTheme="majorEastAsia" w:hAnsiTheme="majorEastAsia" w:eastAsiaTheme="majorEastAsia"/>
                <w:sz w:val="18"/>
                <w:szCs w:val="18"/>
              </w:rPr>
              <w:t>3</w:t>
            </w:r>
            <w:r>
              <w:rPr>
                <w:rFonts w:hint="eastAsia" w:asciiTheme="majorEastAsia" w:hAnsiTheme="majorEastAsia" w:eastAsiaTheme="majorEastAsia"/>
                <w:sz w:val="18"/>
                <w:szCs w:val="18"/>
              </w:rPr>
              <w:t>；</w:t>
            </w:r>
          </w:p>
          <w:p w14:paraId="6F1B182C">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4、自有人员占比不低于</w:t>
            </w:r>
            <w:r>
              <w:rPr>
                <w:rFonts w:asciiTheme="majorEastAsia" w:hAnsiTheme="majorEastAsia" w:eastAsiaTheme="majorEastAsia"/>
                <w:sz w:val="18"/>
                <w:szCs w:val="18"/>
              </w:rPr>
              <w:t>40%</w:t>
            </w:r>
            <w:r>
              <w:rPr>
                <w:rFonts w:hint="eastAsia" w:asciiTheme="majorEastAsia" w:hAnsiTheme="majorEastAsia" w:eastAsiaTheme="majorEastAsia"/>
                <w:sz w:val="18"/>
                <w:szCs w:val="18"/>
              </w:rPr>
              <w:t>，得</w:t>
            </w:r>
            <w:r>
              <w:rPr>
                <w:rFonts w:asciiTheme="majorEastAsia" w:hAnsiTheme="majorEastAsia" w:eastAsiaTheme="majorEastAsia"/>
                <w:sz w:val="18"/>
                <w:szCs w:val="18"/>
              </w:rPr>
              <w:t>3</w:t>
            </w:r>
            <w:r>
              <w:rPr>
                <w:rFonts w:hint="eastAsia" w:asciiTheme="majorEastAsia" w:hAnsiTheme="majorEastAsia" w:eastAsiaTheme="majorEastAsia"/>
                <w:sz w:val="18"/>
                <w:szCs w:val="18"/>
              </w:rPr>
              <w:t>分。（中标后不达标的招标方有权解除合同）</w:t>
            </w:r>
          </w:p>
          <w:p w14:paraId="22C93585">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5、项目配备专业物流及排产计划人员，评标专家可自主加分1</w:t>
            </w:r>
            <w:r>
              <w:rPr>
                <w:rFonts w:asciiTheme="majorEastAsia" w:hAnsiTheme="majorEastAsia" w:eastAsiaTheme="majorEastAsia"/>
                <w:sz w:val="18"/>
                <w:szCs w:val="18"/>
              </w:rPr>
              <w:t>-3</w:t>
            </w:r>
            <w:r>
              <w:rPr>
                <w:rFonts w:hint="eastAsia" w:asciiTheme="majorEastAsia" w:hAnsiTheme="majorEastAsia" w:eastAsiaTheme="majorEastAsia"/>
                <w:sz w:val="18"/>
                <w:szCs w:val="18"/>
              </w:rPr>
              <w:t>分。</w:t>
            </w:r>
          </w:p>
        </w:tc>
        <w:tc>
          <w:tcPr>
            <w:tcW w:w="405" w:type="pct"/>
            <w:vAlign w:val="center"/>
          </w:tcPr>
          <w:p w14:paraId="7DB1E191">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15</w:t>
            </w:r>
          </w:p>
        </w:tc>
      </w:tr>
      <w:tr w14:paraId="30A9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332" w:type="pct"/>
            <w:vAlign w:val="center"/>
          </w:tcPr>
          <w:p w14:paraId="5E10753D">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4</w:t>
            </w:r>
          </w:p>
        </w:tc>
        <w:tc>
          <w:tcPr>
            <w:tcW w:w="533" w:type="pct"/>
            <w:vMerge w:val="continue"/>
            <w:vAlign w:val="center"/>
          </w:tcPr>
          <w:p w14:paraId="03144318">
            <w:pPr>
              <w:pStyle w:val="12"/>
              <w:spacing w:before="240"/>
              <w:ind w:left="-6" w:leftChars="-15" w:right="158" w:rightChars="72" w:hanging="27" w:hangingChars="15"/>
              <w:jc w:val="center"/>
              <w:rPr>
                <w:rFonts w:asciiTheme="majorEastAsia" w:hAnsiTheme="majorEastAsia" w:eastAsiaTheme="majorEastAsia"/>
                <w:sz w:val="18"/>
                <w:szCs w:val="18"/>
              </w:rPr>
            </w:pPr>
          </w:p>
        </w:tc>
        <w:tc>
          <w:tcPr>
            <w:tcW w:w="533" w:type="pct"/>
            <w:vAlign w:val="center"/>
          </w:tcPr>
          <w:p w14:paraId="4E97CABF">
            <w:pPr>
              <w:pStyle w:val="12"/>
              <w:spacing w:before="240"/>
              <w:ind w:left="-394" w:leftChars="-179" w:firstLine="43" w:firstLineChars="24"/>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设备</w:t>
            </w:r>
          </w:p>
        </w:tc>
        <w:tc>
          <w:tcPr>
            <w:tcW w:w="3197" w:type="pct"/>
            <w:vAlign w:val="center"/>
          </w:tcPr>
          <w:p w14:paraId="52766CCD">
            <w:pPr>
              <w:pStyle w:val="12"/>
              <w:spacing w:before="240"/>
              <w:rPr>
                <w:rFonts w:asciiTheme="majorEastAsia" w:hAnsiTheme="majorEastAsia" w:eastAsiaTheme="majorEastAsia"/>
                <w:sz w:val="18"/>
                <w:szCs w:val="18"/>
              </w:rPr>
            </w:pPr>
            <w:r>
              <w:rPr>
                <w:rFonts w:hint="eastAsia" w:asciiTheme="majorEastAsia" w:hAnsiTheme="majorEastAsia" w:eastAsiaTheme="majorEastAsia"/>
                <w:sz w:val="18"/>
                <w:szCs w:val="18"/>
              </w:rPr>
              <w:t>1.包装作业设备：无设备投入不得分，配备手动/半自动打包机、封箱机、贴标机等基础包装设备，满足基本作业需求，得1-4分；配备自动化包装流水线（如自动翻包、封箱、打带、贴标一体化工作站），评标专家根据自动化程度、工序覆盖范围自主赋分5-10分。</w:t>
            </w:r>
          </w:p>
          <w:p w14:paraId="6A7EA32A">
            <w:pPr>
              <w:pStyle w:val="12"/>
              <w:spacing w:before="240"/>
              <w:rPr>
                <w:rFonts w:asciiTheme="majorEastAsia" w:hAnsiTheme="majorEastAsia" w:eastAsiaTheme="majorEastAsia"/>
                <w:sz w:val="18"/>
                <w:szCs w:val="18"/>
              </w:rPr>
            </w:pPr>
            <w:r>
              <w:rPr>
                <w:rFonts w:hint="eastAsia" w:asciiTheme="majorEastAsia" w:hAnsiTheme="majorEastAsia" w:eastAsiaTheme="majorEastAsia"/>
                <w:sz w:val="18"/>
                <w:szCs w:val="18"/>
              </w:rPr>
              <w:t>2.包装辅助设备：无设备投入不得分，配备发泡机、膨切机、褶皱纸机和热收缩机等设备，满足基本作业要求的得1-3分；将包装辅助设备能合理自动化流水线使用，根据业务提升预期效果，效率提升预期情况赋分4-5分。</w:t>
            </w:r>
          </w:p>
          <w:p w14:paraId="5099798B">
            <w:pPr>
              <w:pStyle w:val="12"/>
              <w:spacing w:before="240"/>
              <w:rPr>
                <w:rFonts w:asciiTheme="majorEastAsia" w:hAnsiTheme="majorEastAsia" w:eastAsiaTheme="majorEastAsia"/>
                <w:sz w:val="18"/>
                <w:szCs w:val="18"/>
              </w:rPr>
            </w:pPr>
            <w:r>
              <w:rPr>
                <w:rFonts w:hint="eastAsia" w:asciiTheme="majorEastAsia" w:hAnsiTheme="majorEastAsia" w:eastAsiaTheme="majorEastAsia"/>
                <w:sz w:val="18"/>
                <w:szCs w:val="18"/>
              </w:rPr>
              <w:t>分拣集货设备：仅采用叉车+人工方式完成集货转运，不得分；配备AGV、滚筒输送线或其他分拣系统，可将包装完成的货箱/托盘配送至对应中心库集货区域，无需叉车逐托盘转运，得1-3分；支持按订单/目的地自动分拣、路径优化、数据可追溯得4-5分。</w:t>
            </w:r>
          </w:p>
        </w:tc>
        <w:tc>
          <w:tcPr>
            <w:tcW w:w="405" w:type="pct"/>
            <w:vAlign w:val="center"/>
          </w:tcPr>
          <w:p w14:paraId="5B161DBA">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20</w:t>
            </w:r>
          </w:p>
        </w:tc>
      </w:tr>
      <w:tr w14:paraId="209A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32" w:type="pct"/>
            <w:vAlign w:val="center"/>
          </w:tcPr>
          <w:p w14:paraId="6534C278">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5</w:t>
            </w:r>
          </w:p>
        </w:tc>
        <w:tc>
          <w:tcPr>
            <w:tcW w:w="533" w:type="pct"/>
            <w:vMerge w:val="continue"/>
            <w:vAlign w:val="center"/>
          </w:tcPr>
          <w:p w14:paraId="1329CE47">
            <w:pPr>
              <w:pStyle w:val="12"/>
              <w:spacing w:before="240"/>
              <w:ind w:left="-6" w:leftChars="-15" w:right="158" w:rightChars="72" w:hanging="27" w:hangingChars="15"/>
              <w:jc w:val="center"/>
              <w:rPr>
                <w:rFonts w:asciiTheme="majorEastAsia" w:hAnsiTheme="majorEastAsia" w:eastAsiaTheme="majorEastAsia"/>
                <w:sz w:val="18"/>
                <w:szCs w:val="18"/>
              </w:rPr>
            </w:pPr>
          </w:p>
        </w:tc>
        <w:tc>
          <w:tcPr>
            <w:tcW w:w="533" w:type="pct"/>
            <w:vAlign w:val="center"/>
          </w:tcPr>
          <w:p w14:paraId="002E5DB3">
            <w:pPr>
              <w:pStyle w:val="12"/>
              <w:spacing w:before="240"/>
              <w:ind w:left="-394" w:leftChars="-179" w:firstLine="43" w:firstLineChars="24"/>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场地</w:t>
            </w:r>
          </w:p>
        </w:tc>
        <w:tc>
          <w:tcPr>
            <w:tcW w:w="3197" w:type="pct"/>
            <w:vAlign w:val="center"/>
          </w:tcPr>
          <w:p w14:paraId="3CB26912">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1、能提供的场地满足招标范围业务需求的得2分；可在中标通知发布之日15天内确定满足条件的场地位置的加3分（需进行技术澄清），仓库位置距离在章丘园区10KM内得5分。</w:t>
            </w:r>
          </w:p>
        </w:tc>
        <w:tc>
          <w:tcPr>
            <w:tcW w:w="405" w:type="pct"/>
            <w:vAlign w:val="center"/>
          </w:tcPr>
          <w:p w14:paraId="14D4A893">
            <w:pPr>
              <w:pStyle w:val="12"/>
              <w:spacing w:before="240"/>
              <w:ind w:left="440"/>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10</w:t>
            </w:r>
          </w:p>
        </w:tc>
      </w:tr>
      <w:tr w14:paraId="4EF9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332" w:type="pct"/>
            <w:vAlign w:val="center"/>
          </w:tcPr>
          <w:p w14:paraId="2E971AB5">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6</w:t>
            </w:r>
          </w:p>
        </w:tc>
        <w:tc>
          <w:tcPr>
            <w:tcW w:w="533" w:type="pct"/>
            <w:vMerge w:val="restart"/>
            <w:vAlign w:val="center"/>
          </w:tcPr>
          <w:p w14:paraId="5A8CCDBC">
            <w:pPr>
              <w:pStyle w:val="12"/>
              <w:spacing w:before="240"/>
              <w:ind w:left="-6" w:leftChars="-15" w:right="158" w:rightChars="72" w:hanging="27" w:hangingChars="15"/>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项目管理（提供证明材料）</w:t>
            </w:r>
          </w:p>
        </w:tc>
        <w:tc>
          <w:tcPr>
            <w:tcW w:w="533" w:type="pct"/>
            <w:vAlign w:val="center"/>
          </w:tcPr>
          <w:p w14:paraId="402FFFDB">
            <w:pPr>
              <w:pStyle w:val="12"/>
              <w:spacing w:before="240"/>
              <w:ind w:left="-394" w:leftChars="-179" w:firstLine="43" w:firstLineChars="24"/>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现场管理</w:t>
            </w:r>
          </w:p>
        </w:tc>
        <w:tc>
          <w:tcPr>
            <w:tcW w:w="3197" w:type="pct"/>
            <w:vAlign w:val="center"/>
          </w:tcPr>
          <w:p w14:paraId="25D6119B">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保证现场按5S管理，有管理流程或文件要求，根据流程或文件覆盖度、详细度、现场目视化定制、区域标识牌完善程度等，自主赋分1-5分。</w:t>
            </w:r>
          </w:p>
        </w:tc>
        <w:tc>
          <w:tcPr>
            <w:tcW w:w="405" w:type="pct"/>
            <w:vAlign w:val="center"/>
          </w:tcPr>
          <w:p w14:paraId="3FE791DD">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5</w:t>
            </w:r>
          </w:p>
        </w:tc>
      </w:tr>
      <w:tr w14:paraId="70ED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332" w:type="pct"/>
            <w:vAlign w:val="center"/>
          </w:tcPr>
          <w:p w14:paraId="3B484EBA">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7</w:t>
            </w:r>
          </w:p>
        </w:tc>
        <w:tc>
          <w:tcPr>
            <w:tcW w:w="533" w:type="pct"/>
            <w:vMerge w:val="continue"/>
            <w:vAlign w:val="center"/>
          </w:tcPr>
          <w:p w14:paraId="3BB21A86">
            <w:pPr>
              <w:pStyle w:val="12"/>
              <w:spacing w:before="240"/>
              <w:ind w:left="-6" w:leftChars="-15" w:right="158" w:rightChars="72" w:hanging="27" w:hangingChars="15"/>
              <w:jc w:val="center"/>
              <w:rPr>
                <w:rFonts w:asciiTheme="majorEastAsia" w:hAnsiTheme="majorEastAsia" w:eastAsiaTheme="majorEastAsia"/>
                <w:sz w:val="18"/>
                <w:szCs w:val="18"/>
              </w:rPr>
            </w:pPr>
          </w:p>
        </w:tc>
        <w:tc>
          <w:tcPr>
            <w:tcW w:w="533" w:type="pct"/>
            <w:vAlign w:val="center"/>
          </w:tcPr>
          <w:p w14:paraId="12032E60">
            <w:pPr>
              <w:pStyle w:val="12"/>
              <w:spacing w:before="240"/>
              <w:ind w:left="-394" w:leftChars="-179" w:firstLine="268" w:firstLineChars="149"/>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作业流程设计</w:t>
            </w:r>
          </w:p>
        </w:tc>
        <w:tc>
          <w:tcPr>
            <w:tcW w:w="3197" w:type="pct"/>
            <w:vAlign w:val="center"/>
          </w:tcPr>
          <w:p w14:paraId="2E20694E">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有运营范围内的作业流程文件、指导书或管理制度，如基本的取货计划、排产计划、仓储流程、配送流程、人员管理流程等得5分，根据流程制度的先进性、完善性、自动化程度等综合评审、排序，自主加分</w:t>
            </w:r>
            <w:r>
              <w:rPr>
                <w:rFonts w:asciiTheme="majorEastAsia" w:hAnsiTheme="majorEastAsia" w:eastAsiaTheme="majorEastAsia"/>
                <w:sz w:val="18"/>
                <w:szCs w:val="18"/>
              </w:rPr>
              <w:t>1</w:t>
            </w:r>
            <w:r>
              <w:rPr>
                <w:rFonts w:hint="eastAsia" w:asciiTheme="majorEastAsia" w:hAnsiTheme="majorEastAsia" w:eastAsiaTheme="majorEastAsia"/>
                <w:sz w:val="18"/>
                <w:szCs w:val="18"/>
              </w:rPr>
              <w:t>-5分。</w:t>
            </w:r>
          </w:p>
        </w:tc>
        <w:tc>
          <w:tcPr>
            <w:tcW w:w="405" w:type="pct"/>
            <w:vAlign w:val="center"/>
          </w:tcPr>
          <w:p w14:paraId="32EC61DA">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10</w:t>
            </w:r>
          </w:p>
        </w:tc>
      </w:tr>
      <w:tr w14:paraId="5D4B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332" w:type="pct"/>
            <w:vAlign w:val="center"/>
          </w:tcPr>
          <w:p w14:paraId="5029EAF3">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8</w:t>
            </w:r>
          </w:p>
        </w:tc>
        <w:tc>
          <w:tcPr>
            <w:tcW w:w="533" w:type="pct"/>
            <w:vMerge w:val="continue"/>
            <w:vAlign w:val="center"/>
          </w:tcPr>
          <w:p w14:paraId="4FE9C476">
            <w:pPr>
              <w:pStyle w:val="12"/>
              <w:spacing w:before="240"/>
              <w:ind w:left="-6" w:leftChars="-15" w:right="158" w:rightChars="72" w:hanging="27" w:hangingChars="15"/>
              <w:jc w:val="center"/>
              <w:rPr>
                <w:rFonts w:asciiTheme="majorEastAsia" w:hAnsiTheme="majorEastAsia" w:eastAsiaTheme="majorEastAsia"/>
                <w:sz w:val="18"/>
                <w:szCs w:val="18"/>
              </w:rPr>
            </w:pPr>
          </w:p>
        </w:tc>
        <w:tc>
          <w:tcPr>
            <w:tcW w:w="533" w:type="pct"/>
            <w:vAlign w:val="center"/>
          </w:tcPr>
          <w:p w14:paraId="31D80F4E">
            <w:pPr>
              <w:pStyle w:val="12"/>
              <w:spacing w:before="240"/>
              <w:ind w:left="-394" w:leftChars="-179" w:firstLine="268" w:firstLineChars="149"/>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包装设计能力</w:t>
            </w:r>
          </w:p>
        </w:tc>
        <w:tc>
          <w:tcPr>
            <w:tcW w:w="3197" w:type="pct"/>
            <w:vAlign w:val="center"/>
          </w:tcPr>
          <w:p w14:paraId="1A592BAD">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有汽车行业包装设计方案及能力的得1-</w:t>
            </w:r>
            <w:r>
              <w:rPr>
                <w:rFonts w:asciiTheme="majorEastAsia" w:hAnsiTheme="majorEastAsia" w:eastAsiaTheme="majorEastAsia"/>
                <w:sz w:val="18"/>
                <w:szCs w:val="18"/>
              </w:rPr>
              <w:t>3</w:t>
            </w:r>
            <w:r>
              <w:rPr>
                <w:rFonts w:hint="eastAsia" w:asciiTheme="majorEastAsia" w:hAnsiTheme="majorEastAsia" w:eastAsiaTheme="majorEastAsia"/>
                <w:sz w:val="18"/>
                <w:szCs w:val="18"/>
              </w:rPr>
              <w:t>分，有商用车行业包装设计方案及能力的得分4-</w:t>
            </w:r>
            <w:r>
              <w:rPr>
                <w:rFonts w:asciiTheme="majorEastAsia" w:hAnsiTheme="majorEastAsia" w:eastAsiaTheme="majorEastAsia"/>
                <w:sz w:val="18"/>
                <w:szCs w:val="18"/>
              </w:rPr>
              <w:t>6</w:t>
            </w:r>
            <w:r>
              <w:rPr>
                <w:rFonts w:hint="eastAsia" w:asciiTheme="majorEastAsia" w:hAnsiTheme="majorEastAsia" w:eastAsiaTheme="majorEastAsia"/>
                <w:sz w:val="18"/>
                <w:szCs w:val="18"/>
              </w:rPr>
              <w:t>，有现有成熟包装设计方案的得</w:t>
            </w:r>
            <w:r>
              <w:rPr>
                <w:rFonts w:asciiTheme="majorEastAsia" w:hAnsiTheme="majorEastAsia" w:eastAsiaTheme="majorEastAsia"/>
                <w:sz w:val="18"/>
                <w:szCs w:val="18"/>
              </w:rPr>
              <w:t>7</w:t>
            </w:r>
            <w:r>
              <w:rPr>
                <w:rFonts w:hint="eastAsia" w:asciiTheme="majorEastAsia" w:hAnsiTheme="majorEastAsia" w:eastAsiaTheme="majorEastAsia"/>
                <w:sz w:val="18"/>
                <w:szCs w:val="18"/>
              </w:rPr>
              <w:t>-</w:t>
            </w:r>
            <w:r>
              <w:rPr>
                <w:rFonts w:asciiTheme="majorEastAsia" w:hAnsiTheme="majorEastAsia" w:eastAsiaTheme="majorEastAsia"/>
                <w:sz w:val="18"/>
                <w:szCs w:val="18"/>
              </w:rPr>
              <w:t>10</w:t>
            </w:r>
            <w:r>
              <w:rPr>
                <w:rFonts w:hint="eastAsia" w:asciiTheme="majorEastAsia" w:hAnsiTheme="majorEastAsia" w:eastAsiaTheme="majorEastAsia"/>
                <w:sz w:val="18"/>
                <w:szCs w:val="18"/>
              </w:rPr>
              <w:t>分。</w:t>
            </w:r>
          </w:p>
        </w:tc>
        <w:tc>
          <w:tcPr>
            <w:tcW w:w="405" w:type="pct"/>
            <w:vAlign w:val="center"/>
          </w:tcPr>
          <w:p w14:paraId="06A61D4A">
            <w:pPr>
              <w:pStyle w:val="12"/>
              <w:spacing w:before="240"/>
              <w:ind w:left="440"/>
              <w:jc w:val="center"/>
              <w:rPr>
                <w:rFonts w:asciiTheme="majorEastAsia" w:hAnsiTheme="majorEastAsia" w:eastAsiaTheme="majorEastAsia"/>
                <w:sz w:val="18"/>
                <w:szCs w:val="18"/>
              </w:rPr>
            </w:pPr>
            <w:r>
              <w:rPr>
                <w:rFonts w:asciiTheme="majorEastAsia" w:hAnsiTheme="majorEastAsia" w:eastAsiaTheme="majorEastAsia"/>
                <w:sz w:val="18"/>
                <w:szCs w:val="18"/>
              </w:rPr>
              <w:t>10</w:t>
            </w:r>
          </w:p>
        </w:tc>
      </w:tr>
      <w:tr w14:paraId="77EC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2" w:type="pct"/>
            <w:vAlign w:val="center"/>
          </w:tcPr>
          <w:p w14:paraId="02C361A4">
            <w:pPr>
              <w:pStyle w:val="12"/>
              <w:spacing w:before="240"/>
              <w:ind w:left="-27" w:leftChars="-125" w:hanging="248" w:hangingChars="138"/>
              <w:jc w:val="center"/>
              <w:rPr>
                <w:rFonts w:asciiTheme="majorEastAsia" w:hAnsiTheme="majorEastAsia" w:eastAsiaTheme="majorEastAsia"/>
                <w:sz w:val="18"/>
                <w:szCs w:val="18"/>
              </w:rPr>
            </w:pPr>
            <w:r>
              <w:rPr>
                <w:rFonts w:asciiTheme="majorEastAsia" w:hAnsiTheme="majorEastAsia" w:eastAsiaTheme="majorEastAsia"/>
                <w:sz w:val="18"/>
                <w:szCs w:val="18"/>
              </w:rPr>
              <w:t>9</w:t>
            </w:r>
          </w:p>
        </w:tc>
        <w:tc>
          <w:tcPr>
            <w:tcW w:w="533" w:type="pct"/>
            <w:vMerge w:val="restart"/>
            <w:vAlign w:val="center"/>
          </w:tcPr>
          <w:p w14:paraId="62552C47">
            <w:pPr>
              <w:pStyle w:val="12"/>
              <w:spacing w:before="240"/>
              <w:ind w:left="-6" w:leftChars="-15" w:right="158" w:rightChars="72" w:hanging="27" w:hangingChars="15"/>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项目方案</w:t>
            </w:r>
          </w:p>
        </w:tc>
        <w:tc>
          <w:tcPr>
            <w:tcW w:w="533" w:type="pct"/>
            <w:vMerge w:val="restart"/>
            <w:vAlign w:val="center"/>
          </w:tcPr>
          <w:p w14:paraId="09F54AC3">
            <w:pPr>
              <w:pStyle w:val="12"/>
              <w:spacing w:before="240"/>
              <w:ind w:left="-394" w:leftChars="-179" w:firstLine="43" w:firstLineChars="24"/>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方案设计</w:t>
            </w:r>
          </w:p>
        </w:tc>
        <w:tc>
          <w:tcPr>
            <w:tcW w:w="3197" w:type="pct"/>
            <w:vAlign w:val="center"/>
          </w:tcPr>
          <w:p w14:paraId="5B6AE3A0">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当前业务调研及业务痛点分析</w:t>
            </w:r>
          </w:p>
        </w:tc>
        <w:tc>
          <w:tcPr>
            <w:tcW w:w="405" w:type="pct"/>
            <w:vAlign w:val="center"/>
          </w:tcPr>
          <w:p w14:paraId="41A9B20B">
            <w:pPr>
              <w:pStyle w:val="12"/>
              <w:spacing w:before="240"/>
              <w:ind w:left="440"/>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10</w:t>
            </w:r>
          </w:p>
        </w:tc>
      </w:tr>
      <w:tr w14:paraId="717C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332" w:type="pct"/>
            <w:vAlign w:val="center"/>
          </w:tcPr>
          <w:p w14:paraId="75D1F97D">
            <w:pPr>
              <w:pStyle w:val="12"/>
              <w:spacing w:before="240"/>
              <w:ind w:left="-27" w:leftChars="-125" w:hanging="248" w:hangingChars="138"/>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1</w:t>
            </w:r>
            <w:r>
              <w:rPr>
                <w:rFonts w:asciiTheme="majorEastAsia" w:hAnsiTheme="majorEastAsia" w:eastAsiaTheme="majorEastAsia"/>
                <w:sz w:val="18"/>
                <w:szCs w:val="18"/>
              </w:rPr>
              <w:t>1</w:t>
            </w:r>
          </w:p>
        </w:tc>
        <w:tc>
          <w:tcPr>
            <w:tcW w:w="533" w:type="pct"/>
            <w:vMerge w:val="continue"/>
            <w:vAlign w:val="center"/>
          </w:tcPr>
          <w:p w14:paraId="5CACE38D">
            <w:pPr>
              <w:pStyle w:val="12"/>
              <w:spacing w:before="240"/>
              <w:ind w:left="440"/>
              <w:jc w:val="center"/>
              <w:rPr>
                <w:rFonts w:asciiTheme="majorEastAsia" w:hAnsiTheme="majorEastAsia" w:eastAsiaTheme="majorEastAsia"/>
                <w:sz w:val="18"/>
                <w:szCs w:val="18"/>
              </w:rPr>
            </w:pPr>
          </w:p>
        </w:tc>
        <w:tc>
          <w:tcPr>
            <w:tcW w:w="533" w:type="pct"/>
            <w:vMerge w:val="continue"/>
            <w:vAlign w:val="center"/>
          </w:tcPr>
          <w:p w14:paraId="27A417EB">
            <w:pPr>
              <w:pStyle w:val="12"/>
              <w:spacing w:before="240"/>
              <w:ind w:left="440"/>
              <w:jc w:val="center"/>
              <w:rPr>
                <w:rFonts w:asciiTheme="majorEastAsia" w:hAnsiTheme="majorEastAsia" w:eastAsiaTheme="majorEastAsia"/>
                <w:sz w:val="18"/>
                <w:szCs w:val="18"/>
              </w:rPr>
            </w:pPr>
          </w:p>
        </w:tc>
        <w:tc>
          <w:tcPr>
            <w:tcW w:w="3197" w:type="pct"/>
            <w:vAlign w:val="center"/>
          </w:tcPr>
          <w:p w14:paraId="3D3C13E3">
            <w:pPr>
              <w:pStyle w:val="12"/>
              <w:spacing w:before="240"/>
              <w:ind w:left="-106" w:leftChars="-48" w:firstLine="25" w:firstLineChars="14"/>
              <w:rPr>
                <w:rFonts w:asciiTheme="majorEastAsia" w:hAnsiTheme="majorEastAsia" w:eastAsiaTheme="majorEastAsia"/>
                <w:sz w:val="18"/>
                <w:szCs w:val="18"/>
              </w:rPr>
            </w:pPr>
            <w:r>
              <w:rPr>
                <w:rFonts w:hint="eastAsia" w:asciiTheme="majorEastAsia" w:hAnsiTheme="majorEastAsia" w:eastAsiaTheme="majorEastAsia"/>
                <w:sz w:val="18"/>
                <w:szCs w:val="18"/>
              </w:rPr>
              <w:t>项目总体规划实施方案：业务改善点分析及提升措施（自动化、信息化、少人化等措施）</w:t>
            </w:r>
          </w:p>
        </w:tc>
        <w:tc>
          <w:tcPr>
            <w:tcW w:w="405" w:type="pct"/>
            <w:vAlign w:val="center"/>
          </w:tcPr>
          <w:p w14:paraId="10A7FF6F">
            <w:pPr>
              <w:pStyle w:val="12"/>
              <w:spacing w:before="240"/>
              <w:ind w:left="440"/>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10</w:t>
            </w:r>
          </w:p>
        </w:tc>
      </w:tr>
    </w:tbl>
    <w:p w14:paraId="3B2EB5D3">
      <w:pPr>
        <w:pStyle w:val="10"/>
        <w:spacing w:before="240"/>
        <w:rPr>
          <w:b/>
          <w:bCs/>
          <w:sz w:val="28"/>
          <w:szCs w:val="28"/>
          <w:lang w:val="en-US"/>
        </w:rPr>
      </w:pPr>
    </w:p>
    <w:p w14:paraId="23F2321B">
      <w:pPr>
        <w:pStyle w:val="18"/>
        <w:spacing w:before="240" w:line="240" w:lineRule="auto"/>
        <w:ind w:left="737"/>
        <w:rPr>
          <w:rFonts w:cs="宋体"/>
          <w:bCs/>
          <w:caps w:val="0"/>
          <w:kern w:val="0"/>
          <w:lang w:bidi="zh-CN"/>
        </w:rPr>
      </w:pPr>
      <w:r>
        <w:rPr>
          <w:rFonts w:hint="eastAsia" w:cs="宋体"/>
          <w:bCs/>
          <w:caps w:val="0"/>
          <w:kern w:val="0"/>
          <w:lang w:bidi="zh-CN"/>
        </w:rPr>
        <w:t>B、商务标（总分100分）</w:t>
      </w:r>
    </w:p>
    <w:tbl>
      <w:tblPr>
        <w:tblStyle w:val="23"/>
        <w:tblW w:w="10378" w:type="dxa"/>
        <w:tblInd w:w="93" w:type="dxa"/>
        <w:tblLayout w:type="autofit"/>
        <w:tblCellMar>
          <w:top w:w="0" w:type="dxa"/>
          <w:left w:w="108" w:type="dxa"/>
          <w:bottom w:w="0" w:type="dxa"/>
          <w:right w:w="108" w:type="dxa"/>
        </w:tblCellMar>
      </w:tblPr>
      <w:tblGrid>
        <w:gridCol w:w="1447"/>
        <w:gridCol w:w="1074"/>
        <w:gridCol w:w="1408"/>
        <w:gridCol w:w="6449"/>
      </w:tblGrid>
      <w:tr w14:paraId="7D64CCC8">
        <w:tblPrEx>
          <w:tblCellMar>
            <w:top w:w="0" w:type="dxa"/>
            <w:left w:w="108" w:type="dxa"/>
            <w:bottom w:w="0" w:type="dxa"/>
            <w:right w:w="108" w:type="dxa"/>
          </w:tblCellMar>
        </w:tblPrEx>
        <w:trPr>
          <w:trHeight w:val="490" w:hRule="atLeast"/>
        </w:trPr>
        <w:tc>
          <w:tcPr>
            <w:tcW w:w="1447" w:type="dxa"/>
            <w:tcBorders>
              <w:top w:val="single" w:color="000000" w:sz="4" w:space="0"/>
              <w:left w:val="single" w:color="000000" w:sz="4" w:space="0"/>
              <w:bottom w:val="single" w:color="000000" w:sz="4" w:space="0"/>
              <w:right w:val="single" w:color="000000" w:sz="4" w:space="0"/>
            </w:tcBorders>
            <w:vAlign w:val="center"/>
          </w:tcPr>
          <w:p w14:paraId="2828FBDB">
            <w:pPr>
              <w:widowControl/>
              <w:spacing w:before="240"/>
              <w:jc w:val="center"/>
              <w:textAlignment w:val="center"/>
            </w:pPr>
            <w:r>
              <w:rPr>
                <w:rFonts w:hint="eastAsia"/>
                <w:lang w:val="en-US" w:bidi="ar"/>
              </w:rPr>
              <w:t>评标因素</w:t>
            </w:r>
          </w:p>
        </w:tc>
        <w:tc>
          <w:tcPr>
            <w:tcW w:w="1074" w:type="dxa"/>
            <w:tcBorders>
              <w:top w:val="single" w:color="000000" w:sz="4" w:space="0"/>
              <w:left w:val="single" w:color="000000" w:sz="4" w:space="0"/>
              <w:bottom w:val="nil"/>
              <w:right w:val="single" w:color="000000" w:sz="4" w:space="0"/>
            </w:tcBorders>
            <w:vAlign w:val="center"/>
          </w:tcPr>
          <w:p w14:paraId="3171D1AC">
            <w:pPr>
              <w:widowControl/>
              <w:spacing w:before="240"/>
              <w:jc w:val="center"/>
              <w:textAlignment w:val="center"/>
            </w:pPr>
            <w:r>
              <w:rPr>
                <w:rFonts w:hint="eastAsia"/>
                <w:lang w:val="en-US" w:bidi="ar"/>
              </w:rPr>
              <w:t>总分</w:t>
            </w:r>
          </w:p>
        </w:tc>
        <w:tc>
          <w:tcPr>
            <w:tcW w:w="1408" w:type="dxa"/>
            <w:tcBorders>
              <w:top w:val="single" w:color="000000" w:sz="4" w:space="0"/>
              <w:left w:val="single" w:color="000000" w:sz="4" w:space="0"/>
              <w:bottom w:val="single" w:color="000000" w:sz="4" w:space="0"/>
              <w:right w:val="single" w:color="000000" w:sz="4" w:space="0"/>
            </w:tcBorders>
            <w:vAlign w:val="center"/>
          </w:tcPr>
          <w:p w14:paraId="6F60562A">
            <w:pPr>
              <w:widowControl/>
              <w:spacing w:before="240"/>
              <w:jc w:val="center"/>
              <w:textAlignment w:val="center"/>
            </w:pPr>
            <w:r>
              <w:rPr>
                <w:rFonts w:hint="eastAsia"/>
                <w:lang w:val="en-US" w:bidi="ar"/>
              </w:rPr>
              <w:t>评审内容</w:t>
            </w:r>
          </w:p>
        </w:tc>
        <w:tc>
          <w:tcPr>
            <w:tcW w:w="6449" w:type="dxa"/>
            <w:tcBorders>
              <w:top w:val="single" w:color="000000" w:sz="4" w:space="0"/>
              <w:left w:val="single" w:color="000000" w:sz="4" w:space="0"/>
              <w:bottom w:val="single" w:color="000000" w:sz="4" w:space="0"/>
              <w:right w:val="single" w:color="000000" w:sz="4" w:space="0"/>
            </w:tcBorders>
            <w:vAlign w:val="center"/>
          </w:tcPr>
          <w:p w14:paraId="2DAA829B">
            <w:pPr>
              <w:widowControl/>
              <w:spacing w:before="240"/>
              <w:jc w:val="center"/>
              <w:textAlignment w:val="center"/>
            </w:pPr>
            <w:r>
              <w:rPr>
                <w:rFonts w:hint="eastAsia"/>
                <w:lang w:val="en-US" w:bidi="ar"/>
              </w:rPr>
              <w:t>评分标准</w:t>
            </w:r>
          </w:p>
        </w:tc>
      </w:tr>
      <w:tr w14:paraId="5C3E33CB">
        <w:tblPrEx>
          <w:tblCellMar>
            <w:top w:w="0" w:type="dxa"/>
            <w:left w:w="108" w:type="dxa"/>
            <w:bottom w:w="0" w:type="dxa"/>
            <w:right w:w="108" w:type="dxa"/>
          </w:tblCellMar>
        </w:tblPrEx>
        <w:trPr>
          <w:trHeight w:val="1348" w:hRule="atLeast"/>
        </w:trPr>
        <w:tc>
          <w:tcPr>
            <w:tcW w:w="1447" w:type="dxa"/>
            <w:vMerge w:val="restart"/>
            <w:tcBorders>
              <w:top w:val="single" w:color="000000" w:sz="4" w:space="0"/>
              <w:left w:val="single" w:color="000000" w:sz="4" w:space="0"/>
              <w:bottom w:val="single" w:color="000000" w:sz="4" w:space="0"/>
              <w:right w:val="single" w:color="000000" w:sz="4" w:space="0"/>
            </w:tcBorders>
            <w:vAlign w:val="center"/>
          </w:tcPr>
          <w:p w14:paraId="5DDE9FA6">
            <w:pPr>
              <w:widowControl/>
              <w:spacing w:before="240"/>
              <w:jc w:val="center"/>
              <w:textAlignment w:val="center"/>
            </w:pPr>
            <w:r>
              <w:rPr>
                <w:rFonts w:hint="eastAsia"/>
                <w:lang w:val="en-US" w:bidi="ar"/>
              </w:rPr>
              <w:t>价格因素</w:t>
            </w:r>
          </w:p>
        </w:tc>
        <w:tc>
          <w:tcPr>
            <w:tcW w:w="1074" w:type="dxa"/>
            <w:vMerge w:val="restart"/>
            <w:tcBorders>
              <w:top w:val="single" w:color="000000" w:sz="4" w:space="0"/>
              <w:left w:val="single" w:color="000000" w:sz="4" w:space="0"/>
              <w:bottom w:val="single" w:color="000000" w:sz="4" w:space="0"/>
              <w:right w:val="single" w:color="000000" w:sz="4" w:space="0"/>
            </w:tcBorders>
            <w:vAlign w:val="center"/>
          </w:tcPr>
          <w:p w14:paraId="308F5E84">
            <w:pPr>
              <w:widowControl/>
              <w:spacing w:before="240"/>
              <w:jc w:val="center"/>
              <w:textAlignment w:val="center"/>
            </w:pPr>
            <w:r>
              <w:rPr>
                <w:rFonts w:hint="eastAsia"/>
                <w:lang w:val="en-US" w:bidi="ar"/>
              </w:rPr>
              <w:t>100</w:t>
            </w:r>
          </w:p>
        </w:tc>
        <w:tc>
          <w:tcPr>
            <w:tcW w:w="1408" w:type="dxa"/>
            <w:vMerge w:val="restart"/>
            <w:tcBorders>
              <w:top w:val="single" w:color="000000" w:sz="4" w:space="0"/>
              <w:left w:val="single" w:color="000000" w:sz="4" w:space="0"/>
              <w:bottom w:val="single" w:color="000000" w:sz="4" w:space="0"/>
              <w:right w:val="single" w:color="000000" w:sz="4" w:space="0"/>
            </w:tcBorders>
            <w:vAlign w:val="center"/>
          </w:tcPr>
          <w:p w14:paraId="155E01B4">
            <w:pPr>
              <w:widowControl/>
              <w:spacing w:before="240"/>
              <w:jc w:val="center"/>
              <w:textAlignment w:val="center"/>
            </w:pPr>
            <w:r>
              <w:rPr>
                <w:rFonts w:hint="eastAsia"/>
                <w:lang w:val="en-US" w:bidi="ar"/>
              </w:rPr>
              <w:t>投标报价</w:t>
            </w:r>
          </w:p>
        </w:tc>
        <w:tc>
          <w:tcPr>
            <w:tcW w:w="6449" w:type="dxa"/>
            <w:tcBorders>
              <w:top w:val="single" w:color="000000" w:sz="4" w:space="0"/>
              <w:left w:val="single" w:color="000000" w:sz="4" w:space="0"/>
              <w:bottom w:val="single" w:color="000000" w:sz="4" w:space="0"/>
              <w:right w:val="single" w:color="000000" w:sz="4" w:space="0"/>
            </w:tcBorders>
            <w:vAlign w:val="center"/>
          </w:tcPr>
          <w:p w14:paraId="1B998375">
            <w:pPr>
              <w:widowControl/>
              <w:spacing w:before="240"/>
              <w:textAlignment w:val="center"/>
              <w:rPr>
                <w:lang w:bidi="ar"/>
              </w:rPr>
            </w:pPr>
            <w:r>
              <w:rPr>
                <w:rFonts w:hint="eastAsia"/>
                <w:lang w:val="en-US" w:bidi="ar"/>
              </w:rPr>
              <w:t>1、</w:t>
            </w:r>
            <w:r>
              <w:rPr>
                <w:rFonts w:hint="eastAsia"/>
                <w:b/>
                <w:bCs/>
                <w:lang w:val="en-US"/>
              </w:rPr>
              <w:t>商务标得分=当前轮次最低价/供方报价*商务标总分。</w:t>
            </w:r>
          </w:p>
        </w:tc>
      </w:tr>
      <w:tr w14:paraId="5434766D">
        <w:tblPrEx>
          <w:tblCellMar>
            <w:top w:w="0" w:type="dxa"/>
            <w:left w:w="108" w:type="dxa"/>
            <w:bottom w:w="0" w:type="dxa"/>
            <w:right w:w="108" w:type="dxa"/>
          </w:tblCellMar>
        </w:tblPrEx>
        <w:trPr>
          <w:trHeight w:val="920" w:hRule="atLeast"/>
        </w:trPr>
        <w:tc>
          <w:tcPr>
            <w:tcW w:w="1447" w:type="dxa"/>
            <w:vMerge w:val="continue"/>
            <w:tcBorders>
              <w:top w:val="single" w:color="000000" w:sz="4" w:space="0"/>
              <w:left w:val="single" w:color="000000" w:sz="4" w:space="0"/>
              <w:bottom w:val="single" w:color="000000" w:sz="4" w:space="0"/>
              <w:right w:val="single" w:color="000000" w:sz="4" w:space="0"/>
            </w:tcBorders>
            <w:vAlign w:val="center"/>
          </w:tcPr>
          <w:p w14:paraId="48B9603F">
            <w:pPr>
              <w:spacing w:before="240"/>
              <w:jc w:val="center"/>
            </w:pPr>
          </w:p>
        </w:tc>
        <w:tc>
          <w:tcPr>
            <w:tcW w:w="1074" w:type="dxa"/>
            <w:vMerge w:val="continue"/>
            <w:tcBorders>
              <w:top w:val="single" w:color="000000" w:sz="4" w:space="0"/>
              <w:left w:val="single" w:color="000000" w:sz="4" w:space="0"/>
              <w:bottom w:val="single" w:color="000000" w:sz="4" w:space="0"/>
              <w:right w:val="single" w:color="000000" w:sz="4" w:space="0"/>
            </w:tcBorders>
            <w:vAlign w:val="center"/>
          </w:tcPr>
          <w:p w14:paraId="479F3B61">
            <w:pPr>
              <w:spacing w:before="240"/>
              <w:jc w:val="center"/>
            </w:pPr>
          </w:p>
        </w:tc>
        <w:tc>
          <w:tcPr>
            <w:tcW w:w="1408" w:type="dxa"/>
            <w:vMerge w:val="continue"/>
            <w:tcBorders>
              <w:top w:val="single" w:color="000000" w:sz="4" w:space="0"/>
              <w:left w:val="single" w:color="000000" w:sz="4" w:space="0"/>
              <w:bottom w:val="single" w:color="000000" w:sz="4" w:space="0"/>
              <w:right w:val="single" w:color="000000" w:sz="4" w:space="0"/>
            </w:tcBorders>
            <w:vAlign w:val="center"/>
          </w:tcPr>
          <w:p w14:paraId="6E929314">
            <w:pPr>
              <w:spacing w:before="240"/>
              <w:jc w:val="center"/>
            </w:pPr>
          </w:p>
        </w:tc>
        <w:tc>
          <w:tcPr>
            <w:tcW w:w="6449" w:type="dxa"/>
            <w:tcBorders>
              <w:top w:val="single" w:color="000000" w:sz="4" w:space="0"/>
              <w:left w:val="single" w:color="000000" w:sz="4" w:space="0"/>
              <w:bottom w:val="single" w:color="000000" w:sz="4" w:space="0"/>
              <w:right w:val="single" w:color="000000" w:sz="4" w:space="0"/>
            </w:tcBorders>
            <w:vAlign w:val="center"/>
          </w:tcPr>
          <w:p w14:paraId="348A6307">
            <w:pPr>
              <w:widowControl/>
              <w:spacing w:before="240"/>
              <w:textAlignment w:val="center"/>
              <w:rPr>
                <w:lang w:bidi="ar"/>
              </w:rPr>
            </w:pPr>
            <w:r>
              <w:rPr>
                <w:lang w:val="en-US" w:bidi="ar"/>
              </w:rPr>
              <w:t>2.</w:t>
            </w:r>
            <w:r>
              <w:rPr>
                <w:rFonts w:hint="eastAsia"/>
                <w:lang w:val="en-US" w:bidi="ar"/>
              </w:rPr>
              <w:t>得分值小数点后保留二位，四舍五入。</w:t>
            </w:r>
          </w:p>
        </w:tc>
      </w:tr>
    </w:tbl>
    <w:p w14:paraId="28EBDFD1">
      <w:pPr>
        <w:spacing w:before="240"/>
        <w:ind w:firstLine="1054" w:firstLineChars="500"/>
        <w:rPr>
          <w:b/>
          <w:sz w:val="21"/>
          <w:lang w:val="en-US"/>
        </w:rPr>
      </w:pPr>
    </w:p>
    <w:p w14:paraId="7EED4BB0">
      <w:pPr>
        <w:pStyle w:val="3"/>
        <w:spacing w:before="240"/>
        <w:ind w:firstLine="482" w:firstLineChars="200"/>
        <w:rPr>
          <w:rFonts w:ascii="宋体" w:hAnsi="宋体" w:eastAsia="宋体" w:cs="宋体"/>
          <w:bCs w:val="0"/>
          <w:sz w:val="24"/>
          <w:szCs w:val="24"/>
        </w:rPr>
      </w:pPr>
      <w:r>
        <w:rPr>
          <w:rFonts w:ascii="宋体" w:hAnsi="宋体" w:eastAsia="宋体" w:cs="宋体"/>
          <w:bCs w:val="0"/>
          <w:sz w:val="24"/>
          <w:szCs w:val="24"/>
        </w:rPr>
        <w:t>5</w:t>
      </w:r>
      <w:r>
        <w:rPr>
          <w:rFonts w:hint="eastAsia" w:ascii="宋体" w:hAnsi="宋体" w:eastAsia="宋体" w:cs="宋体"/>
          <w:bCs w:val="0"/>
          <w:sz w:val="24"/>
          <w:szCs w:val="24"/>
        </w:rPr>
        <w:t>.最终得分=技术标得分*</w:t>
      </w:r>
      <w:r>
        <w:rPr>
          <w:rFonts w:ascii="宋体" w:hAnsi="宋体" w:eastAsia="宋体" w:cs="宋体"/>
          <w:bCs w:val="0"/>
          <w:sz w:val="24"/>
          <w:szCs w:val="24"/>
        </w:rPr>
        <w:t>4</w:t>
      </w:r>
      <w:r>
        <w:rPr>
          <w:rFonts w:hint="eastAsia" w:ascii="宋体" w:hAnsi="宋体" w:eastAsia="宋体" w:cs="宋体"/>
          <w:bCs w:val="0"/>
          <w:sz w:val="24"/>
          <w:szCs w:val="24"/>
        </w:rPr>
        <w:t>0%+商务标得分*</w:t>
      </w:r>
      <w:r>
        <w:rPr>
          <w:rFonts w:ascii="宋体" w:hAnsi="宋体" w:eastAsia="宋体" w:cs="宋体"/>
          <w:bCs w:val="0"/>
          <w:sz w:val="24"/>
          <w:szCs w:val="24"/>
        </w:rPr>
        <w:t>6</w:t>
      </w:r>
      <w:r>
        <w:rPr>
          <w:rFonts w:hint="eastAsia" w:ascii="宋体" w:hAnsi="宋体" w:eastAsia="宋体" w:cs="宋体"/>
          <w:bCs w:val="0"/>
          <w:sz w:val="24"/>
          <w:szCs w:val="24"/>
        </w:rPr>
        <w:t>0%</w:t>
      </w:r>
    </w:p>
    <w:p w14:paraId="2E5C79FC">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（1）若总得分出现并列时，优先选择商务标得分高的中标；</w:t>
      </w:r>
    </w:p>
    <w:p w14:paraId="39A44521">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（2）若总得分出现并列且商务标得分并列时，优先选择技术标得分高的中标；</w:t>
      </w:r>
    </w:p>
    <w:p w14:paraId="44223E71">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（3）若总得分并列且技术标、商务标得分并列时，则由全体评委成员无记名投票，得票高者中标。</w:t>
      </w:r>
    </w:p>
    <w:p w14:paraId="74B419C4">
      <w:pPr>
        <w:ind w:left="708" w:leftChars="322" w:firstLine="440" w:firstLineChars="200"/>
        <w:rPr>
          <w:sz w:val="24"/>
          <w:szCs w:val="24"/>
        </w:rPr>
      </w:pPr>
      <w:r>
        <w:rPr>
          <w:rFonts w:hint="eastAsia"/>
        </w:rPr>
        <w:t>（4）</w:t>
      </w:r>
      <w:r>
        <w:rPr>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写在综合得分后就行</w:t>
      </w:r>
    </w:p>
    <w:p w14:paraId="3215EFBF">
      <w:r>
        <w:rPr>
          <w:rFonts w:hint="eastAsia"/>
        </w:rPr>
        <w:t xml:space="preserve"> </w:t>
      </w:r>
      <w:r>
        <w:t xml:space="preserve">          </w:t>
      </w:r>
    </w:p>
    <w:p w14:paraId="79F035AB">
      <w:pPr>
        <w:spacing w:before="240"/>
        <w:ind w:firstLine="643" w:firstLineChars="200"/>
        <w:rPr>
          <w:rFonts w:ascii="黑体" w:eastAsia="黑体"/>
          <w:b/>
          <w:sz w:val="32"/>
        </w:rPr>
      </w:pPr>
      <w:r>
        <w:rPr>
          <w:rFonts w:hint="eastAsia" w:ascii="黑体" w:eastAsia="黑体"/>
          <w:b/>
          <w:sz w:val="32"/>
          <w:lang w:val="en-US"/>
        </w:rPr>
        <w:t>八</w:t>
      </w:r>
      <w:r>
        <w:rPr>
          <w:rFonts w:hint="eastAsia" w:ascii="黑体" w:eastAsia="黑体"/>
          <w:b/>
          <w:sz w:val="32"/>
        </w:rPr>
        <w:t>、合同签订</w:t>
      </w:r>
    </w:p>
    <w:p w14:paraId="68C6604C">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7CBB7919">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2</w:t>
      </w:r>
      <w:r>
        <w:rPr>
          <w:rFonts w:ascii="宋体" w:hAnsi="宋体" w:eastAsia="宋体" w:cs="宋体"/>
          <w:b w:val="0"/>
          <w:bCs w:val="0"/>
          <w:sz w:val="24"/>
          <w:szCs w:val="24"/>
        </w:rP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w:t>
      </w:r>
      <w:r>
        <w:rPr>
          <w:rFonts w:hint="eastAsia" w:ascii="宋体" w:hAnsi="宋体" w:eastAsia="宋体" w:cs="宋体"/>
          <w:b w:val="0"/>
          <w:bCs w:val="0"/>
          <w:sz w:val="24"/>
          <w:szCs w:val="24"/>
        </w:rPr>
        <w:t>，</w:t>
      </w:r>
      <w:r>
        <w:rPr>
          <w:rFonts w:ascii="宋体" w:hAnsi="宋体" w:eastAsia="宋体" w:cs="宋体"/>
          <w:b w:val="0"/>
          <w:bCs w:val="0"/>
          <w:sz w:val="24"/>
          <w:szCs w:val="24"/>
        </w:rPr>
        <w:t>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D6199C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3</w:t>
      </w:r>
      <w:r>
        <w:rPr>
          <w:rFonts w:ascii="宋体" w:hAnsi="宋体" w:eastAsia="宋体" w:cs="宋体"/>
          <w:b w:val="0"/>
          <w:bCs w:val="0"/>
          <w:sz w:val="24"/>
          <w:szCs w:val="24"/>
        </w:rPr>
        <w:t>.中标人应当按照合同约定的履约责任，</w:t>
      </w:r>
      <w:r>
        <w:rPr>
          <w:rFonts w:hint="eastAsia" w:ascii="宋体" w:hAnsi="宋体" w:eastAsia="宋体" w:cs="宋体"/>
          <w:b w:val="0"/>
          <w:bCs w:val="0"/>
          <w:sz w:val="24"/>
          <w:szCs w:val="24"/>
        </w:rPr>
        <w:t>向招标人缴纳履约保证金100万元</w:t>
      </w:r>
      <w:r>
        <w:rPr>
          <w:rFonts w:ascii="宋体" w:hAnsi="宋体" w:eastAsia="宋体" w:cs="宋体"/>
          <w:b w:val="0"/>
          <w:bCs w:val="0"/>
          <w:sz w:val="24"/>
          <w:szCs w:val="24"/>
        </w:rPr>
        <w:t>（人民币），如中标人未按合同及其附件约定履行应承担的责任，招标人有权单方直接扣除其履约保证金。</w:t>
      </w:r>
    </w:p>
    <w:p w14:paraId="4E38970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4</w:t>
      </w:r>
      <w:r>
        <w:rPr>
          <w:rFonts w:ascii="宋体" w:hAnsi="宋体" w:eastAsia="宋体" w:cs="宋体"/>
          <w:b w:val="0"/>
          <w:bCs w:val="0"/>
          <w:sz w:val="24"/>
          <w:szCs w:val="24"/>
        </w:rPr>
        <w:t>.中标人应在保证质量的前提下完成中标项目，不得将中标项目转包或分包给他人，否则视为违约，招标人或相关单位有权解除合同。</w:t>
      </w:r>
    </w:p>
    <w:p w14:paraId="2A9F2CFB">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5</w:t>
      </w:r>
      <w:r>
        <w:rPr>
          <w:rFonts w:ascii="宋体" w:hAnsi="宋体" w:eastAsia="宋体" w:cs="宋体"/>
          <w:b w:val="0"/>
          <w:bCs w:val="0"/>
          <w:sz w:val="24"/>
          <w:szCs w:val="24"/>
        </w:rP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3CCDB79C">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6</w:t>
      </w:r>
      <w:r>
        <w:rPr>
          <w:rFonts w:ascii="宋体" w:hAnsi="宋体" w:eastAsia="宋体" w:cs="宋体"/>
          <w:b w:val="0"/>
          <w:bCs w:val="0"/>
          <w:sz w:val="24"/>
          <w:szCs w:val="24"/>
        </w:rPr>
        <w:t>.招标人有权指定招标人的关联单位作为合同签订人，与中标人签署相关合同，且具体权利义务以双方最终签署的合同为准。</w:t>
      </w:r>
    </w:p>
    <w:p w14:paraId="003D994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7</w:t>
      </w:r>
      <w:r>
        <w:rPr>
          <w:rFonts w:ascii="宋体" w:hAnsi="宋体" w:eastAsia="宋体" w:cs="宋体"/>
          <w:b w:val="0"/>
          <w:bCs w:val="0"/>
          <w:sz w:val="24"/>
          <w:szCs w:val="24"/>
        </w:rPr>
        <w:t>.中标人须认可招标人由于招标人上级集团公司政策变化引起的随时终止合同的要求。</w:t>
      </w:r>
    </w:p>
    <w:p w14:paraId="74BAD71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8</w:t>
      </w:r>
      <w:r>
        <w:rPr>
          <w:rFonts w:ascii="宋体" w:hAnsi="宋体" w:eastAsia="宋体" w:cs="宋体"/>
          <w:b w:val="0"/>
          <w:bCs w:val="0"/>
          <w:sz w:val="24"/>
          <w:szCs w:val="24"/>
        </w:rPr>
        <w:t>.</w:t>
      </w:r>
      <w:r>
        <w:rPr>
          <w:rFonts w:hint="eastAsia" w:ascii="宋体" w:hAnsi="宋体" w:eastAsia="宋体" w:cs="宋体"/>
          <w:b w:val="0"/>
          <w:bCs w:val="0"/>
          <w:sz w:val="24"/>
          <w:szCs w:val="24"/>
        </w:rPr>
        <w:t>中标人为委托业务购置财产保全保险，保费由中标人承担，指定招标人授权的合同签署单位为唯一受益人，并在合同中约定。</w:t>
      </w:r>
    </w:p>
    <w:p w14:paraId="49F6522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9</w:t>
      </w:r>
      <w:r>
        <w:rPr>
          <w:rFonts w:ascii="宋体" w:hAnsi="宋体" w:eastAsia="宋体" w:cs="宋体"/>
          <w:b w:val="0"/>
          <w:bCs w:val="0"/>
          <w:sz w:val="24"/>
          <w:szCs w:val="24"/>
        </w:rPr>
        <w:t>.</w:t>
      </w:r>
      <w:r>
        <w:rPr>
          <w:rFonts w:hint="eastAsia" w:ascii="宋体" w:hAnsi="宋体" w:eastAsia="宋体" w:cs="宋体"/>
          <w:b w:val="0"/>
          <w:bCs w:val="0"/>
          <w:sz w:val="24"/>
          <w:szCs w:val="24"/>
        </w:rPr>
        <w:t>合同期限为三年</w:t>
      </w:r>
      <w:r>
        <w:rPr>
          <w:rFonts w:hint="eastAsia" w:ascii="宋体" w:hAnsi="宋体" w:eastAsia="宋体" w:cs="宋体"/>
          <w:b w:val="0"/>
          <w:bCs w:val="0"/>
          <w:color w:val="FF0000"/>
          <w:sz w:val="24"/>
          <w:szCs w:val="24"/>
        </w:rPr>
        <w:t>（</w:t>
      </w:r>
      <w:r>
        <w:rPr>
          <w:rFonts w:hint="eastAsia" w:ascii="宋体" w:hAnsi="宋体" w:eastAsia="宋体" w:cs="宋体"/>
          <w:b w:val="0"/>
          <w:bCs w:val="0"/>
          <w:color w:val="FF0000"/>
          <w:sz w:val="24"/>
          <w:szCs w:val="24"/>
          <w:lang w:val="en-US"/>
        </w:rPr>
        <w:t>2027年1月1日-2029年12月31日</w:t>
      </w:r>
      <w:r>
        <w:rPr>
          <w:rFonts w:hint="eastAsia" w:ascii="宋体" w:hAnsi="宋体" w:eastAsia="宋体" w:cs="宋体"/>
          <w:b w:val="0"/>
          <w:bCs w:val="0"/>
          <w:color w:val="FF0000"/>
          <w:sz w:val="24"/>
          <w:szCs w:val="24"/>
        </w:rPr>
        <w:t>）</w:t>
      </w:r>
      <w:r>
        <w:rPr>
          <w:rFonts w:hint="eastAsia" w:ascii="宋体" w:hAnsi="宋体" w:eastAsia="宋体" w:cs="宋体"/>
          <w:b w:val="0"/>
          <w:bCs w:val="0"/>
          <w:sz w:val="24"/>
          <w:szCs w:val="24"/>
        </w:rPr>
        <w:t>，自合同签订之日起执行。</w:t>
      </w:r>
    </w:p>
    <w:p w14:paraId="1AE42872">
      <w:pPr>
        <w:pStyle w:val="3"/>
        <w:spacing w:before="240"/>
      </w:pPr>
      <w:bookmarkStart w:id="15" w:name="九、废标及终止招标"/>
      <w:bookmarkEnd w:id="15"/>
      <w:r>
        <w:rPr>
          <w:rFonts w:hint="eastAsia"/>
          <w:lang w:val="en-US"/>
        </w:rPr>
        <w:t>九</w:t>
      </w:r>
      <w:r>
        <w:t>、废标及终止招标</w:t>
      </w:r>
    </w:p>
    <w:p w14:paraId="1DE84F19">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投标人有下列情形之一，其投标将被视为废标，招标人将严格按照《中华人民共和国招标投标法》及相关法律、法规及规章制度的规定行使权利。投标人给招标人造成损失的，包括但不限于因违约造成的直接经济损失、可得利益损失、诉讼费、律师费等实现债权的费用，招标人有索赔的权利，投标人应予以赔偿。</w:t>
      </w:r>
    </w:p>
    <w:p w14:paraId="390EE356">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投标人提供的有关资格、资质证明文件不合格、不真实或提供虚假投标材料；</w:t>
      </w:r>
    </w:p>
    <w:p w14:paraId="3CB3A944">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投标人在报价有效期内撤回投标；</w:t>
      </w:r>
    </w:p>
    <w:p w14:paraId="644D07D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w:t>
      </w:r>
      <w:r>
        <w:rPr>
          <w:rFonts w:ascii="宋体" w:hAnsi="宋体" w:eastAsia="宋体" w:cs="宋体"/>
          <w:b w:val="0"/>
          <w:bCs w:val="0"/>
          <w:sz w:val="24"/>
          <w:szCs w:val="24"/>
        </w:rPr>
        <w:t>在整个评标过程中，投标人有企图影响评标结果公正性的任何活动；</w:t>
      </w:r>
    </w:p>
    <w:p w14:paraId="7A781A23">
      <w:pPr>
        <w:pStyle w:val="3"/>
        <w:spacing w:before="240"/>
        <w:ind w:firstLine="480" w:firstLineChars="200"/>
        <w:rPr>
          <w:rFonts w:ascii="宋体" w:hAnsi="宋体" w:eastAsia="宋体" w:cs="宋体"/>
          <w:b w:val="0"/>
          <w:bCs w:val="0"/>
          <w:sz w:val="24"/>
          <w:szCs w:val="24"/>
        </w:rPr>
      </w:pPr>
      <w:bookmarkStart w:id="16" w:name="_bookmark1"/>
      <w:bookmarkEnd w:id="16"/>
      <w:r>
        <w:rPr>
          <w:rFonts w:hint="eastAsia" w:ascii="宋体" w:hAnsi="宋体" w:eastAsia="宋体" w:cs="宋体"/>
          <w:b w:val="0"/>
          <w:bCs w:val="0"/>
          <w:sz w:val="24"/>
          <w:szCs w:val="24"/>
        </w:rPr>
        <w:t>⑷</w:t>
      </w:r>
      <w:r>
        <w:rPr>
          <w:rFonts w:ascii="宋体" w:hAnsi="宋体" w:eastAsia="宋体" w:cs="宋体"/>
          <w:b w:val="0"/>
          <w:bCs w:val="0"/>
          <w:sz w:val="24"/>
          <w:szCs w:val="24"/>
        </w:rPr>
        <w:t>投标人以任何方式诋毁其他投标人；</w:t>
      </w:r>
    </w:p>
    <w:p w14:paraId="653028D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⑸</w:t>
      </w:r>
      <w:r>
        <w:rPr>
          <w:rFonts w:ascii="宋体" w:hAnsi="宋体" w:eastAsia="宋体" w:cs="宋体"/>
          <w:b w:val="0"/>
          <w:bCs w:val="0"/>
          <w:sz w:val="24"/>
          <w:szCs w:val="24"/>
        </w:rPr>
        <w:t>投标人串通投标；</w:t>
      </w:r>
    </w:p>
    <w:p w14:paraId="5B04C407">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⑹</w:t>
      </w:r>
      <w:r>
        <w:rPr>
          <w:rFonts w:ascii="宋体" w:hAnsi="宋体" w:eastAsia="宋体" w:cs="宋体"/>
          <w:b w:val="0"/>
          <w:bCs w:val="0"/>
          <w:sz w:val="24"/>
          <w:szCs w:val="24"/>
        </w:rPr>
        <w:t>以他人名义投标或者以其他方式弄虚作假，骗取中标的；</w:t>
      </w:r>
    </w:p>
    <w:p w14:paraId="1BA06E8B">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⑺投标单位负责人为同一人或存在管理关系的；</w:t>
      </w:r>
    </w:p>
    <w:p w14:paraId="325C199E">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⑻投标人被举报、检举，并经招标人查实无误的；</w:t>
      </w:r>
    </w:p>
    <w:p w14:paraId="73A27C0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⑼</w:t>
      </w:r>
      <w:r>
        <w:rPr>
          <w:rFonts w:ascii="宋体" w:hAnsi="宋体" w:eastAsia="宋体" w:cs="宋体"/>
          <w:b w:val="0"/>
          <w:bCs w:val="0"/>
          <w:sz w:val="24"/>
          <w:szCs w:val="24"/>
        </w:rPr>
        <w:t>中标人不按规定签订合同；</w:t>
      </w:r>
    </w:p>
    <w:p w14:paraId="13B77290">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⑽</w:t>
      </w:r>
      <w:r>
        <w:rPr>
          <w:rFonts w:ascii="宋体" w:hAnsi="宋体" w:eastAsia="宋体" w:cs="宋体"/>
          <w:b w:val="0"/>
          <w:bCs w:val="0"/>
          <w:sz w:val="24"/>
          <w:szCs w:val="24"/>
        </w:rPr>
        <w:t>法律、法规规定的其他情况。</w:t>
      </w:r>
    </w:p>
    <w:p w14:paraId="44940E32">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2</w:t>
      </w:r>
      <w:r>
        <w:rPr>
          <w:rFonts w:ascii="宋体" w:hAnsi="宋体" w:eastAsia="宋体" w:cs="宋体"/>
          <w:b w:val="0"/>
          <w:bCs w:val="0"/>
          <w:sz w:val="24"/>
          <w:szCs w:val="24"/>
        </w:rPr>
        <w:t>.出现下列情形之一，招标人有权否决所有投标人的投标，并终止招标。</w:t>
      </w:r>
    </w:p>
    <w:p w14:paraId="07212EE3">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⑴</w:t>
      </w:r>
      <w:r>
        <w:rPr>
          <w:rFonts w:ascii="宋体" w:hAnsi="宋体" w:eastAsia="宋体" w:cs="宋体"/>
          <w:b w:val="0"/>
          <w:bCs w:val="0"/>
          <w:sz w:val="24"/>
          <w:szCs w:val="24"/>
        </w:rPr>
        <w:t>出现影响采购公正的违法、违规行为的；</w:t>
      </w:r>
    </w:p>
    <w:p w14:paraId="47947EA5">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⑵</w:t>
      </w:r>
      <w:r>
        <w:rPr>
          <w:rFonts w:ascii="宋体" w:hAnsi="宋体" w:eastAsia="宋体" w:cs="宋体"/>
          <w:b w:val="0"/>
          <w:bCs w:val="0"/>
          <w:sz w:val="24"/>
          <w:szCs w:val="24"/>
        </w:rPr>
        <w:t>因重大变故，采购任务取消的；</w:t>
      </w:r>
    </w:p>
    <w:p w14:paraId="1CC21C4F">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⑶</w:t>
      </w:r>
      <w:r>
        <w:rPr>
          <w:rFonts w:ascii="宋体" w:hAnsi="宋体" w:eastAsia="宋体" w:cs="宋体"/>
          <w:b w:val="0"/>
          <w:bCs w:val="0"/>
          <w:sz w:val="24"/>
          <w:szCs w:val="24"/>
        </w:rPr>
        <w:t>招标人认为其他应终止招标的情形</w:t>
      </w:r>
      <w:r>
        <w:rPr>
          <w:rFonts w:hint="eastAsia" w:ascii="宋体" w:hAnsi="宋体" w:eastAsia="宋体" w:cs="宋体"/>
          <w:b w:val="0"/>
          <w:bCs w:val="0"/>
          <w:sz w:val="24"/>
          <w:szCs w:val="24"/>
        </w:rPr>
        <w:t>；</w:t>
      </w:r>
    </w:p>
    <w:p w14:paraId="7994975F">
      <w:pPr>
        <w:pStyle w:val="3"/>
        <w:spacing w:before="240"/>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ascii="宋体" w:hAnsi="宋体" w:eastAsia="宋体" w:cs="宋体"/>
          <w:b w:val="0"/>
          <w:bCs w:val="0"/>
          <w:sz w:val="24"/>
          <w:szCs w:val="24"/>
        </w:rPr>
        <w:t>4)符合条件的投标人或者对招标文件做实质响应的投标人不足三家的</w:t>
      </w:r>
      <w:r>
        <w:rPr>
          <w:rFonts w:hint="eastAsia" w:ascii="宋体" w:hAnsi="宋体" w:eastAsia="宋体" w:cs="宋体"/>
          <w:b w:val="0"/>
          <w:bCs w:val="0"/>
          <w:sz w:val="24"/>
          <w:szCs w:val="24"/>
        </w:rPr>
        <w:t>。</w:t>
      </w:r>
    </w:p>
    <w:p w14:paraId="55310568">
      <w:pPr>
        <w:pStyle w:val="3"/>
        <w:spacing w:before="240"/>
      </w:pPr>
      <w:bookmarkStart w:id="17" w:name="十、中标人瑕疵滞后发现的处理原则"/>
      <w:bookmarkEnd w:id="17"/>
      <w:r>
        <w:t>十、中标人瑕疵滞后发现的处理原则</w:t>
      </w:r>
    </w:p>
    <w:p w14:paraId="003FA3B9">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无论基于何种原因，各项本应作为拒绝处理的情形即便未被及时发现而使该中标人通过了资格审核、初评、现场复审、终评或其他所有相关程序，包括已签订合同的情形，</w:t>
      </w:r>
      <w:r>
        <w:rPr>
          <w:rFonts w:hint="eastAsia" w:ascii="宋体" w:hAnsi="宋体" w:eastAsia="宋体" w:cs="宋体"/>
          <w:b w:val="0"/>
          <w:bCs w:val="0"/>
          <w:sz w:val="24"/>
          <w:szCs w:val="24"/>
        </w:rPr>
        <w:t>招标人均有权拒绝或取消中标人资格，</w:t>
      </w:r>
      <w:r>
        <w:rPr>
          <w:rFonts w:ascii="宋体" w:hAnsi="宋体" w:eastAsia="宋体" w:cs="宋体"/>
          <w:b w:val="0"/>
          <w:bCs w:val="0"/>
          <w:sz w:val="24"/>
          <w:szCs w:val="24"/>
        </w:rPr>
        <w:t>一旦中标人被拒绝或该中标人此前的评议结果被取消，因招标产生的相关的费用以及一切损失均由中标人承担。</w:t>
      </w:r>
    </w:p>
    <w:p w14:paraId="02DFAF90">
      <w:pPr>
        <w:pStyle w:val="3"/>
        <w:spacing w:before="240"/>
      </w:pPr>
      <w:bookmarkStart w:id="18" w:name="十一、技术要求"/>
      <w:bookmarkEnd w:id="18"/>
      <w:r>
        <w:t>十</w:t>
      </w:r>
      <w:r>
        <w:rPr>
          <w:rFonts w:hint="eastAsia"/>
          <w:lang w:val="en-US"/>
        </w:rPr>
        <w:t>一</w:t>
      </w:r>
      <w:r>
        <w:t>、</w:t>
      </w:r>
      <w:r>
        <w:rPr>
          <w:rFonts w:hint="eastAsia"/>
        </w:rPr>
        <w:t>招标内容和要求</w:t>
      </w:r>
    </w:p>
    <w:p w14:paraId="21245CE1">
      <w:pPr>
        <w:pStyle w:val="3"/>
        <w:spacing w:before="240"/>
        <w:ind w:firstLine="480" w:firstLineChars="200"/>
        <w:rPr>
          <w:rFonts w:ascii="宋体" w:hAnsi="宋体" w:eastAsia="宋体" w:cs="宋体"/>
          <w:b w:val="0"/>
          <w:bCs w:val="0"/>
          <w:sz w:val="24"/>
          <w:szCs w:val="24"/>
        </w:rPr>
      </w:pPr>
      <w:r>
        <w:rPr>
          <w:rFonts w:ascii="宋体" w:hAnsi="宋体" w:eastAsia="宋体" w:cs="宋体"/>
          <w:b w:val="0"/>
          <w:bCs w:val="0"/>
          <w:sz w:val="24"/>
          <w:szCs w:val="24"/>
        </w:rPr>
        <w:t>见本招标文件“第三章</w:t>
      </w:r>
      <w:r>
        <w:rPr>
          <w:rFonts w:hint="eastAsia" w:ascii="宋体" w:hAnsi="宋体" w:eastAsia="宋体" w:cs="宋体"/>
          <w:b w:val="0"/>
          <w:bCs w:val="0"/>
          <w:sz w:val="24"/>
          <w:szCs w:val="24"/>
        </w:rPr>
        <w:t>招标内容和要求</w:t>
      </w:r>
      <w:r>
        <w:rPr>
          <w:rFonts w:ascii="宋体" w:hAnsi="宋体" w:eastAsia="宋体" w:cs="宋体"/>
          <w:b w:val="0"/>
          <w:bCs w:val="0"/>
          <w:sz w:val="24"/>
          <w:szCs w:val="24"/>
        </w:rPr>
        <w:t>”，附后。</w:t>
      </w:r>
    </w:p>
    <w:p w14:paraId="7D8EE494">
      <w:pPr>
        <w:spacing w:before="240"/>
      </w:pPr>
    </w:p>
    <w:p w14:paraId="3F2558EC">
      <w:pPr>
        <w:pStyle w:val="18"/>
        <w:spacing w:before="240" w:line="240" w:lineRule="auto"/>
        <w:ind w:firstLine="843" w:firstLineChars="300"/>
        <w:rPr>
          <w:lang w:val="zh-CN" w:bidi="zh-CN"/>
        </w:rPr>
        <w:sectPr>
          <w:pgSz w:w="11910" w:h="16840"/>
          <w:pgMar w:top="1240" w:right="820" w:bottom="1180" w:left="780" w:header="506" w:footer="978" w:gutter="0"/>
          <w:cols w:space="720" w:num="1"/>
        </w:sectPr>
      </w:pPr>
      <w:r>
        <w:rPr>
          <w:rFonts w:hint="eastAsia"/>
          <w:lang w:val="zh-CN" w:bidi="zh-CN"/>
        </w:rPr>
        <w:t>本次招标最终解释权归重汽（济南）汽车配件销售服务有限公司</w:t>
      </w:r>
    </w:p>
    <w:p w14:paraId="620BFA7A">
      <w:pPr>
        <w:pStyle w:val="10"/>
        <w:spacing w:before="240"/>
        <w:rPr>
          <w:sz w:val="20"/>
        </w:rPr>
      </w:pPr>
    </w:p>
    <w:p w14:paraId="5DC48DA9">
      <w:pPr>
        <w:pStyle w:val="2"/>
        <w:tabs>
          <w:tab w:val="left" w:pos="1812"/>
        </w:tabs>
        <w:spacing w:before="240"/>
        <w:ind w:left="48"/>
        <w:rPr>
          <w:rFonts w:ascii="宋体" w:eastAsia="宋体"/>
        </w:rPr>
      </w:pPr>
      <w:bookmarkStart w:id="19" w:name="第二章投标文件编制"/>
      <w:bookmarkEnd w:id="19"/>
      <w:r>
        <w:rPr>
          <w:rFonts w:hint="eastAsia" w:ascii="宋体" w:eastAsia="宋体"/>
        </w:rPr>
        <w:t>第二章</w:t>
      </w:r>
      <w:r>
        <w:rPr>
          <w:rFonts w:hint="eastAsia" w:ascii="宋体" w:eastAsia="宋体"/>
        </w:rPr>
        <w:tab/>
      </w:r>
      <w:r>
        <w:rPr>
          <w:rFonts w:hint="eastAsia" w:ascii="宋体" w:eastAsia="宋体"/>
        </w:rPr>
        <w:t>投标文件编制</w:t>
      </w:r>
    </w:p>
    <w:p w14:paraId="3FAF3AC7">
      <w:pPr>
        <w:pStyle w:val="10"/>
        <w:spacing w:before="240"/>
        <w:rPr>
          <w:b/>
          <w:sz w:val="40"/>
        </w:rPr>
      </w:pPr>
    </w:p>
    <w:p w14:paraId="16ED3989">
      <w:pPr>
        <w:pStyle w:val="3"/>
        <w:spacing w:before="240"/>
      </w:pPr>
      <w:bookmarkStart w:id="20" w:name="一、投标文件签署"/>
      <w:bookmarkEnd w:id="20"/>
      <w:r>
        <w:t>一、投标文件签署</w:t>
      </w:r>
    </w:p>
    <w:p w14:paraId="089A820B">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1</w:t>
      </w:r>
      <w:r>
        <w:rPr>
          <w:rFonts w:ascii="宋体" w:hAnsi="宋体" w:eastAsia="宋体" w:cs="宋体"/>
          <w:b w:val="0"/>
          <w:bCs w:val="0"/>
          <w:sz w:val="24"/>
          <w:szCs w:val="24"/>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2492B2A">
      <w:pPr>
        <w:pStyle w:val="3"/>
        <w:spacing w:before="240"/>
        <w:ind w:firstLine="480" w:firstLineChars="200"/>
        <w:rPr>
          <w:rFonts w:ascii="宋体" w:hAnsi="宋体" w:eastAsia="宋体" w:cs="宋体"/>
          <w:b w:val="0"/>
          <w:bCs w:val="0"/>
          <w:sz w:val="24"/>
          <w:szCs w:val="24"/>
        </w:rPr>
      </w:pPr>
      <w:r>
        <w:rPr>
          <w:rFonts w:hint="eastAsia" w:ascii="宋体" w:hAnsi="宋体" w:eastAsia="宋体" w:cs="宋体"/>
          <w:b w:val="0"/>
          <w:bCs w:val="0"/>
          <w:sz w:val="24"/>
          <w:szCs w:val="24"/>
        </w:rPr>
        <w:t>2</w:t>
      </w:r>
      <w:r>
        <w:rPr>
          <w:rFonts w:ascii="宋体" w:hAnsi="宋体" w:eastAsia="宋体" w:cs="宋体"/>
          <w:b w:val="0"/>
          <w:bCs w:val="0"/>
          <w:sz w:val="24"/>
          <w:szCs w:val="24"/>
        </w:rPr>
        <w:t>.任何行间插字、涂改和增删，必须由投标人的法定代表人或授权代表签字或加盖公章后才有效。</w:t>
      </w:r>
    </w:p>
    <w:p w14:paraId="514E6075">
      <w:pPr>
        <w:pStyle w:val="3"/>
        <w:spacing w:before="240"/>
      </w:pPr>
      <w:bookmarkStart w:id="21" w:name="二、投标文件的密封和标记"/>
      <w:bookmarkEnd w:id="21"/>
      <w:r>
        <w:t>二、投标文件的密封和标记</w:t>
      </w:r>
    </w:p>
    <w:p w14:paraId="05B7F929">
      <w:pPr>
        <w:pStyle w:val="33"/>
        <w:tabs>
          <w:tab w:val="left" w:pos="1270"/>
        </w:tabs>
        <w:spacing w:before="240"/>
        <w:ind w:left="1058" w:right="561" w:firstLine="0"/>
        <w:jc w:val="both"/>
      </w:pPr>
      <w:r>
        <w:rPr>
          <w:rFonts w:hint="eastAsia"/>
        </w:rPr>
        <w:t>1</w:t>
      </w:r>
      <w:r>
        <w:t>.投标人应将投标文件正、副本及U盘电子版一同密封送达，并在封面明显处注明以下内容：</w:t>
      </w:r>
    </w:p>
    <w:p w14:paraId="3967A654">
      <w:pPr>
        <w:pStyle w:val="33"/>
        <w:tabs>
          <w:tab w:val="left" w:pos="1270"/>
        </w:tabs>
        <w:spacing w:before="240"/>
        <w:ind w:left="1058" w:right="561" w:firstLine="220" w:firstLineChars="100"/>
        <w:jc w:val="both"/>
      </w:pPr>
      <w:r>
        <w:rPr>
          <w:rFonts w:hint="eastAsia"/>
        </w:rPr>
        <w:t>⑴</w:t>
      </w:r>
      <w:r>
        <w:t>项目名称</w:t>
      </w:r>
      <w:r>
        <w:rPr>
          <w:rFonts w:hint="eastAsia"/>
        </w:rPr>
        <w:t>；</w:t>
      </w:r>
    </w:p>
    <w:p w14:paraId="0CB36A46">
      <w:pPr>
        <w:pStyle w:val="33"/>
        <w:tabs>
          <w:tab w:val="left" w:pos="1270"/>
        </w:tabs>
        <w:spacing w:before="240"/>
        <w:ind w:left="1058" w:right="561" w:firstLine="220" w:firstLineChars="100"/>
        <w:jc w:val="both"/>
      </w:pPr>
      <w:r>
        <w:rPr>
          <w:rFonts w:hint="eastAsia"/>
        </w:rPr>
        <w:t>⑵</w:t>
      </w:r>
      <w:r>
        <w:t>投标人名称（加盖公章）、地址、邮编、电话、传真</w:t>
      </w:r>
      <w:r>
        <w:rPr>
          <w:rFonts w:hint="eastAsia"/>
        </w:rPr>
        <w:t>。</w:t>
      </w:r>
    </w:p>
    <w:p w14:paraId="77B4347E">
      <w:pPr>
        <w:pStyle w:val="33"/>
        <w:tabs>
          <w:tab w:val="left" w:pos="1270"/>
        </w:tabs>
        <w:spacing w:before="240"/>
        <w:ind w:left="1058" w:right="640" w:firstLine="0"/>
        <w:rPr>
          <w:b/>
          <w:bCs/>
          <w:szCs w:val="21"/>
          <w:lang w:val="en-US"/>
        </w:rPr>
      </w:pPr>
      <w:r>
        <w:rPr>
          <w:rFonts w:hint="eastAsia"/>
          <w:b/>
          <w:bCs/>
          <w:szCs w:val="21"/>
          <w:lang w:val="en-US"/>
        </w:rPr>
        <w:t>2.请投标人将“开标一览表”单独密封，并注明开标一览表、项目名称、投标人名称（加盖公章），与投标文件同时提交。</w:t>
      </w:r>
    </w:p>
    <w:p w14:paraId="7820B9CB">
      <w:pPr>
        <w:pStyle w:val="33"/>
        <w:tabs>
          <w:tab w:val="left" w:pos="1270"/>
        </w:tabs>
        <w:spacing w:before="240"/>
        <w:ind w:left="1058" w:right="561" w:firstLine="0"/>
        <w:jc w:val="both"/>
      </w:pPr>
      <w:r>
        <w:rPr>
          <w:rFonts w:hint="eastAsia"/>
        </w:rPr>
        <w:t>3</w:t>
      </w:r>
      <w:r>
        <w:t>.每一密封文件在封口处加盖投标人公章并注明“于20XX年X月X日上午X时之前不准启封”字样。</w:t>
      </w:r>
    </w:p>
    <w:p w14:paraId="1CB11E0A">
      <w:pPr>
        <w:pStyle w:val="33"/>
        <w:tabs>
          <w:tab w:val="left" w:pos="1270"/>
        </w:tabs>
        <w:spacing w:before="240"/>
        <w:ind w:left="1058" w:right="561" w:firstLine="0"/>
        <w:jc w:val="both"/>
      </w:pPr>
      <w:r>
        <w:rPr>
          <w:rFonts w:hint="eastAsia"/>
        </w:rPr>
        <w:t>4</w:t>
      </w:r>
      <w:r>
        <w:t>.如果投标人未按上述要求对投标文件密封及加写标记，招标人对投标人提前启封概不负责。对由此造成提前开封的投标文件，招标人有权予以拒绝，并退回投标人取消其投标资格。</w:t>
      </w:r>
    </w:p>
    <w:p w14:paraId="4FDD99A8">
      <w:pPr>
        <w:pStyle w:val="33"/>
        <w:tabs>
          <w:tab w:val="left" w:pos="1270"/>
        </w:tabs>
        <w:spacing w:before="240"/>
        <w:ind w:left="1058" w:right="561" w:firstLine="0"/>
        <w:jc w:val="both"/>
        <w:rPr>
          <w:b/>
          <w:bCs/>
          <w:szCs w:val="21"/>
          <w:highlight w:val="yellow"/>
          <w:shd w:val="clear" w:color="auto" w:fill="FFFFFF"/>
        </w:rPr>
      </w:pPr>
      <w:r>
        <w:rPr>
          <w:rFonts w:hint="eastAsia"/>
          <w:b/>
          <w:bCs/>
          <w:szCs w:val="21"/>
          <w:highlight w:val="yellow"/>
          <w:shd w:val="clear" w:color="auto" w:fill="FFFFFF"/>
          <w:lang w:val="en-US"/>
        </w:rPr>
        <w:t>5.投标资料（</w:t>
      </w:r>
      <w:r>
        <w:rPr>
          <w:rFonts w:hint="eastAsia"/>
          <w:b/>
          <w:bCs/>
          <w:szCs w:val="21"/>
          <w:highlight w:val="yellow"/>
          <w:shd w:val="clear" w:color="auto" w:fill="FFFFFF"/>
        </w:rPr>
        <w:t>资质、技术、商务）资料</w:t>
      </w:r>
      <w:r>
        <w:rPr>
          <w:rFonts w:hint="eastAsia"/>
          <w:b/>
          <w:bCs/>
          <w:szCs w:val="21"/>
          <w:highlight w:val="yellow"/>
          <w:shd w:val="clear" w:color="auto" w:fill="FFFFFF"/>
          <w:lang w:val="en-US"/>
        </w:rPr>
        <w:t>应</w:t>
      </w:r>
      <w:r>
        <w:rPr>
          <w:rFonts w:hint="eastAsia"/>
          <w:b/>
          <w:bCs/>
          <w:szCs w:val="21"/>
          <w:highlight w:val="yellow"/>
          <w:shd w:val="clear" w:color="auto" w:fill="FFFFFF"/>
        </w:rPr>
        <w:t>分开封存，</w:t>
      </w:r>
      <w:r>
        <w:rPr>
          <w:rFonts w:hint="eastAsia"/>
          <w:b/>
          <w:bCs/>
          <w:szCs w:val="21"/>
          <w:highlight w:val="yellow"/>
          <w:shd w:val="clear" w:color="auto" w:fill="FFFFFF"/>
          <w:lang w:val="en-US"/>
        </w:rPr>
        <w:t>投标每标段报价分开</w:t>
      </w:r>
      <w:r>
        <w:rPr>
          <w:rFonts w:hint="eastAsia"/>
          <w:b/>
          <w:bCs/>
          <w:szCs w:val="21"/>
          <w:highlight w:val="yellow"/>
          <w:shd w:val="clear" w:color="auto" w:fill="FFFFFF"/>
        </w:rPr>
        <w:t>封存。</w:t>
      </w:r>
    </w:p>
    <w:p w14:paraId="1CBE1BA3">
      <w:pPr>
        <w:pStyle w:val="33"/>
        <w:tabs>
          <w:tab w:val="left" w:pos="1270"/>
        </w:tabs>
        <w:spacing w:before="240"/>
        <w:ind w:left="1058" w:right="561" w:firstLine="0"/>
        <w:jc w:val="both"/>
        <w:rPr>
          <w:b/>
          <w:bCs/>
          <w:szCs w:val="21"/>
          <w:highlight w:val="yellow"/>
          <w:shd w:val="clear" w:color="auto" w:fill="FFFFFF"/>
          <w:lang w:val="en-US"/>
        </w:rPr>
      </w:pPr>
      <w:r>
        <w:rPr>
          <w:rFonts w:hint="eastAsia"/>
          <w:b/>
          <w:bCs/>
          <w:szCs w:val="21"/>
          <w:highlight w:val="yellow"/>
          <w:shd w:val="clear" w:color="auto" w:fill="FFFFFF"/>
          <w:lang w:val="en-US"/>
        </w:rPr>
        <w:t>资质文件需包含：营业执照副本原件及复印件、最近半年完税证明、信用证明材料（征信报告）、年度纳税信用评价信息、对外担保说明、近三年(2023年1月1日至今)类似项目业绩及合同复印件、近三年的公司财务报表、法人授权委托书原件等文件。</w:t>
      </w:r>
    </w:p>
    <w:p w14:paraId="1DE4025F">
      <w:pPr>
        <w:pStyle w:val="33"/>
        <w:tabs>
          <w:tab w:val="left" w:pos="1270"/>
        </w:tabs>
        <w:spacing w:before="240"/>
        <w:ind w:left="1058" w:right="561" w:firstLine="0"/>
        <w:jc w:val="both"/>
        <w:rPr>
          <w:b/>
          <w:bCs/>
          <w:szCs w:val="21"/>
          <w:highlight w:val="yellow"/>
          <w:shd w:val="clear" w:color="auto" w:fill="FFFFFF"/>
          <w:lang w:val="en-US"/>
        </w:rPr>
      </w:pPr>
      <w:r>
        <w:rPr>
          <w:rFonts w:hint="eastAsia"/>
          <w:b/>
          <w:bCs/>
          <w:szCs w:val="21"/>
          <w:highlight w:val="yellow"/>
          <w:shd w:val="clear" w:color="auto" w:fill="FFFFFF"/>
          <w:lang w:val="en-US"/>
        </w:rPr>
        <w:t>技术文件需包含：场地选址方案、自动化设备方案、仓储设备方案、包材供应和设计方案等文件</w:t>
      </w:r>
    </w:p>
    <w:p w14:paraId="7749A907">
      <w:pPr>
        <w:pStyle w:val="33"/>
        <w:tabs>
          <w:tab w:val="left" w:pos="1270"/>
        </w:tabs>
        <w:spacing w:before="240"/>
        <w:ind w:left="1058" w:right="561" w:firstLine="0"/>
        <w:jc w:val="both"/>
        <w:rPr>
          <w:b/>
          <w:bCs/>
          <w:szCs w:val="21"/>
          <w:highlight w:val="yellow"/>
          <w:shd w:val="clear" w:color="auto" w:fill="FFFFFF"/>
          <w:lang w:val="en-US"/>
        </w:rPr>
      </w:pPr>
      <w:r>
        <w:rPr>
          <w:rFonts w:hint="eastAsia"/>
          <w:b/>
          <w:bCs/>
          <w:szCs w:val="21"/>
          <w:highlight w:val="yellow"/>
          <w:shd w:val="clear" w:color="auto" w:fill="FFFFFF"/>
          <w:lang w:val="en-US"/>
        </w:rPr>
        <w:t>商务文件需包含：投标书、报价单、偏离条款表等文件</w:t>
      </w:r>
    </w:p>
    <w:p w14:paraId="2AEE30EF">
      <w:pPr>
        <w:pStyle w:val="33"/>
        <w:tabs>
          <w:tab w:val="left" w:pos="1270"/>
        </w:tabs>
        <w:spacing w:before="240"/>
        <w:ind w:left="1058" w:right="561" w:firstLine="0"/>
        <w:jc w:val="both"/>
        <w:rPr>
          <w:b/>
          <w:bCs/>
          <w:color w:val="FF0000"/>
          <w:szCs w:val="21"/>
          <w:shd w:val="clear" w:color="auto" w:fill="FFFFFF"/>
        </w:rPr>
      </w:pPr>
    </w:p>
    <w:p w14:paraId="081D9C0F">
      <w:pPr>
        <w:pStyle w:val="33"/>
        <w:tabs>
          <w:tab w:val="left" w:pos="1270"/>
        </w:tabs>
        <w:spacing w:before="240"/>
        <w:ind w:left="1058" w:right="561" w:firstLine="0"/>
        <w:jc w:val="both"/>
        <w:rPr>
          <w:b/>
          <w:bCs/>
          <w:color w:val="FF0000"/>
          <w:szCs w:val="21"/>
          <w:shd w:val="clear" w:color="auto" w:fill="FFFFFF"/>
        </w:rPr>
      </w:pPr>
    </w:p>
    <w:p w14:paraId="081EFDD8">
      <w:pPr>
        <w:pStyle w:val="33"/>
        <w:tabs>
          <w:tab w:val="left" w:pos="1270"/>
        </w:tabs>
        <w:spacing w:before="240"/>
        <w:ind w:left="1058" w:right="561" w:firstLine="0"/>
        <w:jc w:val="both"/>
        <w:rPr>
          <w:b/>
          <w:bCs/>
          <w:color w:val="FF0000"/>
          <w:szCs w:val="21"/>
          <w:shd w:val="clear" w:color="auto" w:fill="FFFFFF"/>
        </w:rPr>
      </w:pPr>
    </w:p>
    <w:p w14:paraId="0D2A9784">
      <w:pPr>
        <w:pStyle w:val="33"/>
        <w:tabs>
          <w:tab w:val="left" w:pos="1270"/>
        </w:tabs>
        <w:spacing w:before="240"/>
        <w:ind w:left="1058" w:right="561" w:firstLine="0"/>
        <w:jc w:val="both"/>
        <w:rPr>
          <w:b/>
          <w:bCs/>
          <w:color w:val="FF0000"/>
          <w:szCs w:val="21"/>
          <w:shd w:val="clear" w:color="auto" w:fill="FFFFFF"/>
        </w:rPr>
      </w:pPr>
    </w:p>
    <w:p w14:paraId="2DCD1FBA">
      <w:pPr>
        <w:pStyle w:val="33"/>
        <w:tabs>
          <w:tab w:val="left" w:pos="1270"/>
        </w:tabs>
        <w:spacing w:before="240"/>
        <w:ind w:left="1058" w:right="561" w:firstLine="0"/>
        <w:jc w:val="both"/>
        <w:rPr>
          <w:b/>
          <w:bCs/>
          <w:color w:val="FF0000"/>
          <w:szCs w:val="21"/>
          <w:shd w:val="clear" w:color="auto" w:fill="FFFFFF"/>
        </w:rPr>
      </w:pPr>
    </w:p>
    <w:p w14:paraId="16A39B4E">
      <w:pPr>
        <w:pStyle w:val="33"/>
        <w:tabs>
          <w:tab w:val="left" w:pos="1270"/>
        </w:tabs>
        <w:spacing w:before="240"/>
        <w:ind w:left="1058" w:right="561" w:firstLine="0"/>
        <w:jc w:val="both"/>
        <w:rPr>
          <w:b/>
          <w:bCs/>
          <w:color w:val="FF0000"/>
          <w:szCs w:val="21"/>
          <w:shd w:val="clear" w:color="auto" w:fill="FFFFFF"/>
        </w:rPr>
      </w:pPr>
    </w:p>
    <w:p w14:paraId="126772C2">
      <w:pPr>
        <w:pStyle w:val="33"/>
        <w:tabs>
          <w:tab w:val="left" w:pos="1270"/>
        </w:tabs>
        <w:spacing w:before="240"/>
        <w:ind w:left="1058" w:right="561" w:firstLine="0"/>
        <w:jc w:val="both"/>
        <w:rPr>
          <w:b/>
          <w:bCs/>
          <w:color w:val="FF0000"/>
          <w:lang w:val="en-US"/>
        </w:rPr>
      </w:pPr>
    </w:p>
    <w:p w14:paraId="756EE4FD">
      <w:pPr>
        <w:pStyle w:val="3"/>
        <w:spacing w:before="240"/>
      </w:pPr>
      <w:r>
        <w:t>三、投标文件格式要求</w:t>
      </w:r>
    </w:p>
    <w:p w14:paraId="78710FF8">
      <w:pPr>
        <w:spacing w:before="240"/>
        <w:ind w:left="638"/>
        <w:rPr>
          <w:rFonts w:ascii="Calibri"/>
          <w:b/>
          <w:sz w:val="28"/>
          <w:lang w:val="en-US"/>
        </w:rPr>
      </w:pPr>
      <w:r>
        <w:rPr>
          <w:rFonts w:hint="eastAsia" w:ascii="黑体" w:eastAsia="黑体"/>
          <w:b/>
          <w:sz w:val="28"/>
        </w:rPr>
        <w:t>格式</w:t>
      </w:r>
      <w:r>
        <w:rPr>
          <w:rFonts w:hint="eastAsia" w:ascii="Calibri"/>
          <w:b/>
          <w:sz w:val="28"/>
          <w:lang w:val="en-US"/>
        </w:rPr>
        <w:t>1</w:t>
      </w:r>
    </w:p>
    <w:p w14:paraId="2F21286E">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p>
    <w:p w14:paraId="39C4403C">
      <w:pPr>
        <w:spacing w:before="240"/>
      </w:pPr>
    </w:p>
    <w:p w14:paraId="54842133">
      <w:pPr>
        <w:pStyle w:val="5"/>
        <w:spacing w:before="240"/>
        <w:ind w:left="41"/>
        <w:jc w:val="center"/>
        <w:rPr>
          <w:rFonts w:ascii="黑体" w:eastAsia="黑体"/>
        </w:rPr>
      </w:pPr>
      <w:r>
        <w:rPr>
          <w:rFonts w:hint="eastAsia" w:ascii="黑体" w:eastAsia="黑体"/>
        </w:rPr>
        <w:t>投标书</w:t>
      </w:r>
    </w:p>
    <w:p w14:paraId="53F231E6">
      <w:pPr>
        <w:pStyle w:val="10"/>
        <w:tabs>
          <w:tab w:val="left" w:pos="5258"/>
        </w:tabs>
        <w:spacing w:before="240"/>
        <w:ind w:left="638"/>
      </w:pPr>
      <w:r>
        <w:t>致</w:t>
      </w:r>
      <w:r>
        <w:rPr>
          <w:u w:val="single"/>
        </w:rPr>
        <w:t>（招标人名称）</w:t>
      </w:r>
      <w:r>
        <w:rPr>
          <w:u w:val="single"/>
        </w:rPr>
        <w:tab/>
      </w:r>
      <w:r>
        <w:t>：</w:t>
      </w:r>
    </w:p>
    <w:p w14:paraId="5F645B91">
      <w:pPr>
        <w:pStyle w:val="10"/>
        <w:tabs>
          <w:tab w:val="left" w:pos="6457"/>
          <w:tab w:val="left" w:pos="6515"/>
        </w:tabs>
        <w:spacing w:before="240"/>
        <w:ind w:left="638" w:right="592" w:firstLine="645"/>
      </w:pPr>
      <w:r>
        <w:rPr>
          <w:spacing w:val="7"/>
        </w:rPr>
        <w:t>根</w:t>
      </w:r>
      <w:r>
        <w:rPr>
          <w:spacing w:val="9"/>
        </w:rPr>
        <w:t>据</w:t>
      </w:r>
      <w:r>
        <w:rPr>
          <w:spacing w:val="7"/>
        </w:rPr>
        <w:t>贵</w:t>
      </w:r>
      <w:r>
        <w:rPr>
          <w:spacing w:val="9"/>
        </w:rPr>
        <w:t>方为</w:t>
      </w:r>
      <w:r>
        <w:rPr>
          <w:spacing w:val="4"/>
        </w:rPr>
        <w:t>（</w:t>
      </w:r>
      <w:r>
        <w:rPr>
          <w:spacing w:val="9"/>
          <w:u w:val="single"/>
        </w:rPr>
        <w:t>项目</w:t>
      </w:r>
      <w:r>
        <w:rPr>
          <w:spacing w:val="7"/>
          <w:u w:val="single"/>
        </w:rPr>
        <w:t>名</w:t>
      </w:r>
      <w:r>
        <w:rPr>
          <w:spacing w:val="9"/>
          <w:u w:val="single"/>
        </w:rPr>
        <w:t>称</w:t>
      </w:r>
      <w:r>
        <w:rPr>
          <w:u w:val="single"/>
        </w:rPr>
        <w:t>）</w:t>
      </w:r>
      <w:r>
        <w:rPr>
          <w:u w:val="single"/>
        </w:rPr>
        <w:tab/>
      </w:r>
      <w:r>
        <w:rPr>
          <w:spacing w:val="9"/>
        </w:rPr>
        <w:t>招标书，签字代表（全名、职务）</w:t>
      </w:r>
      <w:r>
        <w:t>经正式授权并代表投标人</w:t>
      </w:r>
      <w:r>
        <w:rPr>
          <w:u w:val="single"/>
        </w:rPr>
        <w:t>（投标人名称、地址）</w:t>
      </w:r>
      <w:r>
        <w:rPr>
          <w:u w:val="single"/>
        </w:rPr>
        <w:tab/>
      </w:r>
      <w:r>
        <w:rPr>
          <w:u w:val="single"/>
        </w:rPr>
        <w:tab/>
      </w:r>
      <w:r>
        <w:t>提交下述文件：</w:t>
      </w:r>
    </w:p>
    <w:p w14:paraId="4FFEAB6A">
      <w:pPr>
        <w:pStyle w:val="10"/>
        <w:spacing w:before="240"/>
        <w:ind w:left="638" w:right="6544"/>
        <w:rPr>
          <w:spacing w:val="-11"/>
        </w:rPr>
      </w:pPr>
      <w:r>
        <w:t>标书（</w:t>
      </w:r>
      <w:r>
        <w:rPr>
          <w:spacing w:val="-20"/>
        </w:rPr>
        <w:t>正本</w:t>
      </w:r>
      <w:r>
        <w:rPr>
          <w:u w:val="single"/>
        </w:rPr>
        <w:t>X</w:t>
      </w:r>
      <w:r>
        <w:rPr>
          <w:spacing w:val="-17"/>
        </w:rPr>
        <w:t>份和副本一式</w:t>
      </w:r>
      <w:r>
        <w:rPr>
          <w:u w:val="single"/>
        </w:rPr>
        <w:t>X</w:t>
      </w:r>
      <w:r>
        <w:rPr>
          <w:spacing w:val="-31"/>
        </w:rPr>
        <w:t>份</w:t>
      </w:r>
      <w:r>
        <w:rPr>
          <w:spacing w:val="-11"/>
        </w:rPr>
        <w:t>）</w:t>
      </w:r>
    </w:p>
    <w:p w14:paraId="5C358B4B">
      <w:pPr>
        <w:pStyle w:val="10"/>
        <w:spacing w:before="240"/>
        <w:ind w:left="638" w:right="6544"/>
      </w:pPr>
      <w:r>
        <w:t>资质证明文件（1</w:t>
      </w:r>
      <w:r>
        <w:rPr>
          <w:spacing w:val="-27"/>
        </w:rPr>
        <w:t>份</w:t>
      </w:r>
      <w:r>
        <w:t>）</w:t>
      </w:r>
    </w:p>
    <w:p w14:paraId="6FD7F32C">
      <w:pPr>
        <w:pStyle w:val="10"/>
        <w:spacing w:before="240"/>
        <w:ind w:left="638"/>
      </w:pPr>
      <w:r>
        <w:t>据此，签字代表宣布同意如下：</w:t>
      </w:r>
    </w:p>
    <w:p w14:paraId="30B5D959">
      <w:pPr>
        <w:pStyle w:val="33"/>
        <w:numPr>
          <w:ilvl w:val="0"/>
          <w:numId w:val="2"/>
        </w:numPr>
        <w:tabs>
          <w:tab w:val="left" w:pos="1433"/>
          <w:tab w:val="left" w:pos="8992"/>
        </w:tabs>
        <w:spacing w:before="240"/>
        <w:ind w:firstLine="420"/>
        <w:rPr>
          <w:sz w:val="21"/>
        </w:rPr>
      </w:pPr>
      <w:r>
        <w:rPr>
          <w:sz w:val="21"/>
        </w:rPr>
        <w:t>所附投标报价表中规定的应提供的投标总价（不含税）为</w:t>
      </w:r>
      <w:r>
        <w:rPr>
          <w:sz w:val="21"/>
          <w:u w:val="single"/>
        </w:rPr>
        <w:t>（注明币种和金额）</w:t>
      </w:r>
      <w:r>
        <w:rPr>
          <w:sz w:val="21"/>
          <w:u w:val="single"/>
        </w:rPr>
        <w:tab/>
      </w:r>
      <w:r>
        <w:rPr>
          <w:spacing w:val="-17"/>
          <w:sz w:val="21"/>
          <w:u w:val="single"/>
        </w:rPr>
        <w:t>，</w:t>
      </w:r>
      <w:r>
        <w:rPr>
          <w:sz w:val="21"/>
        </w:rPr>
        <w:t>即</w:t>
      </w:r>
    </w:p>
    <w:p w14:paraId="0068727B">
      <w:pPr>
        <w:pStyle w:val="10"/>
        <w:tabs>
          <w:tab w:val="left" w:pos="7355"/>
        </w:tabs>
        <w:spacing w:before="240"/>
        <w:ind w:left="1478"/>
      </w:pPr>
      <w:r>
        <w:rPr>
          <w:u w:val="single"/>
        </w:rPr>
        <w:t>（中文文字描述）</w:t>
      </w:r>
      <w:r>
        <w:rPr>
          <w:u w:val="single"/>
        </w:rPr>
        <w:tab/>
      </w:r>
      <w:r>
        <w:t>。</w:t>
      </w:r>
    </w:p>
    <w:p w14:paraId="14C731D5">
      <w:pPr>
        <w:pStyle w:val="33"/>
        <w:numPr>
          <w:ilvl w:val="0"/>
          <w:numId w:val="2"/>
        </w:numPr>
        <w:tabs>
          <w:tab w:val="left" w:pos="1433"/>
        </w:tabs>
        <w:spacing w:before="240"/>
        <w:ind w:firstLine="420"/>
        <w:rPr>
          <w:sz w:val="21"/>
        </w:rPr>
      </w:pPr>
      <w:r>
        <w:rPr>
          <w:sz w:val="21"/>
        </w:rPr>
        <w:t>投标人将按招标文件的规定履行合同责任和义务。</w:t>
      </w:r>
    </w:p>
    <w:p w14:paraId="63787036">
      <w:pPr>
        <w:pStyle w:val="33"/>
        <w:numPr>
          <w:ilvl w:val="0"/>
          <w:numId w:val="2"/>
        </w:numPr>
        <w:tabs>
          <w:tab w:val="left" w:pos="1433"/>
        </w:tabs>
        <w:spacing w:before="240"/>
        <w:ind w:right="679" w:firstLine="420"/>
        <w:rPr>
          <w:sz w:val="21"/>
        </w:rPr>
      </w:pPr>
      <w:r>
        <w:rPr>
          <w:sz w:val="21"/>
        </w:rPr>
        <w:t>投标人已详细审查全部招标文件，包括修改文件（如有的话）以及全部参考资料和有关附件，我们完全理解并同意放弃对这方面有不明及误解的权利。</w:t>
      </w:r>
    </w:p>
    <w:p w14:paraId="157C078B">
      <w:pPr>
        <w:pStyle w:val="33"/>
        <w:numPr>
          <w:ilvl w:val="0"/>
          <w:numId w:val="2"/>
        </w:numPr>
        <w:tabs>
          <w:tab w:val="left" w:pos="1433"/>
        </w:tabs>
        <w:spacing w:before="240"/>
        <w:ind w:firstLine="420"/>
        <w:rPr>
          <w:sz w:val="21"/>
        </w:rPr>
      </w:pPr>
      <w:r>
        <w:rPr>
          <w:sz w:val="21"/>
        </w:rPr>
        <w:t>投标有效期：自投标截止之日起至合同签署日一直有效。</w:t>
      </w:r>
    </w:p>
    <w:p w14:paraId="267A8D47">
      <w:pPr>
        <w:pStyle w:val="33"/>
        <w:numPr>
          <w:ilvl w:val="0"/>
          <w:numId w:val="2"/>
        </w:numPr>
        <w:tabs>
          <w:tab w:val="left" w:pos="1433"/>
        </w:tabs>
        <w:spacing w:before="240"/>
        <w:ind w:right="686" w:firstLine="420"/>
        <w:rPr>
          <w:sz w:val="21"/>
        </w:rPr>
      </w:pPr>
      <w:r>
        <w:rPr>
          <w:sz w:val="21"/>
        </w:rPr>
        <w:t>投标人同意提供贵方要求的可能与投标有关的一切数据和资料，完全理解贵方不一定要接受最低价的投标或收到的任何投标。</w:t>
      </w:r>
    </w:p>
    <w:p w14:paraId="1917B4BF">
      <w:pPr>
        <w:pStyle w:val="33"/>
        <w:numPr>
          <w:ilvl w:val="0"/>
          <w:numId w:val="2"/>
        </w:numPr>
        <w:tabs>
          <w:tab w:val="left" w:pos="1433"/>
        </w:tabs>
        <w:spacing w:before="240"/>
        <w:ind w:right="686" w:firstLine="420"/>
        <w:rPr>
          <w:sz w:val="21"/>
        </w:rPr>
      </w:pPr>
      <w:r>
        <w:rPr>
          <w:sz w:val="21"/>
        </w:rPr>
        <w:t>投标人承诺所提供的所有数据和资料均真实有效，如存在虚报情况，投标人愿为此承担一切法律责任，</w:t>
      </w:r>
      <w:r>
        <w:rPr>
          <w:rFonts w:hint="eastAsia"/>
          <w:sz w:val="21"/>
        </w:rPr>
        <w:t>赔偿因此给招标人造成的损失，</w:t>
      </w:r>
      <w:r>
        <w:rPr>
          <w:sz w:val="21"/>
        </w:rPr>
        <w:t>并主动退出本项目竞标。</w:t>
      </w:r>
    </w:p>
    <w:p w14:paraId="2A6A49C4">
      <w:pPr>
        <w:pStyle w:val="33"/>
        <w:numPr>
          <w:ilvl w:val="0"/>
          <w:numId w:val="2"/>
        </w:numPr>
        <w:tabs>
          <w:tab w:val="left" w:pos="1433"/>
        </w:tabs>
        <w:spacing w:before="240"/>
        <w:ind w:firstLine="420"/>
        <w:rPr>
          <w:sz w:val="21"/>
        </w:rPr>
      </w:pPr>
      <w:r>
        <w:rPr>
          <w:sz w:val="21"/>
        </w:rPr>
        <w:t>与本投标有关的一切正式往来通讯请寄：</w:t>
      </w:r>
    </w:p>
    <w:p w14:paraId="7B01B01B">
      <w:pPr>
        <w:pStyle w:val="10"/>
        <w:tabs>
          <w:tab w:val="left" w:pos="5738"/>
        </w:tabs>
        <w:spacing w:before="240"/>
        <w:ind w:left="1432"/>
      </w:pPr>
      <w:r>
        <w:t>地址：</w:t>
      </w:r>
      <w:r>
        <w:tab/>
      </w:r>
      <w:r>
        <w:t>邮编：</w:t>
      </w:r>
    </w:p>
    <w:p w14:paraId="6966128B">
      <w:pPr>
        <w:pStyle w:val="10"/>
        <w:tabs>
          <w:tab w:val="left" w:pos="5738"/>
        </w:tabs>
        <w:spacing w:before="240"/>
        <w:ind w:left="1432"/>
      </w:pPr>
      <w:r>
        <w:t>电话：</w:t>
      </w:r>
      <w:r>
        <w:tab/>
      </w:r>
      <w:r>
        <w:t>传真：</w:t>
      </w:r>
    </w:p>
    <w:p w14:paraId="56249C42">
      <w:pPr>
        <w:pStyle w:val="10"/>
        <w:spacing w:before="240"/>
        <w:rPr>
          <w:sz w:val="20"/>
        </w:rPr>
      </w:pPr>
    </w:p>
    <w:p w14:paraId="7CD89764">
      <w:pPr>
        <w:pStyle w:val="10"/>
        <w:spacing w:before="240"/>
        <w:rPr>
          <w:sz w:val="20"/>
        </w:rPr>
      </w:pPr>
    </w:p>
    <w:p w14:paraId="152BE65C">
      <w:pPr>
        <w:pStyle w:val="10"/>
        <w:tabs>
          <w:tab w:val="left" w:pos="5318"/>
          <w:tab w:val="left" w:pos="7732"/>
        </w:tabs>
        <w:spacing w:before="240"/>
        <w:ind w:left="1432" w:right="1946"/>
      </w:pPr>
      <w:r>
        <w:t>投标人授权代表签字：</w:t>
      </w:r>
      <w:r>
        <w:tab/>
      </w:r>
      <w:r>
        <w:t>职务：</w:t>
      </w:r>
      <w:r>
        <w:tab/>
      </w:r>
      <w:r>
        <w:t>日期</w:t>
      </w:r>
      <w:r>
        <w:rPr>
          <w:spacing w:val="-16"/>
        </w:rPr>
        <w:t>：</w:t>
      </w:r>
      <w:r>
        <w:t>投标人授权代表姓名、职务：</w:t>
      </w:r>
    </w:p>
    <w:p w14:paraId="5E92B70C">
      <w:pPr>
        <w:pStyle w:val="10"/>
        <w:spacing w:before="240"/>
        <w:ind w:left="1432"/>
        <w:rPr>
          <w:szCs w:val="22"/>
        </w:rPr>
      </w:pPr>
      <w:r>
        <w:rPr>
          <w:szCs w:val="22"/>
        </w:rPr>
        <w:t>投标人名称（及公章）：</w:t>
      </w:r>
    </w:p>
    <w:p w14:paraId="32213477">
      <w:pPr>
        <w:pStyle w:val="10"/>
        <w:spacing w:before="240"/>
        <w:ind w:left="1432"/>
      </w:pPr>
      <w:r>
        <w:t>日期：</w:t>
      </w:r>
      <w:r>
        <w:tab/>
      </w:r>
      <w:r>
        <w:t>年</w:t>
      </w:r>
      <w:r>
        <w:tab/>
      </w:r>
      <w:r>
        <w:t>月</w:t>
      </w:r>
      <w:r>
        <w:tab/>
      </w:r>
      <w:r>
        <w:t>日</w:t>
      </w:r>
    </w:p>
    <w:p w14:paraId="680EA559">
      <w:pPr>
        <w:spacing w:before="240"/>
        <w:ind w:left="638"/>
        <w:rPr>
          <w:rFonts w:ascii="Calibri" w:eastAsia="黑体"/>
          <w:b/>
          <w:sz w:val="28"/>
        </w:rPr>
      </w:pPr>
      <w:r>
        <w:rPr>
          <w:rFonts w:hint="eastAsia" w:ascii="黑体" w:eastAsia="黑体"/>
          <w:b/>
          <w:sz w:val="28"/>
        </w:rPr>
        <w:t>格式</w:t>
      </w:r>
      <w:r>
        <w:rPr>
          <w:rFonts w:hint="eastAsia" w:ascii="Calibri"/>
          <w:b/>
          <w:sz w:val="28"/>
          <w:lang w:val="en-US"/>
        </w:rPr>
        <w:t>2</w:t>
      </w:r>
    </w:p>
    <w:p w14:paraId="67A92699">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p>
    <w:p w14:paraId="65CFE539">
      <w:pPr>
        <w:pStyle w:val="10"/>
        <w:tabs>
          <w:tab w:val="left" w:pos="1478"/>
          <w:tab w:val="left" w:pos="2003"/>
          <w:tab w:val="left" w:pos="2527"/>
        </w:tabs>
        <w:spacing w:before="240"/>
        <w:ind w:left="638"/>
      </w:pPr>
      <w:r>
        <w:t>日期：</w:t>
      </w:r>
      <w:r>
        <w:tab/>
      </w:r>
      <w:r>
        <w:t>年</w:t>
      </w:r>
      <w:r>
        <w:tab/>
      </w:r>
      <w:r>
        <w:t>月</w:t>
      </w:r>
      <w:r>
        <w:tab/>
      </w:r>
      <w:r>
        <w:t>日</w:t>
      </w:r>
    </w:p>
    <w:p w14:paraId="59574120">
      <w:pPr>
        <w:pStyle w:val="10"/>
        <w:tabs>
          <w:tab w:val="left" w:pos="1478"/>
          <w:tab w:val="left" w:pos="2003"/>
          <w:tab w:val="left" w:pos="2527"/>
        </w:tabs>
        <w:spacing w:before="240"/>
        <w:ind w:left="638"/>
      </w:pPr>
    </w:p>
    <w:p w14:paraId="75999F6F">
      <w:pPr>
        <w:pStyle w:val="10"/>
        <w:tabs>
          <w:tab w:val="left" w:pos="1478"/>
          <w:tab w:val="left" w:pos="2003"/>
          <w:tab w:val="left" w:pos="2527"/>
        </w:tabs>
        <w:spacing w:before="240" w:after="120" w:afterLines="50"/>
        <w:ind w:left="641" w:firstLine="3900" w:firstLineChars="1300"/>
        <w:rPr>
          <w:rFonts w:ascii="黑体" w:hAnsi="黑体" w:eastAsia="黑体" w:cs="黑体"/>
          <w:sz w:val="30"/>
          <w:szCs w:val="30"/>
          <w:lang w:val="en-US"/>
        </w:rPr>
      </w:pPr>
      <w:r>
        <w:rPr>
          <w:rFonts w:hint="eastAsia" w:ascii="黑体" w:hAnsi="黑体" w:eastAsia="黑体" w:cs="黑体"/>
          <w:sz w:val="30"/>
          <w:szCs w:val="30"/>
          <w:lang w:val="en-US"/>
        </w:rPr>
        <w:t>招标文件目录</w:t>
      </w:r>
    </w:p>
    <w:tbl>
      <w:tblPr>
        <w:tblStyle w:val="23"/>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5DF3A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9EBA097">
            <w:pPr>
              <w:pStyle w:val="34"/>
              <w:spacing w:before="240"/>
              <w:ind w:left="148"/>
              <w:rPr>
                <w:sz w:val="28"/>
              </w:rPr>
            </w:pPr>
            <w:r>
              <w:rPr>
                <w:sz w:val="28"/>
              </w:rPr>
              <w:t>序号</w:t>
            </w:r>
          </w:p>
        </w:tc>
        <w:tc>
          <w:tcPr>
            <w:tcW w:w="6520" w:type="dxa"/>
          </w:tcPr>
          <w:p w14:paraId="2CD80D1A">
            <w:pPr>
              <w:pStyle w:val="34"/>
              <w:spacing w:before="240"/>
              <w:ind w:left="2684" w:right="2666"/>
              <w:jc w:val="center"/>
              <w:rPr>
                <w:sz w:val="28"/>
              </w:rPr>
            </w:pPr>
            <w:r>
              <w:rPr>
                <w:sz w:val="28"/>
              </w:rPr>
              <w:t>主要内容</w:t>
            </w:r>
          </w:p>
        </w:tc>
        <w:tc>
          <w:tcPr>
            <w:tcW w:w="1276" w:type="dxa"/>
          </w:tcPr>
          <w:p w14:paraId="1E220A84">
            <w:pPr>
              <w:pStyle w:val="34"/>
              <w:spacing w:before="240"/>
              <w:ind w:left="361"/>
              <w:rPr>
                <w:sz w:val="28"/>
              </w:rPr>
            </w:pPr>
            <w:r>
              <w:rPr>
                <w:sz w:val="28"/>
              </w:rPr>
              <w:t>索引</w:t>
            </w:r>
          </w:p>
        </w:tc>
      </w:tr>
      <w:tr w14:paraId="660F9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34DD3AF6">
            <w:pPr>
              <w:pStyle w:val="34"/>
              <w:spacing w:before="240"/>
              <w:rPr>
                <w:rFonts w:ascii="Times New Roman"/>
                <w:sz w:val="24"/>
              </w:rPr>
            </w:pPr>
          </w:p>
        </w:tc>
        <w:tc>
          <w:tcPr>
            <w:tcW w:w="6520" w:type="dxa"/>
          </w:tcPr>
          <w:p w14:paraId="6CCA3C1A">
            <w:pPr>
              <w:pStyle w:val="34"/>
              <w:spacing w:before="240"/>
              <w:rPr>
                <w:rFonts w:ascii="Times New Roman"/>
                <w:sz w:val="24"/>
              </w:rPr>
            </w:pPr>
          </w:p>
        </w:tc>
        <w:tc>
          <w:tcPr>
            <w:tcW w:w="1276" w:type="dxa"/>
          </w:tcPr>
          <w:p w14:paraId="41389328">
            <w:pPr>
              <w:pStyle w:val="34"/>
              <w:spacing w:before="240"/>
              <w:rPr>
                <w:rFonts w:ascii="Times New Roman"/>
                <w:sz w:val="24"/>
              </w:rPr>
            </w:pPr>
          </w:p>
        </w:tc>
      </w:tr>
      <w:tr w14:paraId="5D185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E8F9691">
            <w:pPr>
              <w:pStyle w:val="34"/>
              <w:spacing w:before="240"/>
              <w:rPr>
                <w:rFonts w:ascii="Times New Roman"/>
                <w:sz w:val="24"/>
              </w:rPr>
            </w:pPr>
          </w:p>
        </w:tc>
        <w:tc>
          <w:tcPr>
            <w:tcW w:w="6520" w:type="dxa"/>
          </w:tcPr>
          <w:p w14:paraId="4130ECF6">
            <w:pPr>
              <w:pStyle w:val="34"/>
              <w:spacing w:before="240"/>
              <w:rPr>
                <w:rFonts w:ascii="Times New Roman"/>
                <w:sz w:val="24"/>
              </w:rPr>
            </w:pPr>
          </w:p>
        </w:tc>
        <w:tc>
          <w:tcPr>
            <w:tcW w:w="1276" w:type="dxa"/>
          </w:tcPr>
          <w:p w14:paraId="7A340307">
            <w:pPr>
              <w:pStyle w:val="34"/>
              <w:spacing w:before="240"/>
              <w:rPr>
                <w:rFonts w:ascii="Times New Roman"/>
                <w:sz w:val="24"/>
              </w:rPr>
            </w:pPr>
          </w:p>
        </w:tc>
      </w:tr>
      <w:tr w14:paraId="365B3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3225BC4C">
            <w:pPr>
              <w:pStyle w:val="34"/>
              <w:spacing w:before="240"/>
              <w:rPr>
                <w:rFonts w:ascii="Times New Roman"/>
                <w:sz w:val="24"/>
              </w:rPr>
            </w:pPr>
          </w:p>
        </w:tc>
        <w:tc>
          <w:tcPr>
            <w:tcW w:w="6520" w:type="dxa"/>
          </w:tcPr>
          <w:p w14:paraId="4A203155">
            <w:pPr>
              <w:pStyle w:val="34"/>
              <w:spacing w:before="240"/>
              <w:rPr>
                <w:rFonts w:ascii="Times New Roman"/>
                <w:sz w:val="24"/>
              </w:rPr>
            </w:pPr>
          </w:p>
        </w:tc>
        <w:tc>
          <w:tcPr>
            <w:tcW w:w="1276" w:type="dxa"/>
          </w:tcPr>
          <w:p w14:paraId="3E08F0C4">
            <w:pPr>
              <w:pStyle w:val="34"/>
              <w:spacing w:before="240"/>
              <w:rPr>
                <w:rFonts w:ascii="Times New Roman"/>
                <w:sz w:val="24"/>
              </w:rPr>
            </w:pPr>
          </w:p>
        </w:tc>
      </w:tr>
      <w:tr w14:paraId="1E1D5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C415CFE">
            <w:pPr>
              <w:pStyle w:val="34"/>
              <w:spacing w:before="240"/>
              <w:rPr>
                <w:rFonts w:ascii="Times New Roman"/>
                <w:sz w:val="24"/>
              </w:rPr>
            </w:pPr>
          </w:p>
        </w:tc>
        <w:tc>
          <w:tcPr>
            <w:tcW w:w="6520" w:type="dxa"/>
          </w:tcPr>
          <w:p w14:paraId="7D461D22">
            <w:pPr>
              <w:pStyle w:val="34"/>
              <w:spacing w:before="240"/>
              <w:rPr>
                <w:rFonts w:ascii="Times New Roman"/>
                <w:sz w:val="24"/>
              </w:rPr>
            </w:pPr>
          </w:p>
        </w:tc>
        <w:tc>
          <w:tcPr>
            <w:tcW w:w="1276" w:type="dxa"/>
          </w:tcPr>
          <w:p w14:paraId="4C9A1C76">
            <w:pPr>
              <w:pStyle w:val="34"/>
              <w:spacing w:before="240"/>
              <w:rPr>
                <w:rFonts w:ascii="Times New Roman"/>
                <w:sz w:val="24"/>
              </w:rPr>
            </w:pPr>
          </w:p>
        </w:tc>
      </w:tr>
      <w:tr w14:paraId="1A0D4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37BFD89C">
            <w:pPr>
              <w:pStyle w:val="34"/>
              <w:spacing w:before="240"/>
              <w:rPr>
                <w:rFonts w:ascii="Times New Roman"/>
                <w:sz w:val="24"/>
              </w:rPr>
            </w:pPr>
          </w:p>
        </w:tc>
        <w:tc>
          <w:tcPr>
            <w:tcW w:w="6520" w:type="dxa"/>
          </w:tcPr>
          <w:p w14:paraId="02DEEE64">
            <w:pPr>
              <w:pStyle w:val="34"/>
              <w:spacing w:before="240"/>
              <w:rPr>
                <w:rFonts w:ascii="Times New Roman"/>
                <w:sz w:val="24"/>
              </w:rPr>
            </w:pPr>
          </w:p>
        </w:tc>
        <w:tc>
          <w:tcPr>
            <w:tcW w:w="1276" w:type="dxa"/>
          </w:tcPr>
          <w:p w14:paraId="20887B68">
            <w:pPr>
              <w:pStyle w:val="34"/>
              <w:spacing w:before="240"/>
              <w:rPr>
                <w:rFonts w:ascii="Times New Roman"/>
                <w:sz w:val="24"/>
              </w:rPr>
            </w:pPr>
          </w:p>
        </w:tc>
      </w:tr>
      <w:tr w14:paraId="75C44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3AE5025">
            <w:pPr>
              <w:pStyle w:val="34"/>
              <w:spacing w:before="240"/>
              <w:rPr>
                <w:rFonts w:ascii="Times New Roman"/>
                <w:sz w:val="24"/>
              </w:rPr>
            </w:pPr>
          </w:p>
        </w:tc>
        <w:tc>
          <w:tcPr>
            <w:tcW w:w="6520" w:type="dxa"/>
          </w:tcPr>
          <w:p w14:paraId="16EC45EF">
            <w:pPr>
              <w:pStyle w:val="34"/>
              <w:spacing w:before="240"/>
              <w:rPr>
                <w:rFonts w:ascii="Times New Roman"/>
                <w:sz w:val="24"/>
              </w:rPr>
            </w:pPr>
          </w:p>
        </w:tc>
        <w:tc>
          <w:tcPr>
            <w:tcW w:w="1276" w:type="dxa"/>
          </w:tcPr>
          <w:p w14:paraId="12D5CB71">
            <w:pPr>
              <w:pStyle w:val="34"/>
              <w:spacing w:before="240"/>
              <w:rPr>
                <w:rFonts w:ascii="Times New Roman"/>
                <w:sz w:val="24"/>
              </w:rPr>
            </w:pPr>
          </w:p>
        </w:tc>
      </w:tr>
      <w:tr w14:paraId="421A0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0BEB311F">
            <w:pPr>
              <w:pStyle w:val="34"/>
              <w:spacing w:before="240"/>
              <w:rPr>
                <w:rFonts w:ascii="Times New Roman"/>
                <w:sz w:val="24"/>
              </w:rPr>
            </w:pPr>
          </w:p>
        </w:tc>
        <w:tc>
          <w:tcPr>
            <w:tcW w:w="6520" w:type="dxa"/>
          </w:tcPr>
          <w:p w14:paraId="06CDD108">
            <w:pPr>
              <w:pStyle w:val="34"/>
              <w:spacing w:before="240"/>
              <w:rPr>
                <w:rFonts w:ascii="Times New Roman"/>
                <w:sz w:val="24"/>
              </w:rPr>
            </w:pPr>
          </w:p>
        </w:tc>
        <w:tc>
          <w:tcPr>
            <w:tcW w:w="1276" w:type="dxa"/>
          </w:tcPr>
          <w:p w14:paraId="320F12E9">
            <w:pPr>
              <w:pStyle w:val="34"/>
              <w:spacing w:before="240"/>
              <w:rPr>
                <w:rFonts w:ascii="Times New Roman"/>
                <w:sz w:val="24"/>
              </w:rPr>
            </w:pPr>
          </w:p>
        </w:tc>
      </w:tr>
      <w:tr w14:paraId="6B443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3D738713">
            <w:pPr>
              <w:pStyle w:val="34"/>
              <w:spacing w:before="240"/>
              <w:rPr>
                <w:rFonts w:ascii="Times New Roman"/>
                <w:sz w:val="24"/>
              </w:rPr>
            </w:pPr>
          </w:p>
        </w:tc>
        <w:tc>
          <w:tcPr>
            <w:tcW w:w="6520" w:type="dxa"/>
          </w:tcPr>
          <w:p w14:paraId="23240D46">
            <w:pPr>
              <w:pStyle w:val="34"/>
              <w:spacing w:before="240"/>
              <w:rPr>
                <w:rFonts w:ascii="Times New Roman"/>
                <w:sz w:val="24"/>
              </w:rPr>
            </w:pPr>
          </w:p>
        </w:tc>
        <w:tc>
          <w:tcPr>
            <w:tcW w:w="1276" w:type="dxa"/>
          </w:tcPr>
          <w:p w14:paraId="04E29C63">
            <w:pPr>
              <w:pStyle w:val="34"/>
              <w:spacing w:before="240"/>
              <w:rPr>
                <w:rFonts w:ascii="Times New Roman"/>
                <w:sz w:val="24"/>
              </w:rPr>
            </w:pPr>
          </w:p>
        </w:tc>
      </w:tr>
      <w:tr w14:paraId="6B0A7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0E3A1AB0">
            <w:pPr>
              <w:pStyle w:val="34"/>
              <w:spacing w:before="240"/>
              <w:rPr>
                <w:rFonts w:ascii="Times New Roman"/>
                <w:sz w:val="24"/>
              </w:rPr>
            </w:pPr>
          </w:p>
        </w:tc>
        <w:tc>
          <w:tcPr>
            <w:tcW w:w="6520" w:type="dxa"/>
          </w:tcPr>
          <w:p w14:paraId="6FDD0C03">
            <w:pPr>
              <w:pStyle w:val="34"/>
              <w:spacing w:before="240"/>
              <w:rPr>
                <w:rFonts w:ascii="Times New Roman"/>
                <w:sz w:val="24"/>
              </w:rPr>
            </w:pPr>
          </w:p>
        </w:tc>
        <w:tc>
          <w:tcPr>
            <w:tcW w:w="1276" w:type="dxa"/>
          </w:tcPr>
          <w:p w14:paraId="54D8A5FB">
            <w:pPr>
              <w:pStyle w:val="34"/>
              <w:spacing w:before="240"/>
              <w:rPr>
                <w:rFonts w:ascii="Times New Roman"/>
                <w:sz w:val="24"/>
              </w:rPr>
            </w:pPr>
          </w:p>
        </w:tc>
      </w:tr>
      <w:tr w14:paraId="2B7A5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9294167">
            <w:pPr>
              <w:pStyle w:val="34"/>
              <w:spacing w:before="240"/>
              <w:rPr>
                <w:rFonts w:ascii="Times New Roman"/>
                <w:sz w:val="24"/>
              </w:rPr>
            </w:pPr>
          </w:p>
        </w:tc>
        <w:tc>
          <w:tcPr>
            <w:tcW w:w="6520" w:type="dxa"/>
          </w:tcPr>
          <w:p w14:paraId="6840770E">
            <w:pPr>
              <w:pStyle w:val="34"/>
              <w:spacing w:before="240"/>
              <w:rPr>
                <w:rFonts w:ascii="Times New Roman"/>
                <w:sz w:val="24"/>
              </w:rPr>
            </w:pPr>
          </w:p>
        </w:tc>
        <w:tc>
          <w:tcPr>
            <w:tcW w:w="1276" w:type="dxa"/>
          </w:tcPr>
          <w:p w14:paraId="1B47D6FB">
            <w:pPr>
              <w:pStyle w:val="34"/>
              <w:spacing w:before="240"/>
              <w:rPr>
                <w:rFonts w:ascii="Times New Roman"/>
                <w:sz w:val="24"/>
              </w:rPr>
            </w:pPr>
          </w:p>
        </w:tc>
      </w:tr>
      <w:tr w14:paraId="56547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410D362">
            <w:pPr>
              <w:pStyle w:val="34"/>
              <w:spacing w:before="240"/>
              <w:rPr>
                <w:rFonts w:ascii="Times New Roman"/>
                <w:sz w:val="24"/>
              </w:rPr>
            </w:pPr>
          </w:p>
        </w:tc>
        <w:tc>
          <w:tcPr>
            <w:tcW w:w="6520" w:type="dxa"/>
          </w:tcPr>
          <w:p w14:paraId="1F815048">
            <w:pPr>
              <w:pStyle w:val="34"/>
              <w:spacing w:before="240"/>
              <w:rPr>
                <w:rFonts w:ascii="Times New Roman"/>
                <w:sz w:val="24"/>
              </w:rPr>
            </w:pPr>
          </w:p>
        </w:tc>
        <w:tc>
          <w:tcPr>
            <w:tcW w:w="1276" w:type="dxa"/>
          </w:tcPr>
          <w:p w14:paraId="0F39D28A">
            <w:pPr>
              <w:pStyle w:val="34"/>
              <w:spacing w:before="240"/>
              <w:rPr>
                <w:rFonts w:ascii="Times New Roman"/>
                <w:sz w:val="24"/>
              </w:rPr>
            </w:pPr>
          </w:p>
        </w:tc>
      </w:tr>
      <w:tr w14:paraId="6E378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4343429">
            <w:pPr>
              <w:pStyle w:val="34"/>
              <w:spacing w:before="240"/>
              <w:rPr>
                <w:rFonts w:ascii="Times New Roman"/>
                <w:sz w:val="24"/>
              </w:rPr>
            </w:pPr>
          </w:p>
        </w:tc>
        <w:tc>
          <w:tcPr>
            <w:tcW w:w="6520" w:type="dxa"/>
          </w:tcPr>
          <w:p w14:paraId="66596E8D">
            <w:pPr>
              <w:pStyle w:val="34"/>
              <w:spacing w:before="240"/>
              <w:rPr>
                <w:rFonts w:ascii="Times New Roman"/>
                <w:sz w:val="24"/>
              </w:rPr>
            </w:pPr>
          </w:p>
        </w:tc>
        <w:tc>
          <w:tcPr>
            <w:tcW w:w="1276" w:type="dxa"/>
          </w:tcPr>
          <w:p w14:paraId="072B24DD">
            <w:pPr>
              <w:pStyle w:val="34"/>
              <w:spacing w:before="240"/>
              <w:rPr>
                <w:rFonts w:ascii="Times New Roman"/>
                <w:sz w:val="24"/>
              </w:rPr>
            </w:pPr>
          </w:p>
        </w:tc>
      </w:tr>
      <w:tr w14:paraId="0157D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5FAFCF87">
            <w:pPr>
              <w:pStyle w:val="34"/>
              <w:spacing w:before="240"/>
              <w:rPr>
                <w:rFonts w:ascii="Times New Roman"/>
                <w:sz w:val="24"/>
              </w:rPr>
            </w:pPr>
          </w:p>
        </w:tc>
        <w:tc>
          <w:tcPr>
            <w:tcW w:w="6520" w:type="dxa"/>
          </w:tcPr>
          <w:p w14:paraId="5062156D">
            <w:pPr>
              <w:pStyle w:val="34"/>
              <w:spacing w:before="240"/>
              <w:rPr>
                <w:rFonts w:ascii="Times New Roman"/>
                <w:sz w:val="24"/>
              </w:rPr>
            </w:pPr>
          </w:p>
        </w:tc>
        <w:tc>
          <w:tcPr>
            <w:tcW w:w="1276" w:type="dxa"/>
          </w:tcPr>
          <w:p w14:paraId="50810054">
            <w:pPr>
              <w:pStyle w:val="34"/>
              <w:spacing w:before="240"/>
              <w:rPr>
                <w:rFonts w:ascii="Times New Roman"/>
                <w:sz w:val="24"/>
              </w:rPr>
            </w:pPr>
          </w:p>
        </w:tc>
      </w:tr>
    </w:tbl>
    <w:p w14:paraId="229FD2CB">
      <w:pPr>
        <w:pStyle w:val="6"/>
        <w:tabs>
          <w:tab w:val="left" w:pos="4598"/>
        </w:tabs>
        <w:spacing w:before="240"/>
        <w:ind w:firstLine="480" w:firstLineChars="200"/>
        <w:rPr>
          <w:rFonts w:ascii="仿宋" w:hAnsi="仿宋" w:eastAsia="仿宋" w:cs="仿宋"/>
        </w:rPr>
      </w:pPr>
      <w:r>
        <w:rPr>
          <w:rFonts w:hint="eastAsia" w:ascii="仿宋" w:hAnsi="仿宋" w:eastAsia="仿宋" w:cs="仿宋"/>
        </w:rPr>
        <w:t>投标人名称（盖章</w:t>
      </w:r>
      <w:r>
        <w:rPr>
          <w:rFonts w:hint="eastAsia" w:ascii="仿宋" w:hAnsi="仿宋" w:eastAsia="仿宋" w:cs="仿宋"/>
          <w:spacing w:val="-120"/>
        </w:rPr>
        <w:t>）</w:t>
      </w:r>
      <w:r>
        <w:rPr>
          <w:rFonts w:hint="eastAsia" w:ascii="仿宋" w:hAnsi="仿宋" w:eastAsia="仿宋" w:cs="仿宋"/>
        </w:rPr>
        <w:t>：</w:t>
      </w:r>
      <w:r>
        <w:rPr>
          <w:rFonts w:hint="eastAsia" w:ascii="仿宋" w:hAnsi="仿宋" w:eastAsia="仿宋" w:cs="仿宋"/>
        </w:rPr>
        <w:tab/>
      </w:r>
      <w:r>
        <w:rPr>
          <w:rFonts w:hint="eastAsia" w:ascii="仿宋" w:hAnsi="仿宋" w:eastAsia="仿宋" w:cs="仿宋"/>
        </w:rPr>
        <w:t>法定代表人或授权代表签字：</w:t>
      </w:r>
    </w:p>
    <w:p w14:paraId="1C311D88">
      <w:pPr>
        <w:pStyle w:val="10"/>
        <w:spacing w:before="240"/>
        <w:rPr>
          <w:sz w:val="25"/>
        </w:rPr>
      </w:pPr>
    </w:p>
    <w:p w14:paraId="17CF3867">
      <w:pPr>
        <w:spacing w:before="240"/>
        <w:ind w:left="638"/>
        <w:rPr>
          <w:sz w:val="24"/>
        </w:rPr>
      </w:pPr>
      <w:r>
        <w:rPr>
          <w:b/>
          <w:sz w:val="24"/>
        </w:rPr>
        <w:t>注：</w:t>
      </w:r>
      <w:r>
        <w:rPr>
          <w:sz w:val="24"/>
        </w:rPr>
        <w:t>1.本表填写投标文件主要内容，以用于开标宣读。</w:t>
      </w:r>
    </w:p>
    <w:p w14:paraId="01FD15E2">
      <w:pPr>
        <w:spacing w:before="240"/>
        <w:ind w:left="1118"/>
        <w:rPr>
          <w:rFonts w:ascii="黑体" w:hAnsi="黑体" w:eastAsia="黑体" w:cs="黑体"/>
          <w:sz w:val="30"/>
          <w:szCs w:val="30"/>
          <w:lang w:val="en-US"/>
        </w:rPr>
        <w:sectPr>
          <w:footerReference r:id="rId5" w:type="default"/>
          <w:pgSz w:w="11910" w:h="16840"/>
          <w:pgMar w:top="1240" w:right="820" w:bottom="1180" w:left="780" w:header="506" w:footer="980" w:gutter="0"/>
          <w:pgNumType w:start="10"/>
          <w:cols w:space="720" w:num="1"/>
        </w:sectPr>
      </w:pPr>
      <w:r>
        <w:rPr>
          <w:sz w:val="24"/>
        </w:rPr>
        <w:t>2．“索引”一栏填写该主要内容对应于投标文件的“条款号/页号”。</w:t>
      </w:r>
    </w:p>
    <w:p w14:paraId="28DC9D49">
      <w:pPr>
        <w:pStyle w:val="6"/>
        <w:tabs>
          <w:tab w:val="left" w:pos="4598"/>
        </w:tabs>
        <w:spacing w:before="240"/>
        <w:ind w:left="0"/>
        <w:rPr>
          <w:lang w:val="en-US"/>
        </w:rPr>
        <w:sectPr>
          <w:headerReference r:id="rId6" w:type="default"/>
          <w:type w:val="continuous"/>
          <w:pgSz w:w="11910" w:h="16840"/>
          <w:pgMar w:top="1600" w:right="820" w:bottom="280" w:left="780" w:header="720" w:footer="720" w:gutter="0"/>
          <w:cols w:equalWidth="0" w:num="2">
            <w:col w:w="2777" w:space="857"/>
            <w:col w:w="6676"/>
          </w:cols>
        </w:sectPr>
      </w:pPr>
    </w:p>
    <w:p w14:paraId="39319792">
      <w:pPr>
        <w:spacing w:before="240"/>
        <w:ind w:left="638"/>
        <w:rPr>
          <w:rFonts w:ascii="Calibri" w:eastAsia="黑体"/>
          <w:b/>
          <w:sz w:val="28"/>
        </w:rPr>
      </w:pPr>
      <w:bookmarkStart w:id="22" w:name="_Hlk56424517"/>
      <w:r>
        <w:rPr>
          <w:rFonts w:hint="eastAsia" w:ascii="黑体" w:eastAsia="黑体"/>
          <w:b/>
          <w:sz w:val="28"/>
        </w:rPr>
        <w:t>格式</w:t>
      </w:r>
      <w:r>
        <w:rPr>
          <w:rFonts w:hint="eastAsia" w:ascii="Calibri"/>
          <w:b/>
          <w:sz w:val="28"/>
          <w:lang w:val="en-US"/>
        </w:rPr>
        <w:t>3</w:t>
      </w:r>
    </w:p>
    <w:p w14:paraId="3668DA2C">
      <w:pPr>
        <w:tabs>
          <w:tab w:val="left" w:pos="1463"/>
          <w:tab w:val="left" w:pos="1989"/>
          <w:tab w:val="left" w:pos="2515"/>
          <w:tab w:val="left" w:pos="3052"/>
        </w:tabs>
        <w:spacing w:before="240"/>
        <w:ind w:left="624" w:right="6365" w:firstLine="14"/>
        <w:rPr>
          <w:spacing w:val="-15"/>
        </w:rPr>
      </w:pPr>
      <w:r>
        <w:t>项目名称：</w:t>
      </w:r>
      <w:r>
        <w:rPr>
          <w:u w:val="single"/>
        </w:rPr>
        <w:tab/>
      </w:r>
      <w:r>
        <w:rPr>
          <w:u w:val="single"/>
        </w:rPr>
        <w:tab/>
      </w:r>
      <w:r>
        <w:rPr>
          <w:u w:val="single"/>
        </w:rPr>
        <w:tab/>
      </w:r>
      <w:r>
        <w:t>(XX项目</w:t>
      </w:r>
      <w:r>
        <w:rPr>
          <w:spacing w:val="-15"/>
        </w:rPr>
        <w:t>)</w:t>
      </w:r>
    </w:p>
    <w:p w14:paraId="08C521EC">
      <w:pPr>
        <w:tabs>
          <w:tab w:val="left" w:pos="1478"/>
          <w:tab w:val="left" w:pos="2003"/>
          <w:tab w:val="left" w:pos="2527"/>
        </w:tabs>
        <w:spacing w:before="240"/>
        <w:ind w:left="638"/>
      </w:pPr>
      <w:r>
        <w:rPr>
          <w:rFonts w:hint="eastAsia"/>
        </w:rPr>
        <w:t>所投包次：</w:t>
      </w:r>
    </w:p>
    <w:p w14:paraId="0D6C20D8">
      <w:pPr>
        <w:tabs>
          <w:tab w:val="left" w:pos="1478"/>
          <w:tab w:val="left" w:pos="2003"/>
          <w:tab w:val="left" w:pos="2527"/>
        </w:tabs>
        <w:spacing w:before="240"/>
        <w:ind w:left="638"/>
      </w:pPr>
      <w:r>
        <w:t>日期：</w:t>
      </w:r>
      <w:r>
        <w:tab/>
      </w:r>
      <w:r>
        <w:t>年</w:t>
      </w:r>
      <w:r>
        <w:tab/>
      </w:r>
      <w:r>
        <w:t>月</w:t>
      </w:r>
      <w:r>
        <w:tab/>
      </w:r>
      <w:r>
        <w:t>日</w:t>
      </w:r>
    </w:p>
    <w:tbl>
      <w:tblPr>
        <w:tblStyle w:val="23"/>
        <w:tblpPr w:leftFromText="180" w:rightFromText="180" w:vertAnchor="text" w:horzAnchor="page" w:tblpX="884" w:tblpY="387"/>
        <w:tblOverlap w:val="never"/>
        <w:tblW w:w="4285" w:type="pct"/>
        <w:tblInd w:w="0" w:type="dxa"/>
        <w:tblLayout w:type="fixed"/>
        <w:tblCellMar>
          <w:top w:w="0" w:type="dxa"/>
          <w:left w:w="108" w:type="dxa"/>
          <w:bottom w:w="0" w:type="dxa"/>
          <w:right w:w="108" w:type="dxa"/>
        </w:tblCellMar>
      </w:tblPr>
      <w:tblGrid>
        <w:gridCol w:w="453"/>
        <w:gridCol w:w="1102"/>
        <w:gridCol w:w="1678"/>
        <w:gridCol w:w="917"/>
        <w:gridCol w:w="995"/>
        <w:gridCol w:w="721"/>
        <w:gridCol w:w="1058"/>
        <w:gridCol w:w="700"/>
        <w:gridCol w:w="1212"/>
      </w:tblGrid>
      <w:tr w14:paraId="1A42E8D5">
        <w:tblPrEx>
          <w:tblCellMar>
            <w:top w:w="0" w:type="dxa"/>
            <w:left w:w="108" w:type="dxa"/>
            <w:bottom w:w="0" w:type="dxa"/>
            <w:right w:w="108" w:type="dxa"/>
          </w:tblCellMar>
        </w:tblPrEx>
        <w:trPr>
          <w:trHeight w:val="966" w:hRule="atLeast"/>
        </w:trPr>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60C9">
            <w:pPr>
              <w:widowControl/>
              <w:jc w:val="center"/>
              <w:textAlignment w:val="center"/>
              <w:rPr>
                <w:color w:val="000000"/>
                <w:sz w:val="20"/>
                <w:szCs w:val="20"/>
                <w:lang w:val="en-US" w:bidi="ar"/>
              </w:rPr>
            </w:pPr>
            <w:bookmarkStart w:id="23" w:name="OLE_LINK6"/>
            <w:bookmarkStart w:id="24" w:name="OLE_LINK5"/>
            <w:r>
              <w:rPr>
                <w:rFonts w:hint="eastAsia"/>
                <w:color w:val="000000"/>
                <w:sz w:val="20"/>
                <w:szCs w:val="20"/>
                <w:lang w:val="en-US" w:bidi="ar"/>
              </w:rPr>
              <w:t>项目总报价</w:t>
            </w:r>
          </w:p>
          <w:p w14:paraId="2DADE89B">
            <w:pPr>
              <w:widowControl/>
              <w:jc w:val="center"/>
              <w:textAlignment w:val="center"/>
              <w:rPr>
                <w:color w:val="000000"/>
                <w:sz w:val="20"/>
                <w:szCs w:val="20"/>
              </w:rPr>
            </w:pPr>
            <w:r>
              <w:rPr>
                <w:rFonts w:hint="eastAsia"/>
                <w:color w:val="000000"/>
                <w:sz w:val="20"/>
                <w:szCs w:val="20"/>
                <w:lang w:val="en-US" w:bidi="ar"/>
              </w:rPr>
              <w:t>（人民币，元/不含税）</w:t>
            </w:r>
          </w:p>
        </w:tc>
        <w:tc>
          <w:tcPr>
            <w:tcW w:w="9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73F5">
            <w:pPr>
              <w:rPr>
                <w:color w:val="000000"/>
                <w:sz w:val="20"/>
                <w:szCs w:val="20"/>
              </w:rPr>
            </w:pPr>
          </w:p>
        </w:tc>
        <w:tc>
          <w:tcPr>
            <w:tcW w:w="14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15AB">
            <w:pPr>
              <w:widowControl/>
              <w:jc w:val="center"/>
              <w:textAlignment w:val="center"/>
              <w:rPr>
                <w:color w:val="000000"/>
                <w:sz w:val="20"/>
                <w:szCs w:val="20"/>
                <w:lang w:val="en-US" w:bidi="ar"/>
              </w:rPr>
            </w:pPr>
            <w:r>
              <w:rPr>
                <w:rFonts w:hint="eastAsia"/>
                <w:color w:val="000000"/>
                <w:sz w:val="20"/>
                <w:szCs w:val="20"/>
                <w:lang w:val="en-US" w:bidi="ar"/>
              </w:rPr>
              <w:t>项目总报价</w:t>
            </w:r>
          </w:p>
          <w:p w14:paraId="211303BB">
            <w:pPr>
              <w:widowControl/>
              <w:jc w:val="center"/>
              <w:textAlignment w:val="center"/>
              <w:rPr>
                <w:color w:val="000000"/>
                <w:sz w:val="20"/>
                <w:szCs w:val="20"/>
              </w:rPr>
            </w:pPr>
            <w:r>
              <w:rPr>
                <w:rFonts w:hint="eastAsia"/>
                <w:color w:val="000000"/>
                <w:sz w:val="20"/>
                <w:szCs w:val="20"/>
                <w:lang w:val="en-US" w:bidi="ar"/>
              </w:rPr>
              <w:t>（人民币，元/含税）</w:t>
            </w:r>
          </w:p>
        </w:tc>
        <w:tc>
          <w:tcPr>
            <w:tcW w:w="168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F55A">
            <w:pPr>
              <w:jc w:val="center"/>
              <w:rPr>
                <w:color w:val="000000"/>
                <w:sz w:val="20"/>
                <w:szCs w:val="20"/>
              </w:rPr>
            </w:pPr>
          </w:p>
        </w:tc>
      </w:tr>
      <w:tr w14:paraId="59806E6C">
        <w:tblPrEx>
          <w:tblCellMar>
            <w:top w:w="0" w:type="dxa"/>
            <w:left w:w="108" w:type="dxa"/>
            <w:bottom w:w="0" w:type="dxa"/>
            <w:right w:w="108" w:type="dxa"/>
          </w:tblCellMar>
        </w:tblPrEx>
        <w:trPr>
          <w:trHeight w:val="1714" w:hRule="atLeast"/>
        </w:trPr>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3D5DB">
            <w:pPr>
              <w:widowControl/>
              <w:jc w:val="center"/>
              <w:textAlignment w:val="center"/>
              <w:rPr>
                <w:color w:val="000000"/>
                <w:sz w:val="20"/>
                <w:szCs w:val="20"/>
              </w:rPr>
            </w:pPr>
            <w:r>
              <w:rPr>
                <w:rFonts w:hint="eastAsia"/>
                <w:color w:val="000000"/>
                <w:sz w:val="20"/>
                <w:szCs w:val="20"/>
                <w:lang w:val="en-US" w:bidi="ar"/>
              </w:rPr>
              <w:t>是否响应本招标书的各项条款及要求（如响应，在该栏中填写“是”字；如不响应，在该栏中填写“否”字并在相关条款偏离表中予以具体注明）</w:t>
            </w:r>
          </w:p>
        </w:tc>
        <w:tc>
          <w:tcPr>
            <w:tcW w:w="412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CCA8">
            <w:pPr>
              <w:jc w:val="center"/>
              <w:rPr>
                <w:color w:val="000000"/>
                <w:sz w:val="20"/>
                <w:szCs w:val="20"/>
              </w:rPr>
            </w:pPr>
          </w:p>
        </w:tc>
      </w:tr>
      <w:tr w14:paraId="7D199F5D">
        <w:tblPrEx>
          <w:tblCellMar>
            <w:top w:w="0" w:type="dxa"/>
            <w:left w:w="108" w:type="dxa"/>
            <w:bottom w:w="0" w:type="dxa"/>
            <w:right w:w="108"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BCF27">
            <w:pPr>
              <w:widowControl/>
              <w:jc w:val="center"/>
              <w:textAlignment w:val="center"/>
              <w:rPr>
                <w:b/>
                <w:bCs/>
                <w:color w:val="0F1115"/>
                <w:sz w:val="20"/>
                <w:szCs w:val="20"/>
              </w:rPr>
            </w:pPr>
            <w:r>
              <w:rPr>
                <w:rFonts w:hint="eastAsia"/>
                <w:b/>
                <w:bCs/>
                <w:color w:val="0F1115"/>
                <w:sz w:val="20"/>
                <w:szCs w:val="20"/>
                <w:lang w:val="en-US" w:bidi="ar"/>
              </w:rPr>
              <w:t>序号</w:t>
            </w: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8BC6C">
            <w:pPr>
              <w:widowControl/>
              <w:jc w:val="center"/>
              <w:textAlignment w:val="center"/>
              <w:rPr>
                <w:b/>
                <w:bCs/>
                <w:color w:val="0F1115"/>
                <w:sz w:val="20"/>
                <w:szCs w:val="20"/>
              </w:rPr>
            </w:pPr>
            <w:r>
              <w:rPr>
                <w:rFonts w:hint="eastAsia"/>
                <w:b/>
                <w:bCs/>
                <w:color w:val="0F1115"/>
                <w:sz w:val="20"/>
                <w:szCs w:val="20"/>
                <w:lang w:val="en-US" w:bidi="ar"/>
              </w:rPr>
              <w:t>项目</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6506E">
            <w:pPr>
              <w:widowControl/>
              <w:jc w:val="center"/>
              <w:textAlignment w:val="center"/>
              <w:rPr>
                <w:b/>
                <w:bCs/>
                <w:color w:val="0F1115"/>
                <w:sz w:val="20"/>
                <w:szCs w:val="20"/>
              </w:rPr>
            </w:pPr>
            <w:r>
              <w:rPr>
                <w:rFonts w:hint="eastAsia"/>
                <w:b/>
                <w:bCs/>
                <w:color w:val="0F1115"/>
                <w:sz w:val="20"/>
                <w:szCs w:val="20"/>
                <w:lang w:val="en-US" w:bidi="ar"/>
              </w:rPr>
              <w:t>类别</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E5D63">
            <w:pPr>
              <w:widowControl/>
              <w:jc w:val="center"/>
              <w:textAlignment w:val="center"/>
              <w:rPr>
                <w:b/>
                <w:bCs/>
                <w:color w:val="0F1115"/>
                <w:sz w:val="20"/>
                <w:szCs w:val="20"/>
              </w:rPr>
            </w:pPr>
            <w:r>
              <w:rPr>
                <w:rFonts w:hint="eastAsia"/>
                <w:b/>
                <w:bCs/>
                <w:color w:val="0F1115"/>
                <w:sz w:val="20"/>
                <w:szCs w:val="20"/>
                <w:lang w:val="en-US" w:bidi="ar"/>
              </w:rPr>
              <w:t>计价单位</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77078">
            <w:pPr>
              <w:widowControl/>
              <w:jc w:val="center"/>
              <w:textAlignment w:val="center"/>
              <w:rPr>
                <w:b/>
                <w:bCs/>
                <w:color w:val="0F1115"/>
                <w:sz w:val="20"/>
                <w:szCs w:val="20"/>
              </w:rPr>
            </w:pPr>
            <w:r>
              <w:rPr>
                <w:rFonts w:hint="eastAsia"/>
                <w:b/>
                <w:bCs/>
                <w:color w:val="0F1115"/>
                <w:sz w:val="20"/>
                <w:szCs w:val="20"/>
                <w:lang w:val="en-US" w:bidi="ar"/>
              </w:rPr>
              <w:t>3年业务量（万元）</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A4736">
            <w:pPr>
              <w:widowControl/>
              <w:jc w:val="center"/>
              <w:textAlignment w:val="center"/>
              <w:rPr>
                <w:b/>
                <w:bCs/>
                <w:color w:val="0F1115"/>
                <w:sz w:val="20"/>
                <w:szCs w:val="20"/>
              </w:rPr>
            </w:pPr>
            <w:r>
              <w:rPr>
                <w:rFonts w:hint="eastAsia"/>
                <w:b/>
                <w:bCs/>
                <w:color w:val="0F1115"/>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15B6A">
            <w:pPr>
              <w:widowControl/>
              <w:jc w:val="center"/>
              <w:textAlignment w:val="center"/>
              <w:rPr>
                <w:b/>
                <w:bCs/>
                <w:color w:val="0F1115"/>
                <w:sz w:val="20"/>
                <w:szCs w:val="20"/>
              </w:rPr>
            </w:pPr>
            <w:r>
              <w:rPr>
                <w:rFonts w:hint="eastAsia"/>
                <w:b/>
                <w:bCs/>
                <w:color w:val="0F1115"/>
                <w:sz w:val="20"/>
                <w:szCs w:val="20"/>
                <w:lang w:val="en-US" w:bidi="ar"/>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11B30">
            <w:pPr>
              <w:widowControl/>
              <w:jc w:val="center"/>
              <w:textAlignment w:val="center"/>
              <w:rPr>
                <w:b/>
                <w:bCs/>
                <w:color w:val="0F1115"/>
                <w:sz w:val="20"/>
                <w:szCs w:val="20"/>
              </w:rPr>
            </w:pPr>
            <w:r>
              <w:rPr>
                <w:rFonts w:hint="eastAsia"/>
                <w:b/>
                <w:bCs/>
                <w:color w:val="0F1115"/>
                <w:sz w:val="20"/>
                <w:szCs w:val="20"/>
                <w:lang w:val="en-US" w:bidi="ar"/>
              </w:rPr>
              <w:t>税率</w:t>
            </w: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E8218">
            <w:pPr>
              <w:widowControl/>
              <w:jc w:val="center"/>
              <w:textAlignment w:val="center"/>
              <w:rPr>
                <w:b/>
                <w:bCs/>
                <w:color w:val="0F1115"/>
                <w:sz w:val="20"/>
                <w:szCs w:val="20"/>
              </w:rPr>
            </w:pPr>
            <w:r>
              <w:rPr>
                <w:rFonts w:hint="eastAsia"/>
                <w:b/>
                <w:bCs/>
                <w:color w:val="0F1115"/>
                <w:sz w:val="20"/>
                <w:szCs w:val="20"/>
                <w:lang w:val="en-US" w:bidi="ar"/>
              </w:rPr>
              <w:t>备注</w:t>
            </w:r>
          </w:p>
        </w:tc>
      </w:tr>
      <w:tr w14:paraId="3BE0B4C8">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EF343">
            <w:pPr>
              <w:widowControl/>
              <w:jc w:val="center"/>
              <w:textAlignment w:val="center"/>
              <w:rPr>
                <w:color w:val="0F1115"/>
                <w:sz w:val="20"/>
                <w:szCs w:val="20"/>
              </w:rPr>
            </w:pPr>
            <w:r>
              <w:rPr>
                <w:rFonts w:hint="eastAsia"/>
                <w:color w:val="0F1115"/>
                <w:sz w:val="20"/>
                <w:szCs w:val="20"/>
                <w:lang w:val="en-US" w:bidi="ar"/>
              </w:rPr>
              <w:t>1</w:t>
            </w: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A0C5F">
            <w:pPr>
              <w:widowControl/>
              <w:jc w:val="center"/>
              <w:textAlignment w:val="center"/>
              <w:rPr>
                <w:color w:val="0F1115"/>
                <w:sz w:val="20"/>
                <w:szCs w:val="20"/>
              </w:rPr>
            </w:pPr>
            <w:r>
              <w:rPr>
                <w:rFonts w:hint="eastAsia"/>
                <w:color w:val="0F1115"/>
                <w:sz w:val="20"/>
                <w:szCs w:val="20"/>
                <w:lang w:val="en-US" w:bidi="ar"/>
              </w:rPr>
              <w:t>仓储场地</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B8263">
            <w:pPr>
              <w:widowControl/>
              <w:jc w:val="center"/>
              <w:textAlignment w:val="center"/>
              <w:rPr>
                <w:color w:val="0F1115"/>
                <w:sz w:val="20"/>
                <w:szCs w:val="20"/>
              </w:rPr>
            </w:pPr>
            <w:r>
              <w:rPr>
                <w:rFonts w:hint="eastAsia"/>
                <w:color w:val="0F1115"/>
                <w:sz w:val="20"/>
                <w:szCs w:val="20"/>
                <w:lang w:val="en-US" w:bidi="ar"/>
              </w:rPr>
              <w:t>仓储服务费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B2EA0">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B2DC2">
            <w:pPr>
              <w:widowControl/>
              <w:jc w:val="center"/>
              <w:textAlignment w:val="center"/>
              <w:rPr>
                <w:color w:val="0F1115"/>
                <w:sz w:val="20"/>
                <w:szCs w:val="20"/>
                <w:lang w:val="en-US"/>
              </w:rPr>
            </w:pPr>
            <w:r>
              <w:rPr>
                <w:rFonts w:hint="eastAsia"/>
                <w:color w:val="0F1115"/>
                <w:sz w:val="20"/>
                <w:szCs w:val="20"/>
                <w:lang w:val="en-US" w:bidi="ar"/>
              </w:rPr>
              <w:t>677814.87</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2CC94">
            <w:pPr>
              <w:widowControl/>
              <w:jc w:val="center"/>
              <w:textAlignment w:val="center"/>
              <w:rPr>
                <w:color w:val="0F1115"/>
                <w:sz w:val="20"/>
                <w:szCs w:val="20"/>
              </w:rPr>
            </w:pPr>
            <w:r>
              <w:rPr>
                <w:rFonts w:hint="eastAsia"/>
                <w:color w:val="0F1115"/>
                <w:sz w:val="20"/>
                <w:szCs w:val="20"/>
                <w:lang w:val="en-US" w:bidi="ar"/>
              </w:rPr>
              <w:t>4.87‰</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A5BCA">
            <w:pPr>
              <w:widowControl/>
              <w:jc w:val="center"/>
              <w:textAlignment w:val="center"/>
              <w:rPr>
                <w:color w:val="0F1115"/>
                <w:sz w:val="20"/>
                <w:szCs w:val="20"/>
                <w:lang w:val="en-US"/>
              </w:rPr>
            </w:pPr>
            <w:r>
              <w:rPr>
                <w:rFonts w:hint="eastAsia"/>
                <w:color w:val="0F1115"/>
                <w:sz w:val="20"/>
                <w:szCs w:val="20"/>
                <w:lang w:val="en-US" w:bidi="ar"/>
              </w:rPr>
              <w:t>3300.78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853B3">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7DD2E">
            <w:pPr>
              <w:jc w:val="center"/>
              <w:rPr>
                <w:color w:val="0F1115"/>
                <w:sz w:val="20"/>
                <w:szCs w:val="20"/>
              </w:rPr>
            </w:pPr>
          </w:p>
        </w:tc>
      </w:tr>
      <w:tr w14:paraId="4EF65951">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7323C">
            <w:pPr>
              <w:widowControl/>
              <w:jc w:val="center"/>
              <w:textAlignment w:val="center"/>
              <w:rPr>
                <w:color w:val="0F1115"/>
                <w:sz w:val="20"/>
                <w:szCs w:val="20"/>
                <w:lang w:val="en-US" w:bidi="ar"/>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9A69D">
            <w:pPr>
              <w:widowControl/>
              <w:jc w:val="center"/>
              <w:textAlignment w:val="center"/>
              <w:rPr>
                <w:b/>
                <w:bCs/>
                <w:color w:val="0F1115"/>
                <w:sz w:val="20"/>
                <w:szCs w:val="20"/>
                <w:lang w:val="en-US"/>
              </w:rPr>
            </w:pPr>
            <w:r>
              <w:rPr>
                <w:rFonts w:hint="eastAsia"/>
                <w:b/>
                <w:bCs/>
                <w:color w:val="0F1115"/>
                <w:sz w:val="20"/>
                <w:szCs w:val="20"/>
                <w:lang w:val="en-US" w:bidi="ar"/>
              </w:rPr>
              <w:t>项目</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5D809B">
            <w:pPr>
              <w:widowControl/>
              <w:jc w:val="center"/>
              <w:textAlignment w:val="center"/>
              <w:rPr>
                <w:b/>
                <w:bCs/>
                <w:color w:val="0F1115"/>
                <w:sz w:val="20"/>
                <w:szCs w:val="20"/>
                <w:lang w:val="en-US"/>
              </w:rPr>
            </w:pPr>
            <w:r>
              <w:rPr>
                <w:rFonts w:hint="eastAsia"/>
                <w:b/>
                <w:bCs/>
                <w:color w:val="0F1115"/>
                <w:sz w:val="20"/>
                <w:szCs w:val="20"/>
                <w:lang w:val="en-US" w:bidi="ar"/>
              </w:rPr>
              <w:t>类别</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D73FB">
            <w:pPr>
              <w:widowControl/>
              <w:jc w:val="center"/>
              <w:textAlignment w:val="center"/>
              <w:rPr>
                <w:b/>
                <w:bCs/>
                <w:color w:val="0F1115"/>
                <w:sz w:val="20"/>
                <w:szCs w:val="20"/>
                <w:lang w:val="en-US"/>
              </w:rPr>
            </w:pPr>
            <w:r>
              <w:rPr>
                <w:rFonts w:hint="eastAsia"/>
                <w:b/>
                <w:bCs/>
                <w:color w:val="0F1115"/>
                <w:sz w:val="20"/>
                <w:szCs w:val="20"/>
                <w:lang w:val="en-US" w:bidi="ar"/>
              </w:rPr>
              <w:t>计价单位</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C0E43">
            <w:pPr>
              <w:widowControl/>
              <w:jc w:val="center"/>
              <w:textAlignment w:val="center"/>
              <w:rPr>
                <w:b/>
                <w:bCs/>
                <w:color w:val="0F1115"/>
                <w:sz w:val="20"/>
                <w:szCs w:val="20"/>
                <w:lang w:val="en-US"/>
              </w:rPr>
            </w:pPr>
            <w:r>
              <w:rPr>
                <w:rFonts w:hint="eastAsia"/>
                <w:b/>
                <w:bCs/>
                <w:color w:val="0F1115"/>
                <w:sz w:val="20"/>
                <w:szCs w:val="20"/>
                <w:lang w:val="en-US" w:bidi="ar"/>
              </w:rPr>
              <w:t>3年业务量（件）</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D0B96">
            <w:pPr>
              <w:widowControl/>
              <w:jc w:val="center"/>
              <w:textAlignment w:val="center"/>
              <w:rPr>
                <w:b/>
                <w:bCs/>
                <w:color w:val="0F1115"/>
                <w:sz w:val="20"/>
                <w:szCs w:val="20"/>
                <w:lang w:val="en-US"/>
              </w:rPr>
            </w:pPr>
            <w:r>
              <w:rPr>
                <w:rFonts w:hint="eastAsia"/>
                <w:b/>
                <w:bCs/>
                <w:color w:val="0F1115"/>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5F7FC">
            <w:pPr>
              <w:widowControl/>
              <w:jc w:val="center"/>
              <w:textAlignment w:val="center"/>
              <w:rPr>
                <w:b/>
                <w:bCs/>
                <w:color w:val="0F1115"/>
                <w:sz w:val="20"/>
                <w:szCs w:val="20"/>
                <w:lang w:val="en-US"/>
              </w:rPr>
            </w:pPr>
            <w:r>
              <w:rPr>
                <w:rFonts w:hint="eastAsia"/>
                <w:b/>
                <w:bCs/>
                <w:color w:val="0F1115"/>
                <w:sz w:val="20"/>
                <w:szCs w:val="20"/>
                <w:lang w:val="en-US" w:bidi="ar"/>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6FC6F">
            <w:pPr>
              <w:widowControl/>
              <w:jc w:val="center"/>
              <w:textAlignment w:val="center"/>
              <w:rPr>
                <w:b/>
                <w:bCs/>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AB1E7">
            <w:pPr>
              <w:widowControl/>
              <w:jc w:val="center"/>
              <w:textAlignment w:val="center"/>
              <w:rPr>
                <w:b/>
                <w:bCs/>
                <w:color w:val="0F1115"/>
                <w:sz w:val="20"/>
                <w:szCs w:val="20"/>
              </w:rPr>
            </w:pPr>
            <w:r>
              <w:rPr>
                <w:rFonts w:hint="eastAsia"/>
                <w:b/>
                <w:bCs/>
                <w:color w:val="0F1115"/>
                <w:sz w:val="20"/>
                <w:szCs w:val="20"/>
                <w:lang w:val="en-US" w:bidi="ar"/>
              </w:rPr>
              <w:t>备注</w:t>
            </w:r>
          </w:p>
        </w:tc>
      </w:tr>
      <w:tr w14:paraId="61482F3D">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67FFA">
            <w:pPr>
              <w:widowControl/>
              <w:jc w:val="center"/>
              <w:textAlignment w:val="center"/>
              <w:rPr>
                <w:color w:val="0F1115"/>
                <w:sz w:val="20"/>
                <w:szCs w:val="20"/>
              </w:rPr>
            </w:pPr>
            <w:r>
              <w:rPr>
                <w:rFonts w:hint="eastAsia"/>
                <w:color w:val="0F1115"/>
                <w:sz w:val="20"/>
                <w:szCs w:val="20"/>
                <w:lang w:val="en-US" w:bidi="ar"/>
              </w:rPr>
              <w:t>2</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04FA95">
            <w:pPr>
              <w:widowControl/>
              <w:jc w:val="center"/>
              <w:textAlignment w:val="center"/>
              <w:rPr>
                <w:color w:val="0F1115"/>
                <w:sz w:val="20"/>
                <w:szCs w:val="20"/>
              </w:rPr>
            </w:pPr>
            <w:r>
              <w:rPr>
                <w:rFonts w:hint="eastAsia"/>
                <w:color w:val="0F1115"/>
                <w:sz w:val="20"/>
                <w:szCs w:val="20"/>
                <w:lang w:val="en-US" w:bidi="ar"/>
              </w:rPr>
              <w:t>总成包装服务</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02910">
            <w:pPr>
              <w:widowControl/>
              <w:jc w:val="center"/>
              <w:textAlignment w:val="center"/>
              <w:rPr>
                <w:color w:val="0F1115"/>
                <w:sz w:val="20"/>
                <w:szCs w:val="20"/>
              </w:rPr>
            </w:pPr>
            <w:r>
              <w:rPr>
                <w:rFonts w:hint="eastAsia"/>
                <w:color w:val="0F1115"/>
                <w:sz w:val="20"/>
                <w:szCs w:val="20"/>
                <w:lang w:val="en-US" w:bidi="ar"/>
              </w:rPr>
              <w:t>驾驶室包装操作费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0E4D5">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72924">
            <w:pPr>
              <w:widowControl/>
              <w:jc w:val="center"/>
              <w:textAlignment w:val="center"/>
              <w:rPr>
                <w:color w:val="0F1115"/>
                <w:sz w:val="20"/>
                <w:szCs w:val="20"/>
                <w:lang w:val="en-US"/>
              </w:rPr>
            </w:pPr>
            <w:r>
              <w:rPr>
                <w:rFonts w:hint="eastAsia"/>
                <w:color w:val="0F1115"/>
                <w:sz w:val="20"/>
                <w:szCs w:val="20"/>
                <w:lang w:val="en-US" w:bidi="ar"/>
              </w:rPr>
              <w:t>18000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19F86">
            <w:pPr>
              <w:widowControl/>
              <w:jc w:val="center"/>
              <w:textAlignment w:val="center"/>
              <w:rPr>
                <w:color w:val="0F1115"/>
                <w:sz w:val="20"/>
                <w:szCs w:val="20"/>
              </w:rPr>
            </w:pPr>
            <w:r>
              <w:rPr>
                <w:rFonts w:hint="eastAsia"/>
                <w:color w:val="0F1115"/>
                <w:sz w:val="20"/>
                <w:szCs w:val="20"/>
                <w:lang w:val="en-US" w:bidi="ar"/>
              </w:rPr>
              <w:t>50元/件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D3385">
            <w:pPr>
              <w:widowControl/>
              <w:jc w:val="center"/>
              <w:textAlignment w:val="center"/>
              <w:rPr>
                <w:color w:val="0F1115"/>
                <w:sz w:val="20"/>
                <w:szCs w:val="20"/>
                <w:lang w:val="en-US"/>
              </w:rPr>
            </w:pPr>
            <w:r>
              <w:rPr>
                <w:rFonts w:hint="eastAsia"/>
                <w:color w:val="0F1115"/>
                <w:sz w:val="20"/>
                <w:szCs w:val="20"/>
                <w:lang w:val="en-US" w:bidi="ar"/>
              </w:rPr>
              <w:t>90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35A5E">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EEA85">
            <w:pPr>
              <w:jc w:val="center"/>
              <w:rPr>
                <w:color w:val="0F1115"/>
                <w:sz w:val="20"/>
                <w:szCs w:val="20"/>
              </w:rPr>
            </w:pPr>
          </w:p>
        </w:tc>
      </w:tr>
      <w:tr w14:paraId="00B87AAC">
        <w:tblPrEx>
          <w:tblCellMar>
            <w:top w:w="0" w:type="dxa"/>
            <w:left w:w="108" w:type="dxa"/>
            <w:bottom w:w="0" w:type="dxa"/>
            <w:right w:w="108" w:type="dxa"/>
          </w:tblCellMar>
        </w:tblPrEx>
        <w:trPr>
          <w:trHeight w:val="31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25D04">
            <w:pPr>
              <w:widowControl/>
              <w:jc w:val="center"/>
              <w:textAlignment w:val="center"/>
              <w:rPr>
                <w:color w:val="0F1115"/>
                <w:sz w:val="20"/>
                <w:szCs w:val="20"/>
              </w:rPr>
            </w:pPr>
            <w:r>
              <w:rPr>
                <w:rFonts w:hint="eastAsia"/>
                <w:color w:val="0F1115"/>
                <w:sz w:val="20"/>
                <w:szCs w:val="20"/>
                <w:lang w:val="en-US" w:bidi="ar"/>
              </w:rPr>
              <w:t>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F994E">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A2748">
            <w:pPr>
              <w:widowControl/>
              <w:jc w:val="center"/>
              <w:textAlignment w:val="center"/>
              <w:rPr>
                <w:color w:val="0F1115"/>
                <w:sz w:val="20"/>
                <w:szCs w:val="20"/>
              </w:rPr>
            </w:pPr>
            <w:r>
              <w:rPr>
                <w:rFonts w:hint="eastAsia"/>
                <w:color w:val="0F1115"/>
                <w:sz w:val="20"/>
                <w:szCs w:val="20"/>
                <w:lang w:val="en-US" w:bidi="ar"/>
              </w:rPr>
              <w:t>驾驶室包材费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76F1C">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27592">
            <w:pPr>
              <w:widowControl/>
              <w:jc w:val="center"/>
              <w:textAlignment w:val="center"/>
              <w:rPr>
                <w:color w:val="0F1115"/>
                <w:sz w:val="20"/>
                <w:szCs w:val="20"/>
              </w:rPr>
            </w:pPr>
            <w:r>
              <w:rPr>
                <w:rFonts w:hint="eastAsia"/>
                <w:color w:val="0F1115"/>
                <w:sz w:val="20"/>
                <w:szCs w:val="20"/>
                <w:lang w:val="en-US" w:bidi="ar"/>
              </w:rPr>
              <w:t>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E26F9">
            <w:pPr>
              <w:widowControl/>
              <w:jc w:val="center"/>
              <w:textAlignment w:val="center"/>
              <w:rPr>
                <w:color w:val="0F1115"/>
                <w:sz w:val="20"/>
                <w:szCs w:val="20"/>
              </w:rPr>
            </w:pPr>
            <w:r>
              <w:rPr>
                <w:rFonts w:hint="eastAsia"/>
                <w:color w:val="0F1115"/>
                <w:sz w:val="20"/>
                <w:szCs w:val="20"/>
                <w:lang w:val="en-US" w:bidi="ar"/>
              </w:rPr>
              <w:t>0</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62A2E">
            <w:pPr>
              <w:widowControl/>
              <w:jc w:val="center"/>
              <w:textAlignment w:val="center"/>
              <w:rPr>
                <w:color w:val="0F1115"/>
                <w:sz w:val="20"/>
                <w:szCs w:val="20"/>
              </w:rPr>
            </w:pPr>
            <w:r>
              <w:rPr>
                <w:rFonts w:hint="eastAsia"/>
                <w:color w:val="0F1115"/>
                <w:sz w:val="20"/>
                <w:szCs w:val="20"/>
                <w:lang w:val="en-US" w:bidi="ar"/>
              </w:rPr>
              <w:t>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E762A">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379E8">
            <w:pPr>
              <w:jc w:val="center"/>
              <w:rPr>
                <w:color w:val="0F1115"/>
                <w:sz w:val="20"/>
                <w:szCs w:val="20"/>
              </w:rPr>
            </w:pPr>
          </w:p>
        </w:tc>
      </w:tr>
      <w:tr w14:paraId="729A634B">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7068F">
            <w:pPr>
              <w:widowControl/>
              <w:jc w:val="center"/>
              <w:textAlignment w:val="center"/>
              <w:rPr>
                <w:color w:val="0F1115"/>
                <w:sz w:val="20"/>
                <w:szCs w:val="20"/>
              </w:rPr>
            </w:pPr>
            <w:r>
              <w:rPr>
                <w:rFonts w:hint="eastAsia"/>
                <w:color w:val="0F1115"/>
                <w:sz w:val="20"/>
                <w:szCs w:val="20"/>
                <w:lang w:val="en-US" w:bidi="ar"/>
              </w:rPr>
              <w:t>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37021">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63023">
            <w:pPr>
              <w:widowControl/>
              <w:jc w:val="center"/>
              <w:textAlignment w:val="center"/>
              <w:rPr>
                <w:color w:val="0F1115"/>
                <w:sz w:val="20"/>
                <w:szCs w:val="20"/>
              </w:rPr>
            </w:pPr>
            <w:r>
              <w:rPr>
                <w:rFonts w:hint="eastAsia"/>
                <w:color w:val="0F1115"/>
                <w:sz w:val="20"/>
                <w:szCs w:val="20"/>
                <w:lang w:val="en-US" w:bidi="ar"/>
              </w:rPr>
              <w:t>车架包装操作费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EB605">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2BA71">
            <w:pPr>
              <w:widowControl/>
              <w:jc w:val="center"/>
              <w:textAlignment w:val="center"/>
              <w:rPr>
                <w:color w:val="0F1115"/>
                <w:sz w:val="20"/>
                <w:szCs w:val="20"/>
                <w:lang w:val="en-US"/>
              </w:rPr>
            </w:pPr>
            <w:r>
              <w:rPr>
                <w:rFonts w:hint="eastAsia"/>
                <w:color w:val="0F1115"/>
                <w:sz w:val="20"/>
                <w:szCs w:val="20"/>
                <w:lang w:val="en-US" w:bidi="ar"/>
              </w:rPr>
              <w:t>7500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C5551">
            <w:pPr>
              <w:widowControl/>
              <w:jc w:val="center"/>
              <w:textAlignment w:val="center"/>
              <w:rPr>
                <w:color w:val="0F1115"/>
                <w:sz w:val="20"/>
                <w:szCs w:val="20"/>
              </w:rPr>
            </w:pPr>
            <w:r>
              <w:rPr>
                <w:rFonts w:hint="eastAsia"/>
                <w:color w:val="0F1115"/>
                <w:sz w:val="20"/>
                <w:szCs w:val="20"/>
                <w:lang w:val="en-US" w:bidi="ar"/>
              </w:rPr>
              <w:t>25元/件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2C9F1">
            <w:pPr>
              <w:widowControl/>
              <w:jc w:val="center"/>
              <w:textAlignment w:val="center"/>
              <w:rPr>
                <w:color w:val="0F1115"/>
                <w:sz w:val="20"/>
                <w:szCs w:val="20"/>
                <w:lang w:val="en-US"/>
              </w:rPr>
            </w:pPr>
            <w:r>
              <w:rPr>
                <w:rFonts w:hint="eastAsia"/>
                <w:color w:val="0F1115"/>
                <w:sz w:val="20"/>
                <w:szCs w:val="20"/>
                <w:lang w:val="en-US" w:bidi="ar"/>
              </w:rPr>
              <w:t>18.75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443EF">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CDC59">
            <w:pPr>
              <w:jc w:val="center"/>
              <w:rPr>
                <w:color w:val="0F1115"/>
                <w:sz w:val="20"/>
                <w:szCs w:val="20"/>
              </w:rPr>
            </w:pPr>
          </w:p>
        </w:tc>
      </w:tr>
      <w:tr w14:paraId="08A6CD2B">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B2C60">
            <w:pPr>
              <w:widowControl/>
              <w:jc w:val="center"/>
              <w:textAlignment w:val="center"/>
              <w:rPr>
                <w:color w:val="0F1115"/>
                <w:sz w:val="20"/>
                <w:szCs w:val="20"/>
              </w:rPr>
            </w:pPr>
            <w:r>
              <w:rPr>
                <w:rFonts w:hint="eastAsia"/>
                <w:color w:val="0F1115"/>
                <w:sz w:val="20"/>
                <w:szCs w:val="20"/>
                <w:lang w:val="en-US" w:bidi="ar"/>
              </w:rPr>
              <w:t>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6294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F6293">
            <w:pPr>
              <w:widowControl/>
              <w:jc w:val="center"/>
              <w:textAlignment w:val="center"/>
              <w:rPr>
                <w:color w:val="0F1115"/>
                <w:sz w:val="20"/>
                <w:szCs w:val="20"/>
              </w:rPr>
            </w:pPr>
            <w:r>
              <w:rPr>
                <w:rFonts w:hint="eastAsia"/>
                <w:color w:val="0F1115"/>
                <w:sz w:val="20"/>
                <w:szCs w:val="20"/>
                <w:lang w:val="en-US" w:bidi="ar"/>
              </w:rPr>
              <w:t>车架包材费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A6442">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93A94">
            <w:pPr>
              <w:widowControl/>
              <w:jc w:val="center"/>
              <w:textAlignment w:val="center"/>
              <w:rPr>
                <w:color w:val="0F1115"/>
                <w:sz w:val="20"/>
                <w:szCs w:val="20"/>
              </w:rPr>
            </w:pPr>
            <w:r>
              <w:rPr>
                <w:rFonts w:hint="eastAsia"/>
                <w:color w:val="0F1115"/>
                <w:sz w:val="20"/>
                <w:szCs w:val="20"/>
                <w:lang w:val="en-US" w:bidi="ar"/>
              </w:rPr>
              <w:t>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FA41D">
            <w:pPr>
              <w:widowControl/>
              <w:jc w:val="center"/>
              <w:textAlignment w:val="center"/>
              <w:rPr>
                <w:color w:val="0F1115"/>
                <w:sz w:val="20"/>
                <w:szCs w:val="20"/>
              </w:rPr>
            </w:pPr>
            <w:r>
              <w:rPr>
                <w:rFonts w:hint="eastAsia"/>
                <w:color w:val="0F1115"/>
                <w:sz w:val="20"/>
                <w:szCs w:val="20"/>
                <w:lang w:val="en-US" w:bidi="ar"/>
              </w:rPr>
              <w:t>0</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68C10">
            <w:pPr>
              <w:widowControl/>
              <w:jc w:val="center"/>
              <w:textAlignment w:val="center"/>
              <w:rPr>
                <w:color w:val="0F1115"/>
                <w:sz w:val="20"/>
                <w:szCs w:val="20"/>
              </w:rPr>
            </w:pPr>
            <w:r>
              <w:rPr>
                <w:rFonts w:hint="eastAsia"/>
                <w:color w:val="0F1115"/>
                <w:sz w:val="20"/>
                <w:szCs w:val="20"/>
                <w:lang w:val="en-US" w:bidi="ar"/>
              </w:rPr>
              <w:t>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6A773">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AA31C">
            <w:pPr>
              <w:jc w:val="center"/>
              <w:rPr>
                <w:color w:val="0F1115"/>
                <w:sz w:val="20"/>
                <w:szCs w:val="20"/>
              </w:rPr>
            </w:pPr>
          </w:p>
        </w:tc>
      </w:tr>
      <w:tr w14:paraId="520DD8CE">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502FA">
            <w:pPr>
              <w:widowControl/>
              <w:jc w:val="center"/>
              <w:textAlignment w:val="center"/>
              <w:rPr>
                <w:color w:val="0F1115"/>
                <w:sz w:val="20"/>
                <w:szCs w:val="20"/>
              </w:rPr>
            </w:pPr>
            <w:r>
              <w:rPr>
                <w:rFonts w:hint="eastAsia"/>
                <w:color w:val="0F1115"/>
                <w:sz w:val="20"/>
                <w:szCs w:val="20"/>
                <w:lang w:val="en-US" w:bidi="ar"/>
              </w:rPr>
              <w:t>6</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8BE9F">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BCB51">
            <w:pPr>
              <w:widowControl/>
              <w:jc w:val="center"/>
              <w:textAlignment w:val="center"/>
              <w:rPr>
                <w:color w:val="0F1115"/>
                <w:sz w:val="20"/>
                <w:szCs w:val="20"/>
              </w:rPr>
            </w:pPr>
            <w:r>
              <w:rPr>
                <w:rFonts w:hint="eastAsia"/>
                <w:color w:val="0F1115"/>
                <w:sz w:val="20"/>
                <w:szCs w:val="20"/>
                <w:lang w:val="en-US" w:bidi="ar"/>
              </w:rPr>
              <w:t>发动机包装操作费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CBE63">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7B031">
            <w:pPr>
              <w:widowControl/>
              <w:jc w:val="center"/>
              <w:textAlignment w:val="center"/>
              <w:rPr>
                <w:color w:val="0F1115"/>
                <w:sz w:val="20"/>
                <w:szCs w:val="20"/>
                <w:lang w:val="en-US"/>
              </w:rPr>
            </w:pPr>
            <w:r>
              <w:rPr>
                <w:rFonts w:hint="eastAsia"/>
                <w:color w:val="0F1115"/>
                <w:sz w:val="20"/>
                <w:szCs w:val="20"/>
                <w:lang w:val="en-US" w:bidi="ar"/>
              </w:rPr>
              <w:t>3000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EFF04">
            <w:pPr>
              <w:widowControl/>
              <w:jc w:val="center"/>
              <w:textAlignment w:val="center"/>
              <w:rPr>
                <w:color w:val="0F1115"/>
                <w:sz w:val="20"/>
                <w:szCs w:val="20"/>
              </w:rPr>
            </w:pPr>
            <w:r>
              <w:rPr>
                <w:rFonts w:hint="eastAsia"/>
                <w:color w:val="0F1115"/>
                <w:sz w:val="20"/>
                <w:szCs w:val="20"/>
                <w:lang w:val="en-US" w:bidi="ar"/>
              </w:rPr>
              <w:t>25元/件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3E223">
            <w:pPr>
              <w:widowControl/>
              <w:jc w:val="center"/>
              <w:textAlignment w:val="center"/>
              <w:rPr>
                <w:color w:val="0F1115"/>
                <w:sz w:val="20"/>
                <w:szCs w:val="20"/>
                <w:lang w:val="en-US"/>
              </w:rPr>
            </w:pPr>
            <w:r>
              <w:rPr>
                <w:rFonts w:hint="eastAsia"/>
                <w:color w:val="0F1115"/>
                <w:sz w:val="20"/>
                <w:szCs w:val="20"/>
                <w:lang w:val="en-US" w:bidi="ar"/>
              </w:rPr>
              <w:t>7.5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47097">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2FD1C">
            <w:pPr>
              <w:jc w:val="center"/>
              <w:rPr>
                <w:color w:val="0F1115"/>
                <w:sz w:val="20"/>
                <w:szCs w:val="20"/>
              </w:rPr>
            </w:pPr>
          </w:p>
        </w:tc>
      </w:tr>
      <w:tr w14:paraId="0878FAA3">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ED647">
            <w:pPr>
              <w:widowControl/>
              <w:jc w:val="center"/>
              <w:textAlignment w:val="center"/>
              <w:rPr>
                <w:color w:val="0F1115"/>
                <w:sz w:val="20"/>
                <w:szCs w:val="20"/>
              </w:rPr>
            </w:pPr>
            <w:r>
              <w:rPr>
                <w:rFonts w:hint="eastAsia"/>
                <w:color w:val="0F1115"/>
                <w:sz w:val="20"/>
                <w:szCs w:val="20"/>
                <w:lang w:val="en-US" w:bidi="ar"/>
              </w:rPr>
              <w:t>7</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BE3B1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448AD">
            <w:pPr>
              <w:widowControl/>
              <w:jc w:val="center"/>
              <w:textAlignment w:val="center"/>
              <w:rPr>
                <w:color w:val="0F1115"/>
                <w:sz w:val="20"/>
                <w:szCs w:val="20"/>
              </w:rPr>
            </w:pPr>
            <w:r>
              <w:rPr>
                <w:rFonts w:hint="eastAsia"/>
                <w:color w:val="0F1115"/>
                <w:sz w:val="20"/>
                <w:szCs w:val="20"/>
                <w:lang w:val="en-US" w:bidi="ar"/>
              </w:rPr>
              <w:t>发动机包材费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4DF8B">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94272">
            <w:pPr>
              <w:widowControl/>
              <w:jc w:val="center"/>
              <w:textAlignment w:val="center"/>
              <w:rPr>
                <w:color w:val="0F1115"/>
                <w:sz w:val="20"/>
                <w:szCs w:val="20"/>
              </w:rPr>
            </w:pPr>
            <w:r>
              <w:rPr>
                <w:rFonts w:hint="eastAsia"/>
                <w:color w:val="0F1115"/>
                <w:sz w:val="20"/>
                <w:szCs w:val="20"/>
                <w:lang w:val="en-US" w:bidi="ar"/>
              </w:rPr>
              <w:t>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28174">
            <w:pPr>
              <w:widowControl/>
              <w:jc w:val="center"/>
              <w:textAlignment w:val="center"/>
              <w:rPr>
                <w:color w:val="0F1115"/>
                <w:sz w:val="20"/>
                <w:szCs w:val="20"/>
              </w:rPr>
            </w:pPr>
            <w:r>
              <w:rPr>
                <w:rFonts w:hint="eastAsia"/>
                <w:color w:val="0F1115"/>
                <w:sz w:val="20"/>
                <w:szCs w:val="20"/>
                <w:lang w:val="en-US" w:bidi="ar"/>
              </w:rPr>
              <w:t>0</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AAA97">
            <w:pPr>
              <w:widowControl/>
              <w:jc w:val="center"/>
              <w:textAlignment w:val="center"/>
              <w:rPr>
                <w:color w:val="0F1115"/>
                <w:sz w:val="20"/>
                <w:szCs w:val="20"/>
              </w:rPr>
            </w:pPr>
            <w:r>
              <w:rPr>
                <w:rFonts w:hint="eastAsia"/>
                <w:color w:val="0F1115"/>
                <w:sz w:val="20"/>
                <w:szCs w:val="20"/>
                <w:lang w:val="en-US" w:bidi="ar"/>
              </w:rPr>
              <w:t>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6E912">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7FC8B">
            <w:pPr>
              <w:jc w:val="center"/>
              <w:rPr>
                <w:color w:val="0F1115"/>
                <w:sz w:val="20"/>
                <w:szCs w:val="20"/>
              </w:rPr>
            </w:pPr>
          </w:p>
        </w:tc>
      </w:tr>
      <w:tr w14:paraId="774F058C">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B45537">
            <w:pPr>
              <w:widowControl/>
              <w:jc w:val="center"/>
              <w:textAlignment w:val="center"/>
              <w:rPr>
                <w:color w:val="0F1115"/>
                <w:sz w:val="20"/>
                <w:szCs w:val="20"/>
              </w:rPr>
            </w:pPr>
            <w:r>
              <w:rPr>
                <w:rFonts w:hint="eastAsia"/>
                <w:color w:val="0F1115"/>
                <w:sz w:val="20"/>
                <w:szCs w:val="20"/>
                <w:lang w:val="en-US" w:bidi="ar"/>
              </w:rPr>
              <w:t>8</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6DF15">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CCF20">
            <w:pPr>
              <w:widowControl/>
              <w:jc w:val="center"/>
              <w:textAlignment w:val="center"/>
              <w:rPr>
                <w:color w:val="0F1115"/>
                <w:sz w:val="20"/>
                <w:szCs w:val="20"/>
              </w:rPr>
            </w:pPr>
            <w:r>
              <w:rPr>
                <w:rFonts w:hint="eastAsia"/>
                <w:color w:val="0F1115"/>
                <w:sz w:val="20"/>
                <w:szCs w:val="20"/>
                <w:lang w:val="en-US" w:bidi="ar"/>
              </w:rPr>
              <w:t>变速箱包装操作费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FFB36">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EE554">
            <w:pPr>
              <w:widowControl/>
              <w:jc w:val="center"/>
              <w:textAlignment w:val="center"/>
              <w:rPr>
                <w:color w:val="0F1115"/>
                <w:sz w:val="20"/>
                <w:szCs w:val="20"/>
                <w:lang w:val="en-US"/>
              </w:rPr>
            </w:pPr>
            <w:r>
              <w:rPr>
                <w:rFonts w:hint="eastAsia"/>
                <w:color w:val="0F1115"/>
                <w:sz w:val="20"/>
                <w:szCs w:val="20"/>
                <w:lang w:val="en-US" w:bidi="ar"/>
              </w:rPr>
              <w:t>8100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1E777">
            <w:pPr>
              <w:widowControl/>
              <w:jc w:val="center"/>
              <w:textAlignment w:val="center"/>
              <w:rPr>
                <w:color w:val="0F1115"/>
                <w:sz w:val="20"/>
                <w:szCs w:val="20"/>
              </w:rPr>
            </w:pPr>
            <w:r>
              <w:rPr>
                <w:rFonts w:hint="eastAsia"/>
                <w:color w:val="0F1115"/>
                <w:sz w:val="20"/>
                <w:szCs w:val="20"/>
                <w:lang w:val="en-US" w:bidi="ar"/>
              </w:rPr>
              <w:t>40元/件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10327">
            <w:pPr>
              <w:widowControl/>
              <w:jc w:val="center"/>
              <w:textAlignment w:val="center"/>
              <w:rPr>
                <w:color w:val="0F1115"/>
                <w:sz w:val="20"/>
                <w:szCs w:val="20"/>
                <w:lang w:val="en-US"/>
              </w:rPr>
            </w:pPr>
            <w:r>
              <w:rPr>
                <w:rFonts w:hint="eastAsia"/>
                <w:color w:val="0F1115"/>
                <w:sz w:val="20"/>
                <w:szCs w:val="20"/>
                <w:lang w:val="en-US" w:bidi="ar"/>
              </w:rPr>
              <w:t>32.4</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F0547">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61D48">
            <w:pPr>
              <w:jc w:val="center"/>
              <w:rPr>
                <w:color w:val="0F1115"/>
                <w:sz w:val="20"/>
                <w:szCs w:val="20"/>
              </w:rPr>
            </w:pPr>
          </w:p>
        </w:tc>
      </w:tr>
      <w:tr w14:paraId="0BA299F6">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C0715">
            <w:pPr>
              <w:widowControl/>
              <w:jc w:val="center"/>
              <w:textAlignment w:val="center"/>
              <w:rPr>
                <w:color w:val="0F1115"/>
                <w:sz w:val="20"/>
                <w:szCs w:val="20"/>
              </w:rPr>
            </w:pPr>
            <w:r>
              <w:rPr>
                <w:rFonts w:hint="eastAsia"/>
                <w:color w:val="0F1115"/>
                <w:sz w:val="20"/>
                <w:szCs w:val="20"/>
                <w:lang w:val="en-US" w:bidi="ar"/>
              </w:rPr>
              <w:t>9</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9FA04">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3061B">
            <w:pPr>
              <w:widowControl/>
              <w:jc w:val="center"/>
              <w:textAlignment w:val="center"/>
              <w:rPr>
                <w:color w:val="0F1115"/>
                <w:sz w:val="20"/>
                <w:szCs w:val="20"/>
              </w:rPr>
            </w:pPr>
            <w:r>
              <w:rPr>
                <w:rFonts w:hint="eastAsia"/>
                <w:color w:val="0F1115"/>
                <w:sz w:val="20"/>
                <w:szCs w:val="20"/>
                <w:lang w:val="en-US" w:bidi="ar"/>
              </w:rPr>
              <w:t>变速箱包材费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CE5D3">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356A3">
            <w:pPr>
              <w:widowControl/>
              <w:jc w:val="center"/>
              <w:textAlignment w:val="center"/>
              <w:rPr>
                <w:color w:val="0F1115"/>
                <w:sz w:val="20"/>
                <w:szCs w:val="20"/>
                <w:lang w:val="en-US"/>
              </w:rPr>
            </w:pPr>
            <w:r>
              <w:rPr>
                <w:rFonts w:hint="eastAsia"/>
                <w:color w:val="0F1115"/>
                <w:sz w:val="20"/>
                <w:szCs w:val="20"/>
                <w:lang w:val="en-US" w:bidi="ar"/>
              </w:rPr>
              <w:t>8100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D2CCF">
            <w:pPr>
              <w:widowControl/>
              <w:jc w:val="center"/>
              <w:textAlignment w:val="center"/>
              <w:rPr>
                <w:color w:val="0F1115"/>
                <w:sz w:val="20"/>
                <w:szCs w:val="20"/>
              </w:rPr>
            </w:pPr>
            <w:r>
              <w:rPr>
                <w:rFonts w:hint="eastAsia"/>
                <w:color w:val="0F1115"/>
                <w:sz w:val="20"/>
                <w:szCs w:val="20"/>
                <w:lang w:val="en-US" w:bidi="ar"/>
              </w:rPr>
              <w:t>143.9元/台</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DE3DC">
            <w:pPr>
              <w:widowControl/>
              <w:jc w:val="center"/>
              <w:textAlignment w:val="center"/>
              <w:rPr>
                <w:color w:val="0F1115"/>
                <w:sz w:val="20"/>
                <w:szCs w:val="20"/>
                <w:lang w:val="en-US"/>
              </w:rPr>
            </w:pPr>
            <w:r>
              <w:rPr>
                <w:rFonts w:hint="eastAsia"/>
                <w:color w:val="0F1115"/>
                <w:sz w:val="20"/>
                <w:szCs w:val="20"/>
                <w:lang w:val="en-US" w:bidi="ar"/>
              </w:rPr>
              <w:t>116.55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9626A">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607AC">
            <w:pPr>
              <w:jc w:val="center"/>
              <w:rPr>
                <w:color w:val="0F1115"/>
                <w:sz w:val="20"/>
                <w:szCs w:val="20"/>
              </w:rPr>
            </w:pPr>
          </w:p>
        </w:tc>
      </w:tr>
      <w:tr w14:paraId="36B7B26F">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B9195">
            <w:pPr>
              <w:widowControl/>
              <w:jc w:val="center"/>
              <w:textAlignment w:val="center"/>
              <w:rPr>
                <w:color w:val="0F1115"/>
                <w:sz w:val="20"/>
                <w:szCs w:val="20"/>
              </w:rPr>
            </w:pPr>
            <w:r>
              <w:rPr>
                <w:rFonts w:hint="eastAsia"/>
                <w:color w:val="0F1115"/>
                <w:sz w:val="20"/>
                <w:szCs w:val="20"/>
                <w:lang w:val="en-US" w:bidi="ar"/>
              </w:rPr>
              <w:t>10</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6DCDAB">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C5EBD">
            <w:pPr>
              <w:widowControl/>
              <w:jc w:val="center"/>
              <w:textAlignment w:val="center"/>
              <w:rPr>
                <w:color w:val="0F1115"/>
                <w:sz w:val="20"/>
                <w:szCs w:val="20"/>
              </w:rPr>
            </w:pPr>
            <w:r>
              <w:rPr>
                <w:rFonts w:hint="eastAsia"/>
                <w:color w:val="0F1115"/>
                <w:sz w:val="20"/>
                <w:szCs w:val="20"/>
                <w:lang w:val="en-US" w:bidi="ar"/>
              </w:rPr>
              <w:t>桥总成包装操作费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CC87D">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23308">
            <w:pPr>
              <w:widowControl/>
              <w:jc w:val="center"/>
              <w:textAlignment w:val="center"/>
              <w:rPr>
                <w:color w:val="0F1115"/>
                <w:sz w:val="20"/>
                <w:szCs w:val="20"/>
                <w:lang w:val="en-US"/>
              </w:rPr>
            </w:pPr>
            <w:r>
              <w:rPr>
                <w:rFonts w:hint="eastAsia"/>
                <w:color w:val="0F1115"/>
                <w:sz w:val="20"/>
                <w:szCs w:val="20"/>
                <w:lang w:val="en-US" w:bidi="ar"/>
              </w:rPr>
              <w:t>300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7EE8F">
            <w:pPr>
              <w:widowControl/>
              <w:jc w:val="center"/>
              <w:textAlignment w:val="center"/>
              <w:rPr>
                <w:color w:val="0F1115"/>
                <w:sz w:val="20"/>
                <w:szCs w:val="20"/>
              </w:rPr>
            </w:pPr>
            <w:r>
              <w:rPr>
                <w:rFonts w:hint="eastAsia"/>
                <w:color w:val="0F1115"/>
                <w:sz w:val="20"/>
                <w:szCs w:val="20"/>
                <w:lang w:val="en-US" w:bidi="ar"/>
              </w:rPr>
              <w:t>40元/件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0EB7B">
            <w:pPr>
              <w:widowControl/>
              <w:jc w:val="center"/>
              <w:textAlignment w:val="center"/>
              <w:rPr>
                <w:color w:val="0F1115"/>
                <w:sz w:val="20"/>
                <w:szCs w:val="20"/>
                <w:lang w:val="en-US"/>
              </w:rPr>
            </w:pPr>
            <w:r>
              <w:rPr>
                <w:rFonts w:hint="eastAsia"/>
                <w:color w:val="0F1115"/>
                <w:sz w:val="20"/>
                <w:szCs w:val="20"/>
                <w:lang w:val="en-US" w:bidi="ar"/>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CD553">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45FDD">
            <w:pPr>
              <w:jc w:val="center"/>
              <w:rPr>
                <w:color w:val="0F1115"/>
                <w:sz w:val="20"/>
                <w:szCs w:val="20"/>
              </w:rPr>
            </w:pPr>
          </w:p>
        </w:tc>
      </w:tr>
      <w:tr w14:paraId="5038C604">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74F87">
            <w:pPr>
              <w:widowControl/>
              <w:jc w:val="center"/>
              <w:textAlignment w:val="center"/>
              <w:rPr>
                <w:color w:val="0F1115"/>
                <w:sz w:val="20"/>
                <w:szCs w:val="20"/>
              </w:rPr>
            </w:pPr>
            <w:r>
              <w:rPr>
                <w:rFonts w:hint="eastAsia"/>
                <w:color w:val="0F1115"/>
                <w:sz w:val="20"/>
                <w:szCs w:val="20"/>
                <w:lang w:val="en-US" w:bidi="ar"/>
              </w:rPr>
              <w:t>11</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AE1F2">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87EDF">
            <w:pPr>
              <w:widowControl/>
              <w:jc w:val="center"/>
              <w:textAlignment w:val="center"/>
              <w:rPr>
                <w:color w:val="0F1115"/>
                <w:sz w:val="20"/>
                <w:szCs w:val="20"/>
              </w:rPr>
            </w:pPr>
            <w:r>
              <w:rPr>
                <w:rFonts w:hint="eastAsia"/>
                <w:color w:val="0F1115"/>
                <w:sz w:val="20"/>
                <w:szCs w:val="20"/>
                <w:lang w:val="en-US" w:bidi="ar"/>
              </w:rPr>
              <w:t>桥总成包材费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16900">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4E84A">
            <w:pPr>
              <w:widowControl/>
              <w:jc w:val="center"/>
              <w:textAlignment w:val="center"/>
              <w:rPr>
                <w:color w:val="0F1115"/>
                <w:sz w:val="20"/>
                <w:szCs w:val="20"/>
                <w:lang w:val="en-US"/>
              </w:rPr>
            </w:pPr>
            <w:r>
              <w:rPr>
                <w:rFonts w:hint="eastAsia"/>
                <w:color w:val="0F1115"/>
                <w:sz w:val="20"/>
                <w:szCs w:val="20"/>
                <w:lang w:val="en-US" w:bidi="ar"/>
              </w:rPr>
              <w:t>300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14993">
            <w:pPr>
              <w:widowControl/>
              <w:jc w:val="center"/>
              <w:textAlignment w:val="center"/>
              <w:rPr>
                <w:color w:val="0F1115"/>
                <w:sz w:val="20"/>
                <w:szCs w:val="20"/>
              </w:rPr>
            </w:pPr>
            <w:r>
              <w:rPr>
                <w:rFonts w:hint="eastAsia"/>
                <w:color w:val="0F1115"/>
                <w:sz w:val="20"/>
                <w:szCs w:val="20"/>
                <w:lang w:val="en-US" w:bidi="ar"/>
              </w:rPr>
              <w:t>156.1元/件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7F813">
            <w:pPr>
              <w:widowControl/>
              <w:jc w:val="center"/>
              <w:textAlignment w:val="center"/>
              <w:rPr>
                <w:color w:val="0F1115"/>
                <w:sz w:val="20"/>
                <w:szCs w:val="20"/>
                <w:lang w:val="en-US"/>
              </w:rPr>
            </w:pPr>
            <w:r>
              <w:rPr>
                <w:rFonts w:hint="eastAsia"/>
                <w:color w:val="0F1115"/>
                <w:sz w:val="20"/>
                <w:szCs w:val="20"/>
                <w:lang w:val="en-US" w:bidi="ar"/>
              </w:rPr>
              <w:t>4.68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96C1C">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9F70C">
            <w:pPr>
              <w:jc w:val="center"/>
              <w:rPr>
                <w:color w:val="0F1115"/>
                <w:sz w:val="20"/>
                <w:szCs w:val="20"/>
              </w:rPr>
            </w:pPr>
          </w:p>
        </w:tc>
      </w:tr>
      <w:tr w14:paraId="0968A419">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E3F3A">
            <w:pPr>
              <w:widowControl/>
              <w:jc w:val="center"/>
              <w:textAlignment w:val="center"/>
              <w:rPr>
                <w:color w:val="0F1115"/>
                <w:sz w:val="20"/>
                <w:szCs w:val="20"/>
                <w:lang w:val="en-US" w:bidi="ar"/>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8CB6F">
            <w:pPr>
              <w:widowControl/>
              <w:jc w:val="center"/>
              <w:textAlignment w:val="center"/>
              <w:rPr>
                <w:b/>
                <w:bCs/>
                <w:color w:val="0F1115"/>
                <w:sz w:val="20"/>
                <w:szCs w:val="20"/>
                <w:lang w:val="en-US"/>
              </w:rPr>
            </w:pPr>
            <w:r>
              <w:rPr>
                <w:rFonts w:hint="eastAsia"/>
                <w:b/>
                <w:bCs/>
                <w:color w:val="0F1115"/>
                <w:sz w:val="20"/>
                <w:szCs w:val="20"/>
                <w:lang w:val="en-US" w:bidi="ar"/>
              </w:rPr>
              <w:t>项目</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2DB05">
            <w:pPr>
              <w:widowControl/>
              <w:jc w:val="center"/>
              <w:textAlignment w:val="center"/>
              <w:rPr>
                <w:b/>
                <w:bCs/>
                <w:color w:val="0F1115"/>
                <w:sz w:val="20"/>
                <w:szCs w:val="20"/>
                <w:lang w:val="en-US"/>
              </w:rPr>
            </w:pPr>
            <w:r>
              <w:rPr>
                <w:rFonts w:hint="eastAsia"/>
                <w:b/>
                <w:bCs/>
                <w:color w:val="0F1115"/>
                <w:sz w:val="20"/>
                <w:szCs w:val="20"/>
                <w:lang w:val="en-US" w:bidi="ar"/>
              </w:rPr>
              <w:t>类别</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F6F8E">
            <w:pPr>
              <w:widowControl/>
              <w:jc w:val="center"/>
              <w:textAlignment w:val="center"/>
              <w:rPr>
                <w:b/>
                <w:bCs/>
                <w:color w:val="0F1115"/>
                <w:sz w:val="20"/>
                <w:szCs w:val="20"/>
                <w:lang w:val="en-US"/>
              </w:rPr>
            </w:pPr>
            <w:r>
              <w:rPr>
                <w:rFonts w:hint="eastAsia"/>
                <w:b/>
                <w:bCs/>
                <w:color w:val="0F1115"/>
                <w:sz w:val="20"/>
                <w:szCs w:val="20"/>
                <w:lang w:val="en-US" w:bidi="ar"/>
              </w:rPr>
              <w:t>计价单位</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5756D">
            <w:pPr>
              <w:widowControl/>
              <w:jc w:val="center"/>
              <w:textAlignment w:val="center"/>
              <w:rPr>
                <w:b/>
                <w:bCs/>
                <w:color w:val="0F1115"/>
                <w:sz w:val="20"/>
                <w:szCs w:val="20"/>
                <w:lang w:val="en-US"/>
              </w:rPr>
            </w:pPr>
            <w:r>
              <w:rPr>
                <w:rFonts w:hint="eastAsia"/>
                <w:b/>
                <w:bCs/>
                <w:color w:val="0F1115"/>
                <w:sz w:val="20"/>
                <w:szCs w:val="20"/>
                <w:lang w:val="en-US" w:bidi="ar"/>
              </w:rPr>
              <w:t>3年业务量（万元）</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AFE6D">
            <w:pPr>
              <w:widowControl/>
              <w:jc w:val="center"/>
              <w:textAlignment w:val="center"/>
              <w:rPr>
                <w:b/>
                <w:bCs/>
                <w:color w:val="0F1115"/>
                <w:sz w:val="20"/>
                <w:szCs w:val="20"/>
                <w:lang w:val="en-US"/>
              </w:rPr>
            </w:pPr>
            <w:r>
              <w:rPr>
                <w:rFonts w:hint="eastAsia"/>
                <w:b/>
                <w:bCs/>
                <w:color w:val="0F1115"/>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33D70">
            <w:pPr>
              <w:widowControl/>
              <w:jc w:val="center"/>
              <w:textAlignment w:val="center"/>
              <w:rPr>
                <w:b/>
                <w:bCs/>
                <w:color w:val="0F1115"/>
                <w:sz w:val="20"/>
                <w:szCs w:val="20"/>
                <w:lang w:val="en-US"/>
              </w:rPr>
            </w:pPr>
            <w:r>
              <w:rPr>
                <w:rFonts w:hint="eastAsia"/>
                <w:b/>
                <w:bCs/>
                <w:color w:val="0F1115"/>
                <w:sz w:val="20"/>
                <w:szCs w:val="20"/>
                <w:lang w:val="en-US" w:bidi="ar"/>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48EA5">
            <w:pPr>
              <w:widowControl/>
              <w:jc w:val="center"/>
              <w:textAlignment w:val="center"/>
              <w:rPr>
                <w:b/>
                <w:bCs/>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4873B">
            <w:pPr>
              <w:widowControl/>
              <w:jc w:val="center"/>
              <w:textAlignment w:val="center"/>
              <w:rPr>
                <w:b/>
                <w:bCs/>
                <w:color w:val="0F1115"/>
                <w:sz w:val="20"/>
                <w:szCs w:val="20"/>
              </w:rPr>
            </w:pPr>
            <w:r>
              <w:rPr>
                <w:rFonts w:hint="eastAsia"/>
                <w:b/>
                <w:bCs/>
                <w:color w:val="0F1115"/>
                <w:sz w:val="20"/>
                <w:szCs w:val="20"/>
                <w:lang w:val="en-US" w:bidi="ar"/>
              </w:rPr>
              <w:t>备注</w:t>
            </w:r>
          </w:p>
        </w:tc>
      </w:tr>
      <w:tr w14:paraId="2AEDCC45">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D2D6E">
            <w:pPr>
              <w:widowControl/>
              <w:jc w:val="center"/>
              <w:textAlignment w:val="center"/>
              <w:rPr>
                <w:color w:val="0F1115"/>
                <w:sz w:val="20"/>
                <w:szCs w:val="20"/>
              </w:rPr>
            </w:pPr>
            <w:r>
              <w:rPr>
                <w:rFonts w:hint="eastAsia"/>
                <w:color w:val="0F1115"/>
                <w:sz w:val="20"/>
                <w:szCs w:val="20"/>
                <w:lang w:val="en-US" w:bidi="ar"/>
              </w:rPr>
              <w:t>12</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92E91">
            <w:pPr>
              <w:widowControl/>
              <w:jc w:val="center"/>
              <w:textAlignment w:val="center"/>
              <w:rPr>
                <w:color w:val="0F1115"/>
                <w:sz w:val="20"/>
                <w:szCs w:val="20"/>
              </w:rPr>
            </w:pPr>
            <w:r>
              <w:rPr>
                <w:rFonts w:hint="eastAsia"/>
                <w:color w:val="0F1115"/>
                <w:sz w:val="20"/>
                <w:szCs w:val="20"/>
                <w:lang w:val="en-US" w:bidi="ar"/>
              </w:rPr>
              <w:t>普通配件包装服务</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180B0">
            <w:pPr>
              <w:widowControl/>
              <w:jc w:val="center"/>
              <w:textAlignment w:val="center"/>
              <w:rPr>
                <w:color w:val="0F1115"/>
                <w:sz w:val="20"/>
                <w:szCs w:val="20"/>
              </w:rPr>
            </w:pPr>
            <w:r>
              <w:rPr>
                <w:rFonts w:hint="eastAsia"/>
                <w:color w:val="0F1115"/>
                <w:sz w:val="20"/>
                <w:szCs w:val="20"/>
                <w:lang w:val="en-US" w:bidi="ar"/>
              </w:rPr>
              <w:t>重卡配件包装服务费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67190">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90312">
            <w:pPr>
              <w:widowControl/>
              <w:jc w:val="center"/>
              <w:textAlignment w:val="center"/>
              <w:rPr>
                <w:color w:val="0F1115"/>
                <w:sz w:val="20"/>
                <w:szCs w:val="20"/>
                <w:lang w:val="en-US"/>
              </w:rPr>
            </w:pPr>
            <w:r>
              <w:rPr>
                <w:rFonts w:hint="eastAsia"/>
                <w:color w:val="0F1115"/>
                <w:sz w:val="20"/>
                <w:szCs w:val="20"/>
                <w:lang w:val="en-US" w:bidi="ar"/>
              </w:rPr>
              <w:t>600000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06894">
            <w:pPr>
              <w:widowControl/>
              <w:jc w:val="center"/>
              <w:textAlignment w:val="center"/>
              <w:rPr>
                <w:color w:val="0F1115"/>
                <w:sz w:val="20"/>
                <w:szCs w:val="20"/>
              </w:rPr>
            </w:pPr>
            <w:r>
              <w:rPr>
                <w:rFonts w:hint="eastAsia"/>
                <w:color w:val="0F1115"/>
                <w:sz w:val="20"/>
                <w:szCs w:val="20"/>
                <w:lang w:val="en-US" w:bidi="ar"/>
              </w:rPr>
              <w:t>5.186‰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6582A">
            <w:pPr>
              <w:widowControl/>
              <w:jc w:val="center"/>
              <w:textAlignment w:val="center"/>
              <w:rPr>
                <w:color w:val="0F1115"/>
                <w:sz w:val="20"/>
                <w:szCs w:val="20"/>
                <w:lang w:val="en-US"/>
              </w:rPr>
            </w:pPr>
            <w:r>
              <w:rPr>
                <w:rFonts w:hint="eastAsia"/>
                <w:color w:val="0F1115"/>
                <w:sz w:val="20"/>
                <w:szCs w:val="20"/>
                <w:lang w:val="en-US" w:bidi="ar"/>
              </w:rPr>
              <w:t>3111.6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8DE91">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7B7F9">
            <w:pPr>
              <w:jc w:val="center"/>
              <w:rPr>
                <w:color w:val="0F1115"/>
                <w:sz w:val="20"/>
                <w:szCs w:val="20"/>
              </w:rPr>
            </w:pPr>
          </w:p>
        </w:tc>
      </w:tr>
      <w:tr w14:paraId="4AD917C1">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4E1E8">
            <w:pPr>
              <w:widowControl/>
              <w:jc w:val="center"/>
              <w:textAlignment w:val="center"/>
              <w:rPr>
                <w:color w:val="0F1115"/>
                <w:sz w:val="20"/>
                <w:szCs w:val="20"/>
              </w:rPr>
            </w:pPr>
            <w:r>
              <w:rPr>
                <w:rFonts w:hint="eastAsia"/>
                <w:color w:val="0F1115"/>
                <w:sz w:val="20"/>
                <w:szCs w:val="20"/>
                <w:lang w:val="en-US" w:bidi="ar"/>
              </w:rPr>
              <w:t>13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332E4">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0D34F">
            <w:pPr>
              <w:widowControl/>
              <w:jc w:val="center"/>
              <w:textAlignment w:val="center"/>
              <w:rPr>
                <w:color w:val="0F1115"/>
                <w:sz w:val="20"/>
                <w:szCs w:val="20"/>
              </w:rPr>
            </w:pPr>
            <w:r>
              <w:rPr>
                <w:rFonts w:hint="eastAsia"/>
                <w:color w:val="0F1115"/>
                <w:sz w:val="20"/>
                <w:szCs w:val="20"/>
                <w:lang w:val="en-US" w:bidi="ar"/>
              </w:rPr>
              <w:t>重卡配件包材费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58654">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0B420">
            <w:pPr>
              <w:widowControl/>
              <w:jc w:val="center"/>
              <w:textAlignment w:val="center"/>
              <w:rPr>
                <w:color w:val="0F1115"/>
                <w:sz w:val="20"/>
                <w:szCs w:val="20"/>
                <w:lang w:val="en-US"/>
              </w:rPr>
            </w:pPr>
            <w:r>
              <w:rPr>
                <w:rFonts w:hint="eastAsia"/>
                <w:color w:val="0F1115"/>
                <w:sz w:val="20"/>
                <w:szCs w:val="20"/>
                <w:lang w:val="en-US" w:bidi="ar"/>
              </w:rPr>
              <w:t>600000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85C6E">
            <w:pPr>
              <w:widowControl/>
              <w:jc w:val="center"/>
              <w:textAlignment w:val="center"/>
              <w:rPr>
                <w:color w:val="0F1115"/>
                <w:sz w:val="20"/>
                <w:szCs w:val="20"/>
              </w:rPr>
            </w:pPr>
            <w:r>
              <w:rPr>
                <w:rFonts w:hint="eastAsia"/>
                <w:color w:val="0F1115"/>
                <w:sz w:val="20"/>
                <w:szCs w:val="20"/>
                <w:lang w:val="en-US" w:bidi="ar"/>
              </w:rPr>
              <w:t>17.285‰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0B6C4">
            <w:pPr>
              <w:widowControl/>
              <w:jc w:val="center"/>
              <w:textAlignment w:val="center"/>
              <w:rPr>
                <w:color w:val="0F1115"/>
                <w:sz w:val="20"/>
                <w:szCs w:val="20"/>
                <w:lang w:val="en-US"/>
              </w:rPr>
            </w:pPr>
            <w:r>
              <w:rPr>
                <w:rFonts w:hint="eastAsia"/>
                <w:color w:val="0F1115"/>
                <w:sz w:val="20"/>
                <w:szCs w:val="20"/>
                <w:lang w:val="en-US" w:bidi="ar"/>
              </w:rPr>
              <w:t>10371</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B57201">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383D9">
            <w:pPr>
              <w:jc w:val="center"/>
              <w:rPr>
                <w:color w:val="0F1115"/>
                <w:sz w:val="20"/>
                <w:szCs w:val="20"/>
              </w:rPr>
            </w:pPr>
          </w:p>
        </w:tc>
      </w:tr>
      <w:tr w14:paraId="09CCE1BA">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E9024">
            <w:pPr>
              <w:widowControl/>
              <w:jc w:val="center"/>
              <w:textAlignment w:val="center"/>
              <w:rPr>
                <w:color w:val="0F1115"/>
                <w:sz w:val="20"/>
                <w:szCs w:val="20"/>
              </w:rPr>
            </w:pPr>
            <w:r>
              <w:rPr>
                <w:rFonts w:hint="eastAsia"/>
                <w:color w:val="0F1115"/>
                <w:sz w:val="20"/>
                <w:szCs w:val="20"/>
                <w:lang w:val="en-US" w:bidi="ar"/>
              </w:rPr>
              <w:t>14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422A1">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3D2D3">
            <w:pPr>
              <w:widowControl/>
              <w:jc w:val="center"/>
              <w:textAlignment w:val="center"/>
              <w:rPr>
                <w:color w:val="0F1115"/>
                <w:sz w:val="20"/>
                <w:szCs w:val="20"/>
              </w:rPr>
            </w:pPr>
            <w:r>
              <w:rPr>
                <w:rFonts w:hint="eastAsia"/>
                <w:color w:val="0F1115"/>
                <w:sz w:val="20"/>
                <w:szCs w:val="20"/>
                <w:lang w:val="en-US" w:bidi="ar"/>
              </w:rPr>
              <w:t>轻卡配件包装服务费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3B8E0">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3EE41">
            <w:pPr>
              <w:widowControl/>
              <w:jc w:val="center"/>
              <w:textAlignment w:val="center"/>
              <w:rPr>
                <w:color w:val="0F1115"/>
                <w:sz w:val="20"/>
                <w:szCs w:val="20"/>
                <w:lang w:val="en-US"/>
              </w:rPr>
            </w:pPr>
            <w:r>
              <w:rPr>
                <w:rFonts w:hint="eastAsia"/>
                <w:color w:val="0F1115"/>
                <w:sz w:val="20"/>
                <w:szCs w:val="20"/>
                <w:lang w:val="en-US" w:bidi="ar"/>
              </w:rPr>
              <w:t>60000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2C2E8">
            <w:pPr>
              <w:widowControl/>
              <w:jc w:val="center"/>
              <w:textAlignment w:val="center"/>
              <w:rPr>
                <w:color w:val="0F1115"/>
                <w:sz w:val="20"/>
                <w:szCs w:val="20"/>
              </w:rPr>
            </w:pPr>
            <w:r>
              <w:rPr>
                <w:rFonts w:hint="eastAsia"/>
                <w:color w:val="0F1115"/>
                <w:sz w:val="20"/>
                <w:szCs w:val="20"/>
                <w:lang w:val="en-US" w:bidi="ar"/>
              </w:rPr>
              <w:t>14.701‰</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40FA1">
            <w:pPr>
              <w:widowControl/>
              <w:jc w:val="center"/>
              <w:textAlignment w:val="center"/>
              <w:rPr>
                <w:color w:val="0F1115"/>
                <w:sz w:val="20"/>
                <w:szCs w:val="20"/>
                <w:lang w:val="en-US"/>
              </w:rPr>
            </w:pPr>
            <w:r>
              <w:rPr>
                <w:rFonts w:hint="eastAsia"/>
                <w:color w:val="0F1115"/>
                <w:sz w:val="20"/>
                <w:szCs w:val="20"/>
                <w:lang w:val="en-US" w:bidi="ar"/>
              </w:rPr>
              <w:t>882.6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09A35">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8BD83">
            <w:pPr>
              <w:jc w:val="center"/>
              <w:rPr>
                <w:color w:val="0F1115"/>
                <w:sz w:val="20"/>
                <w:szCs w:val="20"/>
              </w:rPr>
            </w:pPr>
          </w:p>
        </w:tc>
      </w:tr>
      <w:tr w14:paraId="59CD2394">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261CA">
            <w:pPr>
              <w:widowControl/>
              <w:jc w:val="center"/>
              <w:textAlignment w:val="center"/>
              <w:rPr>
                <w:color w:val="0F1115"/>
                <w:sz w:val="20"/>
                <w:szCs w:val="20"/>
              </w:rPr>
            </w:pPr>
            <w:r>
              <w:rPr>
                <w:rFonts w:hint="eastAsia"/>
                <w:color w:val="0F1115"/>
                <w:sz w:val="20"/>
                <w:szCs w:val="20"/>
                <w:lang w:val="en-US" w:bidi="ar"/>
              </w:rPr>
              <w:t>15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29DAC">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6CB9D">
            <w:pPr>
              <w:widowControl/>
              <w:jc w:val="center"/>
              <w:textAlignment w:val="center"/>
              <w:rPr>
                <w:color w:val="0F1115"/>
                <w:sz w:val="20"/>
                <w:szCs w:val="20"/>
              </w:rPr>
            </w:pPr>
            <w:r>
              <w:rPr>
                <w:rFonts w:hint="eastAsia"/>
                <w:color w:val="0F1115"/>
                <w:sz w:val="20"/>
                <w:szCs w:val="20"/>
                <w:lang w:val="en-US" w:bidi="ar"/>
              </w:rPr>
              <w:t>轻卡配件包材费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482EF">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18A52">
            <w:pPr>
              <w:widowControl/>
              <w:jc w:val="center"/>
              <w:textAlignment w:val="center"/>
              <w:rPr>
                <w:color w:val="0F1115"/>
                <w:sz w:val="20"/>
                <w:szCs w:val="20"/>
                <w:lang w:val="en-US"/>
              </w:rPr>
            </w:pPr>
            <w:r>
              <w:rPr>
                <w:rFonts w:hint="eastAsia"/>
                <w:color w:val="0F1115"/>
                <w:sz w:val="20"/>
                <w:szCs w:val="20"/>
                <w:lang w:val="en-US" w:bidi="ar"/>
              </w:rPr>
              <w:t>60000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E79FE">
            <w:pPr>
              <w:widowControl/>
              <w:jc w:val="center"/>
              <w:textAlignment w:val="center"/>
              <w:rPr>
                <w:color w:val="0F1115"/>
                <w:sz w:val="20"/>
                <w:szCs w:val="20"/>
              </w:rPr>
            </w:pPr>
            <w:r>
              <w:rPr>
                <w:rFonts w:hint="eastAsia"/>
                <w:color w:val="0F1115"/>
                <w:sz w:val="20"/>
                <w:szCs w:val="20"/>
                <w:lang w:val="en-US" w:bidi="ar"/>
              </w:rPr>
              <w:t>22.951‰</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DF979">
            <w:pPr>
              <w:widowControl/>
              <w:jc w:val="center"/>
              <w:textAlignment w:val="center"/>
              <w:rPr>
                <w:color w:val="0F1115"/>
                <w:sz w:val="20"/>
                <w:szCs w:val="20"/>
                <w:lang w:val="en-US"/>
              </w:rPr>
            </w:pPr>
            <w:r>
              <w:rPr>
                <w:rFonts w:hint="eastAsia"/>
                <w:color w:val="0F1115"/>
                <w:sz w:val="20"/>
                <w:szCs w:val="20"/>
                <w:lang w:val="en-US" w:bidi="ar"/>
              </w:rPr>
              <w:t>1377</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02BDB">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0EE33">
            <w:pPr>
              <w:jc w:val="center"/>
              <w:rPr>
                <w:color w:val="0F1115"/>
                <w:sz w:val="20"/>
                <w:szCs w:val="20"/>
              </w:rPr>
            </w:pPr>
          </w:p>
        </w:tc>
      </w:tr>
      <w:tr w14:paraId="547D3A37">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D192C">
            <w:pPr>
              <w:widowControl/>
              <w:jc w:val="center"/>
              <w:textAlignment w:val="center"/>
              <w:rPr>
                <w:color w:val="0F1115"/>
                <w:sz w:val="20"/>
                <w:szCs w:val="20"/>
              </w:rPr>
            </w:pPr>
            <w:r>
              <w:rPr>
                <w:rFonts w:hint="eastAsia"/>
                <w:color w:val="0F1115"/>
                <w:sz w:val="20"/>
                <w:szCs w:val="20"/>
                <w:lang w:val="en-US" w:bidi="ar"/>
              </w:rPr>
              <w:t>16</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99D91B">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52D74">
            <w:pPr>
              <w:widowControl/>
              <w:jc w:val="center"/>
              <w:textAlignment w:val="center"/>
              <w:rPr>
                <w:color w:val="0F1115"/>
                <w:sz w:val="20"/>
                <w:szCs w:val="20"/>
              </w:rPr>
            </w:pPr>
            <w:r>
              <w:rPr>
                <w:rFonts w:hint="eastAsia"/>
                <w:color w:val="0F1115"/>
                <w:sz w:val="20"/>
                <w:szCs w:val="20"/>
                <w:lang w:val="en-US" w:bidi="ar"/>
              </w:rPr>
              <w:t>原包装产品扫码费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027E6">
            <w:pPr>
              <w:widowControl/>
              <w:jc w:val="center"/>
              <w:textAlignment w:val="center"/>
              <w:rPr>
                <w:color w:val="0F1115"/>
                <w:sz w:val="20"/>
                <w:szCs w:val="20"/>
              </w:rPr>
            </w:pPr>
            <w:r>
              <w:rPr>
                <w:rFonts w:hint="eastAsia"/>
                <w:color w:val="0F1115"/>
                <w:sz w:val="20"/>
                <w:szCs w:val="20"/>
                <w:lang w:val="en-US" w:bidi="ar"/>
              </w:rPr>
              <w:t>元/件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831E0">
            <w:pPr>
              <w:widowControl/>
              <w:jc w:val="center"/>
              <w:textAlignment w:val="center"/>
              <w:rPr>
                <w:color w:val="0F1115"/>
                <w:sz w:val="20"/>
                <w:szCs w:val="20"/>
              </w:rPr>
            </w:pPr>
            <w:r>
              <w:rPr>
                <w:rFonts w:hint="eastAsia"/>
                <w:color w:val="0F1115"/>
                <w:sz w:val="20"/>
                <w:szCs w:val="20"/>
                <w:lang w:val="en-US" w:bidi="ar"/>
              </w:rPr>
              <w:t>45000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8C45B">
            <w:pPr>
              <w:widowControl/>
              <w:jc w:val="center"/>
              <w:textAlignment w:val="center"/>
              <w:rPr>
                <w:color w:val="0F1115"/>
                <w:sz w:val="20"/>
                <w:szCs w:val="20"/>
              </w:rPr>
            </w:pPr>
            <w:r>
              <w:rPr>
                <w:rFonts w:hint="eastAsia"/>
                <w:color w:val="0F1115"/>
                <w:sz w:val="20"/>
                <w:szCs w:val="20"/>
                <w:lang w:val="en-US" w:bidi="ar"/>
              </w:rPr>
              <w:t>2.868‰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9D344">
            <w:pPr>
              <w:widowControl/>
              <w:jc w:val="center"/>
              <w:textAlignment w:val="center"/>
              <w:rPr>
                <w:color w:val="0F1115"/>
                <w:sz w:val="20"/>
                <w:szCs w:val="20"/>
                <w:lang w:val="en-US"/>
              </w:rPr>
            </w:pPr>
            <w:r>
              <w:rPr>
                <w:rFonts w:hint="eastAsia"/>
                <w:color w:val="0F1115"/>
                <w:sz w:val="20"/>
                <w:szCs w:val="20"/>
                <w:lang w:val="en-US" w:bidi="ar"/>
              </w:rPr>
              <w:t>129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B7860">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C95BF">
            <w:pPr>
              <w:jc w:val="center"/>
              <w:rPr>
                <w:color w:val="0F1115"/>
                <w:sz w:val="20"/>
                <w:szCs w:val="20"/>
              </w:rPr>
            </w:pPr>
          </w:p>
        </w:tc>
      </w:tr>
      <w:tr w14:paraId="586BCAFD">
        <w:tblPrEx>
          <w:tblCellMar>
            <w:top w:w="0" w:type="dxa"/>
            <w:left w:w="108" w:type="dxa"/>
            <w:bottom w:w="0" w:type="dxa"/>
            <w:right w:w="108" w:type="dxa"/>
          </w:tblCellMar>
        </w:tblPrEx>
        <w:trPr>
          <w:trHeight w:val="337"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AE62D">
            <w:pPr>
              <w:widowControl/>
              <w:jc w:val="center"/>
              <w:textAlignment w:val="center"/>
              <w:rPr>
                <w:color w:val="0F1115"/>
                <w:sz w:val="20"/>
                <w:szCs w:val="20"/>
              </w:rPr>
            </w:pPr>
            <w:r>
              <w:rPr>
                <w:rFonts w:hint="eastAsia"/>
                <w:color w:val="0F1115"/>
                <w:sz w:val="20"/>
                <w:szCs w:val="20"/>
                <w:lang w:val="en-US" w:bidi="ar"/>
              </w:rPr>
              <w:t>17</w:t>
            </w: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B0465">
            <w:pPr>
              <w:widowControl/>
              <w:jc w:val="center"/>
              <w:textAlignment w:val="center"/>
              <w:rPr>
                <w:color w:val="0F1115"/>
                <w:sz w:val="20"/>
                <w:szCs w:val="20"/>
              </w:rPr>
            </w:pPr>
            <w:r>
              <w:rPr>
                <w:rFonts w:hint="eastAsia"/>
                <w:color w:val="0F1115"/>
                <w:sz w:val="20"/>
                <w:szCs w:val="20"/>
                <w:lang w:val="en-US" w:bidi="ar"/>
              </w:rPr>
              <w:t>集货装箱服务</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2CCD0">
            <w:pPr>
              <w:widowControl/>
              <w:jc w:val="center"/>
              <w:textAlignment w:val="center"/>
              <w:rPr>
                <w:color w:val="0F1115"/>
                <w:sz w:val="20"/>
                <w:szCs w:val="20"/>
              </w:rPr>
            </w:pPr>
            <w:r>
              <w:rPr>
                <w:rFonts w:hint="eastAsia"/>
                <w:color w:val="0F1115"/>
                <w:sz w:val="20"/>
                <w:szCs w:val="20"/>
                <w:lang w:val="en-US" w:bidi="ar"/>
              </w:rPr>
              <w:t>打包组托装箱费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6C58E">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EA6C5">
            <w:pPr>
              <w:widowControl/>
              <w:jc w:val="center"/>
              <w:textAlignment w:val="center"/>
              <w:rPr>
                <w:color w:val="0F1115"/>
                <w:sz w:val="20"/>
                <w:szCs w:val="20"/>
                <w:lang w:val="en-US"/>
              </w:rPr>
            </w:pPr>
            <w:r>
              <w:rPr>
                <w:rFonts w:hint="eastAsia"/>
                <w:color w:val="0F1115"/>
                <w:sz w:val="20"/>
                <w:szCs w:val="20"/>
                <w:lang w:val="en-US" w:bidi="ar"/>
              </w:rPr>
              <w:t>720000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621BE">
            <w:pPr>
              <w:widowControl/>
              <w:jc w:val="center"/>
              <w:textAlignment w:val="center"/>
              <w:rPr>
                <w:color w:val="0F1115"/>
                <w:sz w:val="20"/>
                <w:szCs w:val="20"/>
              </w:rPr>
            </w:pPr>
            <w:r>
              <w:rPr>
                <w:rFonts w:hint="eastAsia"/>
                <w:color w:val="0F1115"/>
                <w:sz w:val="20"/>
                <w:szCs w:val="20"/>
                <w:lang w:val="en-US" w:bidi="ar"/>
              </w:rPr>
              <w:t>1.175‰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C2DE5">
            <w:pPr>
              <w:widowControl/>
              <w:jc w:val="center"/>
              <w:textAlignment w:val="center"/>
              <w:rPr>
                <w:color w:val="0F1115"/>
                <w:sz w:val="20"/>
                <w:szCs w:val="20"/>
                <w:lang w:val="en-US"/>
              </w:rPr>
            </w:pPr>
            <w:r>
              <w:rPr>
                <w:rFonts w:hint="eastAsia"/>
                <w:color w:val="0F1115"/>
                <w:sz w:val="20"/>
                <w:szCs w:val="20"/>
                <w:lang w:val="en-US" w:bidi="ar"/>
              </w:rPr>
              <w:t>846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21156">
            <w:pPr>
              <w:widowControl/>
              <w:jc w:val="center"/>
              <w:textAlignment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2344A">
            <w:pPr>
              <w:jc w:val="center"/>
              <w:rPr>
                <w:color w:val="0F1115"/>
                <w:sz w:val="20"/>
                <w:szCs w:val="20"/>
              </w:rPr>
            </w:pPr>
          </w:p>
        </w:tc>
      </w:tr>
      <w:tr w14:paraId="7B4AD4B9">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C060F">
            <w:pPr>
              <w:widowControl/>
              <w:jc w:val="center"/>
              <w:textAlignment w:val="center"/>
              <w:rPr>
                <w:color w:val="0F1115"/>
                <w:sz w:val="20"/>
                <w:szCs w:val="20"/>
                <w:lang w:val="en-US" w:bidi="ar"/>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511BF">
            <w:pPr>
              <w:widowControl/>
              <w:jc w:val="center"/>
              <w:textAlignment w:val="center"/>
              <w:rPr>
                <w:b/>
                <w:bCs/>
                <w:color w:val="0F1115"/>
                <w:sz w:val="20"/>
                <w:szCs w:val="20"/>
                <w:lang w:val="en-US"/>
              </w:rPr>
            </w:pPr>
            <w:r>
              <w:rPr>
                <w:rFonts w:hint="eastAsia"/>
                <w:b/>
                <w:bCs/>
                <w:color w:val="0F1115"/>
                <w:sz w:val="20"/>
                <w:szCs w:val="20"/>
                <w:lang w:val="en-US" w:bidi="ar"/>
              </w:rPr>
              <w:t>项目</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F6F6C">
            <w:pPr>
              <w:widowControl/>
              <w:jc w:val="center"/>
              <w:textAlignment w:val="center"/>
              <w:rPr>
                <w:b/>
                <w:bCs/>
                <w:color w:val="0F1115"/>
                <w:sz w:val="20"/>
                <w:szCs w:val="20"/>
                <w:lang w:val="en-US"/>
              </w:rPr>
            </w:pPr>
            <w:r>
              <w:rPr>
                <w:rFonts w:hint="eastAsia"/>
                <w:b/>
                <w:bCs/>
                <w:color w:val="0F1115"/>
                <w:sz w:val="20"/>
                <w:szCs w:val="20"/>
                <w:lang w:val="en-US" w:bidi="ar"/>
              </w:rPr>
              <w:t>类别</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15B30">
            <w:pPr>
              <w:widowControl/>
              <w:jc w:val="center"/>
              <w:textAlignment w:val="center"/>
              <w:rPr>
                <w:b/>
                <w:bCs/>
                <w:color w:val="0F1115"/>
                <w:sz w:val="20"/>
                <w:szCs w:val="20"/>
                <w:lang w:val="en-US"/>
              </w:rPr>
            </w:pPr>
            <w:r>
              <w:rPr>
                <w:rFonts w:hint="eastAsia"/>
                <w:b/>
                <w:bCs/>
                <w:color w:val="0F1115"/>
                <w:sz w:val="20"/>
                <w:szCs w:val="20"/>
                <w:lang w:val="en-US" w:bidi="ar"/>
              </w:rPr>
              <w:t>计价单位</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71A2C1">
            <w:pPr>
              <w:widowControl/>
              <w:jc w:val="center"/>
              <w:textAlignment w:val="center"/>
              <w:rPr>
                <w:b/>
                <w:bCs/>
                <w:color w:val="0F1115"/>
                <w:sz w:val="20"/>
                <w:szCs w:val="20"/>
                <w:lang w:val="en-US"/>
              </w:rPr>
            </w:pPr>
            <w:r>
              <w:rPr>
                <w:rFonts w:hint="eastAsia"/>
                <w:b/>
                <w:bCs/>
                <w:color w:val="0F1115"/>
                <w:sz w:val="20"/>
                <w:szCs w:val="20"/>
                <w:lang w:val="en-US" w:bidi="ar"/>
              </w:rPr>
              <w:t>3年业务量（桶）</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D69C0">
            <w:pPr>
              <w:widowControl/>
              <w:jc w:val="center"/>
              <w:textAlignment w:val="center"/>
              <w:rPr>
                <w:b/>
                <w:bCs/>
                <w:color w:val="0F1115"/>
                <w:sz w:val="20"/>
                <w:szCs w:val="20"/>
                <w:lang w:val="en-US"/>
              </w:rPr>
            </w:pPr>
            <w:r>
              <w:rPr>
                <w:rFonts w:hint="eastAsia"/>
                <w:b/>
                <w:bCs/>
                <w:color w:val="0F1115"/>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09E6A">
            <w:pPr>
              <w:widowControl/>
              <w:jc w:val="center"/>
              <w:textAlignment w:val="center"/>
              <w:rPr>
                <w:b/>
                <w:bCs/>
                <w:color w:val="0F1115"/>
                <w:sz w:val="20"/>
                <w:szCs w:val="20"/>
                <w:lang w:val="en-US"/>
              </w:rPr>
            </w:pPr>
            <w:r>
              <w:rPr>
                <w:rFonts w:hint="eastAsia"/>
                <w:b/>
                <w:bCs/>
                <w:color w:val="0F1115"/>
                <w:sz w:val="20"/>
                <w:szCs w:val="20"/>
                <w:lang w:val="en-US" w:bidi="ar"/>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E3297">
            <w:pPr>
              <w:widowControl/>
              <w:jc w:val="center"/>
              <w:textAlignment w:val="center"/>
              <w:rPr>
                <w:b/>
                <w:bCs/>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0A309">
            <w:pPr>
              <w:widowControl/>
              <w:jc w:val="center"/>
              <w:textAlignment w:val="center"/>
              <w:rPr>
                <w:b/>
                <w:bCs/>
                <w:color w:val="0F1115"/>
                <w:sz w:val="20"/>
                <w:szCs w:val="20"/>
              </w:rPr>
            </w:pPr>
            <w:r>
              <w:rPr>
                <w:rFonts w:hint="eastAsia"/>
                <w:b/>
                <w:bCs/>
                <w:color w:val="0F1115"/>
                <w:sz w:val="20"/>
                <w:szCs w:val="20"/>
                <w:lang w:val="en-US" w:bidi="ar"/>
              </w:rPr>
              <w:t>备注</w:t>
            </w:r>
          </w:p>
        </w:tc>
      </w:tr>
      <w:tr w14:paraId="61E641F1">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E73AB">
            <w:pPr>
              <w:widowControl/>
              <w:jc w:val="center"/>
              <w:textAlignment w:val="center"/>
              <w:rPr>
                <w:color w:val="0F1115"/>
                <w:sz w:val="20"/>
                <w:szCs w:val="20"/>
              </w:rPr>
            </w:pPr>
            <w:r>
              <w:rPr>
                <w:rFonts w:hint="eastAsia"/>
                <w:color w:val="0F1115"/>
                <w:sz w:val="20"/>
                <w:szCs w:val="20"/>
                <w:lang w:val="en-US" w:bidi="ar"/>
              </w:rPr>
              <w:t>18</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6117E6">
            <w:pPr>
              <w:widowControl/>
              <w:jc w:val="center"/>
              <w:textAlignment w:val="center"/>
              <w:rPr>
                <w:color w:val="0F1115"/>
                <w:sz w:val="20"/>
                <w:szCs w:val="20"/>
              </w:rPr>
            </w:pPr>
            <w:r>
              <w:rPr>
                <w:rFonts w:hint="eastAsia"/>
                <w:color w:val="0F1115"/>
                <w:sz w:val="20"/>
                <w:szCs w:val="20"/>
                <w:lang w:val="en-US" w:bidi="ar"/>
              </w:rPr>
              <w:t>分运服务</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B5ACB">
            <w:pPr>
              <w:widowControl/>
              <w:jc w:val="center"/>
              <w:textAlignment w:val="center"/>
              <w:rPr>
                <w:color w:val="0F1115"/>
                <w:sz w:val="20"/>
                <w:szCs w:val="20"/>
              </w:rPr>
            </w:pPr>
            <w:r>
              <w:rPr>
                <w:rFonts w:hint="eastAsia"/>
                <w:color w:val="0F1115"/>
                <w:sz w:val="20"/>
                <w:szCs w:val="20"/>
                <w:lang w:val="en-US" w:bidi="ar"/>
              </w:rPr>
              <w:t>曼油分运仓储费18L</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1F83D">
            <w:pPr>
              <w:widowControl/>
              <w:jc w:val="center"/>
              <w:textAlignment w:val="center"/>
              <w:rPr>
                <w:color w:val="0F1115"/>
                <w:sz w:val="20"/>
                <w:szCs w:val="20"/>
                <w:lang w:val="en-US" w:bidi="ar"/>
              </w:rPr>
            </w:pPr>
            <w:r>
              <w:rPr>
                <w:rFonts w:hint="eastAsia"/>
                <w:color w:val="0F1115"/>
                <w:sz w:val="20"/>
                <w:szCs w:val="20"/>
                <w:lang w:val="en-US" w:bidi="ar"/>
              </w:rPr>
              <w:t>元/36桶</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3A2D3">
            <w:pPr>
              <w:widowControl/>
              <w:jc w:val="center"/>
              <w:textAlignment w:val="center"/>
              <w:rPr>
                <w:color w:val="0F1115"/>
                <w:sz w:val="20"/>
                <w:szCs w:val="20"/>
                <w:lang w:val="en-US"/>
              </w:rPr>
            </w:pPr>
            <w:r>
              <w:rPr>
                <w:rFonts w:hint="eastAsia"/>
                <w:color w:val="0F1115"/>
                <w:sz w:val="20"/>
                <w:szCs w:val="20"/>
                <w:lang w:val="en-US" w:bidi="ar"/>
              </w:rPr>
              <w:t>1800000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0C85D">
            <w:pPr>
              <w:widowControl/>
              <w:jc w:val="center"/>
              <w:textAlignment w:val="center"/>
              <w:rPr>
                <w:color w:val="0F1115"/>
                <w:sz w:val="20"/>
                <w:szCs w:val="20"/>
              </w:rPr>
            </w:pPr>
            <w:r>
              <w:rPr>
                <w:rFonts w:hint="eastAsia"/>
                <w:color w:val="0F1115"/>
                <w:sz w:val="20"/>
                <w:szCs w:val="20"/>
                <w:lang w:val="en-US" w:bidi="ar"/>
              </w:rPr>
              <w:t>54.15元/36桶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08936">
            <w:pPr>
              <w:widowControl/>
              <w:jc w:val="center"/>
              <w:textAlignment w:val="center"/>
              <w:rPr>
                <w:color w:val="0F1115"/>
                <w:sz w:val="20"/>
                <w:szCs w:val="20"/>
                <w:lang w:val="en-US"/>
              </w:rPr>
            </w:pPr>
            <w:r>
              <w:rPr>
                <w:rFonts w:hint="eastAsia"/>
                <w:color w:val="0F1115"/>
                <w:sz w:val="20"/>
                <w:szCs w:val="20"/>
                <w:lang w:val="en-US" w:bidi="ar"/>
              </w:rPr>
              <w:t>270.75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1C40C">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8374C">
            <w:pPr>
              <w:jc w:val="center"/>
              <w:rPr>
                <w:color w:val="0F1115"/>
                <w:sz w:val="20"/>
                <w:szCs w:val="20"/>
              </w:rPr>
            </w:pPr>
          </w:p>
        </w:tc>
      </w:tr>
      <w:tr w14:paraId="041DC080">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30F07">
            <w:pPr>
              <w:widowControl/>
              <w:jc w:val="center"/>
              <w:textAlignment w:val="center"/>
              <w:rPr>
                <w:color w:val="0F1115"/>
                <w:sz w:val="20"/>
                <w:szCs w:val="20"/>
              </w:rPr>
            </w:pPr>
            <w:r>
              <w:rPr>
                <w:rFonts w:hint="eastAsia"/>
                <w:color w:val="0F1115"/>
                <w:sz w:val="20"/>
                <w:szCs w:val="20"/>
                <w:lang w:val="en-US" w:bidi="ar"/>
              </w:rPr>
              <w:t>19</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7473F">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54F54">
            <w:pPr>
              <w:widowControl/>
              <w:jc w:val="center"/>
              <w:textAlignment w:val="center"/>
              <w:rPr>
                <w:color w:val="0F1115"/>
                <w:sz w:val="20"/>
                <w:szCs w:val="20"/>
              </w:rPr>
            </w:pPr>
            <w:r>
              <w:rPr>
                <w:rFonts w:hint="eastAsia"/>
                <w:color w:val="0F1115"/>
                <w:sz w:val="20"/>
                <w:szCs w:val="20"/>
                <w:lang w:val="en-US" w:bidi="ar"/>
              </w:rPr>
              <w:t>曼油分运仓储费4L</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2F20C">
            <w:pPr>
              <w:widowControl/>
              <w:jc w:val="center"/>
              <w:textAlignment w:val="center"/>
              <w:rPr>
                <w:color w:val="0F1115"/>
                <w:sz w:val="20"/>
                <w:szCs w:val="20"/>
                <w:lang w:val="en-US" w:bidi="ar"/>
              </w:rPr>
            </w:pPr>
            <w:r>
              <w:rPr>
                <w:rFonts w:hint="eastAsia"/>
                <w:color w:val="0F1115"/>
                <w:sz w:val="20"/>
                <w:szCs w:val="20"/>
                <w:lang w:val="en-US" w:bidi="ar"/>
              </w:rPr>
              <w:t>元/20箱</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971E3">
            <w:pPr>
              <w:widowControl/>
              <w:jc w:val="center"/>
              <w:textAlignment w:val="center"/>
              <w:rPr>
                <w:color w:val="0F1115"/>
                <w:sz w:val="20"/>
                <w:szCs w:val="20"/>
                <w:lang w:val="en-US"/>
              </w:rPr>
            </w:pPr>
            <w:r>
              <w:rPr>
                <w:rFonts w:hint="eastAsia"/>
                <w:color w:val="0F1115"/>
                <w:sz w:val="20"/>
                <w:szCs w:val="20"/>
                <w:lang w:val="en-US" w:bidi="ar"/>
              </w:rPr>
              <w:t>1200000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F4D57">
            <w:pPr>
              <w:widowControl/>
              <w:jc w:val="center"/>
              <w:textAlignment w:val="center"/>
              <w:rPr>
                <w:color w:val="0F1115"/>
                <w:sz w:val="20"/>
                <w:szCs w:val="20"/>
              </w:rPr>
            </w:pPr>
            <w:r>
              <w:rPr>
                <w:rFonts w:hint="eastAsia"/>
                <w:color w:val="0F1115"/>
                <w:sz w:val="20"/>
                <w:szCs w:val="20"/>
                <w:lang w:val="en-US" w:bidi="ar"/>
              </w:rPr>
              <w:t>44.25元/20箱</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1C35D">
            <w:pPr>
              <w:widowControl/>
              <w:jc w:val="center"/>
              <w:textAlignment w:val="center"/>
              <w:rPr>
                <w:color w:val="0F1115"/>
                <w:sz w:val="20"/>
                <w:szCs w:val="20"/>
                <w:lang w:val="en-US"/>
              </w:rPr>
            </w:pPr>
            <w:r>
              <w:rPr>
                <w:rFonts w:hint="eastAsia"/>
                <w:color w:val="0F1115"/>
                <w:sz w:val="20"/>
                <w:szCs w:val="20"/>
                <w:lang w:val="en-US" w:bidi="ar"/>
              </w:rPr>
              <w:t>44.25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B319B">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4EB86">
            <w:pPr>
              <w:jc w:val="center"/>
              <w:rPr>
                <w:color w:val="0F1115"/>
                <w:sz w:val="20"/>
                <w:szCs w:val="20"/>
              </w:rPr>
            </w:pPr>
          </w:p>
        </w:tc>
      </w:tr>
      <w:tr w14:paraId="0D6801E7">
        <w:tblPrEx>
          <w:tblCellMar>
            <w:top w:w="0" w:type="dxa"/>
            <w:left w:w="108" w:type="dxa"/>
            <w:bottom w:w="0" w:type="dxa"/>
            <w:right w:w="108" w:type="dxa"/>
          </w:tblCellMar>
        </w:tblPrEx>
        <w:trPr>
          <w:trHeight w:val="90"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35371">
            <w:pPr>
              <w:widowControl/>
              <w:jc w:val="center"/>
              <w:textAlignment w:val="center"/>
              <w:rPr>
                <w:color w:val="0F1115"/>
                <w:sz w:val="20"/>
                <w:szCs w:val="20"/>
              </w:rPr>
            </w:pPr>
            <w:r>
              <w:rPr>
                <w:rFonts w:hint="eastAsia"/>
                <w:color w:val="0F1115"/>
                <w:sz w:val="20"/>
                <w:szCs w:val="20"/>
                <w:lang w:val="en-US" w:bidi="ar"/>
              </w:rPr>
              <w:t>21</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A495B3">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99AF3">
            <w:pPr>
              <w:widowControl/>
              <w:jc w:val="center"/>
              <w:textAlignment w:val="center"/>
              <w:rPr>
                <w:color w:val="0F1115"/>
                <w:sz w:val="20"/>
                <w:szCs w:val="20"/>
              </w:rPr>
            </w:pPr>
            <w:r>
              <w:rPr>
                <w:rFonts w:hint="eastAsia"/>
                <w:color w:val="0F1115"/>
                <w:sz w:val="20"/>
                <w:szCs w:val="20"/>
                <w:lang w:val="en-US" w:bidi="ar"/>
              </w:rPr>
              <w:t>曼油分运仓储费18L（超期存储）</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9940B">
            <w:pPr>
              <w:widowControl/>
              <w:jc w:val="center"/>
              <w:textAlignment w:val="center"/>
              <w:rPr>
                <w:color w:val="0F1115"/>
                <w:sz w:val="18"/>
                <w:szCs w:val="18"/>
              </w:rPr>
            </w:pPr>
            <w:r>
              <w:rPr>
                <w:rFonts w:hint="eastAsia"/>
                <w:color w:val="0F1115"/>
                <w:sz w:val="18"/>
                <w:szCs w:val="18"/>
                <w:lang w:val="en-US" w:bidi="ar"/>
              </w:rPr>
              <w:t>元/36桶/天</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9E199">
            <w:pPr>
              <w:jc w:val="center"/>
              <w:rPr>
                <w:color w:val="0F1115"/>
                <w:sz w:val="20"/>
                <w:szCs w:val="20"/>
                <w:lang w:val="en-US"/>
              </w:rPr>
            </w:pPr>
            <w:r>
              <w:rPr>
                <w:rFonts w:hint="eastAsia"/>
                <w:color w:val="0F1115"/>
                <w:sz w:val="20"/>
                <w:szCs w:val="20"/>
                <w:lang w:val="en-US"/>
              </w:rPr>
              <w:t>120000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8950E">
            <w:pPr>
              <w:widowControl/>
              <w:jc w:val="center"/>
              <w:textAlignment w:val="center"/>
              <w:rPr>
                <w:color w:val="0F1115"/>
                <w:sz w:val="20"/>
                <w:szCs w:val="20"/>
              </w:rPr>
            </w:pPr>
            <w:r>
              <w:rPr>
                <w:rFonts w:hint="eastAsia"/>
                <w:color w:val="0F1115"/>
                <w:sz w:val="20"/>
                <w:szCs w:val="20"/>
                <w:lang w:val="en-US" w:bidi="ar"/>
              </w:rPr>
              <w:t>0.634元/天/36桶</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30701">
            <w:pPr>
              <w:jc w:val="center"/>
              <w:rPr>
                <w:color w:val="0F1115"/>
                <w:sz w:val="20"/>
                <w:szCs w:val="20"/>
                <w:lang w:val="en-US"/>
              </w:rPr>
            </w:pPr>
            <w:r>
              <w:rPr>
                <w:rFonts w:hint="eastAsia"/>
                <w:color w:val="0F1115"/>
                <w:sz w:val="20"/>
                <w:szCs w:val="20"/>
                <w:lang w:val="en-US"/>
              </w:rPr>
              <w:t>12.6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72B51">
            <w:pPr>
              <w:jc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D921D">
            <w:pPr>
              <w:jc w:val="center"/>
              <w:rPr>
                <w:color w:val="0F1115"/>
                <w:sz w:val="20"/>
                <w:szCs w:val="20"/>
              </w:rPr>
            </w:pPr>
          </w:p>
        </w:tc>
      </w:tr>
      <w:tr w14:paraId="4BEEDC93">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7D6B5">
            <w:pPr>
              <w:widowControl/>
              <w:jc w:val="center"/>
              <w:textAlignment w:val="center"/>
              <w:rPr>
                <w:color w:val="0F1115"/>
                <w:sz w:val="20"/>
                <w:szCs w:val="20"/>
              </w:rPr>
            </w:pPr>
            <w:r>
              <w:rPr>
                <w:rFonts w:hint="eastAsia"/>
                <w:color w:val="0F1115"/>
                <w:sz w:val="20"/>
                <w:szCs w:val="20"/>
                <w:lang w:val="en-US" w:bidi="ar"/>
              </w:rPr>
              <w:t>22</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314D3D">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73805">
            <w:pPr>
              <w:widowControl/>
              <w:jc w:val="center"/>
              <w:textAlignment w:val="center"/>
              <w:rPr>
                <w:color w:val="0F1115"/>
                <w:sz w:val="20"/>
                <w:szCs w:val="20"/>
              </w:rPr>
            </w:pPr>
            <w:r>
              <w:rPr>
                <w:rFonts w:hint="eastAsia"/>
                <w:color w:val="0F1115"/>
                <w:sz w:val="20"/>
                <w:szCs w:val="20"/>
                <w:lang w:val="en-US" w:bidi="ar"/>
              </w:rPr>
              <w:t>曼油分运仓储费4L（超期存储）</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060C0">
            <w:pPr>
              <w:widowControl/>
              <w:jc w:val="center"/>
              <w:textAlignment w:val="center"/>
              <w:rPr>
                <w:color w:val="0F1115"/>
                <w:sz w:val="18"/>
                <w:szCs w:val="18"/>
              </w:rPr>
            </w:pPr>
            <w:r>
              <w:rPr>
                <w:rFonts w:hint="eastAsia"/>
                <w:color w:val="0F1115"/>
                <w:sz w:val="18"/>
                <w:szCs w:val="18"/>
                <w:lang w:val="en-US" w:bidi="ar"/>
              </w:rPr>
              <w:t>元/20箱/天</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7FB4">
            <w:pPr>
              <w:jc w:val="center"/>
              <w:rPr>
                <w:color w:val="0F1115"/>
                <w:sz w:val="20"/>
                <w:szCs w:val="20"/>
                <w:lang w:val="en-US"/>
              </w:rPr>
            </w:pPr>
            <w:r>
              <w:rPr>
                <w:rFonts w:hint="eastAsia"/>
                <w:color w:val="0F1115"/>
                <w:sz w:val="20"/>
                <w:szCs w:val="20"/>
                <w:lang w:val="en-US"/>
              </w:rPr>
              <w:t>60000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FEFD0">
            <w:pPr>
              <w:widowControl/>
              <w:jc w:val="center"/>
              <w:textAlignment w:val="center"/>
              <w:rPr>
                <w:color w:val="0F1115"/>
                <w:sz w:val="20"/>
                <w:szCs w:val="20"/>
              </w:rPr>
            </w:pPr>
            <w:r>
              <w:rPr>
                <w:rFonts w:hint="eastAsia"/>
                <w:color w:val="0F1115"/>
                <w:sz w:val="20"/>
                <w:szCs w:val="20"/>
                <w:lang w:val="en-US" w:bidi="ar"/>
              </w:rPr>
              <w:t>0.634元/天/20箱</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88525">
            <w:pPr>
              <w:jc w:val="center"/>
              <w:rPr>
                <w:color w:val="0F1115"/>
                <w:sz w:val="20"/>
                <w:szCs w:val="20"/>
                <w:lang w:val="en-US"/>
              </w:rPr>
            </w:pPr>
            <w:r>
              <w:rPr>
                <w:rFonts w:hint="eastAsia"/>
                <w:color w:val="0F1115"/>
                <w:sz w:val="20"/>
                <w:szCs w:val="20"/>
                <w:lang w:val="en-US"/>
              </w:rPr>
              <w:t>1.8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C46BF">
            <w:pPr>
              <w:jc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72358">
            <w:pPr>
              <w:jc w:val="center"/>
              <w:rPr>
                <w:color w:val="0F1115"/>
                <w:sz w:val="20"/>
                <w:szCs w:val="20"/>
              </w:rPr>
            </w:pPr>
          </w:p>
        </w:tc>
      </w:tr>
      <w:tr w14:paraId="1732D855">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FA50C">
            <w:pPr>
              <w:widowControl/>
              <w:jc w:val="center"/>
              <w:textAlignment w:val="center"/>
              <w:rPr>
                <w:color w:val="0F1115"/>
                <w:sz w:val="20"/>
                <w:szCs w:val="20"/>
              </w:rPr>
            </w:pPr>
            <w:r>
              <w:rPr>
                <w:rFonts w:hint="eastAsia"/>
                <w:color w:val="0F1115"/>
                <w:sz w:val="20"/>
                <w:szCs w:val="20"/>
                <w:lang w:val="en-US" w:bidi="ar"/>
              </w:rPr>
              <w:t>23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9344E">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93D3A">
            <w:pPr>
              <w:widowControl/>
              <w:jc w:val="center"/>
              <w:textAlignment w:val="center"/>
              <w:rPr>
                <w:color w:val="0F1115"/>
                <w:sz w:val="20"/>
                <w:szCs w:val="20"/>
              </w:rPr>
            </w:pPr>
            <w:r>
              <w:rPr>
                <w:rFonts w:hint="eastAsia"/>
                <w:color w:val="0F1115"/>
                <w:sz w:val="20"/>
                <w:szCs w:val="20"/>
                <w:lang w:val="en-US" w:bidi="ar"/>
              </w:rPr>
              <w:t>驾驶室分运仓储费（超期存储）</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DF880">
            <w:pPr>
              <w:widowControl/>
              <w:jc w:val="center"/>
              <w:textAlignment w:val="center"/>
              <w:rPr>
                <w:color w:val="0F1115"/>
                <w:sz w:val="18"/>
                <w:szCs w:val="18"/>
              </w:rPr>
            </w:pPr>
            <w:r>
              <w:rPr>
                <w:rFonts w:hint="eastAsia"/>
                <w:color w:val="0F1115"/>
                <w:sz w:val="18"/>
                <w:szCs w:val="18"/>
                <w:lang w:val="en-US" w:bidi="ar"/>
              </w:rPr>
              <w:t>元/件/天</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D4F91">
            <w:pPr>
              <w:jc w:val="center"/>
              <w:rPr>
                <w:color w:val="0F1115"/>
                <w:sz w:val="20"/>
                <w:szCs w:val="20"/>
                <w:lang w:val="en-US"/>
              </w:rPr>
            </w:pPr>
            <w:r>
              <w:rPr>
                <w:rFonts w:hint="eastAsia"/>
                <w:color w:val="0F1115"/>
                <w:sz w:val="20"/>
                <w:szCs w:val="20"/>
                <w:lang w:val="en-US"/>
              </w:rPr>
              <w:t>300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D5C60">
            <w:pPr>
              <w:widowControl/>
              <w:jc w:val="center"/>
              <w:textAlignment w:val="center"/>
              <w:rPr>
                <w:color w:val="0F1115"/>
                <w:sz w:val="20"/>
                <w:szCs w:val="20"/>
              </w:rPr>
            </w:pPr>
            <w:r>
              <w:rPr>
                <w:rFonts w:hint="eastAsia"/>
                <w:color w:val="0F1115"/>
                <w:sz w:val="20"/>
                <w:szCs w:val="20"/>
                <w:lang w:val="en-US" w:bidi="ar"/>
              </w:rPr>
              <w:t>3.66元/台/天</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52E7E">
            <w:pPr>
              <w:jc w:val="center"/>
              <w:rPr>
                <w:color w:val="0F1115"/>
                <w:sz w:val="20"/>
                <w:szCs w:val="20"/>
                <w:lang w:val="en-US"/>
              </w:rPr>
            </w:pPr>
            <w:r>
              <w:rPr>
                <w:rFonts w:hint="eastAsia"/>
                <w:color w:val="0F1115"/>
                <w:sz w:val="20"/>
                <w:szCs w:val="20"/>
                <w:lang w:val="en-US"/>
              </w:rPr>
              <w:t>6.6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98C9A">
            <w:pPr>
              <w:jc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6CBC7">
            <w:pPr>
              <w:jc w:val="center"/>
              <w:rPr>
                <w:color w:val="0F1115"/>
                <w:sz w:val="20"/>
                <w:szCs w:val="20"/>
              </w:rPr>
            </w:pPr>
          </w:p>
        </w:tc>
      </w:tr>
      <w:tr w14:paraId="42093D3D">
        <w:tblPrEx>
          <w:tblCellMar>
            <w:top w:w="0" w:type="dxa"/>
            <w:left w:w="108" w:type="dxa"/>
            <w:bottom w:w="0" w:type="dxa"/>
            <w:right w:w="108" w:type="dxa"/>
          </w:tblCellMar>
        </w:tblPrEx>
        <w:trPr>
          <w:trHeight w:val="36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3BA13">
            <w:pPr>
              <w:widowControl/>
              <w:jc w:val="center"/>
              <w:textAlignment w:val="center"/>
              <w:rPr>
                <w:color w:val="0F1115"/>
                <w:sz w:val="20"/>
                <w:szCs w:val="20"/>
                <w:lang w:val="en-US" w:bidi="ar"/>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29607">
            <w:pPr>
              <w:widowControl/>
              <w:jc w:val="center"/>
              <w:textAlignment w:val="center"/>
              <w:rPr>
                <w:b/>
                <w:bCs/>
                <w:color w:val="0F1115"/>
                <w:sz w:val="20"/>
                <w:szCs w:val="20"/>
                <w:lang w:val="en-US"/>
              </w:rPr>
            </w:pPr>
            <w:r>
              <w:rPr>
                <w:rFonts w:hint="eastAsia"/>
                <w:b/>
                <w:bCs/>
                <w:color w:val="0F1115"/>
                <w:sz w:val="20"/>
                <w:szCs w:val="20"/>
                <w:lang w:val="en-US" w:bidi="ar"/>
              </w:rPr>
              <w:t>项目</w:t>
            </w:r>
          </w:p>
        </w:tc>
        <w:tc>
          <w:tcPr>
            <w:tcW w:w="949" w:type="pct"/>
            <w:tcBorders>
              <w:top w:val="single" w:color="000000" w:sz="4" w:space="0"/>
              <w:left w:val="single" w:color="000000" w:sz="4" w:space="0"/>
              <w:right w:val="single" w:color="000000" w:sz="4" w:space="0"/>
            </w:tcBorders>
            <w:shd w:val="clear" w:color="auto" w:fill="FFFFFF"/>
            <w:vAlign w:val="center"/>
          </w:tcPr>
          <w:p w14:paraId="1FEDC63F">
            <w:pPr>
              <w:widowControl/>
              <w:jc w:val="center"/>
              <w:textAlignment w:val="center"/>
              <w:rPr>
                <w:b/>
                <w:bCs/>
                <w:color w:val="0F1115"/>
                <w:sz w:val="20"/>
                <w:szCs w:val="20"/>
                <w:lang w:val="en-US"/>
              </w:rPr>
            </w:pPr>
            <w:r>
              <w:rPr>
                <w:rFonts w:hint="eastAsia"/>
                <w:b/>
                <w:bCs/>
                <w:color w:val="0F1115"/>
                <w:sz w:val="20"/>
                <w:szCs w:val="20"/>
                <w:lang w:val="en-US" w:bidi="ar"/>
              </w:rPr>
              <w:t>类别</w:t>
            </w:r>
          </w:p>
        </w:tc>
        <w:tc>
          <w:tcPr>
            <w:tcW w:w="519" w:type="pct"/>
            <w:tcBorders>
              <w:top w:val="single" w:color="000000" w:sz="4" w:space="0"/>
              <w:left w:val="single" w:color="000000" w:sz="4" w:space="0"/>
              <w:right w:val="single" w:color="000000" w:sz="4" w:space="0"/>
            </w:tcBorders>
            <w:shd w:val="clear" w:color="auto" w:fill="FFFFFF"/>
            <w:vAlign w:val="center"/>
          </w:tcPr>
          <w:p w14:paraId="614CCBC3">
            <w:pPr>
              <w:widowControl/>
              <w:jc w:val="center"/>
              <w:textAlignment w:val="center"/>
              <w:rPr>
                <w:b/>
                <w:bCs/>
                <w:color w:val="0F1115"/>
                <w:sz w:val="20"/>
                <w:szCs w:val="20"/>
                <w:lang w:val="en-US"/>
              </w:rPr>
            </w:pPr>
            <w:r>
              <w:rPr>
                <w:rFonts w:hint="eastAsia"/>
                <w:b/>
                <w:bCs/>
                <w:color w:val="0F1115"/>
                <w:sz w:val="20"/>
                <w:szCs w:val="20"/>
                <w:lang w:val="en-US" w:bidi="ar"/>
              </w:rPr>
              <w:t>计价单位</w:t>
            </w:r>
          </w:p>
        </w:tc>
        <w:tc>
          <w:tcPr>
            <w:tcW w:w="563" w:type="pct"/>
            <w:tcBorders>
              <w:top w:val="single" w:color="000000" w:sz="4" w:space="0"/>
              <w:left w:val="single" w:color="000000" w:sz="4" w:space="0"/>
              <w:right w:val="single" w:color="000000" w:sz="4" w:space="0"/>
            </w:tcBorders>
            <w:shd w:val="clear" w:color="auto" w:fill="FFFFFF"/>
            <w:vAlign w:val="center"/>
          </w:tcPr>
          <w:p w14:paraId="088D9782">
            <w:pPr>
              <w:widowControl/>
              <w:jc w:val="center"/>
              <w:textAlignment w:val="center"/>
              <w:rPr>
                <w:b/>
                <w:bCs/>
                <w:color w:val="0F1115"/>
                <w:sz w:val="20"/>
                <w:szCs w:val="20"/>
                <w:lang w:val="en-US"/>
              </w:rPr>
            </w:pPr>
            <w:r>
              <w:rPr>
                <w:rFonts w:hint="eastAsia"/>
                <w:b/>
                <w:bCs/>
                <w:color w:val="0F1115"/>
                <w:sz w:val="20"/>
                <w:szCs w:val="20"/>
                <w:lang w:val="en-US" w:bidi="ar"/>
              </w:rPr>
              <w:t>3年业务量（万元）</w:t>
            </w:r>
          </w:p>
        </w:tc>
        <w:tc>
          <w:tcPr>
            <w:tcW w:w="407" w:type="pct"/>
            <w:tcBorders>
              <w:top w:val="single" w:color="000000" w:sz="4" w:space="0"/>
              <w:left w:val="single" w:color="000000" w:sz="4" w:space="0"/>
              <w:right w:val="single" w:color="000000" w:sz="4" w:space="0"/>
            </w:tcBorders>
            <w:shd w:val="clear" w:color="auto" w:fill="FFFFFF"/>
            <w:vAlign w:val="center"/>
          </w:tcPr>
          <w:p w14:paraId="581CFA5F">
            <w:pPr>
              <w:widowControl/>
              <w:jc w:val="center"/>
              <w:textAlignment w:val="center"/>
              <w:rPr>
                <w:b/>
                <w:bCs/>
                <w:color w:val="0F1115"/>
                <w:sz w:val="20"/>
                <w:szCs w:val="20"/>
                <w:lang w:val="en-US"/>
              </w:rPr>
            </w:pPr>
            <w:r>
              <w:rPr>
                <w:rFonts w:hint="eastAsia"/>
                <w:b/>
                <w:bCs/>
                <w:color w:val="0F1115"/>
                <w:sz w:val="20"/>
                <w:szCs w:val="20"/>
                <w:lang w:val="en-US" w:bidi="ar"/>
              </w:rPr>
              <w:t>未税单价</w:t>
            </w:r>
          </w:p>
        </w:tc>
        <w:tc>
          <w:tcPr>
            <w:tcW w:w="599" w:type="pct"/>
            <w:tcBorders>
              <w:top w:val="single" w:color="000000" w:sz="4" w:space="0"/>
              <w:left w:val="single" w:color="000000" w:sz="4" w:space="0"/>
              <w:right w:val="single" w:color="000000" w:sz="4" w:space="0"/>
            </w:tcBorders>
            <w:shd w:val="clear" w:color="auto" w:fill="FFFFFF"/>
            <w:vAlign w:val="center"/>
          </w:tcPr>
          <w:p w14:paraId="1E42CF94">
            <w:pPr>
              <w:widowControl/>
              <w:jc w:val="center"/>
              <w:textAlignment w:val="center"/>
              <w:rPr>
                <w:b/>
                <w:bCs/>
                <w:color w:val="0F1115"/>
                <w:sz w:val="20"/>
                <w:szCs w:val="20"/>
                <w:lang w:val="en-US"/>
              </w:rPr>
            </w:pPr>
            <w:r>
              <w:rPr>
                <w:rFonts w:hint="eastAsia"/>
                <w:b/>
                <w:bCs/>
                <w:color w:val="0F1115"/>
                <w:sz w:val="20"/>
                <w:szCs w:val="20"/>
                <w:lang w:val="en-US" w:bidi="ar"/>
              </w:rPr>
              <w:t>未税金额（万元）</w:t>
            </w:r>
          </w:p>
        </w:tc>
        <w:tc>
          <w:tcPr>
            <w:tcW w:w="396" w:type="pct"/>
            <w:tcBorders>
              <w:top w:val="single" w:color="000000" w:sz="4" w:space="0"/>
              <w:left w:val="single" w:color="000000" w:sz="4" w:space="0"/>
              <w:right w:val="single" w:color="000000" w:sz="4" w:space="0"/>
            </w:tcBorders>
            <w:shd w:val="clear" w:color="auto" w:fill="FFFFFF"/>
            <w:vAlign w:val="center"/>
          </w:tcPr>
          <w:p w14:paraId="3508D947">
            <w:pPr>
              <w:widowControl/>
              <w:jc w:val="center"/>
              <w:textAlignment w:val="center"/>
              <w:rPr>
                <w:b/>
                <w:bCs/>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right w:val="single" w:color="000000" w:sz="4" w:space="0"/>
            </w:tcBorders>
            <w:shd w:val="clear" w:color="auto" w:fill="FFFFFF"/>
            <w:vAlign w:val="center"/>
          </w:tcPr>
          <w:p w14:paraId="30F55ADB">
            <w:pPr>
              <w:widowControl/>
              <w:jc w:val="center"/>
              <w:textAlignment w:val="center"/>
              <w:rPr>
                <w:b/>
                <w:bCs/>
                <w:color w:val="0F1115"/>
                <w:sz w:val="20"/>
                <w:szCs w:val="20"/>
              </w:rPr>
            </w:pPr>
            <w:r>
              <w:rPr>
                <w:rFonts w:hint="eastAsia"/>
                <w:b/>
                <w:bCs/>
                <w:color w:val="0F1115"/>
                <w:sz w:val="20"/>
                <w:szCs w:val="20"/>
                <w:lang w:val="en-US" w:bidi="ar"/>
              </w:rPr>
              <w:t>备注</w:t>
            </w:r>
          </w:p>
        </w:tc>
      </w:tr>
      <w:tr w14:paraId="724770AF">
        <w:tblPrEx>
          <w:tblCellMar>
            <w:top w:w="0" w:type="dxa"/>
            <w:left w:w="108" w:type="dxa"/>
            <w:bottom w:w="0" w:type="dxa"/>
            <w:right w:w="108" w:type="dxa"/>
          </w:tblCellMar>
        </w:tblPrEx>
        <w:trPr>
          <w:trHeight w:val="36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37C9E">
            <w:pPr>
              <w:widowControl/>
              <w:jc w:val="center"/>
              <w:textAlignment w:val="center"/>
              <w:rPr>
                <w:color w:val="0F1115"/>
                <w:sz w:val="20"/>
                <w:szCs w:val="20"/>
              </w:rPr>
            </w:pPr>
          </w:p>
          <w:p w14:paraId="79AEF834">
            <w:pPr>
              <w:widowControl/>
              <w:jc w:val="center"/>
              <w:textAlignment w:val="center"/>
              <w:rPr>
                <w:color w:val="0F1115"/>
                <w:sz w:val="20"/>
                <w:szCs w:val="20"/>
              </w:rPr>
            </w:pPr>
            <w:r>
              <w:rPr>
                <w:rFonts w:hint="eastAsia"/>
                <w:color w:val="0F1115"/>
                <w:sz w:val="20"/>
                <w:szCs w:val="20"/>
                <w:lang w:val="en-US" w:bidi="ar"/>
              </w:rPr>
              <w:t>24</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9DD5BD">
            <w:pPr>
              <w:widowControl/>
              <w:jc w:val="both"/>
              <w:textAlignment w:val="center"/>
              <w:rPr>
                <w:color w:val="0F1115"/>
                <w:sz w:val="20"/>
                <w:szCs w:val="20"/>
                <w:lang w:val="en-US"/>
              </w:rPr>
            </w:pPr>
            <w:r>
              <w:rPr>
                <w:rFonts w:hint="eastAsia"/>
                <w:color w:val="0F1115"/>
                <w:sz w:val="20"/>
                <w:szCs w:val="20"/>
                <w:lang w:val="en-US"/>
              </w:rPr>
              <w:t>仓储服务</w:t>
            </w:r>
          </w:p>
        </w:tc>
        <w:tc>
          <w:tcPr>
            <w:tcW w:w="949" w:type="pct"/>
            <w:tcBorders>
              <w:top w:val="single" w:color="000000" w:sz="4" w:space="0"/>
              <w:left w:val="single" w:color="000000" w:sz="4" w:space="0"/>
              <w:right w:val="single" w:color="000000" w:sz="4" w:space="0"/>
            </w:tcBorders>
            <w:shd w:val="clear" w:color="auto" w:fill="FFFFFF"/>
            <w:vAlign w:val="center"/>
          </w:tcPr>
          <w:p w14:paraId="36E41074">
            <w:pPr>
              <w:widowControl/>
              <w:jc w:val="center"/>
              <w:textAlignment w:val="center"/>
              <w:rPr>
                <w:color w:val="0F1115"/>
                <w:sz w:val="20"/>
                <w:szCs w:val="20"/>
              </w:rPr>
            </w:pPr>
            <w:r>
              <w:rPr>
                <w:rFonts w:hint="eastAsia"/>
                <w:color w:val="0F1115"/>
                <w:sz w:val="20"/>
                <w:szCs w:val="20"/>
                <w:lang w:val="en-US" w:bidi="ar"/>
              </w:rPr>
              <w:t>储备库仓储服务费</w:t>
            </w:r>
          </w:p>
        </w:tc>
        <w:tc>
          <w:tcPr>
            <w:tcW w:w="519" w:type="pct"/>
            <w:tcBorders>
              <w:top w:val="single" w:color="000000" w:sz="4" w:space="0"/>
              <w:left w:val="single" w:color="000000" w:sz="4" w:space="0"/>
              <w:right w:val="single" w:color="000000" w:sz="4" w:space="0"/>
            </w:tcBorders>
            <w:shd w:val="clear" w:color="auto" w:fill="FFFFFF"/>
            <w:vAlign w:val="center"/>
          </w:tcPr>
          <w:p w14:paraId="6CB80442">
            <w:pPr>
              <w:widowControl/>
              <w:jc w:val="center"/>
              <w:textAlignment w:val="center"/>
              <w:rPr>
                <w:color w:val="0F1115"/>
                <w:sz w:val="20"/>
                <w:szCs w:val="20"/>
              </w:rPr>
            </w:pPr>
            <w:r>
              <w:rPr>
                <w:rFonts w:hint="eastAsia"/>
                <w:color w:val="0F1115"/>
                <w:sz w:val="20"/>
                <w:szCs w:val="20"/>
                <w:lang w:val="en-US" w:bidi="ar"/>
              </w:rPr>
              <w:t>费率（%）</w:t>
            </w:r>
          </w:p>
        </w:tc>
        <w:tc>
          <w:tcPr>
            <w:tcW w:w="563" w:type="pct"/>
            <w:tcBorders>
              <w:top w:val="single" w:color="000000" w:sz="4" w:space="0"/>
              <w:left w:val="single" w:color="000000" w:sz="4" w:space="0"/>
              <w:right w:val="single" w:color="000000" w:sz="4" w:space="0"/>
            </w:tcBorders>
            <w:shd w:val="clear" w:color="auto" w:fill="FFFFFF"/>
            <w:vAlign w:val="center"/>
          </w:tcPr>
          <w:p w14:paraId="7F27E95E">
            <w:pPr>
              <w:widowControl/>
              <w:jc w:val="center"/>
              <w:textAlignment w:val="center"/>
              <w:rPr>
                <w:color w:val="0F1115"/>
                <w:sz w:val="20"/>
                <w:szCs w:val="20"/>
                <w:lang w:val="en-US"/>
              </w:rPr>
            </w:pPr>
            <w:r>
              <w:rPr>
                <w:rFonts w:hint="eastAsia"/>
                <w:color w:val="0F1115"/>
                <w:sz w:val="20"/>
                <w:szCs w:val="20"/>
                <w:lang w:val="en-US" w:bidi="ar"/>
              </w:rPr>
              <w:t>60000</w:t>
            </w:r>
          </w:p>
        </w:tc>
        <w:tc>
          <w:tcPr>
            <w:tcW w:w="407" w:type="pct"/>
            <w:tcBorders>
              <w:top w:val="single" w:color="000000" w:sz="4" w:space="0"/>
              <w:left w:val="single" w:color="000000" w:sz="4" w:space="0"/>
              <w:right w:val="single" w:color="000000" w:sz="4" w:space="0"/>
            </w:tcBorders>
            <w:shd w:val="clear" w:color="auto" w:fill="FFFFFF"/>
            <w:vAlign w:val="center"/>
          </w:tcPr>
          <w:p w14:paraId="77632EED">
            <w:pPr>
              <w:widowControl/>
              <w:jc w:val="center"/>
              <w:textAlignment w:val="center"/>
              <w:rPr>
                <w:color w:val="0F1115"/>
                <w:sz w:val="20"/>
                <w:szCs w:val="20"/>
              </w:rPr>
            </w:pPr>
            <w:r>
              <w:rPr>
                <w:rFonts w:hint="eastAsia"/>
                <w:color w:val="0F1115"/>
                <w:sz w:val="20"/>
                <w:szCs w:val="20"/>
                <w:lang w:val="en-US" w:bidi="ar"/>
              </w:rPr>
              <w:t xml:space="preserve">2.8‰ </w:t>
            </w:r>
          </w:p>
        </w:tc>
        <w:tc>
          <w:tcPr>
            <w:tcW w:w="599" w:type="pct"/>
            <w:tcBorders>
              <w:top w:val="single" w:color="000000" w:sz="4" w:space="0"/>
              <w:left w:val="single" w:color="000000" w:sz="4" w:space="0"/>
              <w:right w:val="single" w:color="000000" w:sz="4" w:space="0"/>
            </w:tcBorders>
            <w:shd w:val="clear" w:color="auto" w:fill="FFFFFF"/>
            <w:vAlign w:val="center"/>
          </w:tcPr>
          <w:p w14:paraId="099FCFCE">
            <w:pPr>
              <w:widowControl/>
              <w:jc w:val="center"/>
              <w:textAlignment w:val="center"/>
              <w:rPr>
                <w:color w:val="0F1115"/>
                <w:sz w:val="20"/>
                <w:szCs w:val="20"/>
                <w:lang w:val="en-US"/>
              </w:rPr>
            </w:pPr>
            <w:r>
              <w:rPr>
                <w:rFonts w:hint="eastAsia"/>
                <w:color w:val="0F1115"/>
                <w:sz w:val="20"/>
                <w:szCs w:val="20"/>
                <w:lang w:val="en-US" w:bidi="ar"/>
              </w:rPr>
              <w:t>168</w:t>
            </w:r>
          </w:p>
        </w:tc>
        <w:tc>
          <w:tcPr>
            <w:tcW w:w="396" w:type="pct"/>
            <w:tcBorders>
              <w:top w:val="single" w:color="000000" w:sz="4" w:space="0"/>
              <w:left w:val="single" w:color="000000" w:sz="4" w:space="0"/>
              <w:right w:val="single" w:color="000000" w:sz="4" w:space="0"/>
            </w:tcBorders>
            <w:shd w:val="clear" w:color="auto" w:fill="FFFFFF"/>
            <w:vAlign w:val="center"/>
          </w:tcPr>
          <w:p w14:paraId="462B0026">
            <w:pPr>
              <w:widowControl/>
              <w:jc w:val="center"/>
              <w:textAlignment w:val="center"/>
              <w:rPr>
                <w:color w:val="0F1115"/>
                <w:sz w:val="20"/>
                <w:szCs w:val="20"/>
              </w:rPr>
            </w:pPr>
          </w:p>
        </w:tc>
        <w:tc>
          <w:tcPr>
            <w:tcW w:w="684" w:type="pct"/>
            <w:tcBorders>
              <w:top w:val="single" w:color="000000" w:sz="4" w:space="0"/>
              <w:left w:val="single" w:color="000000" w:sz="4" w:space="0"/>
              <w:right w:val="single" w:color="000000" w:sz="4" w:space="0"/>
            </w:tcBorders>
            <w:shd w:val="clear" w:color="auto" w:fill="FFFFFF"/>
            <w:vAlign w:val="center"/>
          </w:tcPr>
          <w:p w14:paraId="075121D0">
            <w:pPr>
              <w:jc w:val="center"/>
              <w:rPr>
                <w:color w:val="0F1115"/>
                <w:sz w:val="20"/>
                <w:szCs w:val="20"/>
              </w:rPr>
            </w:pPr>
          </w:p>
        </w:tc>
      </w:tr>
      <w:tr w14:paraId="1B665F33">
        <w:tblPrEx>
          <w:tblCellMar>
            <w:top w:w="0" w:type="dxa"/>
            <w:left w:w="108" w:type="dxa"/>
            <w:bottom w:w="0" w:type="dxa"/>
            <w:right w:w="108" w:type="dxa"/>
          </w:tblCellMar>
        </w:tblPrEx>
        <w:trPr>
          <w:trHeight w:val="194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B686F">
            <w:pPr>
              <w:widowControl/>
              <w:jc w:val="center"/>
              <w:textAlignment w:val="center"/>
              <w:rPr>
                <w:color w:val="0F1115"/>
                <w:sz w:val="20"/>
                <w:szCs w:val="20"/>
              </w:rPr>
            </w:pPr>
            <w:r>
              <w:rPr>
                <w:rFonts w:hint="eastAsia"/>
                <w:color w:val="0F1115"/>
                <w:sz w:val="20"/>
                <w:szCs w:val="20"/>
                <w:lang w:val="en-US" w:bidi="ar"/>
              </w:rPr>
              <w:t>25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F84D3">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B4499">
            <w:pPr>
              <w:widowControl/>
              <w:jc w:val="center"/>
              <w:textAlignment w:val="center"/>
              <w:rPr>
                <w:color w:val="0F1115"/>
                <w:sz w:val="20"/>
                <w:szCs w:val="20"/>
              </w:rPr>
            </w:pPr>
            <w:r>
              <w:rPr>
                <w:rFonts w:hint="eastAsia"/>
                <w:color w:val="0F1115"/>
                <w:sz w:val="20"/>
                <w:szCs w:val="20"/>
                <w:lang w:val="en-US" w:bidi="ar"/>
              </w:rPr>
              <w:t>退库物资管理费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FF7F3">
            <w:pPr>
              <w:widowControl/>
              <w:jc w:val="center"/>
              <w:textAlignment w:val="center"/>
              <w:rPr>
                <w:color w:val="0F1115"/>
                <w:sz w:val="20"/>
                <w:szCs w:val="20"/>
              </w:rPr>
            </w:pPr>
            <w:r>
              <w:rPr>
                <w:rFonts w:hint="eastAsia"/>
                <w:color w:val="0F1115"/>
                <w:sz w:val="20"/>
                <w:szCs w:val="20"/>
                <w:lang w:val="en-US" w:bidi="ar"/>
              </w:rPr>
              <w:t>元/吨</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829A2">
            <w:pPr>
              <w:widowControl/>
              <w:jc w:val="center"/>
              <w:textAlignment w:val="center"/>
              <w:rPr>
                <w:color w:val="0F1115"/>
                <w:sz w:val="20"/>
                <w:szCs w:val="20"/>
                <w:lang w:val="en-US"/>
              </w:rPr>
            </w:pPr>
            <w:r>
              <w:rPr>
                <w:rFonts w:hint="eastAsia"/>
                <w:color w:val="0F1115"/>
                <w:sz w:val="20"/>
                <w:szCs w:val="20"/>
                <w:lang w:val="en-US" w:bidi="ar"/>
              </w:rPr>
              <w:t>4500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8BC42">
            <w:pPr>
              <w:widowControl/>
              <w:jc w:val="center"/>
              <w:textAlignment w:val="center"/>
              <w:rPr>
                <w:color w:val="0F1115"/>
                <w:sz w:val="20"/>
                <w:szCs w:val="20"/>
              </w:rPr>
            </w:pPr>
            <w:r>
              <w:rPr>
                <w:rFonts w:hint="eastAsia"/>
                <w:color w:val="0F1115"/>
                <w:sz w:val="20"/>
                <w:szCs w:val="20"/>
                <w:lang w:val="en-US" w:bidi="ar"/>
              </w:rPr>
              <w:t>270元/吨</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7DBB7">
            <w:pPr>
              <w:widowControl/>
              <w:jc w:val="center"/>
              <w:textAlignment w:val="center"/>
              <w:rPr>
                <w:color w:val="0F1115"/>
                <w:sz w:val="20"/>
                <w:szCs w:val="20"/>
                <w:lang w:val="en-US"/>
              </w:rPr>
            </w:pPr>
            <w:r>
              <w:rPr>
                <w:rFonts w:hint="eastAsia"/>
                <w:color w:val="0F1115"/>
                <w:sz w:val="20"/>
                <w:szCs w:val="20"/>
                <w:lang w:val="en-US"/>
              </w:rPr>
              <w:t>121.5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42455">
            <w:pPr>
              <w:jc w:val="center"/>
              <w:rPr>
                <w:color w:val="0F1115"/>
                <w:sz w:val="20"/>
                <w:szCs w:val="20"/>
                <w:lang w:val="en-US"/>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11E17">
            <w:pPr>
              <w:jc w:val="center"/>
              <w:rPr>
                <w:color w:val="0F1115"/>
                <w:sz w:val="20"/>
                <w:szCs w:val="20"/>
              </w:rPr>
            </w:pPr>
            <w:r>
              <w:rPr>
                <w:rFonts w:hint="eastAsia"/>
                <w:color w:val="0F1115"/>
                <w:sz w:val="20"/>
                <w:szCs w:val="20"/>
                <w:lang w:val="en-US"/>
              </w:rPr>
              <w:t>注：包含甲方指定库区内调拨业务</w:t>
            </w:r>
          </w:p>
        </w:tc>
      </w:tr>
      <w:tr w14:paraId="49755BEE">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C04F3">
            <w:pPr>
              <w:widowControl/>
              <w:jc w:val="center"/>
              <w:textAlignment w:val="center"/>
              <w:rPr>
                <w:color w:val="0F1115"/>
                <w:sz w:val="20"/>
                <w:szCs w:val="20"/>
                <w:lang w:val="en-US" w:bidi="ar"/>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110D1">
            <w:pPr>
              <w:widowControl/>
              <w:jc w:val="center"/>
              <w:textAlignment w:val="center"/>
              <w:rPr>
                <w:color w:val="0F1115"/>
                <w:sz w:val="20"/>
                <w:szCs w:val="20"/>
                <w:lang w:val="en-US" w:bidi="ar"/>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9CBCB">
            <w:pPr>
              <w:widowControl/>
              <w:jc w:val="center"/>
              <w:textAlignment w:val="center"/>
              <w:rPr>
                <w:color w:val="0F1115"/>
                <w:sz w:val="20"/>
                <w:szCs w:val="20"/>
                <w:lang w:val="en-US" w:bidi="ar"/>
              </w:rPr>
            </w:pPr>
            <w:r>
              <w:rPr>
                <w:rFonts w:hint="eastAsia"/>
                <w:b/>
                <w:bCs/>
                <w:color w:val="000000"/>
                <w:sz w:val="20"/>
                <w:szCs w:val="20"/>
                <w:lang w:val="en-US" w:bidi="ar"/>
              </w:rPr>
              <w:t>取货起点</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3DD25">
            <w:pPr>
              <w:widowControl/>
              <w:jc w:val="center"/>
              <w:textAlignment w:val="center"/>
              <w:rPr>
                <w:color w:val="0F1115"/>
                <w:sz w:val="20"/>
                <w:szCs w:val="20"/>
                <w:lang w:val="en-US" w:bidi="ar"/>
              </w:rPr>
            </w:pPr>
            <w:r>
              <w:rPr>
                <w:rFonts w:hint="eastAsia"/>
                <w:b/>
                <w:bCs/>
                <w:color w:val="000000"/>
                <w:sz w:val="20"/>
                <w:szCs w:val="20"/>
                <w:lang w:val="en-US" w:bidi="ar"/>
              </w:rPr>
              <w:t>3年业务量（车次）</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70726">
            <w:pPr>
              <w:widowControl/>
              <w:jc w:val="center"/>
              <w:textAlignment w:val="center"/>
              <w:rPr>
                <w:color w:val="0F1115"/>
                <w:sz w:val="20"/>
                <w:szCs w:val="20"/>
              </w:rPr>
            </w:pPr>
            <w:r>
              <w:rPr>
                <w:rFonts w:hint="eastAsia"/>
                <w:b/>
                <w:bCs/>
                <w:color w:val="000000"/>
                <w:sz w:val="20"/>
                <w:szCs w:val="20"/>
                <w:lang w:val="en-US" w:bidi="ar"/>
              </w:rPr>
              <w:t>单价计费方式</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9D05D">
            <w:pPr>
              <w:widowControl/>
              <w:jc w:val="center"/>
              <w:textAlignment w:val="center"/>
              <w:rPr>
                <w:color w:val="0F1115"/>
                <w:sz w:val="20"/>
                <w:szCs w:val="20"/>
                <w:lang w:val="en-US"/>
              </w:rPr>
            </w:pPr>
            <w:r>
              <w:rPr>
                <w:rFonts w:hint="eastAsia"/>
                <w:b/>
                <w:bCs/>
                <w:color w:val="000000"/>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DA404">
            <w:pPr>
              <w:widowControl/>
              <w:jc w:val="center"/>
              <w:textAlignment w:val="center"/>
              <w:rPr>
                <w:color w:val="0F1115"/>
                <w:sz w:val="20"/>
                <w:szCs w:val="20"/>
                <w:lang w:val="en-US"/>
              </w:rPr>
            </w:pPr>
            <w:r>
              <w:rPr>
                <w:rFonts w:hint="eastAsia"/>
                <w:b/>
                <w:bCs/>
                <w:color w:val="0F1115"/>
                <w:sz w:val="20"/>
                <w:szCs w:val="20"/>
                <w:lang w:val="en-US"/>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AC418">
            <w:pPr>
              <w:widowControl/>
              <w:jc w:val="center"/>
              <w:textAlignment w:val="center"/>
              <w:rPr>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right w:val="single" w:color="000000" w:sz="4" w:space="0"/>
            </w:tcBorders>
            <w:shd w:val="clear" w:color="auto" w:fill="FFFFFF"/>
            <w:vAlign w:val="center"/>
          </w:tcPr>
          <w:p w14:paraId="29684DB8">
            <w:pPr>
              <w:widowControl/>
              <w:jc w:val="center"/>
              <w:textAlignment w:val="center"/>
              <w:rPr>
                <w:color w:val="0F1115"/>
                <w:sz w:val="20"/>
                <w:szCs w:val="20"/>
              </w:rPr>
            </w:pPr>
          </w:p>
        </w:tc>
      </w:tr>
      <w:tr w14:paraId="1D63A3B6">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BDE07">
            <w:pPr>
              <w:widowControl/>
              <w:jc w:val="center"/>
              <w:textAlignment w:val="center"/>
              <w:rPr>
                <w:color w:val="0F1115"/>
                <w:sz w:val="20"/>
                <w:szCs w:val="20"/>
                <w:lang w:val="en-US" w:bidi="ar"/>
              </w:rPr>
            </w:pPr>
            <w:r>
              <w:rPr>
                <w:rFonts w:hint="eastAsia"/>
                <w:color w:val="0F1115"/>
                <w:sz w:val="20"/>
                <w:szCs w:val="20"/>
                <w:lang w:val="en-US" w:bidi="ar"/>
              </w:rPr>
              <w:t>26</w:t>
            </w:r>
          </w:p>
        </w:tc>
        <w:tc>
          <w:tcPr>
            <w:tcW w:w="622" w:type="pct"/>
            <w:vMerge w:val="restart"/>
            <w:tcBorders>
              <w:top w:val="single" w:color="000000" w:sz="4" w:space="0"/>
              <w:left w:val="single" w:color="000000" w:sz="4" w:space="0"/>
              <w:right w:val="single" w:color="000000" w:sz="4" w:space="0"/>
            </w:tcBorders>
            <w:shd w:val="clear" w:color="auto" w:fill="FFFFFF"/>
            <w:vAlign w:val="center"/>
          </w:tcPr>
          <w:p w14:paraId="0A058281">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331BF">
            <w:pPr>
              <w:widowControl/>
              <w:jc w:val="center"/>
              <w:textAlignment w:val="center"/>
              <w:rPr>
                <w:color w:val="0F1115"/>
                <w:sz w:val="20"/>
                <w:szCs w:val="20"/>
                <w:lang w:val="en-US" w:bidi="ar"/>
              </w:rPr>
            </w:pPr>
            <w:r>
              <w:rPr>
                <w:rFonts w:hint="eastAsia"/>
                <w:color w:val="000000"/>
                <w:sz w:val="20"/>
                <w:szCs w:val="20"/>
                <w:lang w:val="en-US" w:bidi="ar"/>
              </w:rPr>
              <w:t>卡车公司（党家庄）  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FA083">
            <w:pPr>
              <w:widowControl/>
              <w:jc w:val="center"/>
              <w:textAlignment w:val="center"/>
              <w:rPr>
                <w:color w:val="0F1115"/>
                <w:sz w:val="20"/>
                <w:szCs w:val="20"/>
                <w:lang w:val="en-US" w:bidi="ar"/>
              </w:rPr>
            </w:pPr>
            <w:r>
              <w:rPr>
                <w:rFonts w:hint="eastAsia"/>
                <w:color w:val="0F1115"/>
                <w:sz w:val="20"/>
                <w:szCs w:val="20"/>
                <w:lang w:val="en-US" w:bidi="ar"/>
              </w:rPr>
              <w:t>90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E5161">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76FD6">
            <w:pPr>
              <w:widowControl/>
              <w:jc w:val="center"/>
              <w:textAlignment w:val="center"/>
              <w:rPr>
                <w:color w:val="0F1115"/>
                <w:sz w:val="20"/>
                <w:szCs w:val="20"/>
              </w:rPr>
            </w:pPr>
            <w:r>
              <w:rPr>
                <w:rFonts w:hint="eastAsia"/>
                <w:color w:val="000000"/>
                <w:sz w:val="20"/>
                <w:szCs w:val="20"/>
                <w:lang w:val="en-US" w:bidi="ar"/>
              </w:rPr>
              <w:t>194.08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67587">
            <w:pPr>
              <w:widowControl/>
              <w:jc w:val="center"/>
              <w:textAlignment w:val="center"/>
              <w:rPr>
                <w:color w:val="0F1115"/>
                <w:sz w:val="20"/>
                <w:szCs w:val="20"/>
                <w:lang w:val="en-US"/>
              </w:rPr>
            </w:pPr>
            <w:r>
              <w:rPr>
                <w:rFonts w:hint="eastAsia"/>
                <w:color w:val="000000"/>
                <w:sz w:val="20"/>
                <w:szCs w:val="20"/>
                <w:lang w:val="en-US" w:bidi="ar"/>
              </w:rPr>
              <w:t>1.5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58604">
            <w:pPr>
              <w:jc w:val="center"/>
              <w:rPr>
                <w:color w:val="0F1115"/>
                <w:sz w:val="20"/>
                <w:szCs w:val="20"/>
              </w:rPr>
            </w:pPr>
          </w:p>
        </w:tc>
        <w:tc>
          <w:tcPr>
            <w:tcW w:w="684" w:type="pct"/>
            <w:vMerge w:val="restart"/>
            <w:tcBorders>
              <w:left w:val="single" w:color="000000" w:sz="4" w:space="0"/>
              <w:right w:val="single" w:color="000000" w:sz="4" w:space="0"/>
            </w:tcBorders>
            <w:shd w:val="clear" w:color="auto" w:fill="FFFFFF"/>
            <w:vAlign w:val="center"/>
          </w:tcPr>
          <w:p w14:paraId="486FA890">
            <w:pPr>
              <w:widowControl/>
              <w:jc w:val="center"/>
              <w:textAlignment w:val="center"/>
              <w:rPr>
                <w:color w:val="0F1115"/>
                <w:sz w:val="20"/>
                <w:szCs w:val="20"/>
              </w:rPr>
            </w:pPr>
            <w:r>
              <w:rPr>
                <w:rFonts w:hint="eastAsia"/>
                <w:color w:val="0F1115"/>
                <w:sz w:val="20"/>
                <w:szCs w:val="20"/>
                <w:lang w:val="en-US"/>
              </w:rPr>
              <w:t>注：</w:t>
            </w:r>
            <w:r>
              <w:rPr>
                <w:rFonts w:hint="eastAsia"/>
                <w:color w:val="0F1115"/>
                <w:sz w:val="20"/>
                <w:szCs w:val="20"/>
              </w:rPr>
              <w:t>按实际派车车型数量计费含配件交接清点及单据传递工作</w:t>
            </w:r>
          </w:p>
        </w:tc>
      </w:tr>
      <w:tr w14:paraId="194D4118">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786A7">
            <w:pPr>
              <w:widowControl/>
              <w:jc w:val="center"/>
              <w:textAlignment w:val="center"/>
              <w:rPr>
                <w:color w:val="0F1115"/>
                <w:sz w:val="20"/>
                <w:szCs w:val="20"/>
                <w:lang w:val="en-US" w:bidi="ar"/>
              </w:rPr>
            </w:pPr>
            <w:r>
              <w:rPr>
                <w:rFonts w:hint="eastAsia"/>
                <w:color w:val="0F1115"/>
                <w:sz w:val="20"/>
                <w:szCs w:val="20"/>
                <w:lang w:val="en-US" w:bidi="ar"/>
              </w:rPr>
              <w:t>27</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7E1A3">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E5874">
            <w:pPr>
              <w:widowControl/>
              <w:jc w:val="center"/>
              <w:textAlignment w:val="center"/>
              <w:rPr>
                <w:color w:val="0F1115"/>
                <w:sz w:val="20"/>
                <w:szCs w:val="20"/>
                <w:lang w:val="en-US" w:bidi="ar"/>
              </w:rPr>
            </w:pPr>
            <w:r>
              <w:rPr>
                <w:rFonts w:hint="eastAsia"/>
                <w:color w:val="000000"/>
                <w:sz w:val="20"/>
                <w:szCs w:val="20"/>
                <w:lang w:val="en-US" w:bidi="ar"/>
              </w:rPr>
              <w:t>卡车公司（党家庄）6.8M车型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DFBB4">
            <w:pPr>
              <w:widowControl/>
              <w:jc w:val="center"/>
              <w:textAlignment w:val="center"/>
              <w:rPr>
                <w:color w:val="0F1115"/>
                <w:sz w:val="20"/>
                <w:szCs w:val="20"/>
                <w:lang w:val="en-US" w:bidi="ar"/>
              </w:rPr>
            </w:pPr>
            <w:r>
              <w:rPr>
                <w:rFonts w:hint="eastAsia"/>
                <w:color w:val="0F1115"/>
                <w:sz w:val="20"/>
                <w:szCs w:val="20"/>
                <w:lang w:val="en-US" w:bidi="ar"/>
              </w:rPr>
              <w:t>30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FBB06">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68CC1">
            <w:pPr>
              <w:widowControl/>
              <w:jc w:val="center"/>
              <w:textAlignment w:val="center"/>
              <w:rPr>
                <w:color w:val="0F1115"/>
                <w:sz w:val="20"/>
                <w:szCs w:val="20"/>
              </w:rPr>
            </w:pPr>
            <w:r>
              <w:rPr>
                <w:rFonts w:hint="eastAsia"/>
                <w:color w:val="000000"/>
                <w:sz w:val="20"/>
                <w:szCs w:val="20"/>
                <w:lang w:val="en-US" w:bidi="ar"/>
              </w:rPr>
              <w:t>452.58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DE29E">
            <w:pPr>
              <w:widowControl/>
              <w:jc w:val="center"/>
              <w:textAlignment w:val="center"/>
              <w:rPr>
                <w:color w:val="0F1115"/>
                <w:sz w:val="20"/>
                <w:szCs w:val="20"/>
                <w:lang w:val="en-US"/>
              </w:rPr>
            </w:pPr>
            <w:r>
              <w:rPr>
                <w:rFonts w:hint="eastAsia"/>
                <w:color w:val="000000"/>
                <w:sz w:val="20"/>
                <w:szCs w:val="20"/>
                <w:lang w:val="en-US" w:bidi="ar"/>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6B8DB">
            <w:pPr>
              <w:widowControl/>
              <w:jc w:val="center"/>
              <w:textAlignment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1030DD0D">
            <w:pPr>
              <w:widowControl/>
              <w:jc w:val="center"/>
              <w:textAlignment w:val="center"/>
              <w:rPr>
                <w:color w:val="0F1115"/>
                <w:sz w:val="20"/>
                <w:szCs w:val="20"/>
              </w:rPr>
            </w:pPr>
          </w:p>
        </w:tc>
      </w:tr>
      <w:tr w14:paraId="7A181E14">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7A984">
            <w:pPr>
              <w:widowControl/>
              <w:jc w:val="center"/>
              <w:textAlignment w:val="center"/>
              <w:rPr>
                <w:color w:val="0F1115"/>
                <w:sz w:val="20"/>
                <w:szCs w:val="20"/>
                <w:lang w:val="en-US" w:bidi="ar"/>
              </w:rPr>
            </w:pPr>
            <w:r>
              <w:rPr>
                <w:rFonts w:hint="eastAsia"/>
                <w:color w:val="0F1115"/>
                <w:sz w:val="20"/>
                <w:szCs w:val="20"/>
                <w:lang w:val="en-US" w:bidi="ar"/>
              </w:rPr>
              <w:t>28</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C8B27">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87118">
            <w:pPr>
              <w:widowControl/>
              <w:jc w:val="center"/>
              <w:textAlignment w:val="center"/>
              <w:rPr>
                <w:color w:val="0F1115"/>
                <w:sz w:val="20"/>
                <w:szCs w:val="20"/>
                <w:lang w:val="en-US" w:bidi="ar"/>
              </w:rPr>
            </w:pPr>
            <w:r>
              <w:rPr>
                <w:rFonts w:hint="eastAsia"/>
                <w:color w:val="000000"/>
                <w:sz w:val="20"/>
                <w:szCs w:val="20"/>
                <w:lang w:val="en-US" w:bidi="ar"/>
              </w:rPr>
              <w:t>卡车公司（党家庄）9.6M车型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5D40E">
            <w:pPr>
              <w:widowControl/>
              <w:jc w:val="center"/>
              <w:textAlignment w:val="center"/>
              <w:rPr>
                <w:color w:val="0F1115"/>
                <w:sz w:val="20"/>
                <w:szCs w:val="20"/>
                <w:lang w:val="en-US" w:bidi="ar"/>
              </w:rPr>
            </w:pPr>
            <w:r>
              <w:rPr>
                <w:rFonts w:hint="eastAsia"/>
                <w:color w:val="0F1115"/>
                <w:sz w:val="20"/>
                <w:szCs w:val="20"/>
                <w:lang w:val="en-US" w:bidi="ar"/>
              </w:rPr>
              <w:t>162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F9770">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519EC">
            <w:pPr>
              <w:widowControl/>
              <w:jc w:val="center"/>
              <w:textAlignment w:val="center"/>
              <w:rPr>
                <w:color w:val="0F1115"/>
                <w:sz w:val="20"/>
                <w:szCs w:val="20"/>
              </w:rPr>
            </w:pPr>
            <w:r>
              <w:rPr>
                <w:rFonts w:hint="eastAsia"/>
                <w:color w:val="000000"/>
                <w:sz w:val="20"/>
                <w:szCs w:val="20"/>
                <w:lang w:val="en-US" w:bidi="ar"/>
              </w:rPr>
              <w:t>562.11</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9AA5A">
            <w:pPr>
              <w:widowControl/>
              <w:jc w:val="center"/>
              <w:textAlignment w:val="center"/>
              <w:rPr>
                <w:color w:val="0F1115"/>
                <w:sz w:val="20"/>
                <w:szCs w:val="20"/>
              </w:rPr>
            </w:pPr>
            <w:r>
              <w:rPr>
                <w:rFonts w:hint="eastAsia"/>
                <w:color w:val="000000"/>
                <w:sz w:val="20"/>
                <w:szCs w:val="20"/>
                <w:lang w:val="en-US" w:bidi="ar"/>
              </w:rPr>
              <w:t>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9246C">
            <w:pPr>
              <w:widowControl/>
              <w:jc w:val="center"/>
              <w:textAlignment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3887FE9E">
            <w:pPr>
              <w:widowControl/>
              <w:jc w:val="center"/>
              <w:textAlignment w:val="center"/>
              <w:rPr>
                <w:color w:val="0F1115"/>
                <w:sz w:val="20"/>
                <w:szCs w:val="20"/>
              </w:rPr>
            </w:pPr>
          </w:p>
        </w:tc>
      </w:tr>
      <w:tr w14:paraId="715B97F1">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B7A90">
            <w:pPr>
              <w:widowControl/>
              <w:jc w:val="center"/>
              <w:textAlignment w:val="center"/>
              <w:rPr>
                <w:color w:val="0F1115"/>
                <w:sz w:val="20"/>
                <w:szCs w:val="20"/>
                <w:lang w:val="en-US" w:bidi="ar"/>
              </w:rPr>
            </w:pPr>
            <w:r>
              <w:rPr>
                <w:rFonts w:hint="eastAsia"/>
                <w:color w:val="0F1115"/>
                <w:sz w:val="20"/>
                <w:szCs w:val="20"/>
                <w:lang w:val="en-US" w:bidi="ar"/>
              </w:rPr>
              <w:t>29</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FE5125">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0B2C6">
            <w:pPr>
              <w:widowControl/>
              <w:jc w:val="center"/>
              <w:textAlignment w:val="center"/>
              <w:rPr>
                <w:color w:val="0F1115"/>
                <w:sz w:val="20"/>
                <w:szCs w:val="20"/>
                <w:lang w:val="en-US" w:bidi="ar"/>
              </w:rPr>
            </w:pPr>
            <w:r>
              <w:rPr>
                <w:rFonts w:hint="eastAsia"/>
                <w:color w:val="000000"/>
                <w:sz w:val="20"/>
                <w:szCs w:val="20"/>
                <w:lang w:val="en-US" w:bidi="ar"/>
              </w:rPr>
              <w:t>卡车公司（党家庄）13.5M车型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CD7DF">
            <w:pPr>
              <w:widowControl/>
              <w:jc w:val="center"/>
              <w:textAlignment w:val="center"/>
              <w:rPr>
                <w:color w:val="0F1115"/>
                <w:sz w:val="20"/>
                <w:szCs w:val="20"/>
                <w:lang w:val="en-US" w:bidi="ar"/>
              </w:rPr>
            </w:pPr>
            <w:r>
              <w:rPr>
                <w:rFonts w:hint="eastAsia"/>
                <w:color w:val="0F1115"/>
                <w:sz w:val="20"/>
                <w:szCs w:val="20"/>
                <w:lang w:val="en-US" w:bidi="ar"/>
              </w:rPr>
              <w:t>2538</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C368E">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EFEC1">
            <w:pPr>
              <w:widowControl/>
              <w:jc w:val="center"/>
              <w:textAlignment w:val="center"/>
              <w:rPr>
                <w:color w:val="0F1115"/>
                <w:sz w:val="20"/>
                <w:szCs w:val="20"/>
              </w:rPr>
            </w:pPr>
            <w:r>
              <w:rPr>
                <w:rFonts w:hint="eastAsia"/>
                <w:color w:val="000000"/>
                <w:sz w:val="20"/>
                <w:szCs w:val="20"/>
                <w:lang w:val="en-US" w:bidi="ar"/>
              </w:rPr>
              <w:t>662.07</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C2B2F">
            <w:pPr>
              <w:widowControl/>
              <w:jc w:val="center"/>
              <w:textAlignment w:val="center"/>
              <w:rPr>
                <w:color w:val="0F1115"/>
                <w:sz w:val="20"/>
                <w:szCs w:val="20"/>
                <w:lang w:val="en-US"/>
              </w:rPr>
            </w:pPr>
            <w:r>
              <w:rPr>
                <w:rFonts w:hint="eastAsia"/>
                <w:color w:val="000000"/>
                <w:sz w:val="20"/>
                <w:szCs w:val="20"/>
                <w:lang w:val="en-US" w:bidi="ar"/>
              </w:rPr>
              <w:t>168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F2514">
            <w:pPr>
              <w:widowControl/>
              <w:jc w:val="center"/>
              <w:textAlignment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7B4DC46B">
            <w:pPr>
              <w:widowControl/>
              <w:jc w:val="center"/>
              <w:textAlignment w:val="center"/>
              <w:rPr>
                <w:color w:val="0F1115"/>
                <w:sz w:val="20"/>
                <w:szCs w:val="20"/>
              </w:rPr>
            </w:pPr>
          </w:p>
        </w:tc>
      </w:tr>
      <w:tr w14:paraId="5256C650">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13ACE">
            <w:pPr>
              <w:widowControl/>
              <w:jc w:val="center"/>
              <w:textAlignment w:val="center"/>
              <w:rPr>
                <w:color w:val="0F1115"/>
                <w:sz w:val="20"/>
                <w:szCs w:val="20"/>
                <w:lang w:val="en-US" w:bidi="ar"/>
              </w:rPr>
            </w:pPr>
            <w:r>
              <w:rPr>
                <w:rFonts w:hint="eastAsia"/>
                <w:color w:val="0F1115"/>
                <w:sz w:val="20"/>
                <w:szCs w:val="20"/>
                <w:lang w:val="en-US" w:bidi="ar"/>
              </w:rPr>
              <w:t>30</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C78AA">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C37AB">
            <w:pPr>
              <w:widowControl/>
              <w:jc w:val="center"/>
              <w:textAlignment w:val="center"/>
              <w:rPr>
                <w:color w:val="0F1115"/>
                <w:sz w:val="20"/>
                <w:szCs w:val="20"/>
                <w:lang w:val="en-US" w:bidi="ar"/>
              </w:rPr>
            </w:pPr>
            <w:r>
              <w:rPr>
                <w:rFonts w:hint="eastAsia"/>
                <w:color w:val="000000"/>
                <w:sz w:val="20"/>
                <w:szCs w:val="20"/>
                <w:lang w:val="en-US" w:bidi="ar"/>
              </w:rPr>
              <w:t>卡车公司（党家庄）17.5M车型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EAE06">
            <w:pPr>
              <w:widowControl/>
              <w:jc w:val="center"/>
              <w:textAlignment w:val="center"/>
              <w:rPr>
                <w:color w:val="0F1115"/>
                <w:sz w:val="20"/>
                <w:szCs w:val="20"/>
                <w:lang w:val="en-US" w:bidi="ar"/>
              </w:rPr>
            </w:pPr>
            <w:r>
              <w:rPr>
                <w:rFonts w:hint="eastAsia"/>
                <w:color w:val="0F1115"/>
                <w:sz w:val="20"/>
                <w:szCs w:val="20"/>
                <w:lang w:val="en-US" w:bidi="ar"/>
              </w:rPr>
              <w:t>1134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89FBC">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A17EF">
            <w:pPr>
              <w:widowControl/>
              <w:jc w:val="center"/>
              <w:textAlignment w:val="center"/>
              <w:rPr>
                <w:color w:val="0F1115"/>
                <w:sz w:val="20"/>
                <w:szCs w:val="20"/>
              </w:rPr>
            </w:pPr>
            <w:r>
              <w:rPr>
                <w:rFonts w:hint="eastAsia"/>
                <w:color w:val="000000"/>
                <w:sz w:val="20"/>
                <w:szCs w:val="20"/>
                <w:lang w:val="en-US" w:bidi="ar"/>
              </w:rPr>
              <w:t>795.34</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B6AAC">
            <w:pPr>
              <w:widowControl/>
              <w:jc w:val="center"/>
              <w:textAlignment w:val="center"/>
              <w:rPr>
                <w:color w:val="0F1115"/>
                <w:sz w:val="20"/>
                <w:szCs w:val="20"/>
                <w:lang w:val="en-US"/>
              </w:rPr>
            </w:pPr>
            <w:r>
              <w:rPr>
                <w:rFonts w:hint="eastAsia"/>
                <w:color w:val="000000"/>
                <w:sz w:val="20"/>
                <w:szCs w:val="20"/>
                <w:lang w:val="en-US" w:bidi="ar"/>
              </w:rPr>
              <w:t>90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08BB">
            <w:pPr>
              <w:widowControl/>
              <w:jc w:val="center"/>
              <w:textAlignment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A0E8C41">
            <w:pPr>
              <w:widowControl/>
              <w:jc w:val="center"/>
              <w:textAlignment w:val="center"/>
              <w:rPr>
                <w:color w:val="0F1115"/>
                <w:sz w:val="20"/>
                <w:szCs w:val="20"/>
              </w:rPr>
            </w:pPr>
          </w:p>
        </w:tc>
      </w:tr>
      <w:tr w14:paraId="741C9DCA">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3D7F4">
            <w:pPr>
              <w:widowControl/>
              <w:jc w:val="center"/>
              <w:textAlignment w:val="center"/>
              <w:rPr>
                <w:color w:val="0F1115"/>
                <w:sz w:val="20"/>
                <w:szCs w:val="20"/>
                <w:lang w:val="en-US" w:bidi="ar"/>
              </w:rPr>
            </w:pPr>
            <w:r>
              <w:rPr>
                <w:rFonts w:hint="eastAsia"/>
                <w:color w:val="0F1115"/>
                <w:sz w:val="20"/>
                <w:szCs w:val="20"/>
                <w:lang w:val="en-US" w:bidi="ar"/>
              </w:rPr>
              <w:t>31</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737B1">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73864">
            <w:pPr>
              <w:widowControl/>
              <w:jc w:val="center"/>
              <w:textAlignment w:val="center"/>
              <w:rPr>
                <w:color w:val="0F1115"/>
                <w:sz w:val="20"/>
                <w:szCs w:val="20"/>
                <w:lang w:val="en-US" w:bidi="ar"/>
              </w:rPr>
            </w:pPr>
            <w:r>
              <w:rPr>
                <w:rFonts w:hint="eastAsia"/>
                <w:color w:val="000000"/>
                <w:sz w:val="20"/>
                <w:szCs w:val="20"/>
                <w:lang w:val="en-US" w:bidi="ar"/>
              </w:rPr>
              <w:t>卡车公司（莱芜工厂）及周边工厂物流-4.2M车型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34653">
            <w:pPr>
              <w:widowControl/>
              <w:jc w:val="center"/>
              <w:textAlignment w:val="center"/>
              <w:rPr>
                <w:color w:val="0F1115"/>
                <w:sz w:val="20"/>
                <w:szCs w:val="20"/>
                <w:lang w:val="en-US" w:bidi="ar"/>
              </w:rPr>
            </w:pPr>
            <w:r>
              <w:rPr>
                <w:rFonts w:hint="eastAsia"/>
                <w:color w:val="0F1115"/>
                <w:sz w:val="20"/>
                <w:szCs w:val="20"/>
                <w:lang w:val="en-US" w:bidi="ar"/>
              </w:rPr>
              <w:t>756</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BE4AE">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5F348">
            <w:pPr>
              <w:widowControl/>
              <w:jc w:val="center"/>
              <w:textAlignment w:val="center"/>
              <w:rPr>
                <w:color w:val="0F1115"/>
                <w:sz w:val="20"/>
                <w:szCs w:val="20"/>
              </w:rPr>
            </w:pPr>
            <w:r>
              <w:rPr>
                <w:rFonts w:hint="eastAsia"/>
                <w:color w:val="000000"/>
                <w:sz w:val="20"/>
                <w:szCs w:val="20"/>
                <w:lang w:val="en-US" w:bidi="ar"/>
              </w:rPr>
              <w:t>170.26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0F09B">
            <w:pPr>
              <w:widowControl/>
              <w:jc w:val="center"/>
              <w:textAlignment w:val="center"/>
              <w:rPr>
                <w:color w:val="0F1115"/>
                <w:sz w:val="20"/>
                <w:szCs w:val="20"/>
                <w:lang w:val="en-US"/>
              </w:rPr>
            </w:pPr>
            <w:r>
              <w:rPr>
                <w:rFonts w:hint="eastAsia"/>
                <w:color w:val="0F1115"/>
                <w:sz w:val="20"/>
                <w:szCs w:val="20"/>
                <w:lang w:val="en-US"/>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5C21C">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6E8E5D52">
            <w:pPr>
              <w:widowControl/>
              <w:jc w:val="center"/>
              <w:textAlignment w:val="center"/>
              <w:rPr>
                <w:color w:val="0F1115"/>
                <w:sz w:val="20"/>
                <w:szCs w:val="20"/>
              </w:rPr>
            </w:pPr>
          </w:p>
        </w:tc>
      </w:tr>
      <w:tr w14:paraId="578C4273">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FA6D4">
            <w:pPr>
              <w:widowControl/>
              <w:jc w:val="center"/>
              <w:textAlignment w:val="center"/>
              <w:rPr>
                <w:color w:val="0F1115"/>
                <w:sz w:val="20"/>
                <w:szCs w:val="20"/>
                <w:lang w:val="en-US" w:bidi="ar"/>
              </w:rPr>
            </w:pPr>
            <w:r>
              <w:rPr>
                <w:rFonts w:hint="eastAsia"/>
                <w:color w:val="0F1115"/>
                <w:sz w:val="20"/>
                <w:szCs w:val="20"/>
                <w:lang w:val="en-US" w:bidi="ar"/>
              </w:rPr>
              <w:t>32</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B4983">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977A8">
            <w:pPr>
              <w:widowControl/>
              <w:jc w:val="center"/>
              <w:textAlignment w:val="center"/>
              <w:rPr>
                <w:color w:val="0F1115"/>
                <w:sz w:val="20"/>
                <w:szCs w:val="20"/>
                <w:lang w:val="en-US" w:bidi="ar"/>
              </w:rPr>
            </w:pPr>
            <w:r>
              <w:rPr>
                <w:rFonts w:hint="eastAsia"/>
                <w:color w:val="000000"/>
                <w:sz w:val="20"/>
                <w:szCs w:val="20"/>
                <w:lang w:val="en-US" w:bidi="ar"/>
              </w:rPr>
              <w:t>卡车公司（莱芜工厂）及周边工厂物流-6.8M车型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883CC">
            <w:pPr>
              <w:widowControl/>
              <w:jc w:val="center"/>
              <w:textAlignment w:val="center"/>
              <w:rPr>
                <w:color w:val="0F1115"/>
                <w:sz w:val="20"/>
                <w:szCs w:val="20"/>
                <w:lang w:val="en-US" w:bidi="ar"/>
              </w:rPr>
            </w:pPr>
            <w:r>
              <w:rPr>
                <w:rFonts w:hint="eastAsia"/>
                <w:color w:val="0F1115"/>
                <w:sz w:val="20"/>
                <w:szCs w:val="20"/>
                <w:lang w:val="en-US" w:bidi="ar"/>
              </w:rPr>
              <w:t>30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8E014">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A51AB">
            <w:pPr>
              <w:widowControl/>
              <w:jc w:val="center"/>
              <w:textAlignment w:val="center"/>
              <w:rPr>
                <w:color w:val="0F1115"/>
                <w:sz w:val="20"/>
                <w:szCs w:val="20"/>
              </w:rPr>
            </w:pPr>
            <w:r>
              <w:rPr>
                <w:rFonts w:hint="eastAsia"/>
                <w:color w:val="000000"/>
                <w:sz w:val="20"/>
                <w:szCs w:val="20"/>
                <w:lang w:val="en-US" w:bidi="ar"/>
              </w:rPr>
              <w:t>416.17</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E8258">
            <w:pPr>
              <w:widowControl/>
              <w:jc w:val="center"/>
              <w:textAlignment w:val="center"/>
              <w:rPr>
                <w:color w:val="0F1115"/>
                <w:sz w:val="20"/>
                <w:szCs w:val="20"/>
                <w:lang w:val="en-US"/>
              </w:rPr>
            </w:pPr>
            <w:r>
              <w:rPr>
                <w:rFonts w:hint="eastAsia"/>
                <w:color w:val="000000"/>
                <w:sz w:val="20"/>
                <w:szCs w:val="20"/>
                <w:lang w:val="en-US" w:bidi="ar"/>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A0A7E">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6F57755D">
            <w:pPr>
              <w:widowControl/>
              <w:jc w:val="center"/>
              <w:textAlignment w:val="center"/>
              <w:rPr>
                <w:color w:val="0F1115"/>
                <w:sz w:val="20"/>
                <w:szCs w:val="20"/>
              </w:rPr>
            </w:pPr>
          </w:p>
        </w:tc>
      </w:tr>
      <w:tr w14:paraId="3BD5F647">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1363D">
            <w:pPr>
              <w:widowControl/>
              <w:jc w:val="center"/>
              <w:textAlignment w:val="center"/>
              <w:rPr>
                <w:color w:val="0F1115"/>
                <w:sz w:val="20"/>
                <w:szCs w:val="20"/>
                <w:lang w:val="en-US" w:bidi="ar"/>
              </w:rPr>
            </w:pPr>
            <w:r>
              <w:rPr>
                <w:rFonts w:hint="eastAsia"/>
                <w:color w:val="0F1115"/>
                <w:sz w:val="20"/>
                <w:szCs w:val="20"/>
                <w:lang w:val="en-US" w:bidi="ar"/>
              </w:rPr>
              <w:t>33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48537">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B0937">
            <w:pPr>
              <w:widowControl/>
              <w:jc w:val="center"/>
              <w:textAlignment w:val="center"/>
              <w:rPr>
                <w:color w:val="0F1115"/>
                <w:sz w:val="20"/>
                <w:szCs w:val="20"/>
                <w:lang w:val="en-US" w:bidi="ar"/>
              </w:rPr>
            </w:pPr>
            <w:r>
              <w:rPr>
                <w:rFonts w:hint="eastAsia"/>
                <w:color w:val="000000"/>
                <w:sz w:val="20"/>
                <w:szCs w:val="20"/>
                <w:lang w:val="en-US" w:bidi="ar"/>
              </w:rPr>
              <w:t>卡车公司（莱芜工厂）及周边工厂物流-9.6M车型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40B6A">
            <w:pPr>
              <w:widowControl/>
              <w:jc w:val="center"/>
              <w:textAlignment w:val="center"/>
              <w:rPr>
                <w:color w:val="0F1115"/>
                <w:sz w:val="20"/>
                <w:szCs w:val="20"/>
                <w:lang w:val="en-US" w:bidi="ar"/>
              </w:rPr>
            </w:pPr>
            <w:r>
              <w:rPr>
                <w:rFonts w:hint="eastAsia"/>
                <w:color w:val="0F1115"/>
                <w:sz w:val="20"/>
                <w:szCs w:val="20"/>
                <w:lang w:val="en-US" w:bidi="ar"/>
              </w:rPr>
              <w:t>30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5CCFB">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90359">
            <w:pPr>
              <w:widowControl/>
              <w:jc w:val="center"/>
              <w:textAlignment w:val="center"/>
              <w:rPr>
                <w:color w:val="0F1115"/>
                <w:sz w:val="20"/>
                <w:szCs w:val="20"/>
              </w:rPr>
            </w:pPr>
            <w:r>
              <w:rPr>
                <w:rFonts w:hint="eastAsia"/>
                <w:color w:val="000000"/>
                <w:sz w:val="20"/>
                <w:szCs w:val="20"/>
                <w:lang w:val="en-US" w:bidi="ar"/>
              </w:rPr>
              <w:t>552.38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380E2">
            <w:pPr>
              <w:widowControl/>
              <w:jc w:val="center"/>
              <w:textAlignment w:val="center"/>
              <w:rPr>
                <w:color w:val="0F1115"/>
                <w:sz w:val="20"/>
                <w:szCs w:val="20"/>
                <w:lang w:val="en-US"/>
              </w:rPr>
            </w:pPr>
            <w:r>
              <w:rPr>
                <w:rFonts w:hint="eastAsia"/>
                <w:color w:val="000000"/>
                <w:sz w:val="20"/>
                <w:szCs w:val="20"/>
                <w:lang w:val="en-US" w:bidi="ar"/>
              </w:rPr>
              <w:t>1.5</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295D7">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09714C30">
            <w:pPr>
              <w:widowControl/>
              <w:jc w:val="center"/>
              <w:textAlignment w:val="center"/>
              <w:rPr>
                <w:color w:val="0F1115"/>
                <w:sz w:val="20"/>
                <w:szCs w:val="20"/>
              </w:rPr>
            </w:pPr>
          </w:p>
        </w:tc>
      </w:tr>
      <w:tr w14:paraId="3E40D250">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F111A">
            <w:pPr>
              <w:widowControl/>
              <w:jc w:val="center"/>
              <w:textAlignment w:val="center"/>
              <w:rPr>
                <w:color w:val="0F1115"/>
                <w:sz w:val="20"/>
                <w:szCs w:val="20"/>
                <w:lang w:val="en-US" w:bidi="ar"/>
              </w:rPr>
            </w:pPr>
            <w:r>
              <w:rPr>
                <w:rFonts w:hint="eastAsia"/>
                <w:color w:val="0F1115"/>
                <w:sz w:val="20"/>
                <w:szCs w:val="20"/>
                <w:lang w:val="en-US" w:bidi="ar"/>
              </w:rPr>
              <w:t>34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86BE2">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5B994">
            <w:pPr>
              <w:widowControl/>
              <w:jc w:val="center"/>
              <w:textAlignment w:val="center"/>
              <w:rPr>
                <w:color w:val="0F1115"/>
                <w:sz w:val="20"/>
                <w:szCs w:val="20"/>
                <w:lang w:val="en-US" w:bidi="ar"/>
              </w:rPr>
            </w:pPr>
            <w:r>
              <w:rPr>
                <w:rFonts w:hint="eastAsia"/>
                <w:color w:val="000000"/>
                <w:sz w:val="20"/>
                <w:szCs w:val="20"/>
                <w:lang w:val="en-US" w:bidi="ar"/>
              </w:rPr>
              <w:t>卡车公司（莱芜工厂）及周边工厂物流-13.5M车型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BA87D">
            <w:pPr>
              <w:widowControl/>
              <w:jc w:val="center"/>
              <w:textAlignment w:val="center"/>
              <w:rPr>
                <w:color w:val="0F1115"/>
                <w:sz w:val="20"/>
                <w:szCs w:val="20"/>
                <w:lang w:val="en-US" w:bidi="ar"/>
              </w:rPr>
            </w:pPr>
            <w:r>
              <w:rPr>
                <w:rFonts w:hint="eastAsia"/>
                <w:color w:val="0F1115"/>
                <w:sz w:val="20"/>
                <w:szCs w:val="20"/>
                <w:lang w:val="en-US" w:bidi="ar"/>
              </w:rPr>
              <w:t>2538</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65CE9">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EF2FF">
            <w:pPr>
              <w:widowControl/>
              <w:jc w:val="center"/>
              <w:textAlignment w:val="center"/>
              <w:rPr>
                <w:color w:val="0F1115"/>
                <w:sz w:val="20"/>
                <w:szCs w:val="20"/>
              </w:rPr>
            </w:pPr>
            <w:r>
              <w:rPr>
                <w:rFonts w:hint="eastAsia"/>
                <w:color w:val="000000"/>
                <w:sz w:val="20"/>
                <w:szCs w:val="20"/>
                <w:lang w:val="en-US" w:bidi="ar"/>
              </w:rPr>
              <w:t>718.85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52B7E">
            <w:pPr>
              <w:widowControl/>
              <w:jc w:val="center"/>
              <w:textAlignment w:val="center"/>
              <w:rPr>
                <w:color w:val="0F1115"/>
                <w:sz w:val="20"/>
                <w:szCs w:val="20"/>
                <w:lang w:val="en-US"/>
              </w:rPr>
            </w:pPr>
            <w:r>
              <w:rPr>
                <w:rFonts w:hint="eastAsia"/>
                <w:color w:val="000000"/>
                <w:sz w:val="20"/>
                <w:szCs w:val="20"/>
                <w:lang w:val="en-US" w:bidi="ar"/>
              </w:rPr>
              <w:t>183</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9A2DA">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6917FA51">
            <w:pPr>
              <w:widowControl/>
              <w:jc w:val="center"/>
              <w:textAlignment w:val="center"/>
              <w:rPr>
                <w:color w:val="0F1115"/>
                <w:sz w:val="20"/>
                <w:szCs w:val="20"/>
              </w:rPr>
            </w:pPr>
          </w:p>
        </w:tc>
      </w:tr>
      <w:tr w14:paraId="21B1C83E">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87644">
            <w:pPr>
              <w:widowControl/>
              <w:jc w:val="center"/>
              <w:textAlignment w:val="center"/>
              <w:rPr>
                <w:color w:val="0F1115"/>
                <w:sz w:val="20"/>
                <w:szCs w:val="20"/>
                <w:lang w:val="en-US" w:bidi="ar"/>
              </w:rPr>
            </w:pPr>
            <w:r>
              <w:rPr>
                <w:rFonts w:hint="eastAsia"/>
                <w:color w:val="0F1115"/>
                <w:sz w:val="20"/>
                <w:szCs w:val="20"/>
                <w:lang w:val="en-US" w:bidi="ar"/>
              </w:rPr>
              <w:t>35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390DF">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0A399">
            <w:pPr>
              <w:widowControl/>
              <w:jc w:val="center"/>
              <w:textAlignment w:val="center"/>
              <w:rPr>
                <w:color w:val="0F1115"/>
                <w:sz w:val="20"/>
                <w:szCs w:val="20"/>
                <w:lang w:val="en-US" w:bidi="ar"/>
              </w:rPr>
            </w:pPr>
            <w:r>
              <w:rPr>
                <w:rFonts w:hint="eastAsia"/>
                <w:color w:val="000000"/>
                <w:sz w:val="20"/>
                <w:szCs w:val="20"/>
                <w:lang w:val="en-US" w:bidi="ar"/>
              </w:rPr>
              <w:t>卡车公司（莱芜工厂）及周边工厂物流-17.5M车型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11393">
            <w:pPr>
              <w:widowControl/>
              <w:jc w:val="center"/>
              <w:textAlignment w:val="center"/>
              <w:rPr>
                <w:color w:val="0F1115"/>
                <w:sz w:val="20"/>
                <w:szCs w:val="20"/>
                <w:lang w:val="en-US" w:bidi="ar"/>
              </w:rPr>
            </w:pPr>
            <w:r>
              <w:rPr>
                <w:rFonts w:hint="eastAsia"/>
                <w:color w:val="0F1115"/>
                <w:sz w:val="20"/>
                <w:szCs w:val="20"/>
                <w:lang w:val="en-US" w:bidi="ar"/>
              </w:rPr>
              <w:t>1134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7628F">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28CAA">
            <w:pPr>
              <w:widowControl/>
              <w:jc w:val="center"/>
              <w:textAlignment w:val="center"/>
              <w:rPr>
                <w:color w:val="0F1115"/>
                <w:sz w:val="20"/>
                <w:szCs w:val="20"/>
              </w:rPr>
            </w:pPr>
            <w:r>
              <w:rPr>
                <w:rFonts w:hint="eastAsia"/>
                <w:color w:val="000000"/>
                <w:sz w:val="20"/>
                <w:szCs w:val="20"/>
                <w:lang w:val="en-US" w:bidi="ar"/>
              </w:rPr>
              <w:t>790.73</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944BF">
            <w:pPr>
              <w:widowControl/>
              <w:jc w:val="center"/>
              <w:textAlignment w:val="center"/>
              <w:rPr>
                <w:color w:val="0F1115"/>
                <w:sz w:val="20"/>
                <w:szCs w:val="20"/>
                <w:lang w:val="en-US"/>
              </w:rPr>
            </w:pPr>
            <w:r>
              <w:rPr>
                <w:rFonts w:hint="eastAsia"/>
                <w:color w:val="000000"/>
                <w:sz w:val="20"/>
                <w:szCs w:val="20"/>
                <w:lang w:val="en-US" w:bidi="ar"/>
              </w:rPr>
              <w:t>90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13D3F">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63F91802">
            <w:pPr>
              <w:widowControl/>
              <w:jc w:val="center"/>
              <w:textAlignment w:val="center"/>
              <w:rPr>
                <w:color w:val="0F1115"/>
                <w:sz w:val="20"/>
                <w:szCs w:val="20"/>
              </w:rPr>
            </w:pPr>
          </w:p>
        </w:tc>
      </w:tr>
      <w:tr w14:paraId="1984B594">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37CAF">
            <w:pPr>
              <w:widowControl/>
              <w:jc w:val="center"/>
              <w:textAlignment w:val="center"/>
              <w:rPr>
                <w:color w:val="0F1115"/>
                <w:sz w:val="20"/>
                <w:szCs w:val="20"/>
                <w:lang w:val="en-US" w:bidi="ar"/>
              </w:rPr>
            </w:pPr>
            <w:r>
              <w:rPr>
                <w:rFonts w:hint="eastAsia"/>
                <w:color w:val="0F1115"/>
                <w:sz w:val="20"/>
                <w:szCs w:val="20"/>
                <w:lang w:val="en-US" w:bidi="ar"/>
              </w:rPr>
              <w:t>40</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6AC82">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BE4FD">
            <w:pPr>
              <w:widowControl/>
              <w:jc w:val="center"/>
              <w:textAlignment w:val="center"/>
              <w:rPr>
                <w:color w:val="0F1115"/>
                <w:sz w:val="20"/>
                <w:szCs w:val="20"/>
                <w:lang w:val="en-US" w:bidi="ar"/>
              </w:rPr>
            </w:pPr>
            <w:r>
              <w:rPr>
                <w:rFonts w:hint="eastAsia"/>
                <w:color w:val="000000"/>
                <w:sz w:val="20"/>
                <w:szCs w:val="20"/>
                <w:lang w:val="en-US" w:bidi="ar"/>
              </w:rPr>
              <w:t>重汽章丘工业园及周边仓库-4.2M车型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C8728">
            <w:pPr>
              <w:widowControl/>
              <w:jc w:val="center"/>
              <w:textAlignment w:val="center"/>
              <w:rPr>
                <w:color w:val="0F1115"/>
                <w:sz w:val="20"/>
                <w:szCs w:val="20"/>
                <w:lang w:val="en-US" w:bidi="ar"/>
              </w:rPr>
            </w:pPr>
            <w:r>
              <w:rPr>
                <w:rFonts w:hint="eastAsia"/>
                <w:color w:val="0F1115"/>
                <w:sz w:val="20"/>
                <w:szCs w:val="20"/>
                <w:lang w:val="en-US" w:bidi="ar"/>
              </w:rPr>
              <w:t>4080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65E78">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68B17">
            <w:pPr>
              <w:widowControl/>
              <w:jc w:val="center"/>
              <w:textAlignment w:val="center"/>
              <w:rPr>
                <w:color w:val="0F1115"/>
                <w:sz w:val="20"/>
                <w:szCs w:val="20"/>
              </w:rPr>
            </w:pPr>
            <w:r>
              <w:rPr>
                <w:rFonts w:hint="eastAsia"/>
                <w:color w:val="000000"/>
                <w:sz w:val="20"/>
                <w:szCs w:val="20"/>
                <w:lang w:val="en-US" w:bidi="ar"/>
              </w:rPr>
              <w:t>50.18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08FD3">
            <w:pPr>
              <w:widowControl/>
              <w:jc w:val="center"/>
              <w:textAlignment w:val="center"/>
              <w:rPr>
                <w:color w:val="0F1115"/>
                <w:sz w:val="20"/>
                <w:szCs w:val="20"/>
                <w:lang w:val="en-US"/>
              </w:rPr>
            </w:pPr>
            <w:r>
              <w:rPr>
                <w:rFonts w:hint="eastAsia"/>
                <w:color w:val="0F1115"/>
                <w:sz w:val="20"/>
                <w:szCs w:val="20"/>
                <w:lang w:val="en-US"/>
              </w:rPr>
              <w:t>20.4</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A16D6">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0398B7F6">
            <w:pPr>
              <w:widowControl/>
              <w:jc w:val="center"/>
              <w:textAlignment w:val="center"/>
              <w:rPr>
                <w:color w:val="0F1115"/>
                <w:sz w:val="20"/>
                <w:szCs w:val="20"/>
              </w:rPr>
            </w:pPr>
          </w:p>
        </w:tc>
      </w:tr>
      <w:tr w14:paraId="5116C495">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12068">
            <w:pPr>
              <w:widowControl/>
              <w:jc w:val="center"/>
              <w:textAlignment w:val="center"/>
              <w:rPr>
                <w:color w:val="0F1115"/>
                <w:sz w:val="20"/>
                <w:szCs w:val="20"/>
                <w:lang w:val="en-US" w:bidi="ar"/>
              </w:rPr>
            </w:pPr>
            <w:r>
              <w:rPr>
                <w:rFonts w:hint="eastAsia"/>
                <w:color w:val="0F1115"/>
                <w:sz w:val="20"/>
                <w:szCs w:val="20"/>
                <w:lang w:val="en-US" w:bidi="ar"/>
              </w:rPr>
              <w:t>41</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1ED0F">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B8C0A">
            <w:pPr>
              <w:widowControl/>
              <w:jc w:val="center"/>
              <w:textAlignment w:val="center"/>
              <w:rPr>
                <w:color w:val="0F1115"/>
                <w:sz w:val="20"/>
                <w:szCs w:val="20"/>
                <w:lang w:val="en-US" w:bidi="ar"/>
              </w:rPr>
            </w:pPr>
            <w:r>
              <w:rPr>
                <w:rFonts w:hint="eastAsia"/>
                <w:color w:val="000000"/>
                <w:sz w:val="20"/>
                <w:szCs w:val="20"/>
                <w:lang w:val="en-US" w:bidi="ar"/>
              </w:rPr>
              <w:t>重汽章丘工业园及周边仓库-6.8M车型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04E6B">
            <w:pPr>
              <w:widowControl/>
              <w:jc w:val="center"/>
              <w:textAlignment w:val="center"/>
              <w:rPr>
                <w:color w:val="0F1115"/>
                <w:sz w:val="20"/>
                <w:szCs w:val="20"/>
                <w:lang w:val="en-US" w:bidi="ar"/>
              </w:rPr>
            </w:pPr>
            <w:r>
              <w:rPr>
                <w:rFonts w:hint="eastAsia"/>
                <w:color w:val="0F1115"/>
                <w:sz w:val="20"/>
                <w:szCs w:val="20"/>
                <w:lang w:val="en-US" w:bidi="ar"/>
              </w:rPr>
              <w:t>816</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A2780">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646B4">
            <w:pPr>
              <w:widowControl/>
              <w:jc w:val="center"/>
              <w:textAlignment w:val="center"/>
              <w:rPr>
                <w:color w:val="0F1115"/>
                <w:sz w:val="20"/>
                <w:szCs w:val="20"/>
              </w:rPr>
            </w:pPr>
            <w:r>
              <w:rPr>
                <w:rFonts w:hint="eastAsia"/>
                <w:color w:val="000000"/>
                <w:sz w:val="20"/>
                <w:szCs w:val="20"/>
                <w:lang w:val="en-US" w:bidi="ar"/>
              </w:rPr>
              <w:t>160.57</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A4BD4">
            <w:pPr>
              <w:widowControl/>
              <w:jc w:val="center"/>
              <w:textAlignment w:val="center"/>
              <w:rPr>
                <w:color w:val="0F1115"/>
                <w:sz w:val="20"/>
                <w:szCs w:val="20"/>
                <w:lang w:val="en-US"/>
              </w:rPr>
            </w:pPr>
            <w:r>
              <w:rPr>
                <w:rFonts w:hint="eastAsia"/>
                <w:color w:val="000000"/>
                <w:sz w:val="20"/>
                <w:szCs w:val="20"/>
                <w:lang w:val="en-US" w:bidi="ar"/>
              </w:rPr>
              <w:t>13.2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59CDA">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3189D9A6">
            <w:pPr>
              <w:widowControl/>
              <w:jc w:val="center"/>
              <w:textAlignment w:val="center"/>
              <w:rPr>
                <w:color w:val="0F1115"/>
                <w:sz w:val="20"/>
                <w:szCs w:val="20"/>
              </w:rPr>
            </w:pPr>
          </w:p>
        </w:tc>
      </w:tr>
      <w:tr w14:paraId="74ECC399">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D0432">
            <w:pPr>
              <w:widowControl/>
              <w:jc w:val="center"/>
              <w:textAlignment w:val="center"/>
              <w:rPr>
                <w:color w:val="0F1115"/>
                <w:sz w:val="20"/>
                <w:szCs w:val="20"/>
                <w:lang w:val="en-US" w:bidi="ar"/>
              </w:rPr>
            </w:pPr>
            <w:r>
              <w:rPr>
                <w:rFonts w:hint="eastAsia"/>
                <w:color w:val="0F1115"/>
                <w:sz w:val="20"/>
                <w:szCs w:val="20"/>
                <w:lang w:val="en-US" w:bidi="ar"/>
              </w:rPr>
              <w:t>42</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A6D85">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F64AA">
            <w:pPr>
              <w:widowControl/>
              <w:jc w:val="center"/>
              <w:textAlignment w:val="center"/>
              <w:rPr>
                <w:color w:val="0F1115"/>
                <w:sz w:val="20"/>
                <w:szCs w:val="20"/>
                <w:lang w:val="en-US" w:bidi="ar"/>
              </w:rPr>
            </w:pPr>
            <w:r>
              <w:rPr>
                <w:rFonts w:hint="eastAsia"/>
                <w:color w:val="000000"/>
                <w:sz w:val="20"/>
                <w:szCs w:val="20"/>
                <w:lang w:val="en-US" w:bidi="ar"/>
              </w:rPr>
              <w:t>重汽章丘工业园及周边仓库-9.6M车型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A03C8">
            <w:pPr>
              <w:widowControl/>
              <w:jc w:val="center"/>
              <w:textAlignment w:val="center"/>
              <w:rPr>
                <w:color w:val="0F1115"/>
                <w:sz w:val="20"/>
                <w:szCs w:val="20"/>
                <w:lang w:val="en-US" w:bidi="ar"/>
              </w:rPr>
            </w:pPr>
            <w:r>
              <w:rPr>
                <w:rFonts w:hint="eastAsia"/>
                <w:color w:val="0F1115"/>
                <w:sz w:val="20"/>
                <w:szCs w:val="20"/>
                <w:lang w:val="en-US" w:bidi="ar"/>
              </w:rPr>
              <w:t>4758</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B974D">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58E5B">
            <w:pPr>
              <w:widowControl/>
              <w:jc w:val="center"/>
              <w:textAlignment w:val="center"/>
              <w:rPr>
                <w:color w:val="0F1115"/>
                <w:sz w:val="20"/>
                <w:szCs w:val="20"/>
              </w:rPr>
            </w:pPr>
            <w:r>
              <w:rPr>
                <w:rFonts w:hint="eastAsia"/>
                <w:color w:val="000000"/>
                <w:sz w:val="20"/>
                <w:szCs w:val="20"/>
                <w:lang w:val="en-US" w:bidi="ar"/>
              </w:rPr>
              <w:t>240.85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10C18">
            <w:pPr>
              <w:widowControl/>
              <w:jc w:val="center"/>
              <w:textAlignment w:val="center"/>
              <w:rPr>
                <w:color w:val="0F1115"/>
                <w:sz w:val="20"/>
                <w:szCs w:val="20"/>
                <w:lang w:val="en-US"/>
              </w:rPr>
            </w:pPr>
            <w:r>
              <w:rPr>
                <w:rFonts w:hint="eastAsia"/>
                <w:color w:val="000000"/>
                <w:sz w:val="20"/>
                <w:szCs w:val="20"/>
                <w:lang w:val="en-US" w:bidi="ar"/>
              </w:rPr>
              <w:t>114</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73579">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2A716F06">
            <w:pPr>
              <w:widowControl/>
              <w:jc w:val="center"/>
              <w:textAlignment w:val="center"/>
              <w:rPr>
                <w:color w:val="0F1115"/>
                <w:sz w:val="20"/>
                <w:szCs w:val="20"/>
              </w:rPr>
            </w:pPr>
          </w:p>
        </w:tc>
      </w:tr>
      <w:tr w14:paraId="0AC4B721">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705E3">
            <w:pPr>
              <w:widowControl/>
              <w:jc w:val="center"/>
              <w:textAlignment w:val="center"/>
              <w:rPr>
                <w:color w:val="0F1115"/>
                <w:sz w:val="20"/>
                <w:szCs w:val="20"/>
                <w:lang w:val="en-US" w:bidi="ar"/>
              </w:rPr>
            </w:pPr>
            <w:r>
              <w:rPr>
                <w:rFonts w:hint="eastAsia"/>
                <w:color w:val="0F1115"/>
                <w:sz w:val="20"/>
                <w:szCs w:val="20"/>
                <w:lang w:val="en-US" w:bidi="ar"/>
              </w:rPr>
              <w:t>43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8FF6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9A806">
            <w:pPr>
              <w:widowControl/>
              <w:jc w:val="center"/>
              <w:textAlignment w:val="center"/>
              <w:rPr>
                <w:color w:val="0F1115"/>
                <w:sz w:val="20"/>
                <w:szCs w:val="20"/>
                <w:lang w:val="en-US" w:bidi="ar"/>
              </w:rPr>
            </w:pPr>
            <w:r>
              <w:rPr>
                <w:rFonts w:hint="eastAsia"/>
                <w:color w:val="000000"/>
                <w:sz w:val="20"/>
                <w:szCs w:val="20"/>
                <w:lang w:val="en-US" w:bidi="ar"/>
              </w:rPr>
              <w:t>重汽章丘工业园及周边仓库-13.5M车型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F8804">
            <w:pPr>
              <w:widowControl/>
              <w:jc w:val="center"/>
              <w:textAlignment w:val="center"/>
              <w:rPr>
                <w:color w:val="0F1115"/>
                <w:sz w:val="20"/>
                <w:szCs w:val="20"/>
                <w:lang w:val="en-US" w:bidi="ar"/>
              </w:rPr>
            </w:pPr>
            <w:r>
              <w:rPr>
                <w:rFonts w:hint="eastAsia"/>
                <w:color w:val="0F1115"/>
                <w:sz w:val="20"/>
                <w:szCs w:val="20"/>
                <w:lang w:val="en-US" w:bidi="ar"/>
              </w:rPr>
              <w:t>916</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1250A">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9DE4D">
            <w:pPr>
              <w:widowControl/>
              <w:jc w:val="center"/>
              <w:textAlignment w:val="center"/>
              <w:rPr>
                <w:color w:val="0F1115"/>
                <w:sz w:val="20"/>
                <w:szCs w:val="20"/>
              </w:rPr>
            </w:pPr>
            <w:r>
              <w:rPr>
                <w:rFonts w:hint="eastAsia"/>
                <w:color w:val="000000"/>
                <w:sz w:val="20"/>
                <w:szCs w:val="20"/>
                <w:lang w:val="en-US" w:bidi="ar"/>
              </w:rPr>
              <w:t>281.00</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276CC">
            <w:pPr>
              <w:widowControl/>
              <w:jc w:val="center"/>
              <w:textAlignment w:val="center"/>
              <w:rPr>
                <w:color w:val="0F1115"/>
                <w:sz w:val="20"/>
                <w:szCs w:val="20"/>
                <w:lang w:val="en-US"/>
              </w:rPr>
            </w:pPr>
            <w:r>
              <w:rPr>
                <w:rFonts w:hint="eastAsia"/>
                <w:color w:val="000000"/>
                <w:sz w:val="20"/>
                <w:szCs w:val="20"/>
                <w:lang w:val="en-US" w:bidi="ar"/>
              </w:rPr>
              <w:t>26.1</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D2A71">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27F9026E">
            <w:pPr>
              <w:widowControl/>
              <w:jc w:val="center"/>
              <w:textAlignment w:val="center"/>
              <w:rPr>
                <w:color w:val="0F1115"/>
                <w:sz w:val="20"/>
                <w:szCs w:val="20"/>
              </w:rPr>
            </w:pPr>
          </w:p>
        </w:tc>
      </w:tr>
      <w:tr w14:paraId="2B29FFBE">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E6488">
            <w:pPr>
              <w:widowControl/>
              <w:jc w:val="center"/>
              <w:textAlignment w:val="center"/>
              <w:rPr>
                <w:color w:val="0F1115"/>
                <w:sz w:val="20"/>
                <w:szCs w:val="20"/>
                <w:lang w:val="en-US" w:bidi="ar"/>
              </w:rPr>
            </w:pPr>
            <w:r>
              <w:rPr>
                <w:rFonts w:hint="eastAsia"/>
                <w:color w:val="0F1115"/>
                <w:sz w:val="20"/>
                <w:szCs w:val="20"/>
                <w:lang w:val="en-US" w:bidi="ar"/>
              </w:rPr>
              <w:t>44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31F0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99386">
            <w:pPr>
              <w:widowControl/>
              <w:jc w:val="center"/>
              <w:textAlignment w:val="center"/>
              <w:rPr>
                <w:color w:val="0F1115"/>
                <w:sz w:val="20"/>
                <w:szCs w:val="20"/>
                <w:lang w:val="en-US" w:bidi="ar"/>
              </w:rPr>
            </w:pPr>
            <w:r>
              <w:rPr>
                <w:rFonts w:hint="eastAsia"/>
                <w:color w:val="000000"/>
                <w:sz w:val="20"/>
                <w:szCs w:val="20"/>
                <w:lang w:val="en-US" w:bidi="ar"/>
              </w:rPr>
              <w:t>重汽章丘工业园及周边仓库--17.5M车型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BAE91">
            <w:pPr>
              <w:widowControl/>
              <w:jc w:val="center"/>
              <w:textAlignment w:val="center"/>
              <w:rPr>
                <w:color w:val="0F1115"/>
                <w:sz w:val="20"/>
                <w:szCs w:val="20"/>
                <w:lang w:val="en-US" w:bidi="ar"/>
              </w:rPr>
            </w:pPr>
            <w:r>
              <w:rPr>
                <w:rFonts w:hint="eastAsia"/>
                <w:color w:val="0F1115"/>
                <w:sz w:val="20"/>
                <w:szCs w:val="20"/>
                <w:lang w:val="en-US" w:bidi="ar"/>
              </w:rPr>
              <w:t>1176</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3AE65">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FA1E4">
            <w:pPr>
              <w:widowControl/>
              <w:jc w:val="center"/>
              <w:textAlignment w:val="center"/>
              <w:rPr>
                <w:color w:val="0F1115"/>
                <w:sz w:val="20"/>
                <w:szCs w:val="20"/>
              </w:rPr>
            </w:pPr>
            <w:r>
              <w:rPr>
                <w:rFonts w:hint="eastAsia"/>
                <w:color w:val="000000"/>
                <w:sz w:val="20"/>
                <w:szCs w:val="20"/>
                <w:lang w:val="en-US" w:bidi="ar"/>
              </w:rPr>
              <w:t>315.20</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2EB44">
            <w:pPr>
              <w:widowControl/>
              <w:jc w:val="center"/>
              <w:textAlignment w:val="center"/>
              <w:rPr>
                <w:color w:val="0F1115"/>
                <w:sz w:val="20"/>
                <w:szCs w:val="20"/>
                <w:lang w:val="en-US"/>
              </w:rPr>
            </w:pPr>
            <w:r>
              <w:rPr>
                <w:rFonts w:hint="eastAsia"/>
                <w:color w:val="000000"/>
                <w:sz w:val="20"/>
                <w:szCs w:val="20"/>
                <w:lang w:val="en-US" w:bidi="ar"/>
              </w:rPr>
              <w:t>36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0F00E">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66B5908">
            <w:pPr>
              <w:widowControl/>
              <w:jc w:val="center"/>
              <w:textAlignment w:val="center"/>
              <w:rPr>
                <w:color w:val="0F1115"/>
                <w:sz w:val="20"/>
                <w:szCs w:val="20"/>
              </w:rPr>
            </w:pPr>
          </w:p>
        </w:tc>
      </w:tr>
      <w:tr w14:paraId="256D53E3">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68638">
            <w:pPr>
              <w:widowControl/>
              <w:jc w:val="center"/>
              <w:textAlignment w:val="center"/>
              <w:rPr>
                <w:color w:val="0F1115"/>
                <w:sz w:val="20"/>
                <w:szCs w:val="20"/>
                <w:lang w:val="en-US" w:bidi="ar"/>
              </w:rPr>
            </w:pPr>
            <w:r>
              <w:rPr>
                <w:rFonts w:hint="eastAsia"/>
                <w:color w:val="0F1115"/>
                <w:sz w:val="20"/>
                <w:szCs w:val="20"/>
                <w:lang w:val="en-US" w:bidi="ar"/>
              </w:rPr>
              <w:t>45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0F098">
            <w:pPr>
              <w:jc w:val="center"/>
              <w:rPr>
                <w:color w:val="0F1115"/>
                <w:sz w:val="20"/>
                <w:szCs w:val="20"/>
              </w:rPr>
            </w:pPr>
          </w:p>
        </w:tc>
        <w:tc>
          <w:tcPr>
            <w:tcW w:w="949" w:type="pct"/>
            <w:tcBorders>
              <w:top w:val="single" w:color="000000" w:sz="4" w:space="0"/>
              <w:left w:val="single" w:color="000000" w:sz="4" w:space="0"/>
              <w:right w:val="single" w:color="000000" w:sz="4" w:space="0"/>
            </w:tcBorders>
            <w:shd w:val="clear" w:color="auto" w:fill="FFFFFF"/>
            <w:vAlign w:val="center"/>
          </w:tcPr>
          <w:p w14:paraId="3E47E94B">
            <w:pPr>
              <w:jc w:val="center"/>
              <w:rPr>
                <w:color w:val="0F1115"/>
                <w:sz w:val="20"/>
                <w:szCs w:val="20"/>
                <w:lang w:val="en-US" w:bidi="ar"/>
              </w:rPr>
            </w:pPr>
            <w:r>
              <w:rPr>
                <w:rFonts w:hint="eastAsia"/>
                <w:color w:val="0F1115"/>
                <w:sz w:val="20"/>
                <w:szCs w:val="20"/>
                <w:lang w:val="en-US" w:bidi="ar"/>
              </w:rPr>
              <w:t>重汽车桥公司</w:t>
            </w:r>
            <w:r>
              <w:rPr>
                <w:rFonts w:hint="eastAsia"/>
                <w:color w:val="000000"/>
                <w:sz w:val="20"/>
                <w:szCs w:val="20"/>
                <w:lang w:val="en-US" w:bidi="ar"/>
              </w:rPr>
              <w:t>-4.2M车型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1DED5">
            <w:pPr>
              <w:widowControl/>
              <w:jc w:val="center"/>
              <w:textAlignment w:val="center"/>
              <w:rPr>
                <w:color w:val="0F1115"/>
                <w:sz w:val="20"/>
                <w:szCs w:val="20"/>
                <w:lang w:val="en-US" w:bidi="ar"/>
              </w:rPr>
            </w:pPr>
            <w:r>
              <w:rPr>
                <w:rFonts w:hint="eastAsia"/>
                <w:color w:val="0F1115"/>
                <w:sz w:val="20"/>
                <w:szCs w:val="20"/>
                <w:lang w:val="en-US" w:bidi="ar"/>
              </w:rPr>
              <w:t>60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139FC">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2E1B1">
            <w:pPr>
              <w:widowControl/>
              <w:jc w:val="center"/>
              <w:textAlignment w:val="center"/>
              <w:rPr>
                <w:color w:val="0F1115"/>
                <w:sz w:val="20"/>
                <w:szCs w:val="20"/>
              </w:rPr>
            </w:pPr>
            <w:r>
              <w:rPr>
                <w:rFonts w:hint="eastAsia"/>
                <w:color w:val="0F1115"/>
                <w:sz w:val="20"/>
                <w:szCs w:val="20"/>
                <w:lang w:val="en-US"/>
              </w:rPr>
              <w:t>86.2</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F6814">
            <w:pPr>
              <w:widowControl/>
              <w:jc w:val="center"/>
              <w:textAlignment w:val="center"/>
              <w:rPr>
                <w:color w:val="0F1115"/>
                <w:sz w:val="20"/>
                <w:szCs w:val="20"/>
                <w:lang w:val="en-US"/>
              </w:rPr>
            </w:pPr>
            <w:r>
              <w:rPr>
                <w:rFonts w:hint="eastAsia"/>
                <w:color w:val="000000"/>
                <w:sz w:val="20"/>
                <w:szCs w:val="20"/>
                <w:lang w:val="en-US" w:bidi="ar"/>
              </w:rPr>
              <w:t>0.3</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32110">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FC6A0CB">
            <w:pPr>
              <w:widowControl/>
              <w:jc w:val="center"/>
              <w:textAlignment w:val="center"/>
              <w:rPr>
                <w:color w:val="0F1115"/>
                <w:sz w:val="20"/>
                <w:szCs w:val="20"/>
              </w:rPr>
            </w:pPr>
          </w:p>
        </w:tc>
      </w:tr>
      <w:tr w14:paraId="13D081D8">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B9AB7">
            <w:pPr>
              <w:widowControl/>
              <w:jc w:val="center"/>
              <w:textAlignment w:val="center"/>
              <w:rPr>
                <w:color w:val="0F1115"/>
                <w:sz w:val="20"/>
                <w:szCs w:val="20"/>
                <w:lang w:val="en-US" w:bidi="ar"/>
              </w:rPr>
            </w:pPr>
            <w:r>
              <w:rPr>
                <w:rFonts w:hint="eastAsia"/>
                <w:color w:val="0F1115"/>
                <w:sz w:val="20"/>
                <w:szCs w:val="20"/>
                <w:lang w:val="en-US" w:bidi="ar"/>
              </w:rPr>
              <w:t>46</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7F907">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D6EA6">
            <w:pPr>
              <w:jc w:val="center"/>
              <w:rPr>
                <w:color w:val="0F1115"/>
                <w:sz w:val="20"/>
                <w:szCs w:val="20"/>
                <w:lang w:val="en-US" w:bidi="ar"/>
              </w:rPr>
            </w:pPr>
            <w:r>
              <w:rPr>
                <w:rFonts w:hint="eastAsia"/>
                <w:color w:val="0F1115"/>
                <w:sz w:val="20"/>
                <w:szCs w:val="20"/>
                <w:lang w:val="en-US" w:bidi="ar"/>
              </w:rPr>
              <w:t>重汽车桥公司</w:t>
            </w:r>
            <w:r>
              <w:rPr>
                <w:rFonts w:hint="eastAsia"/>
                <w:color w:val="000000"/>
                <w:sz w:val="20"/>
                <w:szCs w:val="20"/>
                <w:lang w:val="en-US" w:bidi="ar"/>
              </w:rPr>
              <w:t>-6.8M车型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51C97">
            <w:pPr>
              <w:widowControl/>
              <w:jc w:val="center"/>
              <w:textAlignment w:val="center"/>
              <w:rPr>
                <w:color w:val="0F1115"/>
                <w:sz w:val="20"/>
                <w:szCs w:val="20"/>
                <w:lang w:val="en-US" w:bidi="ar"/>
              </w:rPr>
            </w:pPr>
            <w:r>
              <w:rPr>
                <w:rFonts w:hint="eastAsia"/>
                <w:color w:val="0F1115"/>
                <w:sz w:val="20"/>
                <w:szCs w:val="20"/>
                <w:lang w:val="en-US" w:bidi="ar"/>
              </w:rPr>
              <w:t>60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EF25D">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4CC48">
            <w:pPr>
              <w:widowControl/>
              <w:jc w:val="center"/>
              <w:textAlignment w:val="center"/>
              <w:rPr>
                <w:color w:val="000000"/>
                <w:sz w:val="20"/>
                <w:szCs w:val="20"/>
                <w:lang w:val="en-US" w:bidi="ar"/>
              </w:rPr>
            </w:pPr>
            <w:r>
              <w:rPr>
                <w:rFonts w:hint="eastAsia"/>
                <w:color w:val="0F1115"/>
                <w:sz w:val="20"/>
                <w:szCs w:val="20"/>
                <w:lang w:val="en-US"/>
              </w:rPr>
              <w:t>167.44</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DE604">
            <w:pPr>
              <w:jc w:val="center"/>
              <w:rPr>
                <w:color w:val="0F1115"/>
                <w:sz w:val="20"/>
                <w:szCs w:val="20"/>
                <w:lang w:val="en-US"/>
              </w:rPr>
            </w:pPr>
            <w:r>
              <w:rPr>
                <w:rFonts w:hint="eastAsia"/>
                <w:color w:val="0F1115"/>
                <w:sz w:val="20"/>
                <w:szCs w:val="20"/>
                <w:lang w:val="en-US"/>
              </w:rPr>
              <w:t>0.3</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E205B">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342AF70">
            <w:pPr>
              <w:widowControl/>
              <w:jc w:val="center"/>
              <w:textAlignment w:val="center"/>
              <w:rPr>
                <w:color w:val="0F1115"/>
                <w:sz w:val="20"/>
                <w:szCs w:val="20"/>
              </w:rPr>
            </w:pPr>
          </w:p>
        </w:tc>
      </w:tr>
      <w:tr w14:paraId="23E971DE">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80B4B">
            <w:pPr>
              <w:widowControl/>
              <w:jc w:val="center"/>
              <w:textAlignment w:val="center"/>
              <w:rPr>
                <w:color w:val="0F1115"/>
                <w:sz w:val="20"/>
                <w:szCs w:val="20"/>
                <w:lang w:val="en-US" w:bidi="ar"/>
              </w:rPr>
            </w:pPr>
            <w:r>
              <w:rPr>
                <w:rFonts w:hint="eastAsia"/>
                <w:color w:val="0F1115"/>
                <w:sz w:val="20"/>
                <w:szCs w:val="20"/>
                <w:lang w:val="en-US" w:bidi="ar"/>
              </w:rPr>
              <w:t>47</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597E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F7E7A">
            <w:pPr>
              <w:jc w:val="center"/>
              <w:rPr>
                <w:color w:val="0F1115"/>
                <w:sz w:val="20"/>
                <w:szCs w:val="20"/>
                <w:lang w:val="en-US" w:bidi="ar"/>
              </w:rPr>
            </w:pPr>
            <w:r>
              <w:rPr>
                <w:rFonts w:hint="eastAsia"/>
                <w:color w:val="0F1115"/>
                <w:sz w:val="20"/>
                <w:szCs w:val="20"/>
                <w:lang w:val="en-US" w:bidi="ar"/>
              </w:rPr>
              <w:t>重汽车桥公司</w:t>
            </w:r>
            <w:r>
              <w:rPr>
                <w:rFonts w:hint="eastAsia"/>
                <w:color w:val="000000"/>
                <w:sz w:val="20"/>
                <w:szCs w:val="20"/>
                <w:lang w:val="en-US" w:bidi="ar"/>
              </w:rPr>
              <w:t>-9.6M车型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FD8C1">
            <w:pPr>
              <w:widowControl/>
              <w:jc w:val="center"/>
              <w:textAlignment w:val="center"/>
              <w:rPr>
                <w:color w:val="0F1115"/>
                <w:sz w:val="20"/>
                <w:szCs w:val="20"/>
                <w:lang w:val="en-US" w:bidi="ar"/>
              </w:rPr>
            </w:pPr>
            <w:r>
              <w:rPr>
                <w:rFonts w:hint="eastAsia"/>
                <w:color w:val="0F1115"/>
                <w:sz w:val="20"/>
                <w:szCs w:val="20"/>
                <w:lang w:val="en-US" w:bidi="ar"/>
              </w:rPr>
              <w:t>162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09AE9">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D2006">
            <w:pPr>
              <w:widowControl/>
              <w:jc w:val="center"/>
              <w:textAlignment w:val="center"/>
              <w:rPr>
                <w:color w:val="0F1115"/>
                <w:sz w:val="20"/>
                <w:szCs w:val="20"/>
              </w:rPr>
            </w:pPr>
            <w:r>
              <w:rPr>
                <w:rFonts w:hint="eastAsia"/>
                <w:color w:val="0F1115"/>
                <w:sz w:val="20"/>
                <w:szCs w:val="20"/>
                <w:lang w:val="en-US"/>
              </w:rPr>
              <w:t>248.72</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E0872">
            <w:pPr>
              <w:jc w:val="center"/>
              <w:rPr>
                <w:color w:val="0F1115"/>
                <w:sz w:val="20"/>
                <w:szCs w:val="20"/>
                <w:lang w:val="en-US"/>
              </w:rPr>
            </w:pPr>
            <w:r>
              <w:rPr>
                <w:rFonts w:hint="eastAsia"/>
                <w:color w:val="0F1115"/>
                <w:sz w:val="20"/>
                <w:szCs w:val="20"/>
                <w:lang w:val="en-US"/>
              </w:rPr>
              <w:t>3.9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2A8CE">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01B39192">
            <w:pPr>
              <w:widowControl/>
              <w:jc w:val="center"/>
              <w:textAlignment w:val="center"/>
              <w:rPr>
                <w:color w:val="0F1115"/>
                <w:sz w:val="20"/>
                <w:szCs w:val="20"/>
              </w:rPr>
            </w:pPr>
          </w:p>
        </w:tc>
      </w:tr>
      <w:tr w14:paraId="565E8B02">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2D9F3">
            <w:pPr>
              <w:widowControl/>
              <w:jc w:val="center"/>
              <w:textAlignment w:val="center"/>
              <w:rPr>
                <w:color w:val="0F1115"/>
                <w:sz w:val="20"/>
                <w:szCs w:val="20"/>
                <w:lang w:val="en-US" w:bidi="ar"/>
              </w:rPr>
            </w:pPr>
            <w:r>
              <w:rPr>
                <w:rFonts w:hint="eastAsia"/>
                <w:color w:val="0F1115"/>
                <w:sz w:val="20"/>
                <w:szCs w:val="20"/>
                <w:lang w:val="en-US" w:bidi="ar"/>
              </w:rPr>
              <w:t>48</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01299">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BAA87">
            <w:pPr>
              <w:jc w:val="center"/>
              <w:rPr>
                <w:color w:val="0F1115"/>
                <w:sz w:val="20"/>
                <w:szCs w:val="20"/>
                <w:lang w:val="en-US" w:bidi="ar"/>
              </w:rPr>
            </w:pPr>
            <w:r>
              <w:rPr>
                <w:rFonts w:hint="eastAsia"/>
                <w:color w:val="0F1115"/>
                <w:sz w:val="20"/>
                <w:szCs w:val="20"/>
                <w:lang w:val="en-US" w:bidi="ar"/>
              </w:rPr>
              <w:t>重汽车桥公司</w:t>
            </w:r>
            <w:r>
              <w:rPr>
                <w:rFonts w:hint="eastAsia"/>
                <w:color w:val="000000"/>
                <w:sz w:val="20"/>
                <w:szCs w:val="20"/>
                <w:lang w:val="en-US" w:bidi="ar"/>
              </w:rPr>
              <w:t>-13.5M车型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973C9">
            <w:pPr>
              <w:widowControl/>
              <w:jc w:val="center"/>
              <w:textAlignment w:val="center"/>
              <w:rPr>
                <w:color w:val="0F1115"/>
                <w:sz w:val="20"/>
                <w:szCs w:val="20"/>
                <w:lang w:val="en-US" w:bidi="ar"/>
              </w:rPr>
            </w:pPr>
            <w:r>
              <w:rPr>
                <w:rFonts w:hint="eastAsia"/>
                <w:color w:val="0F1115"/>
                <w:sz w:val="20"/>
                <w:szCs w:val="20"/>
                <w:lang w:val="en-US" w:bidi="ar"/>
              </w:rPr>
              <w:t>2052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0963F">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86F01">
            <w:pPr>
              <w:widowControl/>
              <w:jc w:val="center"/>
              <w:textAlignment w:val="center"/>
              <w:rPr>
                <w:color w:val="0F1115"/>
                <w:sz w:val="20"/>
                <w:szCs w:val="20"/>
              </w:rPr>
            </w:pPr>
            <w:r>
              <w:rPr>
                <w:rFonts w:hint="eastAsia"/>
                <w:color w:val="0F1115"/>
                <w:sz w:val="20"/>
                <w:szCs w:val="20"/>
                <w:lang w:val="en-US"/>
              </w:rPr>
              <w:t>349.85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52937">
            <w:pPr>
              <w:jc w:val="center"/>
              <w:rPr>
                <w:color w:val="0F1115"/>
                <w:sz w:val="20"/>
                <w:szCs w:val="20"/>
                <w:lang w:val="en-US"/>
              </w:rPr>
            </w:pPr>
            <w:r>
              <w:rPr>
                <w:rFonts w:hint="eastAsia"/>
                <w:color w:val="0F1115"/>
                <w:sz w:val="20"/>
                <w:szCs w:val="20"/>
                <w:lang w:val="en-US"/>
              </w:rPr>
              <w:t>72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0B10B">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E8236B0">
            <w:pPr>
              <w:widowControl/>
              <w:jc w:val="center"/>
              <w:textAlignment w:val="center"/>
              <w:rPr>
                <w:color w:val="0F1115"/>
                <w:sz w:val="20"/>
                <w:szCs w:val="20"/>
              </w:rPr>
            </w:pPr>
          </w:p>
        </w:tc>
      </w:tr>
      <w:tr w14:paraId="195BC917">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5DE2A">
            <w:pPr>
              <w:widowControl/>
              <w:jc w:val="center"/>
              <w:textAlignment w:val="center"/>
              <w:rPr>
                <w:color w:val="0F1115"/>
                <w:sz w:val="20"/>
                <w:szCs w:val="20"/>
                <w:lang w:val="en-US" w:bidi="ar"/>
              </w:rPr>
            </w:pPr>
            <w:r>
              <w:rPr>
                <w:rFonts w:hint="eastAsia"/>
                <w:color w:val="0F1115"/>
                <w:sz w:val="20"/>
                <w:szCs w:val="20"/>
                <w:lang w:val="en-US" w:bidi="ar"/>
              </w:rPr>
              <w:t>49</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2210A">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A4CC3">
            <w:pPr>
              <w:jc w:val="center"/>
              <w:rPr>
                <w:color w:val="0F1115"/>
                <w:sz w:val="20"/>
                <w:szCs w:val="20"/>
                <w:lang w:val="en-US" w:bidi="ar"/>
              </w:rPr>
            </w:pPr>
            <w:r>
              <w:rPr>
                <w:rFonts w:hint="eastAsia"/>
                <w:color w:val="0F1115"/>
                <w:sz w:val="20"/>
                <w:szCs w:val="20"/>
                <w:lang w:val="en-US" w:bidi="ar"/>
              </w:rPr>
              <w:t>重汽车桥公司</w:t>
            </w:r>
            <w:r>
              <w:rPr>
                <w:rFonts w:hint="eastAsia"/>
                <w:color w:val="000000"/>
                <w:sz w:val="20"/>
                <w:szCs w:val="20"/>
                <w:lang w:val="en-US" w:bidi="ar"/>
              </w:rPr>
              <w:t>-17.5M车型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F622E">
            <w:pPr>
              <w:widowControl/>
              <w:jc w:val="center"/>
              <w:textAlignment w:val="center"/>
              <w:rPr>
                <w:color w:val="0F1115"/>
                <w:sz w:val="20"/>
                <w:szCs w:val="20"/>
                <w:lang w:val="en-US" w:bidi="ar"/>
              </w:rPr>
            </w:pPr>
            <w:r>
              <w:rPr>
                <w:rFonts w:hint="eastAsia"/>
                <w:color w:val="0F1115"/>
                <w:sz w:val="20"/>
                <w:szCs w:val="20"/>
                <w:lang w:val="en-US" w:bidi="ar"/>
              </w:rPr>
              <w:t>324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DBB2B">
            <w:pPr>
              <w:widowControl/>
              <w:jc w:val="center"/>
              <w:textAlignment w:val="center"/>
              <w:rPr>
                <w:color w:val="0F1115"/>
                <w:sz w:val="20"/>
                <w:szCs w:val="20"/>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B5379">
            <w:pPr>
              <w:widowControl/>
              <w:jc w:val="center"/>
              <w:textAlignment w:val="center"/>
              <w:rPr>
                <w:color w:val="0F1115"/>
                <w:sz w:val="20"/>
                <w:szCs w:val="20"/>
                <w:lang w:val="en-US"/>
              </w:rPr>
            </w:pPr>
            <w:r>
              <w:rPr>
                <w:rFonts w:hint="eastAsia"/>
                <w:color w:val="0F1115"/>
                <w:sz w:val="20"/>
                <w:szCs w:val="20"/>
                <w:lang w:val="en-US"/>
              </w:rPr>
              <w:t>389.8</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66A8E">
            <w:pPr>
              <w:jc w:val="center"/>
              <w:rPr>
                <w:color w:val="0F1115"/>
                <w:sz w:val="20"/>
                <w:szCs w:val="20"/>
                <w:lang w:val="en-US"/>
              </w:rPr>
            </w:pPr>
            <w:r>
              <w:rPr>
                <w:rFonts w:hint="eastAsia"/>
                <w:color w:val="0F1115"/>
                <w:sz w:val="20"/>
                <w:szCs w:val="20"/>
                <w:lang w:val="en-US"/>
              </w:rPr>
              <w:t>12.6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D993F">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41EEDD56">
            <w:pPr>
              <w:widowControl/>
              <w:jc w:val="center"/>
              <w:textAlignment w:val="center"/>
              <w:rPr>
                <w:color w:val="0F1115"/>
                <w:sz w:val="20"/>
                <w:szCs w:val="20"/>
              </w:rPr>
            </w:pPr>
          </w:p>
        </w:tc>
      </w:tr>
      <w:tr w14:paraId="4C8F7540">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74207">
            <w:pPr>
              <w:widowControl/>
              <w:jc w:val="center"/>
              <w:textAlignment w:val="center"/>
              <w:rPr>
                <w:color w:val="0F1115"/>
                <w:sz w:val="20"/>
                <w:szCs w:val="20"/>
                <w:lang w:val="en-US" w:bidi="ar"/>
              </w:rPr>
            </w:pPr>
            <w:r>
              <w:rPr>
                <w:rFonts w:hint="eastAsia"/>
                <w:color w:val="0F1115"/>
                <w:sz w:val="20"/>
                <w:szCs w:val="20"/>
                <w:lang w:val="en-US" w:bidi="ar"/>
              </w:rPr>
              <w:t>50</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49CDF">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4E8A0">
            <w:pPr>
              <w:widowControl/>
              <w:jc w:val="center"/>
              <w:textAlignment w:val="center"/>
              <w:rPr>
                <w:color w:val="000000"/>
                <w:sz w:val="20"/>
                <w:szCs w:val="20"/>
                <w:lang w:val="en-US" w:bidi="ar"/>
              </w:rPr>
            </w:pPr>
            <w:r>
              <w:rPr>
                <w:rFonts w:hint="eastAsia"/>
                <w:color w:val="000000"/>
                <w:sz w:val="20"/>
                <w:szCs w:val="20"/>
                <w:lang w:val="en-US" w:bidi="ar"/>
              </w:rPr>
              <w:t>橡塑件公司-4.2M车型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EEDAA">
            <w:pPr>
              <w:widowControl/>
              <w:jc w:val="center"/>
              <w:textAlignment w:val="center"/>
              <w:rPr>
                <w:color w:val="0F1115"/>
                <w:sz w:val="20"/>
                <w:szCs w:val="20"/>
                <w:lang w:val="en-US" w:bidi="ar"/>
              </w:rPr>
            </w:pPr>
            <w:r>
              <w:rPr>
                <w:rFonts w:hint="eastAsia"/>
                <w:color w:val="0F1115"/>
                <w:sz w:val="20"/>
                <w:szCs w:val="20"/>
                <w:lang w:val="en-US" w:bidi="ar"/>
              </w:rPr>
              <w:t>60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BF485">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034EB">
            <w:pPr>
              <w:widowControl/>
              <w:jc w:val="center"/>
              <w:textAlignment w:val="center"/>
              <w:rPr>
                <w:color w:val="000000"/>
                <w:sz w:val="20"/>
                <w:szCs w:val="20"/>
                <w:lang w:val="en-US" w:bidi="ar"/>
              </w:rPr>
            </w:pPr>
            <w:r>
              <w:rPr>
                <w:rFonts w:hint="eastAsia"/>
                <w:color w:val="000000"/>
                <w:sz w:val="20"/>
                <w:szCs w:val="20"/>
                <w:lang w:val="en-US" w:bidi="ar"/>
              </w:rPr>
              <w:t>334.76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81DD8">
            <w:pPr>
              <w:widowControl/>
              <w:jc w:val="center"/>
              <w:textAlignment w:val="center"/>
              <w:rPr>
                <w:color w:val="000000"/>
                <w:sz w:val="20"/>
                <w:szCs w:val="20"/>
                <w:lang w:val="en-US" w:bidi="ar"/>
              </w:rPr>
            </w:pPr>
            <w:r>
              <w:rPr>
                <w:rFonts w:hint="eastAsia"/>
                <w:color w:val="000000"/>
                <w:sz w:val="20"/>
                <w:szCs w:val="20"/>
                <w:lang w:val="en-US" w:bidi="ar"/>
              </w:rPr>
              <w:t>2.1</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5EE31">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1A855FA">
            <w:pPr>
              <w:widowControl/>
              <w:jc w:val="center"/>
              <w:textAlignment w:val="center"/>
              <w:rPr>
                <w:color w:val="0F1115"/>
                <w:sz w:val="20"/>
                <w:szCs w:val="20"/>
              </w:rPr>
            </w:pPr>
          </w:p>
        </w:tc>
      </w:tr>
      <w:tr w14:paraId="749C23C8">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137A5">
            <w:pPr>
              <w:widowControl/>
              <w:jc w:val="center"/>
              <w:textAlignment w:val="center"/>
              <w:rPr>
                <w:color w:val="0F1115"/>
                <w:sz w:val="20"/>
                <w:szCs w:val="20"/>
                <w:lang w:val="en-US" w:bidi="ar"/>
              </w:rPr>
            </w:pPr>
            <w:r>
              <w:rPr>
                <w:rFonts w:hint="eastAsia"/>
                <w:color w:val="0F1115"/>
                <w:sz w:val="20"/>
                <w:szCs w:val="20"/>
                <w:lang w:val="en-US" w:bidi="ar"/>
              </w:rPr>
              <w:t>51</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10ECD">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63126">
            <w:pPr>
              <w:widowControl/>
              <w:jc w:val="center"/>
              <w:textAlignment w:val="center"/>
              <w:rPr>
                <w:color w:val="000000"/>
                <w:sz w:val="20"/>
                <w:szCs w:val="20"/>
                <w:lang w:val="en-US" w:bidi="ar"/>
              </w:rPr>
            </w:pPr>
            <w:r>
              <w:rPr>
                <w:rFonts w:hint="eastAsia"/>
                <w:color w:val="000000"/>
                <w:sz w:val="20"/>
                <w:szCs w:val="20"/>
                <w:lang w:val="en-US" w:bidi="ar"/>
              </w:rPr>
              <w:t>橡塑件公司-6.8M车型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4FCBC">
            <w:pPr>
              <w:widowControl/>
              <w:jc w:val="center"/>
              <w:textAlignment w:val="center"/>
              <w:rPr>
                <w:color w:val="0F1115"/>
                <w:sz w:val="20"/>
                <w:szCs w:val="20"/>
                <w:lang w:val="en-US" w:bidi="ar"/>
              </w:rPr>
            </w:pPr>
            <w:r>
              <w:rPr>
                <w:rFonts w:hint="eastAsia"/>
                <w:color w:val="0F1115"/>
                <w:sz w:val="20"/>
                <w:szCs w:val="20"/>
                <w:lang w:val="en-US" w:bidi="ar"/>
              </w:rPr>
              <w:t>60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ED4C4">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F91C5">
            <w:pPr>
              <w:widowControl/>
              <w:jc w:val="center"/>
              <w:textAlignment w:val="center"/>
              <w:rPr>
                <w:color w:val="000000"/>
                <w:sz w:val="20"/>
                <w:szCs w:val="20"/>
                <w:lang w:val="en-US" w:bidi="ar"/>
              </w:rPr>
            </w:pPr>
            <w:r>
              <w:rPr>
                <w:rFonts w:hint="eastAsia"/>
                <w:color w:val="000000"/>
                <w:sz w:val="20"/>
                <w:szCs w:val="20"/>
                <w:lang w:val="en-US" w:bidi="ar"/>
              </w:rPr>
              <w:t>650.06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194B1">
            <w:pPr>
              <w:widowControl/>
              <w:jc w:val="center"/>
              <w:textAlignment w:val="center"/>
              <w:rPr>
                <w:color w:val="000000"/>
                <w:sz w:val="20"/>
                <w:szCs w:val="20"/>
                <w:lang w:val="en-US" w:bidi="ar"/>
              </w:rPr>
            </w:pPr>
            <w:r>
              <w:rPr>
                <w:rFonts w:hint="eastAsia"/>
                <w:color w:val="000000"/>
                <w:sz w:val="20"/>
                <w:szCs w:val="20"/>
                <w:lang w:val="en-US" w:bidi="ar"/>
              </w:rPr>
              <w:t>3.9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A9C9B">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56AD622C">
            <w:pPr>
              <w:widowControl/>
              <w:jc w:val="center"/>
              <w:textAlignment w:val="center"/>
              <w:rPr>
                <w:color w:val="0F1115"/>
                <w:sz w:val="20"/>
                <w:szCs w:val="20"/>
              </w:rPr>
            </w:pPr>
          </w:p>
        </w:tc>
      </w:tr>
      <w:tr w14:paraId="6E02DA6C">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5710C">
            <w:pPr>
              <w:widowControl/>
              <w:jc w:val="center"/>
              <w:textAlignment w:val="center"/>
              <w:rPr>
                <w:color w:val="0F1115"/>
                <w:sz w:val="20"/>
                <w:szCs w:val="20"/>
                <w:lang w:val="en-US" w:bidi="ar"/>
              </w:rPr>
            </w:pPr>
            <w:r>
              <w:rPr>
                <w:rFonts w:hint="eastAsia"/>
                <w:color w:val="0F1115"/>
                <w:sz w:val="20"/>
                <w:szCs w:val="20"/>
                <w:lang w:val="en-US" w:bidi="ar"/>
              </w:rPr>
              <w:t>52</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C4B01">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47D55">
            <w:pPr>
              <w:widowControl/>
              <w:jc w:val="center"/>
              <w:textAlignment w:val="center"/>
              <w:rPr>
                <w:color w:val="000000"/>
                <w:sz w:val="20"/>
                <w:szCs w:val="20"/>
                <w:lang w:val="en-US" w:bidi="ar"/>
              </w:rPr>
            </w:pPr>
            <w:r>
              <w:rPr>
                <w:rFonts w:hint="eastAsia"/>
                <w:color w:val="000000"/>
                <w:sz w:val="20"/>
                <w:szCs w:val="20"/>
                <w:lang w:val="en-US" w:bidi="ar"/>
              </w:rPr>
              <w:t>橡塑件公司-9.6M车型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FAAA4">
            <w:pPr>
              <w:widowControl/>
              <w:jc w:val="center"/>
              <w:textAlignment w:val="center"/>
              <w:rPr>
                <w:color w:val="0F1115"/>
                <w:sz w:val="20"/>
                <w:szCs w:val="20"/>
                <w:lang w:val="en-US" w:bidi="ar"/>
              </w:rPr>
            </w:pPr>
            <w:r>
              <w:rPr>
                <w:rFonts w:hint="eastAsia"/>
                <w:color w:val="0F1115"/>
                <w:sz w:val="20"/>
                <w:szCs w:val="20"/>
                <w:lang w:val="en-US" w:bidi="ar"/>
              </w:rPr>
              <w:t>540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7263D">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8CFC7">
            <w:pPr>
              <w:widowControl/>
              <w:jc w:val="center"/>
              <w:textAlignment w:val="center"/>
              <w:rPr>
                <w:color w:val="000000"/>
                <w:sz w:val="20"/>
                <w:szCs w:val="20"/>
                <w:lang w:val="en-US" w:bidi="ar"/>
              </w:rPr>
            </w:pPr>
            <w:r>
              <w:rPr>
                <w:rFonts w:hint="eastAsia"/>
                <w:color w:val="000000"/>
                <w:sz w:val="20"/>
                <w:szCs w:val="20"/>
                <w:lang w:val="en-US" w:bidi="ar"/>
              </w:rPr>
              <w:t>723.89</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BA382">
            <w:pPr>
              <w:widowControl/>
              <w:jc w:val="center"/>
              <w:textAlignment w:val="center"/>
              <w:rPr>
                <w:color w:val="000000"/>
                <w:sz w:val="20"/>
                <w:szCs w:val="20"/>
                <w:lang w:val="en-US" w:bidi="ar"/>
              </w:rPr>
            </w:pPr>
            <w:r>
              <w:rPr>
                <w:rFonts w:hint="eastAsia"/>
                <w:color w:val="000000"/>
                <w:sz w:val="20"/>
                <w:szCs w:val="20"/>
                <w:lang w:val="en-US" w:bidi="ar"/>
              </w:rPr>
              <w:t>39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F3F03">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28D66AA7">
            <w:pPr>
              <w:widowControl/>
              <w:jc w:val="center"/>
              <w:textAlignment w:val="center"/>
              <w:rPr>
                <w:color w:val="0F1115"/>
                <w:sz w:val="20"/>
                <w:szCs w:val="20"/>
              </w:rPr>
            </w:pPr>
          </w:p>
        </w:tc>
      </w:tr>
      <w:tr w14:paraId="23FC250A">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D9CBB">
            <w:pPr>
              <w:widowControl/>
              <w:jc w:val="center"/>
              <w:textAlignment w:val="center"/>
              <w:rPr>
                <w:color w:val="0F1115"/>
                <w:sz w:val="20"/>
                <w:szCs w:val="20"/>
                <w:lang w:val="en-US" w:bidi="ar"/>
              </w:rPr>
            </w:pPr>
            <w:r>
              <w:rPr>
                <w:rFonts w:hint="eastAsia"/>
                <w:color w:val="0F1115"/>
                <w:sz w:val="20"/>
                <w:szCs w:val="20"/>
                <w:lang w:val="en-US" w:bidi="ar"/>
              </w:rPr>
              <w:t>53</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6025A">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B02CE">
            <w:pPr>
              <w:widowControl/>
              <w:jc w:val="center"/>
              <w:textAlignment w:val="center"/>
              <w:rPr>
                <w:color w:val="000000"/>
                <w:sz w:val="20"/>
                <w:szCs w:val="20"/>
                <w:lang w:val="en-US" w:bidi="ar"/>
              </w:rPr>
            </w:pPr>
            <w:r>
              <w:rPr>
                <w:rFonts w:hint="eastAsia"/>
                <w:color w:val="000000"/>
                <w:sz w:val="20"/>
                <w:szCs w:val="20"/>
                <w:lang w:val="en-US" w:bidi="ar"/>
              </w:rPr>
              <w:t>橡塑件公司-13.5M车型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C0850">
            <w:pPr>
              <w:widowControl/>
              <w:jc w:val="center"/>
              <w:textAlignment w:val="center"/>
              <w:rPr>
                <w:color w:val="0F1115"/>
                <w:sz w:val="20"/>
                <w:szCs w:val="20"/>
                <w:lang w:val="en-US" w:bidi="ar"/>
              </w:rPr>
            </w:pPr>
            <w:r>
              <w:rPr>
                <w:rFonts w:hint="eastAsia"/>
                <w:color w:val="0F1115"/>
                <w:sz w:val="20"/>
                <w:szCs w:val="20"/>
                <w:lang w:val="en-US" w:bidi="ar"/>
              </w:rPr>
              <w:t>90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3CD3B">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F3DD5">
            <w:pPr>
              <w:widowControl/>
              <w:jc w:val="center"/>
              <w:textAlignment w:val="center"/>
              <w:rPr>
                <w:color w:val="000000"/>
                <w:sz w:val="20"/>
                <w:szCs w:val="20"/>
                <w:lang w:val="en-US" w:bidi="ar"/>
              </w:rPr>
            </w:pPr>
            <w:r>
              <w:rPr>
                <w:rFonts w:hint="eastAsia"/>
                <w:color w:val="000000"/>
                <w:sz w:val="20"/>
                <w:szCs w:val="20"/>
                <w:lang w:val="en-US" w:bidi="ar"/>
              </w:rPr>
              <w:t>986.74</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FA0E8">
            <w:pPr>
              <w:widowControl/>
              <w:jc w:val="center"/>
              <w:textAlignment w:val="center"/>
              <w:rPr>
                <w:color w:val="000000"/>
                <w:sz w:val="20"/>
                <w:szCs w:val="20"/>
                <w:lang w:val="en-US" w:bidi="ar"/>
              </w:rPr>
            </w:pPr>
            <w:r>
              <w:rPr>
                <w:rFonts w:hint="eastAsia"/>
                <w:color w:val="000000"/>
                <w:sz w:val="20"/>
                <w:szCs w:val="20"/>
                <w:lang w:val="en-US" w:bidi="ar"/>
              </w:rPr>
              <w:t>9</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2B8EC">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484AD93B">
            <w:pPr>
              <w:widowControl/>
              <w:jc w:val="center"/>
              <w:textAlignment w:val="center"/>
              <w:rPr>
                <w:color w:val="0F1115"/>
                <w:sz w:val="20"/>
                <w:szCs w:val="20"/>
              </w:rPr>
            </w:pPr>
          </w:p>
        </w:tc>
      </w:tr>
      <w:tr w14:paraId="09790D85">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F0D79">
            <w:pPr>
              <w:widowControl/>
              <w:jc w:val="center"/>
              <w:textAlignment w:val="center"/>
              <w:rPr>
                <w:color w:val="0F1115"/>
                <w:sz w:val="20"/>
                <w:szCs w:val="20"/>
                <w:lang w:val="en-US" w:bidi="ar"/>
              </w:rPr>
            </w:pPr>
            <w:r>
              <w:rPr>
                <w:rFonts w:hint="eastAsia"/>
                <w:color w:val="0F1115"/>
                <w:sz w:val="20"/>
                <w:szCs w:val="20"/>
                <w:lang w:val="en-US" w:bidi="ar"/>
              </w:rPr>
              <w:t>54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F3706">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D1782">
            <w:pPr>
              <w:widowControl/>
              <w:jc w:val="center"/>
              <w:textAlignment w:val="center"/>
              <w:rPr>
                <w:color w:val="000000"/>
                <w:sz w:val="20"/>
                <w:szCs w:val="20"/>
                <w:lang w:val="en-US" w:bidi="ar"/>
              </w:rPr>
            </w:pPr>
            <w:r>
              <w:rPr>
                <w:rFonts w:hint="eastAsia"/>
                <w:color w:val="000000"/>
                <w:sz w:val="20"/>
                <w:szCs w:val="20"/>
                <w:lang w:val="en-US" w:bidi="ar"/>
              </w:rPr>
              <w:t>橡塑件公司-17.5M车型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855EF">
            <w:pPr>
              <w:widowControl/>
              <w:jc w:val="center"/>
              <w:textAlignment w:val="center"/>
              <w:rPr>
                <w:color w:val="0F1115"/>
                <w:sz w:val="20"/>
                <w:szCs w:val="20"/>
                <w:lang w:val="en-US" w:bidi="ar"/>
              </w:rPr>
            </w:pPr>
            <w:r>
              <w:rPr>
                <w:rFonts w:hint="eastAsia"/>
                <w:color w:val="0F1115"/>
                <w:sz w:val="20"/>
                <w:szCs w:val="20"/>
                <w:lang w:val="en-US" w:bidi="ar"/>
              </w:rPr>
              <w:t>36</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98E26">
            <w:pPr>
              <w:widowControl/>
              <w:jc w:val="center"/>
              <w:textAlignment w:val="center"/>
              <w:rPr>
                <w:color w:val="000000"/>
                <w:sz w:val="20"/>
                <w:szCs w:val="20"/>
                <w:lang w:val="en-US" w:bidi="ar"/>
              </w:rPr>
            </w:pPr>
            <w:r>
              <w:rPr>
                <w:rFonts w:hint="eastAsia"/>
                <w:color w:val="000000"/>
                <w:sz w:val="20"/>
                <w:szCs w:val="20"/>
                <w:lang w:val="en-US" w:bidi="ar"/>
              </w:rPr>
              <w:t>元/车</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93A95">
            <w:pPr>
              <w:widowControl/>
              <w:jc w:val="center"/>
              <w:textAlignment w:val="center"/>
              <w:rPr>
                <w:color w:val="000000"/>
                <w:sz w:val="20"/>
                <w:szCs w:val="20"/>
                <w:lang w:val="en-US" w:bidi="ar"/>
              </w:rPr>
            </w:pPr>
            <w:r>
              <w:rPr>
                <w:rFonts w:hint="eastAsia"/>
                <w:color w:val="000000"/>
                <w:sz w:val="20"/>
                <w:szCs w:val="20"/>
                <w:lang w:val="en-US" w:bidi="ar"/>
              </w:rPr>
              <w:t>1139.43</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BAC2C">
            <w:pPr>
              <w:widowControl/>
              <w:jc w:val="center"/>
              <w:textAlignment w:val="center"/>
              <w:rPr>
                <w:color w:val="000000"/>
                <w:sz w:val="20"/>
                <w:szCs w:val="20"/>
                <w:lang w:val="en-US" w:bidi="ar"/>
              </w:rPr>
            </w:pPr>
            <w:r>
              <w:rPr>
                <w:rFonts w:hint="eastAsia"/>
                <w:color w:val="000000"/>
                <w:sz w:val="20"/>
                <w:szCs w:val="20"/>
                <w:lang w:val="en-US" w:bidi="ar"/>
              </w:rPr>
              <w:t>4.2</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D9144">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66169A3C">
            <w:pPr>
              <w:widowControl/>
              <w:jc w:val="center"/>
              <w:textAlignment w:val="center"/>
              <w:rPr>
                <w:color w:val="0F1115"/>
                <w:sz w:val="20"/>
                <w:szCs w:val="20"/>
              </w:rPr>
            </w:pPr>
          </w:p>
        </w:tc>
      </w:tr>
      <w:tr w14:paraId="0AAAA40F">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2C109">
            <w:pPr>
              <w:widowControl/>
              <w:jc w:val="center"/>
              <w:textAlignment w:val="center"/>
              <w:rPr>
                <w:color w:val="0F1115"/>
                <w:sz w:val="20"/>
                <w:szCs w:val="20"/>
                <w:lang w:val="en-US" w:bidi="ar"/>
              </w:rPr>
            </w:pPr>
            <w:r>
              <w:rPr>
                <w:rFonts w:hint="eastAsia"/>
                <w:color w:val="0F1115"/>
                <w:sz w:val="20"/>
                <w:szCs w:val="20"/>
                <w:lang w:val="en-US" w:bidi="ar"/>
              </w:rPr>
              <w:t>55</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0512A2">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1E6CA">
            <w:pPr>
              <w:widowControl/>
              <w:jc w:val="center"/>
              <w:textAlignment w:val="center"/>
              <w:rPr>
                <w:color w:val="000000"/>
                <w:sz w:val="20"/>
                <w:szCs w:val="20"/>
                <w:lang w:val="en-US" w:bidi="ar"/>
              </w:rPr>
            </w:pPr>
            <w:r>
              <w:rPr>
                <w:rFonts w:hint="eastAsia"/>
                <w:color w:val="000000"/>
                <w:sz w:val="20"/>
                <w:szCs w:val="20"/>
                <w:lang w:val="en-US" w:bidi="ar"/>
              </w:rPr>
              <w:t>特种车及周边物流仓库-4.2M车型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1D75F">
            <w:pPr>
              <w:widowControl/>
              <w:jc w:val="center"/>
              <w:textAlignment w:val="center"/>
              <w:rPr>
                <w:color w:val="0F1115"/>
                <w:sz w:val="20"/>
                <w:szCs w:val="20"/>
                <w:lang w:val="en-US" w:bidi="ar"/>
              </w:rPr>
            </w:pPr>
            <w:r>
              <w:rPr>
                <w:rFonts w:hint="eastAsia"/>
                <w:color w:val="0F1115"/>
                <w:sz w:val="20"/>
                <w:szCs w:val="20"/>
                <w:lang w:val="en-US" w:bidi="ar"/>
              </w:rPr>
              <w:t>72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7647B">
            <w:pPr>
              <w:widowControl/>
              <w:jc w:val="center"/>
              <w:textAlignment w:val="center"/>
              <w:rPr>
                <w:color w:val="000000"/>
                <w:sz w:val="20"/>
                <w:szCs w:val="20"/>
                <w:lang w:val="en-US" w:bidi="ar"/>
              </w:rPr>
            </w:pPr>
            <w:r>
              <w:rPr>
                <w:rFonts w:hint="eastAsia"/>
                <w:color w:val="000000"/>
                <w:sz w:val="20"/>
                <w:szCs w:val="20"/>
                <w:lang w:val="en-US" w:bidi="ar"/>
              </w:rPr>
              <w:t>元/车</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249A9">
            <w:pPr>
              <w:widowControl/>
              <w:jc w:val="center"/>
              <w:textAlignment w:val="center"/>
              <w:rPr>
                <w:color w:val="000000"/>
                <w:sz w:val="20"/>
                <w:szCs w:val="20"/>
                <w:lang w:val="en-US" w:bidi="ar"/>
              </w:rPr>
            </w:pPr>
            <w:r>
              <w:rPr>
                <w:rFonts w:hint="eastAsia"/>
                <w:color w:val="000000"/>
                <w:sz w:val="20"/>
                <w:szCs w:val="20"/>
                <w:lang w:val="en-US" w:bidi="ar"/>
              </w:rPr>
              <w:t>244.66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E46B5">
            <w:pPr>
              <w:widowControl/>
              <w:jc w:val="center"/>
              <w:textAlignment w:val="center"/>
              <w:rPr>
                <w:color w:val="000000"/>
                <w:sz w:val="20"/>
                <w:szCs w:val="20"/>
                <w:lang w:val="en-US" w:bidi="ar"/>
              </w:rPr>
            </w:pPr>
            <w:r>
              <w:rPr>
                <w:rFonts w:hint="eastAsia"/>
                <w:color w:val="000000"/>
                <w:sz w:val="20"/>
                <w:szCs w:val="20"/>
                <w:lang w:val="en-US" w:bidi="ar"/>
              </w:rPr>
              <w:t>1.8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67076">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18317ED5">
            <w:pPr>
              <w:widowControl/>
              <w:jc w:val="center"/>
              <w:textAlignment w:val="center"/>
              <w:rPr>
                <w:color w:val="0F1115"/>
                <w:sz w:val="20"/>
                <w:szCs w:val="20"/>
              </w:rPr>
            </w:pPr>
          </w:p>
        </w:tc>
      </w:tr>
      <w:tr w14:paraId="153BE013">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EEA9D">
            <w:pPr>
              <w:widowControl/>
              <w:jc w:val="center"/>
              <w:textAlignment w:val="center"/>
              <w:rPr>
                <w:color w:val="0F1115"/>
                <w:sz w:val="20"/>
                <w:szCs w:val="20"/>
                <w:lang w:val="en-US" w:bidi="ar"/>
              </w:rPr>
            </w:pPr>
            <w:r>
              <w:rPr>
                <w:rFonts w:hint="eastAsia"/>
                <w:color w:val="0F1115"/>
                <w:sz w:val="20"/>
                <w:szCs w:val="20"/>
                <w:lang w:val="en-US" w:bidi="ar"/>
              </w:rPr>
              <w:t>56</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12F23B">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AE510">
            <w:pPr>
              <w:widowControl/>
              <w:jc w:val="center"/>
              <w:textAlignment w:val="center"/>
              <w:rPr>
                <w:color w:val="000000"/>
                <w:sz w:val="20"/>
                <w:szCs w:val="20"/>
                <w:lang w:val="en-US" w:bidi="ar"/>
              </w:rPr>
            </w:pPr>
            <w:r>
              <w:rPr>
                <w:rFonts w:hint="eastAsia"/>
                <w:color w:val="000000"/>
                <w:sz w:val="20"/>
                <w:szCs w:val="20"/>
                <w:lang w:val="en-US" w:bidi="ar"/>
              </w:rPr>
              <w:t>特种车及周边物流仓库-9.6M车型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8ADEB">
            <w:pPr>
              <w:widowControl/>
              <w:jc w:val="center"/>
              <w:textAlignment w:val="center"/>
              <w:rPr>
                <w:color w:val="0F1115"/>
                <w:sz w:val="20"/>
                <w:szCs w:val="20"/>
                <w:lang w:val="en-US" w:bidi="ar"/>
              </w:rPr>
            </w:pPr>
            <w:r>
              <w:rPr>
                <w:rFonts w:hint="eastAsia"/>
                <w:color w:val="0F1115"/>
                <w:sz w:val="20"/>
                <w:szCs w:val="20"/>
                <w:lang w:val="en-US" w:bidi="ar"/>
              </w:rPr>
              <w:t>594</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9491A">
            <w:pPr>
              <w:widowControl/>
              <w:jc w:val="center"/>
              <w:textAlignment w:val="center"/>
              <w:rPr>
                <w:color w:val="0F1115"/>
                <w:sz w:val="20"/>
                <w:szCs w:val="20"/>
              </w:rPr>
            </w:pPr>
            <w:r>
              <w:rPr>
                <w:rFonts w:hint="eastAsia"/>
                <w:color w:val="000000"/>
                <w:sz w:val="20"/>
                <w:szCs w:val="20"/>
                <w:lang w:val="en-US" w:bidi="ar"/>
              </w:rPr>
              <w:t>元/车</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ED180">
            <w:pPr>
              <w:widowControl/>
              <w:jc w:val="center"/>
              <w:textAlignment w:val="center"/>
              <w:rPr>
                <w:color w:val="0F1115"/>
                <w:sz w:val="20"/>
                <w:szCs w:val="20"/>
              </w:rPr>
            </w:pPr>
            <w:r>
              <w:rPr>
                <w:rFonts w:hint="eastAsia"/>
                <w:color w:val="000000"/>
                <w:sz w:val="20"/>
                <w:szCs w:val="20"/>
                <w:lang w:val="en-US" w:bidi="ar"/>
              </w:rPr>
              <w:t>611.96</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65295">
            <w:pPr>
              <w:widowControl/>
              <w:jc w:val="center"/>
              <w:textAlignment w:val="center"/>
              <w:rPr>
                <w:color w:val="0F1115"/>
                <w:sz w:val="20"/>
                <w:szCs w:val="20"/>
                <w:lang w:val="en-US"/>
              </w:rPr>
            </w:pPr>
            <w:r>
              <w:rPr>
                <w:rFonts w:hint="eastAsia"/>
                <w:color w:val="0F1115"/>
                <w:sz w:val="20"/>
                <w:szCs w:val="20"/>
                <w:lang w:val="en-US"/>
              </w:rPr>
              <w:t>36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FF080">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3E5D7914">
            <w:pPr>
              <w:widowControl/>
              <w:jc w:val="center"/>
              <w:textAlignment w:val="center"/>
              <w:rPr>
                <w:color w:val="0F1115"/>
                <w:sz w:val="20"/>
                <w:szCs w:val="20"/>
              </w:rPr>
            </w:pPr>
          </w:p>
        </w:tc>
      </w:tr>
      <w:tr w14:paraId="22001A5A">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93CBE">
            <w:pPr>
              <w:widowControl/>
              <w:jc w:val="center"/>
              <w:textAlignment w:val="center"/>
              <w:rPr>
                <w:color w:val="0F1115"/>
                <w:sz w:val="20"/>
                <w:szCs w:val="20"/>
                <w:lang w:val="en-US" w:bidi="ar"/>
              </w:rPr>
            </w:pPr>
            <w:r>
              <w:rPr>
                <w:rFonts w:hint="eastAsia"/>
                <w:color w:val="0F1115"/>
                <w:sz w:val="20"/>
                <w:szCs w:val="20"/>
                <w:lang w:val="en-US" w:bidi="ar"/>
              </w:rPr>
              <w:t>57</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A9EF0">
            <w:pPr>
              <w:jc w:val="center"/>
              <w:rPr>
                <w:color w:val="0F1115"/>
                <w:sz w:val="20"/>
                <w:szCs w:val="20"/>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D1F76">
            <w:pPr>
              <w:widowControl/>
              <w:jc w:val="center"/>
              <w:textAlignment w:val="center"/>
              <w:rPr>
                <w:color w:val="000000"/>
                <w:sz w:val="20"/>
                <w:szCs w:val="20"/>
                <w:lang w:val="en-US" w:bidi="ar"/>
              </w:rPr>
            </w:pPr>
            <w:r>
              <w:rPr>
                <w:rFonts w:hint="eastAsia"/>
                <w:color w:val="000000"/>
                <w:sz w:val="20"/>
                <w:szCs w:val="20"/>
                <w:lang w:val="en-US" w:bidi="ar"/>
              </w:rPr>
              <w:t>特种车及周边物流仓库-13.5M车型</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13E1D">
            <w:pPr>
              <w:widowControl/>
              <w:jc w:val="center"/>
              <w:textAlignment w:val="center"/>
              <w:rPr>
                <w:color w:val="0F1115"/>
                <w:sz w:val="20"/>
                <w:szCs w:val="20"/>
                <w:lang w:val="en-US" w:bidi="ar"/>
              </w:rPr>
            </w:pPr>
            <w:r>
              <w:rPr>
                <w:rFonts w:hint="eastAsia"/>
                <w:color w:val="0F1115"/>
                <w:sz w:val="20"/>
                <w:szCs w:val="20"/>
                <w:lang w:val="en-US" w:bidi="ar"/>
              </w:rPr>
              <w:t>72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7DBD4">
            <w:pPr>
              <w:widowControl/>
              <w:jc w:val="center"/>
              <w:textAlignment w:val="center"/>
              <w:rPr>
                <w:color w:val="0F1115"/>
                <w:sz w:val="20"/>
                <w:szCs w:val="20"/>
              </w:rPr>
            </w:pPr>
            <w:r>
              <w:rPr>
                <w:rFonts w:hint="eastAsia"/>
                <w:color w:val="000000"/>
                <w:sz w:val="20"/>
                <w:szCs w:val="20"/>
                <w:lang w:val="en-US" w:bidi="ar"/>
              </w:rPr>
              <w:t>元/车</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423C">
            <w:pPr>
              <w:widowControl/>
              <w:jc w:val="center"/>
              <w:textAlignment w:val="center"/>
              <w:rPr>
                <w:color w:val="0F1115"/>
                <w:sz w:val="20"/>
                <w:szCs w:val="20"/>
              </w:rPr>
            </w:pPr>
            <w:r>
              <w:rPr>
                <w:rFonts w:hint="eastAsia"/>
                <w:color w:val="000000"/>
                <w:sz w:val="20"/>
                <w:szCs w:val="20"/>
                <w:lang w:val="en-US" w:bidi="ar"/>
              </w:rPr>
              <w:t>758.09</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B6683">
            <w:pPr>
              <w:widowControl/>
              <w:jc w:val="center"/>
              <w:textAlignment w:val="center"/>
              <w:rPr>
                <w:color w:val="0F1115"/>
                <w:sz w:val="20"/>
                <w:szCs w:val="20"/>
                <w:lang w:val="en-US"/>
              </w:rPr>
            </w:pPr>
            <w:r>
              <w:rPr>
                <w:rFonts w:hint="eastAsia"/>
                <w:color w:val="0F1115"/>
                <w:sz w:val="20"/>
                <w:szCs w:val="20"/>
                <w:lang w:val="en-US"/>
              </w:rPr>
              <w:t>6</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387B1">
            <w:pPr>
              <w:jc w:val="center"/>
              <w:rPr>
                <w:color w:val="0F1115"/>
                <w:sz w:val="20"/>
                <w:szCs w:val="20"/>
              </w:rPr>
            </w:pPr>
          </w:p>
        </w:tc>
        <w:tc>
          <w:tcPr>
            <w:tcW w:w="684" w:type="pct"/>
            <w:vMerge w:val="continue"/>
            <w:tcBorders>
              <w:left w:val="single" w:color="000000" w:sz="4" w:space="0"/>
              <w:right w:val="single" w:color="000000" w:sz="4" w:space="0"/>
            </w:tcBorders>
            <w:shd w:val="clear" w:color="auto" w:fill="FFFFFF"/>
            <w:vAlign w:val="center"/>
          </w:tcPr>
          <w:p w14:paraId="42310365">
            <w:pPr>
              <w:widowControl/>
              <w:jc w:val="center"/>
              <w:textAlignment w:val="center"/>
              <w:rPr>
                <w:color w:val="0F1115"/>
                <w:sz w:val="20"/>
                <w:szCs w:val="20"/>
              </w:rPr>
            </w:pPr>
          </w:p>
        </w:tc>
      </w:tr>
      <w:tr w14:paraId="15F6CE84">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96738">
            <w:pPr>
              <w:widowControl/>
              <w:jc w:val="center"/>
              <w:textAlignment w:val="center"/>
              <w:rPr>
                <w:color w:val="0F1115"/>
                <w:sz w:val="20"/>
                <w:szCs w:val="20"/>
                <w:lang w:val="en-US"/>
              </w:rPr>
            </w:pP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D40A5">
            <w:pPr>
              <w:widowControl/>
              <w:jc w:val="center"/>
              <w:textAlignment w:val="center"/>
              <w:rPr>
                <w:b/>
                <w:bCs/>
                <w:color w:val="0F1115"/>
                <w:sz w:val="20"/>
                <w:szCs w:val="20"/>
                <w:lang w:val="en-US"/>
              </w:rPr>
            </w:pPr>
            <w:r>
              <w:rPr>
                <w:rFonts w:hint="eastAsia"/>
                <w:b/>
                <w:bCs/>
                <w:color w:val="0F1115"/>
                <w:sz w:val="20"/>
                <w:szCs w:val="20"/>
                <w:lang w:val="en-US" w:bidi="ar"/>
              </w:rPr>
              <w:t>项目</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734DF">
            <w:pPr>
              <w:widowControl/>
              <w:jc w:val="center"/>
              <w:textAlignment w:val="center"/>
              <w:rPr>
                <w:b/>
                <w:bCs/>
                <w:color w:val="0F1115"/>
                <w:sz w:val="20"/>
                <w:szCs w:val="20"/>
                <w:lang w:val="en-US"/>
              </w:rPr>
            </w:pPr>
            <w:r>
              <w:rPr>
                <w:rFonts w:hint="eastAsia"/>
                <w:b/>
                <w:bCs/>
                <w:color w:val="0F1115"/>
                <w:sz w:val="20"/>
                <w:szCs w:val="20"/>
                <w:lang w:val="en-US" w:bidi="ar"/>
              </w:rPr>
              <w:t>类别</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B2767">
            <w:pPr>
              <w:widowControl/>
              <w:jc w:val="center"/>
              <w:textAlignment w:val="center"/>
              <w:rPr>
                <w:b/>
                <w:bCs/>
                <w:color w:val="0F1115"/>
                <w:sz w:val="20"/>
                <w:szCs w:val="20"/>
                <w:lang w:val="en-US"/>
              </w:rPr>
            </w:pPr>
            <w:r>
              <w:rPr>
                <w:rFonts w:hint="eastAsia"/>
                <w:b/>
                <w:bCs/>
                <w:color w:val="0F1115"/>
                <w:sz w:val="20"/>
                <w:szCs w:val="20"/>
                <w:lang w:val="en-US" w:bidi="ar"/>
              </w:rPr>
              <w:t>计价单位</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9B941">
            <w:pPr>
              <w:widowControl/>
              <w:jc w:val="center"/>
              <w:textAlignment w:val="center"/>
              <w:rPr>
                <w:b/>
                <w:bCs/>
                <w:color w:val="0F1115"/>
                <w:sz w:val="20"/>
                <w:szCs w:val="20"/>
                <w:lang w:val="en-US"/>
              </w:rPr>
            </w:pPr>
            <w:r>
              <w:rPr>
                <w:rFonts w:hint="eastAsia"/>
                <w:b/>
                <w:bCs/>
                <w:color w:val="0F1115"/>
                <w:sz w:val="20"/>
                <w:szCs w:val="20"/>
                <w:lang w:val="en-US" w:bidi="ar"/>
              </w:rPr>
              <w:t>3年业务量（万元）</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F0CB5">
            <w:pPr>
              <w:widowControl/>
              <w:jc w:val="center"/>
              <w:textAlignment w:val="center"/>
              <w:rPr>
                <w:b/>
                <w:bCs/>
                <w:color w:val="0F1115"/>
                <w:sz w:val="20"/>
                <w:szCs w:val="20"/>
                <w:lang w:val="en-US"/>
              </w:rPr>
            </w:pPr>
            <w:r>
              <w:rPr>
                <w:rFonts w:hint="eastAsia"/>
                <w:b/>
                <w:bCs/>
                <w:color w:val="0F1115"/>
                <w:sz w:val="20"/>
                <w:szCs w:val="20"/>
                <w:lang w:val="en-US" w:bidi="ar"/>
              </w:rPr>
              <w:t>未税单价</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ED4D9">
            <w:pPr>
              <w:widowControl/>
              <w:jc w:val="center"/>
              <w:textAlignment w:val="center"/>
              <w:rPr>
                <w:b/>
                <w:bCs/>
                <w:color w:val="0F1115"/>
                <w:sz w:val="20"/>
                <w:szCs w:val="20"/>
                <w:lang w:val="en-US"/>
              </w:rPr>
            </w:pPr>
            <w:r>
              <w:rPr>
                <w:rFonts w:hint="eastAsia"/>
                <w:b/>
                <w:bCs/>
                <w:color w:val="0F1115"/>
                <w:sz w:val="20"/>
                <w:szCs w:val="20"/>
                <w:lang w:val="en-US" w:bidi="ar"/>
              </w:rPr>
              <w:t>未税金额（万元）</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4E462">
            <w:pPr>
              <w:widowControl/>
              <w:jc w:val="center"/>
              <w:textAlignment w:val="center"/>
              <w:rPr>
                <w:b/>
                <w:bCs/>
                <w:color w:val="0F1115"/>
                <w:sz w:val="20"/>
                <w:szCs w:val="20"/>
                <w:lang w:val="en-US"/>
              </w:rPr>
            </w:pPr>
            <w:r>
              <w:rPr>
                <w:rFonts w:hint="eastAsia"/>
                <w:b/>
                <w:bCs/>
                <w:color w:val="0F1115"/>
                <w:sz w:val="20"/>
                <w:szCs w:val="20"/>
                <w:lang w:val="en-US" w:bidi="ar"/>
              </w:rPr>
              <w:t>税率</w:t>
            </w: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F76D2">
            <w:pPr>
              <w:widowControl/>
              <w:jc w:val="center"/>
              <w:textAlignment w:val="center"/>
              <w:rPr>
                <w:b/>
                <w:bCs/>
                <w:color w:val="0F1115"/>
                <w:sz w:val="20"/>
                <w:szCs w:val="20"/>
              </w:rPr>
            </w:pPr>
            <w:r>
              <w:rPr>
                <w:rFonts w:hint="eastAsia"/>
                <w:b/>
                <w:bCs/>
                <w:color w:val="0F1115"/>
                <w:sz w:val="20"/>
                <w:szCs w:val="20"/>
                <w:lang w:val="en-US" w:bidi="ar"/>
              </w:rPr>
              <w:t>备注</w:t>
            </w:r>
          </w:p>
        </w:tc>
      </w:tr>
      <w:tr w14:paraId="7B89534F">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FA494">
            <w:pPr>
              <w:widowControl/>
              <w:jc w:val="center"/>
              <w:textAlignment w:val="center"/>
              <w:rPr>
                <w:color w:val="0F1115"/>
                <w:sz w:val="20"/>
                <w:szCs w:val="20"/>
                <w:lang w:val="en-US"/>
              </w:rPr>
            </w:pPr>
            <w:r>
              <w:rPr>
                <w:rFonts w:hint="eastAsia"/>
                <w:color w:val="0F1115"/>
                <w:sz w:val="20"/>
                <w:szCs w:val="20"/>
                <w:lang w:val="en-US"/>
              </w:rPr>
              <w:t>58</w:t>
            </w: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E4B0B">
            <w:pPr>
              <w:widowControl/>
              <w:jc w:val="center"/>
              <w:textAlignment w:val="center"/>
              <w:rPr>
                <w:color w:val="0F1115"/>
                <w:sz w:val="20"/>
                <w:szCs w:val="20"/>
                <w:lang w:val="en-US" w:bidi="ar"/>
              </w:rPr>
            </w:pP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249D2">
            <w:pPr>
              <w:widowControl/>
              <w:jc w:val="center"/>
              <w:textAlignment w:val="center"/>
              <w:rPr>
                <w:color w:val="0F1115"/>
                <w:sz w:val="20"/>
                <w:szCs w:val="20"/>
                <w:lang w:val="en-US" w:bidi="ar"/>
              </w:rPr>
            </w:pPr>
            <w:r>
              <w:rPr>
                <w:rFonts w:hint="eastAsia"/>
                <w:color w:val="0F1115"/>
                <w:sz w:val="20"/>
                <w:szCs w:val="20"/>
                <w:lang w:val="en-US" w:bidi="ar"/>
              </w:rPr>
              <w:t>取货清点交接费用</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74A9C">
            <w:pPr>
              <w:widowControl/>
              <w:jc w:val="center"/>
              <w:textAlignment w:val="center"/>
              <w:rPr>
                <w:color w:val="0F1115"/>
                <w:sz w:val="20"/>
                <w:szCs w:val="20"/>
                <w:lang w:val="en-US" w:bidi="ar"/>
              </w:rPr>
            </w:pPr>
            <w:r>
              <w:rPr>
                <w:rFonts w:hint="eastAsia"/>
                <w:color w:val="0F1115"/>
                <w:sz w:val="20"/>
                <w:szCs w:val="20"/>
                <w:lang w:val="en-US" w:bidi="ar"/>
              </w:rPr>
              <w:t>费率</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AD89B">
            <w:pPr>
              <w:widowControl/>
              <w:jc w:val="center"/>
              <w:textAlignment w:val="center"/>
              <w:rPr>
                <w:color w:val="0F1115"/>
                <w:sz w:val="20"/>
                <w:szCs w:val="20"/>
                <w:lang w:val="en-US" w:bidi="ar"/>
              </w:rPr>
            </w:pPr>
            <w:r>
              <w:rPr>
                <w:rFonts w:hint="eastAsia"/>
                <w:color w:val="0F1115"/>
                <w:sz w:val="20"/>
                <w:szCs w:val="20"/>
                <w:lang w:val="en-US" w:bidi="ar"/>
              </w:rPr>
              <w:t>720000</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B364A">
            <w:pPr>
              <w:widowControl/>
              <w:jc w:val="center"/>
              <w:textAlignment w:val="center"/>
              <w:rPr>
                <w:color w:val="0F1115"/>
                <w:sz w:val="20"/>
                <w:szCs w:val="20"/>
                <w:lang w:val="en-US" w:bidi="ar"/>
              </w:rPr>
            </w:pPr>
            <w:r>
              <w:rPr>
                <w:rFonts w:hint="eastAsia"/>
                <w:color w:val="0F1115"/>
                <w:sz w:val="20"/>
                <w:szCs w:val="20"/>
                <w:lang w:val="en-US" w:bidi="ar"/>
              </w:rPr>
              <w:t>0.65‰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7A925">
            <w:pPr>
              <w:jc w:val="center"/>
              <w:rPr>
                <w:color w:val="0F1115"/>
                <w:sz w:val="20"/>
                <w:szCs w:val="20"/>
                <w:lang w:val="en-US"/>
              </w:rPr>
            </w:pPr>
            <w:r>
              <w:rPr>
                <w:rFonts w:hint="eastAsia"/>
                <w:color w:val="0F1115"/>
                <w:sz w:val="20"/>
                <w:szCs w:val="20"/>
                <w:lang w:val="en-US"/>
              </w:rPr>
              <w:t>468</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A9352">
            <w:pPr>
              <w:jc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E12FB">
            <w:pPr>
              <w:jc w:val="center"/>
              <w:rPr>
                <w:color w:val="0F1115"/>
                <w:sz w:val="20"/>
                <w:szCs w:val="20"/>
              </w:rPr>
            </w:pPr>
          </w:p>
        </w:tc>
      </w:tr>
      <w:tr w14:paraId="23F3BCAA">
        <w:tblPrEx>
          <w:tblCellMar>
            <w:top w:w="0" w:type="dxa"/>
            <w:left w:w="108" w:type="dxa"/>
            <w:bottom w:w="0" w:type="dxa"/>
            <w:right w:w="108" w:type="dxa"/>
          </w:tblCellMar>
        </w:tblPrEx>
        <w:trPr>
          <w:trHeight w:val="338" w:hRule="atLeast"/>
        </w:trPr>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B1703">
            <w:pPr>
              <w:widowControl/>
              <w:jc w:val="center"/>
              <w:textAlignment w:val="center"/>
              <w:rPr>
                <w:color w:val="0F1115"/>
                <w:sz w:val="20"/>
                <w:szCs w:val="20"/>
                <w:lang w:val="en-US"/>
              </w:rPr>
            </w:pPr>
            <w:r>
              <w:rPr>
                <w:rFonts w:hint="eastAsia"/>
                <w:color w:val="0F1115"/>
                <w:sz w:val="20"/>
                <w:szCs w:val="20"/>
                <w:lang w:val="en-US"/>
              </w:rPr>
              <w:t>59</w:t>
            </w:r>
          </w:p>
        </w:tc>
        <w:tc>
          <w:tcPr>
            <w:tcW w:w="6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75219">
            <w:pPr>
              <w:widowControl/>
              <w:jc w:val="center"/>
              <w:textAlignment w:val="center"/>
              <w:rPr>
                <w:color w:val="0F1115"/>
                <w:sz w:val="20"/>
                <w:szCs w:val="20"/>
              </w:rPr>
            </w:pPr>
            <w:r>
              <w:rPr>
                <w:rFonts w:hint="eastAsia"/>
                <w:color w:val="0F1115"/>
                <w:sz w:val="20"/>
                <w:szCs w:val="20"/>
                <w:lang w:val="en-US" w:bidi="ar"/>
              </w:rPr>
              <w:t>报价调整</w:t>
            </w:r>
          </w:p>
        </w:tc>
        <w:tc>
          <w:tcPr>
            <w:tcW w:w="9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D4BEF">
            <w:pPr>
              <w:widowControl/>
              <w:jc w:val="center"/>
              <w:textAlignment w:val="center"/>
              <w:rPr>
                <w:color w:val="0F1115"/>
                <w:sz w:val="20"/>
                <w:szCs w:val="20"/>
              </w:rPr>
            </w:pPr>
            <w:r>
              <w:rPr>
                <w:rFonts w:hint="eastAsia"/>
                <w:color w:val="0F1115"/>
                <w:sz w:val="20"/>
                <w:szCs w:val="20"/>
                <w:lang w:val="en-US" w:bidi="ar"/>
              </w:rPr>
              <w:t>次年度报价降幅</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0C3C8">
            <w:pPr>
              <w:widowControl/>
              <w:jc w:val="center"/>
              <w:textAlignment w:val="center"/>
              <w:rPr>
                <w:color w:val="0F1115"/>
                <w:sz w:val="20"/>
                <w:szCs w:val="20"/>
              </w:rPr>
            </w:pPr>
            <w:r>
              <w:rPr>
                <w:rFonts w:hint="eastAsia"/>
                <w:color w:val="0F1115"/>
                <w:sz w:val="20"/>
                <w:szCs w:val="20"/>
                <w:lang w:val="en-US" w:bidi="ar"/>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D40F7">
            <w:pPr>
              <w:widowControl/>
              <w:jc w:val="center"/>
              <w:textAlignment w:val="center"/>
              <w:rPr>
                <w:color w:val="0F1115"/>
                <w:sz w:val="20"/>
                <w:szCs w:val="20"/>
              </w:rPr>
            </w:pPr>
            <w:r>
              <w:rPr>
                <w:rFonts w:hint="eastAsia"/>
                <w:color w:val="0F1115"/>
                <w:sz w:val="20"/>
                <w:szCs w:val="20"/>
                <w:lang w:val="en-US"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F2271">
            <w:pPr>
              <w:widowControl/>
              <w:jc w:val="center"/>
              <w:textAlignment w:val="center"/>
              <w:rPr>
                <w:color w:val="0F1115"/>
                <w:sz w:val="20"/>
                <w:szCs w:val="20"/>
              </w:rPr>
            </w:pPr>
            <w:r>
              <w:rPr>
                <w:rFonts w:hint="eastAsia"/>
                <w:color w:val="0F1115"/>
                <w:sz w:val="20"/>
                <w:szCs w:val="20"/>
                <w:lang w:val="en-US" w:bidi="ar"/>
              </w:rPr>
              <w:t>5%</w:t>
            </w:r>
          </w:p>
        </w:tc>
        <w:tc>
          <w:tcPr>
            <w:tcW w:w="5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2D833">
            <w:pPr>
              <w:jc w:val="center"/>
              <w:rPr>
                <w:color w:val="0F1115"/>
                <w:sz w:val="20"/>
                <w:szCs w:val="20"/>
              </w:rPr>
            </w:pP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A9DF1">
            <w:pPr>
              <w:jc w:val="center"/>
              <w:rPr>
                <w:color w:val="0F1115"/>
                <w:sz w:val="20"/>
                <w:szCs w:val="20"/>
              </w:rPr>
            </w:pPr>
          </w:p>
        </w:tc>
        <w:tc>
          <w:tcPr>
            <w:tcW w:w="6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48918">
            <w:pPr>
              <w:jc w:val="center"/>
              <w:rPr>
                <w:color w:val="0F1115"/>
                <w:sz w:val="20"/>
                <w:szCs w:val="20"/>
              </w:rPr>
            </w:pPr>
          </w:p>
        </w:tc>
      </w:tr>
      <w:bookmarkEnd w:id="23"/>
      <w:bookmarkEnd w:id="24"/>
    </w:tbl>
    <w:p w14:paraId="63E2BF5F">
      <w:pPr>
        <w:pStyle w:val="6"/>
        <w:tabs>
          <w:tab w:val="left" w:pos="4958"/>
        </w:tabs>
        <w:spacing w:before="240"/>
        <w:ind w:firstLine="480" w:firstLineChars="200"/>
        <w:jc w:val="both"/>
        <w:rPr>
          <w:rFonts w:ascii="仿宋" w:eastAsia="仿宋"/>
        </w:rPr>
      </w:pPr>
    </w:p>
    <w:p w14:paraId="11883542">
      <w:pPr>
        <w:pStyle w:val="6"/>
        <w:tabs>
          <w:tab w:val="left" w:pos="4958"/>
        </w:tabs>
        <w:spacing w:before="240"/>
        <w:ind w:firstLine="480" w:firstLineChars="200"/>
        <w:jc w:val="both"/>
        <w:rPr>
          <w:rFonts w:ascii="仿宋" w:eastAsia="仿宋"/>
        </w:rPr>
      </w:pPr>
      <w:r>
        <w:rPr>
          <w:rFonts w:hint="eastAsia" w:ascii="仿宋" w:eastAsia="仿宋"/>
        </w:rPr>
        <w:tab/>
      </w:r>
      <w:r>
        <w:rPr>
          <w:rFonts w:hint="eastAsia" w:ascii="仿宋" w:eastAsia="仿宋"/>
        </w:rPr>
        <w:t>法定代表人或授权代表签字：</w:t>
      </w:r>
    </w:p>
    <w:bookmarkEnd w:id="22"/>
    <w:p w14:paraId="2965B324">
      <w:pPr>
        <w:spacing w:before="240"/>
        <w:rPr>
          <w:rFonts w:ascii="黑体" w:eastAsia="黑体"/>
          <w:b/>
          <w:sz w:val="28"/>
        </w:rPr>
      </w:pPr>
    </w:p>
    <w:p w14:paraId="4B0A47C7">
      <w:pPr>
        <w:spacing w:before="240"/>
        <w:rPr>
          <w:rFonts w:ascii="黑体" w:eastAsia="黑体"/>
          <w:b/>
          <w:sz w:val="28"/>
        </w:rPr>
      </w:pPr>
    </w:p>
    <w:p w14:paraId="1EFCC347">
      <w:pPr>
        <w:spacing w:before="240"/>
        <w:rPr>
          <w:rFonts w:ascii="黑体" w:eastAsia="黑体"/>
          <w:b/>
          <w:sz w:val="28"/>
        </w:rPr>
      </w:pPr>
    </w:p>
    <w:p w14:paraId="49B68DD2">
      <w:pPr>
        <w:spacing w:before="240"/>
        <w:rPr>
          <w:rFonts w:ascii="黑体" w:eastAsia="黑体"/>
          <w:b/>
          <w:sz w:val="28"/>
        </w:rPr>
      </w:pPr>
    </w:p>
    <w:p w14:paraId="46CD9C14">
      <w:pPr>
        <w:spacing w:before="240"/>
        <w:rPr>
          <w:rFonts w:ascii="黑体" w:eastAsia="黑体"/>
          <w:b/>
          <w:sz w:val="28"/>
        </w:rPr>
      </w:pPr>
    </w:p>
    <w:p w14:paraId="2D2AFBBB">
      <w:pPr>
        <w:spacing w:before="240"/>
        <w:rPr>
          <w:rFonts w:ascii="黑体" w:eastAsia="黑体"/>
          <w:b/>
          <w:sz w:val="28"/>
        </w:rPr>
      </w:pPr>
    </w:p>
    <w:p w14:paraId="70B02C53">
      <w:pPr>
        <w:tabs>
          <w:tab w:val="left" w:pos="1463"/>
          <w:tab w:val="left" w:pos="1989"/>
          <w:tab w:val="left" w:pos="2515"/>
          <w:tab w:val="left" w:pos="3052"/>
        </w:tabs>
        <w:spacing w:before="240"/>
        <w:ind w:left="624" w:right="6365" w:firstLine="14"/>
        <w:rPr>
          <w:sz w:val="21"/>
          <w:szCs w:val="21"/>
        </w:rPr>
      </w:pPr>
      <w:r>
        <w:rPr>
          <w:sz w:val="21"/>
          <w:szCs w:val="21"/>
        </w:rPr>
        <w:t>项目名称：</w:t>
      </w:r>
      <w:r>
        <w:rPr>
          <w:sz w:val="21"/>
          <w:szCs w:val="21"/>
          <w:u w:val="single"/>
        </w:rPr>
        <w:tab/>
      </w:r>
      <w:r>
        <w:rPr>
          <w:sz w:val="21"/>
          <w:szCs w:val="21"/>
          <w:u w:val="single"/>
        </w:rPr>
        <w:tab/>
      </w:r>
      <w:r>
        <w:rPr>
          <w:sz w:val="21"/>
          <w:szCs w:val="21"/>
          <w:u w:val="single"/>
        </w:rPr>
        <w:tab/>
      </w:r>
      <w:r>
        <w:rPr>
          <w:sz w:val="21"/>
          <w:szCs w:val="21"/>
        </w:rPr>
        <w:t>(XX项目</w:t>
      </w:r>
      <w:r>
        <w:rPr>
          <w:spacing w:val="-15"/>
          <w:sz w:val="21"/>
          <w:szCs w:val="21"/>
        </w:rPr>
        <w:t>)</w:t>
      </w:r>
    </w:p>
    <w:p w14:paraId="2FD51A0C">
      <w:pPr>
        <w:tabs>
          <w:tab w:val="left" w:pos="1478"/>
          <w:tab w:val="left" w:pos="2003"/>
          <w:tab w:val="left" w:pos="2527"/>
        </w:tabs>
        <w:spacing w:before="240"/>
        <w:ind w:left="638"/>
        <w:rPr>
          <w:sz w:val="21"/>
          <w:szCs w:val="21"/>
        </w:rPr>
      </w:pPr>
      <w:r>
        <w:rPr>
          <w:sz w:val="21"/>
          <w:szCs w:val="21"/>
        </w:rPr>
        <w:t>日期：</w:t>
      </w:r>
      <w:r>
        <w:rPr>
          <w:sz w:val="21"/>
          <w:szCs w:val="21"/>
        </w:rPr>
        <w:tab/>
      </w:r>
      <w:r>
        <w:rPr>
          <w:sz w:val="21"/>
          <w:szCs w:val="21"/>
        </w:rPr>
        <w:t>年</w:t>
      </w:r>
      <w:r>
        <w:rPr>
          <w:sz w:val="21"/>
          <w:szCs w:val="21"/>
        </w:rPr>
        <w:tab/>
      </w:r>
      <w:r>
        <w:rPr>
          <w:sz w:val="21"/>
          <w:szCs w:val="21"/>
        </w:rPr>
        <w:t>月</w:t>
      </w:r>
      <w:r>
        <w:rPr>
          <w:sz w:val="21"/>
          <w:szCs w:val="21"/>
        </w:rPr>
        <w:tab/>
      </w:r>
      <w:r>
        <w:rPr>
          <w:sz w:val="21"/>
          <w:szCs w:val="21"/>
        </w:rPr>
        <w:t>日</w:t>
      </w:r>
    </w:p>
    <w:p w14:paraId="1A51114B">
      <w:pPr>
        <w:spacing w:before="240"/>
        <w:rPr>
          <w:rFonts w:ascii="仿宋"/>
          <w:sz w:val="24"/>
          <w:szCs w:val="21"/>
        </w:rPr>
      </w:pPr>
    </w:p>
    <w:p w14:paraId="0FE9DC2D">
      <w:pPr>
        <w:spacing w:before="240"/>
        <w:rPr>
          <w:sz w:val="20"/>
          <w:szCs w:val="21"/>
        </w:rPr>
      </w:pPr>
    </w:p>
    <w:p w14:paraId="27F654A9">
      <w:pPr>
        <w:spacing w:before="240"/>
        <w:rPr>
          <w:sz w:val="27"/>
          <w:szCs w:val="21"/>
        </w:rPr>
      </w:pPr>
      <w:r>
        <w:rPr>
          <w:sz w:val="21"/>
          <w:szCs w:val="21"/>
          <w:lang w:val="en-US" w:bidi="ar-SA"/>
        </w:rPr>
        <mc:AlternateContent>
          <mc:Choice Requires="wpg">
            <w:drawing>
              <wp:anchor distT="0" distB="0" distL="0" distR="0" simplePos="0" relativeHeight="251665408"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1"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3" name="任意多边形 6"/>
                        <wps:cNvSpPr/>
                        <wps:spPr>
                          <a:xfrm>
                            <a:off x="1304" y="392"/>
                            <a:ext cx="9298" cy="4200"/>
                          </a:xfrm>
                          <a:custGeom>
                            <a:avLst/>
                            <a:gdLst/>
                            <a:ahLst/>
                            <a:cxnLst/>
                            <a:rect l="0" t="0" r="0" b="0"/>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upright="1"/>
                      </wps:wsp>
                      <wps:wsp>
                        <wps:cNvPr id="4" name="文本框 7"/>
                        <wps:cNvSpPr txBox="1"/>
                        <wps:spPr>
                          <a:xfrm>
                            <a:off x="1304" y="392"/>
                            <a:ext cx="9298" cy="4200"/>
                          </a:xfrm>
                          <a:prstGeom prst="rect">
                            <a:avLst/>
                          </a:prstGeom>
                          <a:noFill/>
                          <a:ln>
                            <a:noFill/>
                          </a:ln>
                        </wps:spPr>
                        <wps:txbx>
                          <w:txbxContent>
                            <w:p w14:paraId="2F2F0B07">
                              <w:pPr>
                                <w:spacing w:before="16"/>
                                <w:ind w:left="114"/>
                                <w:rPr>
                                  <w:rFonts w:ascii="仿宋" w:eastAsia="仿宋"/>
                                  <w:sz w:val="24"/>
                                </w:rPr>
                              </w:pPr>
                              <w:r>
                                <w:rPr>
                                  <w:rFonts w:hint="eastAsia" w:ascii="仿宋" w:eastAsia="仿宋"/>
                                  <w:sz w:val="24"/>
                                </w:rPr>
                                <w:t>投标人承诺：</w:t>
                              </w:r>
                            </w:p>
                            <w:p w14:paraId="6AA30E50">
                              <w:pPr>
                                <w:spacing w:before="84" w:line="369" w:lineRule="auto"/>
                                <w:ind w:left="114" w:right="301" w:firstLine="480"/>
                                <w:rPr>
                                  <w:rFonts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1072;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">
                <o:lock v:ext="edit" aspectratio="f"/>
                <v:shape id="任意多边形 6" o:spid="_x0000_s1026" o:spt="100" style="position:absolute;left:1304;top:392;height:4200;width:9298;" fillcolor="#000000" filled="t" stroked="f" coordsize="9298,4200" o:gfxdata="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ga2i8AAAA&#10;2gAAAA8AAAAAAAAAAQAgAAAAIgAAAGRycy9kb3ducmV2LnhtbFBLAQIUABQAAAAIAIdO4kAzLwWe&#10;OwAAADkAAAAQAAAAAAAAAAEAIAAAAAsBAABkcnMvc2hhcGV4bWwueG1sUEsFBgAAAAAGAAYAWwEA&#10;ALUDA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F2F0B07">
                        <w:pPr>
                          <w:spacing w:before="16"/>
                          <w:ind w:left="114"/>
                          <w:rPr>
                            <w:rFonts w:ascii="仿宋" w:eastAsia="仿宋"/>
                            <w:sz w:val="24"/>
                          </w:rPr>
                        </w:pPr>
                        <w:r>
                          <w:rPr>
                            <w:rFonts w:hint="eastAsia" w:ascii="仿宋" w:eastAsia="仿宋"/>
                            <w:sz w:val="24"/>
                          </w:rPr>
                          <w:t>投标人承诺：</w:t>
                        </w:r>
                      </w:p>
                      <w:p w14:paraId="6AA30E50">
                        <w:pPr>
                          <w:spacing w:before="84" w:line="369" w:lineRule="auto"/>
                          <w:ind w:left="114" w:right="301" w:firstLine="480"/>
                          <w:rPr>
                            <w:rFonts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466A41B3">
      <w:pPr>
        <w:spacing w:before="240"/>
        <w:rPr>
          <w:sz w:val="20"/>
          <w:szCs w:val="21"/>
        </w:rPr>
      </w:pPr>
    </w:p>
    <w:p w14:paraId="0C2EFA19">
      <w:pPr>
        <w:spacing w:before="240"/>
        <w:rPr>
          <w:sz w:val="20"/>
          <w:szCs w:val="21"/>
        </w:rPr>
      </w:pPr>
    </w:p>
    <w:p w14:paraId="244FABB8">
      <w:pPr>
        <w:spacing w:before="240"/>
        <w:rPr>
          <w:sz w:val="20"/>
          <w:szCs w:val="21"/>
        </w:rPr>
      </w:pPr>
    </w:p>
    <w:p w14:paraId="03DB360A">
      <w:pPr>
        <w:spacing w:before="240"/>
        <w:rPr>
          <w:sz w:val="20"/>
          <w:szCs w:val="21"/>
        </w:rPr>
      </w:pPr>
    </w:p>
    <w:p w14:paraId="66652306">
      <w:pPr>
        <w:spacing w:before="240"/>
        <w:rPr>
          <w:sz w:val="20"/>
          <w:szCs w:val="21"/>
        </w:rPr>
      </w:pPr>
    </w:p>
    <w:p w14:paraId="653AF1E4">
      <w:pPr>
        <w:spacing w:before="240"/>
        <w:rPr>
          <w:sz w:val="20"/>
          <w:szCs w:val="21"/>
        </w:rPr>
      </w:pPr>
    </w:p>
    <w:p w14:paraId="44B7E266">
      <w:pPr>
        <w:spacing w:before="240"/>
        <w:rPr>
          <w:sz w:val="20"/>
          <w:szCs w:val="21"/>
        </w:rPr>
      </w:pPr>
    </w:p>
    <w:p w14:paraId="7960C86A">
      <w:pPr>
        <w:tabs>
          <w:tab w:val="left" w:pos="4598"/>
        </w:tabs>
        <w:spacing w:before="240"/>
        <w:ind w:left="638"/>
        <w:outlineLvl w:val="4"/>
        <w:rPr>
          <w:rFonts w:ascii="仿宋" w:eastAsia="仿宋"/>
          <w:sz w:val="24"/>
          <w:szCs w:val="24"/>
        </w:rPr>
      </w:pPr>
      <w:r>
        <w:rPr>
          <w:rFonts w:hint="eastAsia" w:ascii="仿宋" w:eastAsia="仿宋"/>
          <w:sz w:val="24"/>
          <w:szCs w:val="24"/>
        </w:rPr>
        <w:t>投标人名称（盖章</w:t>
      </w:r>
      <w:r>
        <w:rPr>
          <w:rFonts w:hint="eastAsia" w:ascii="仿宋" w:eastAsia="仿宋"/>
          <w:spacing w:val="-120"/>
          <w:sz w:val="24"/>
          <w:szCs w:val="24"/>
        </w:rPr>
        <w:t>）</w:t>
      </w:r>
      <w:r>
        <w:rPr>
          <w:rFonts w:hint="eastAsia" w:ascii="仿宋" w:eastAsia="仿宋"/>
          <w:sz w:val="24"/>
          <w:szCs w:val="24"/>
        </w:rPr>
        <w:t>：</w:t>
      </w:r>
      <w:r>
        <w:rPr>
          <w:rFonts w:hint="eastAsia" w:ascii="仿宋" w:eastAsia="仿宋"/>
          <w:sz w:val="24"/>
          <w:szCs w:val="24"/>
        </w:rPr>
        <w:tab/>
      </w:r>
      <w:r>
        <w:rPr>
          <w:rFonts w:hint="eastAsia" w:ascii="仿宋" w:eastAsia="仿宋"/>
          <w:sz w:val="24"/>
          <w:szCs w:val="24"/>
        </w:rPr>
        <w:t>法定代表人或授权代表签字：</w:t>
      </w:r>
    </w:p>
    <w:p w14:paraId="729F731E">
      <w:pPr>
        <w:spacing w:before="240"/>
        <w:rPr>
          <w:rFonts w:ascii="仿宋"/>
          <w:sz w:val="24"/>
          <w:szCs w:val="21"/>
        </w:rPr>
      </w:pPr>
    </w:p>
    <w:p w14:paraId="74769B96">
      <w:pPr>
        <w:spacing w:before="240"/>
        <w:rPr>
          <w:rFonts w:ascii="仿宋"/>
          <w:sz w:val="25"/>
          <w:szCs w:val="21"/>
        </w:rPr>
      </w:pPr>
    </w:p>
    <w:p w14:paraId="18C087D5">
      <w:pPr>
        <w:spacing w:before="240"/>
        <w:ind w:left="638" w:right="801"/>
        <w:rPr>
          <w:sz w:val="24"/>
        </w:rPr>
      </w:pPr>
      <w:r>
        <w:rPr>
          <w:b/>
          <w:spacing w:val="-4"/>
          <w:sz w:val="24"/>
        </w:rPr>
        <w:t>注：</w:t>
      </w:r>
      <w:r>
        <w:rPr>
          <w:spacing w:val="-8"/>
          <w:sz w:val="24"/>
        </w:rPr>
        <w:t>为避免歧义，无偏离也应要提报该表，并注明“无”字。如无该表则即使在其它部</w:t>
      </w:r>
      <w:r>
        <w:rPr>
          <w:spacing w:val="-10"/>
          <w:sz w:val="24"/>
        </w:rPr>
        <w:t>分已反映，将也被视为“无偏离”。</w:t>
      </w:r>
    </w:p>
    <w:p w14:paraId="4EC47442">
      <w:pPr>
        <w:spacing w:before="240"/>
        <w:ind w:firstLine="562" w:firstLineChars="200"/>
        <w:rPr>
          <w:rFonts w:ascii="黑体" w:eastAsia="黑体"/>
          <w:b/>
          <w:sz w:val="28"/>
        </w:rPr>
      </w:pPr>
    </w:p>
    <w:p w14:paraId="10075D1D">
      <w:pPr>
        <w:spacing w:before="240"/>
        <w:ind w:firstLine="562" w:firstLineChars="200"/>
        <w:rPr>
          <w:rFonts w:ascii="Calibri" w:eastAsia="黑体"/>
          <w:b/>
          <w:sz w:val="28"/>
          <w:lang w:val="en-US"/>
        </w:rPr>
      </w:pPr>
      <w:r>
        <w:rPr>
          <w:rFonts w:hint="eastAsia" w:ascii="黑体" w:eastAsia="黑体"/>
          <w:b/>
          <w:sz w:val="28"/>
        </w:rPr>
        <w:t>格式</w:t>
      </w:r>
      <w:r>
        <w:rPr>
          <w:rFonts w:hint="eastAsia" w:ascii="Calibri"/>
          <w:b/>
          <w:sz w:val="28"/>
          <w:lang w:val="en-US"/>
        </w:rPr>
        <w:t>5</w:t>
      </w:r>
    </w:p>
    <w:p w14:paraId="4BFCCC06">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p>
    <w:p w14:paraId="00E14519">
      <w:pPr>
        <w:pStyle w:val="10"/>
        <w:tabs>
          <w:tab w:val="left" w:pos="1478"/>
          <w:tab w:val="left" w:pos="2003"/>
          <w:tab w:val="left" w:pos="2527"/>
        </w:tabs>
        <w:spacing w:before="240"/>
        <w:ind w:left="638"/>
      </w:pPr>
      <w:r>
        <w:t>日期：</w:t>
      </w:r>
      <w:r>
        <w:tab/>
      </w:r>
      <w:r>
        <w:t>年</w:t>
      </w:r>
      <w:r>
        <w:tab/>
      </w:r>
      <w:r>
        <w:t>月</w:t>
      </w:r>
      <w:r>
        <w:tab/>
      </w:r>
      <w:r>
        <w:t>日</w:t>
      </w:r>
    </w:p>
    <w:p w14:paraId="1E9ED05C">
      <w:pPr>
        <w:spacing w:before="240"/>
        <w:ind w:left="46"/>
        <w:jc w:val="center"/>
        <w:rPr>
          <w:rFonts w:ascii="黑体" w:eastAsia="黑体"/>
          <w:b/>
          <w:sz w:val="28"/>
        </w:rPr>
      </w:pPr>
      <w:r>
        <w:rPr>
          <w:rFonts w:hint="eastAsia" w:ascii="黑体" w:eastAsia="黑体"/>
          <w:b/>
          <w:sz w:val="28"/>
        </w:rPr>
        <w:t>相关条款偏离表（含商务偏离及技术偏离）</w:t>
      </w:r>
    </w:p>
    <w:p w14:paraId="335899E4">
      <w:pPr>
        <w:pStyle w:val="10"/>
        <w:spacing w:before="240"/>
        <w:rPr>
          <w:rFonts w:ascii="黑体"/>
          <w:b/>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1533C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563F2AF4">
            <w:pPr>
              <w:pStyle w:val="34"/>
              <w:spacing w:before="240"/>
              <w:rPr>
                <w:rFonts w:ascii="黑体"/>
                <w:b/>
                <w:sz w:val="24"/>
              </w:rPr>
            </w:pPr>
          </w:p>
          <w:p w14:paraId="657A5A29">
            <w:pPr>
              <w:pStyle w:val="34"/>
              <w:spacing w:before="240"/>
              <w:rPr>
                <w:rFonts w:ascii="黑体"/>
                <w:b/>
                <w:sz w:val="18"/>
              </w:rPr>
            </w:pPr>
          </w:p>
          <w:p w14:paraId="55B1568A">
            <w:pPr>
              <w:pStyle w:val="34"/>
              <w:spacing w:before="240"/>
              <w:ind w:left="177"/>
              <w:rPr>
                <w:sz w:val="24"/>
              </w:rPr>
            </w:pPr>
            <w:r>
              <w:rPr>
                <w:sz w:val="24"/>
              </w:rPr>
              <w:t>序号</w:t>
            </w:r>
          </w:p>
        </w:tc>
        <w:tc>
          <w:tcPr>
            <w:tcW w:w="4140" w:type="dxa"/>
            <w:gridSpan w:val="2"/>
          </w:tcPr>
          <w:p w14:paraId="44398A88">
            <w:pPr>
              <w:pStyle w:val="34"/>
              <w:spacing w:before="240"/>
              <w:ind w:left="1353"/>
              <w:rPr>
                <w:sz w:val="24"/>
              </w:rPr>
            </w:pPr>
            <w:r>
              <w:rPr>
                <w:sz w:val="24"/>
              </w:rPr>
              <w:t>招标文件条款</w:t>
            </w:r>
          </w:p>
        </w:tc>
        <w:tc>
          <w:tcPr>
            <w:tcW w:w="3554" w:type="dxa"/>
            <w:vMerge w:val="restart"/>
          </w:tcPr>
          <w:p w14:paraId="61D3A0DD">
            <w:pPr>
              <w:pStyle w:val="34"/>
              <w:spacing w:before="240"/>
              <w:rPr>
                <w:rFonts w:ascii="黑体"/>
                <w:b/>
                <w:sz w:val="24"/>
              </w:rPr>
            </w:pPr>
          </w:p>
          <w:p w14:paraId="1DF3C74C">
            <w:pPr>
              <w:pStyle w:val="34"/>
              <w:spacing w:before="240"/>
              <w:rPr>
                <w:rFonts w:ascii="黑体"/>
                <w:b/>
                <w:sz w:val="18"/>
              </w:rPr>
            </w:pPr>
          </w:p>
          <w:p w14:paraId="2ACEAE20">
            <w:pPr>
              <w:pStyle w:val="34"/>
              <w:spacing w:before="240"/>
              <w:ind w:left="1280" w:right="1264"/>
              <w:jc w:val="center"/>
              <w:rPr>
                <w:sz w:val="24"/>
              </w:rPr>
            </w:pPr>
            <w:r>
              <w:rPr>
                <w:sz w:val="24"/>
              </w:rPr>
              <w:t>偏离内容</w:t>
            </w:r>
          </w:p>
        </w:tc>
      </w:tr>
      <w:tr w14:paraId="57A8E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24C7B658">
            <w:pPr>
              <w:spacing w:before="240"/>
              <w:rPr>
                <w:sz w:val="2"/>
                <w:szCs w:val="2"/>
              </w:rPr>
            </w:pPr>
          </w:p>
        </w:tc>
        <w:tc>
          <w:tcPr>
            <w:tcW w:w="1080" w:type="dxa"/>
          </w:tcPr>
          <w:p w14:paraId="2513EDF4">
            <w:pPr>
              <w:pStyle w:val="34"/>
              <w:spacing w:before="240"/>
              <w:ind w:left="184"/>
              <w:rPr>
                <w:sz w:val="24"/>
              </w:rPr>
            </w:pPr>
            <w:r>
              <w:rPr>
                <w:sz w:val="24"/>
              </w:rPr>
              <w:t>条款号</w:t>
            </w:r>
          </w:p>
        </w:tc>
        <w:tc>
          <w:tcPr>
            <w:tcW w:w="3060" w:type="dxa"/>
          </w:tcPr>
          <w:p w14:paraId="329F9A64">
            <w:pPr>
              <w:pStyle w:val="34"/>
              <w:spacing w:before="240"/>
              <w:ind w:left="1033" w:right="1017"/>
              <w:jc w:val="center"/>
              <w:rPr>
                <w:sz w:val="24"/>
              </w:rPr>
            </w:pPr>
            <w:r>
              <w:rPr>
                <w:sz w:val="24"/>
              </w:rPr>
              <w:t>条款要求</w:t>
            </w:r>
          </w:p>
        </w:tc>
        <w:tc>
          <w:tcPr>
            <w:tcW w:w="3554" w:type="dxa"/>
            <w:vMerge w:val="continue"/>
            <w:tcBorders>
              <w:top w:val="nil"/>
            </w:tcBorders>
          </w:tcPr>
          <w:p w14:paraId="045F356F">
            <w:pPr>
              <w:spacing w:before="240"/>
              <w:rPr>
                <w:sz w:val="2"/>
                <w:szCs w:val="2"/>
              </w:rPr>
            </w:pPr>
          </w:p>
        </w:tc>
      </w:tr>
      <w:tr w14:paraId="11E45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501E354">
            <w:pPr>
              <w:pStyle w:val="34"/>
              <w:spacing w:before="240"/>
              <w:ind w:right="336"/>
              <w:jc w:val="right"/>
              <w:rPr>
                <w:sz w:val="24"/>
              </w:rPr>
            </w:pPr>
            <w:r>
              <w:rPr>
                <w:sz w:val="24"/>
              </w:rPr>
              <w:t>1</w:t>
            </w:r>
          </w:p>
        </w:tc>
        <w:tc>
          <w:tcPr>
            <w:tcW w:w="1080" w:type="dxa"/>
          </w:tcPr>
          <w:p w14:paraId="7BEC89DB">
            <w:pPr>
              <w:pStyle w:val="34"/>
              <w:spacing w:before="240"/>
              <w:rPr>
                <w:rFonts w:ascii="Times New Roman"/>
                <w:sz w:val="24"/>
              </w:rPr>
            </w:pPr>
          </w:p>
        </w:tc>
        <w:tc>
          <w:tcPr>
            <w:tcW w:w="3060" w:type="dxa"/>
          </w:tcPr>
          <w:p w14:paraId="3C182446">
            <w:pPr>
              <w:pStyle w:val="34"/>
              <w:spacing w:before="240"/>
              <w:rPr>
                <w:rFonts w:ascii="Times New Roman"/>
                <w:sz w:val="24"/>
              </w:rPr>
            </w:pPr>
          </w:p>
        </w:tc>
        <w:tc>
          <w:tcPr>
            <w:tcW w:w="3554" w:type="dxa"/>
          </w:tcPr>
          <w:p w14:paraId="5AECCC2E">
            <w:pPr>
              <w:pStyle w:val="34"/>
              <w:spacing w:before="240"/>
              <w:rPr>
                <w:rFonts w:ascii="Times New Roman"/>
                <w:sz w:val="24"/>
              </w:rPr>
            </w:pPr>
          </w:p>
        </w:tc>
      </w:tr>
      <w:tr w14:paraId="334D9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2E86AFA">
            <w:pPr>
              <w:pStyle w:val="34"/>
              <w:spacing w:before="240"/>
              <w:ind w:right="336"/>
              <w:jc w:val="right"/>
              <w:rPr>
                <w:sz w:val="24"/>
              </w:rPr>
            </w:pPr>
            <w:r>
              <w:rPr>
                <w:sz w:val="24"/>
              </w:rPr>
              <w:t>2</w:t>
            </w:r>
          </w:p>
        </w:tc>
        <w:tc>
          <w:tcPr>
            <w:tcW w:w="1080" w:type="dxa"/>
          </w:tcPr>
          <w:p w14:paraId="22088E69">
            <w:pPr>
              <w:pStyle w:val="34"/>
              <w:spacing w:before="240"/>
              <w:rPr>
                <w:rFonts w:ascii="Times New Roman"/>
                <w:sz w:val="24"/>
              </w:rPr>
            </w:pPr>
          </w:p>
        </w:tc>
        <w:tc>
          <w:tcPr>
            <w:tcW w:w="3060" w:type="dxa"/>
          </w:tcPr>
          <w:p w14:paraId="09FB9A7B">
            <w:pPr>
              <w:pStyle w:val="34"/>
              <w:spacing w:before="240"/>
              <w:rPr>
                <w:rFonts w:ascii="Times New Roman"/>
                <w:sz w:val="24"/>
              </w:rPr>
            </w:pPr>
          </w:p>
        </w:tc>
        <w:tc>
          <w:tcPr>
            <w:tcW w:w="3554" w:type="dxa"/>
          </w:tcPr>
          <w:p w14:paraId="5E1E3B39">
            <w:pPr>
              <w:pStyle w:val="34"/>
              <w:spacing w:before="240"/>
              <w:rPr>
                <w:rFonts w:ascii="Times New Roman"/>
                <w:sz w:val="24"/>
              </w:rPr>
            </w:pPr>
          </w:p>
        </w:tc>
      </w:tr>
      <w:tr w14:paraId="69B4A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57CA272">
            <w:pPr>
              <w:pStyle w:val="34"/>
              <w:spacing w:before="240"/>
              <w:ind w:right="336"/>
              <w:jc w:val="right"/>
              <w:rPr>
                <w:sz w:val="24"/>
              </w:rPr>
            </w:pPr>
            <w:r>
              <w:rPr>
                <w:sz w:val="24"/>
              </w:rPr>
              <w:t>3</w:t>
            </w:r>
          </w:p>
        </w:tc>
        <w:tc>
          <w:tcPr>
            <w:tcW w:w="1080" w:type="dxa"/>
          </w:tcPr>
          <w:p w14:paraId="326A2BCF">
            <w:pPr>
              <w:pStyle w:val="34"/>
              <w:spacing w:before="240"/>
              <w:rPr>
                <w:rFonts w:ascii="Times New Roman"/>
                <w:sz w:val="24"/>
              </w:rPr>
            </w:pPr>
          </w:p>
        </w:tc>
        <w:tc>
          <w:tcPr>
            <w:tcW w:w="3060" w:type="dxa"/>
          </w:tcPr>
          <w:p w14:paraId="0784377B">
            <w:pPr>
              <w:pStyle w:val="34"/>
              <w:spacing w:before="240"/>
              <w:rPr>
                <w:rFonts w:ascii="Times New Roman"/>
                <w:sz w:val="24"/>
              </w:rPr>
            </w:pPr>
          </w:p>
        </w:tc>
        <w:tc>
          <w:tcPr>
            <w:tcW w:w="3554" w:type="dxa"/>
          </w:tcPr>
          <w:p w14:paraId="16A4B75F">
            <w:pPr>
              <w:pStyle w:val="34"/>
              <w:spacing w:before="240"/>
              <w:rPr>
                <w:rFonts w:ascii="Times New Roman"/>
                <w:sz w:val="24"/>
              </w:rPr>
            </w:pPr>
          </w:p>
        </w:tc>
      </w:tr>
      <w:tr w14:paraId="40BD2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34557A4">
            <w:pPr>
              <w:pStyle w:val="34"/>
              <w:spacing w:before="240"/>
              <w:ind w:right="336"/>
              <w:jc w:val="right"/>
              <w:rPr>
                <w:sz w:val="24"/>
              </w:rPr>
            </w:pPr>
            <w:r>
              <w:rPr>
                <w:sz w:val="24"/>
              </w:rPr>
              <w:t>4</w:t>
            </w:r>
          </w:p>
        </w:tc>
        <w:tc>
          <w:tcPr>
            <w:tcW w:w="1080" w:type="dxa"/>
          </w:tcPr>
          <w:p w14:paraId="1BB16D65">
            <w:pPr>
              <w:pStyle w:val="34"/>
              <w:spacing w:before="240"/>
              <w:rPr>
                <w:rFonts w:ascii="Times New Roman"/>
                <w:sz w:val="24"/>
              </w:rPr>
            </w:pPr>
          </w:p>
        </w:tc>
        <w:tc>
          <w:tcPr>
            <w:tcW w:w="3060" w:type="dxa"/>
          </w:tcPr>
          <w:p w14:paraId="3B343F4A">
            <w:pPr>
              <w:pStyle w:val="34"/>
              <w:spacing w:before="240"/>
              <w:rPr>
                <w:rFonts w:ascii="Times New Roman"/>
                <w:sz w:val="24"/>
              </w:rPr>
            </w:pPr>
          </w:p>
        </w:tc>
        <w:tc>
          <w:tcPr>
            <w:tcW w:w="3554" w:type="dxa"/>
          </w:tcPr>
          <w:p w14:paraId="049C6D4C">
            <w:pPr>
              <w:pStyle w:val="34"/>
              <w:spacing w:before="240"/>
              <w:rPr>
                <w:rFonts w:ascii="Times New Roman"/>
                <w:sz w:val="24"/>
              </w:rPr>
            </w:pPr>
          </w:p>
        </w:tc>
      </w:tr>
      <w:tr w14:paraId="7F3BE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A6FE4D4">
            <w:pPr>
              <w:pStyle w:val="34"/>
              <w:spacing w:before="240"/>
              <w:ind w:right="336"/>
              <w:jc w:val="right"/>
              <w:rPr>
                <w:sz w:val="24"/>
              </w:rPr>
            </w:pPr>
            <w:r>
              <w:rPr>
                <w:sz w:val="24"/>
              </w:rPr>
              <w:t>5</w:t>
            </w:r>
          </w:p>
        </w:tc>
        <w:tc>
          <w:tcPr>
            <w:tcW w:w="1080" w:type="dxa"/>
          </w:tcPr>
          <w:p w14:paraId="2196F1B5">
            <w:pPr>
              <w:pStyle w:val="34"/>
              <w:spacing w:before="240"/>
              <w:rPr>
                <w:rFonts w:ascii="Times New Roman"/>
                <w:sz w:val="24"/>
              </w:rPr>
            </w:pPr>
          </w:p>
        </w:tc>
        <w:tc>
          <w:tcPr>
            <w:tcW w:w="3060" w:type="dxa"/>
          </w:tcPr>
          <w:p w14:paraId="2BC75018">
            <w:pPr>
              <w:pStyle w:val="34"/>
              <w:spacing w:before="240"/>
              <w:rPr>
                <w:rFonts w:ascii="Times New Roman"/>
                <w:sz w:val="24"/>
              </w:rPr>
            </w:pPr>
          </w:p>
        </w:tc>
        <w:tc>
          <w:tcPr>
            <w:tcW w:w="3554" w:type="dxa"/>
          </w:tcPr>
          <w:p w14:paraId="487402C1">
            <w:pPr>
              <w:pStyle w:val="34"/>
              <w:spacing w:before="240"/>
              <w:rPr>
                <w:rFonts w:ascii="Times New Roman"/>
                <w:sz w:val="24"/>
              </w:rPr>
            </w:pPr>
          </w:p>
        </w:tc>
      </w:tr>
      <w:tr w14:paraId="71A10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1A166E53">
            <w:pPr>
              <w:pStyle w:val="34"/>
              <w:spacing w:before="240"/>
              <w:ind w:right="336"/>
              <w:jc w:val="right"/>
              <w:rPr>
                <w:sz w:val="24"/>
              </w:rPr>
            </w:pPr>
            <w:r>
              <w:rPr>
                <w:sz w:val="24"/>
              </w:rPr>
              <w:t>6</w:t>
            </w:r>
          </w:p>
        </w:tc>
        <w:tc>
          <w:tcPr>
            <w:tcW w:w="1080" w:type="dxa"/>
          </w:tcPr>
          <w:p w14:paraId="42CD4CD2">
            <w:pPr>
              <w:pStyle w:val="34"/>
              <w:spacing w:before="240"/>
              <w:rPr>
                <w:rFonts w:ascii="Times New Roman"/>
                <w:sz w:val="24"/>
              </w:rPr>
            </w:pPr>
          </w:p>
        </w:tc>
        <w:tc>
          <w:tcPr>
            <w:tcW w:w="3060" w:type="dxa"/>
          </w:tcPr>
          <w:p w14:paraId="582B46DA">
            <w:pPr>
              <w:pStyle w:val="34"/>
              <w:spacing w:before="240"/>
              <w:rPr>
                <w:rFonts w:ascii="Times New Roman"/>
                <w:sz w:val="24"/>
              </w:rPr>
            </w:pPr>
          </w:p>
        </w:tc>
        <w:tc>
          <w:tcPr>
            <w:tcW w:w="3554" w:type="dxa"/>
          </w:tcPr>
          <w:p w14:paraId="175EA7FC">
            <w:pPr>
              <w:pStyle w:val="34"/>
              <w:spacing w:before="240"/>
              <w:rPr>
                <w:rFonts w:ascii="Times New Roman"/>
                <w:sz w:val="24"/>
              </w:rPr>
            </w:pPr>
          </w:p>
        </w:tc>
      </w:tr>
      <w:tr w14:paraId="3ED63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0B9FD09">
            <w:pPr>
              <w:pStyle w:val="34"/>
              <w:spacing w:before="240"/>
              <w:ind w:right="336"/>
              <w:jc w:val="right"/>
              <w:rPr>
                <w:sz w:val="24"/>
              </w:rPr>
            </w:pPr>
            <w:r>
              <w:rPr>
                <w:sz w:val="24"/>
              </w:rPr>
              <w:t>7</w:t>
            </w:r>
          </w:p>
        </w:tc>
        <w:tc>
          <w:tcPr>
            <w:tcW w:w="1080" w:type="dxa"/>
          </w:tcPr>
          <w:p w14:paraId="2EE264F9">
            <w:pPr>
              <w:pStyle w:val="34"/>
              <w:spacing w:before="240"/>
              <w:rPr>
                <w:rFonts w:ascii="Times New Roman"/>
                <w:sz w:val="24"/>
              </w:rPr>
            </w:pPr>
          </w:p>
        </w:tc>
        <w:tc>
          <w:tcPr>
            <w:tcW w:w="3060" w:type="dxa"/>
          </w:tcPr>
          <w:p w14:paraId="40BE1291">
            <w:pPr>
              <w:pStyle w:val="34"/>
              <w:spacing w:before="240"/>
              <w:rPr>
                <w:rFonts w:ascii="Times New Roman"/>
                <w:sz w:val="24"/>
              </w:rPr>
            </w:pPr>
          </w:p>
        </w:tc>
        <w:tc>
          <w:tcPr>
            <w:tcW w:w="3554" w:type="dxa"/>
          </w:tcPr>
          <w:p w14:paraId="4D571A95">
            <w:pPr>
              <w:pStyle w:val="34"/>
              <w:spacing w:before="240"/>
              <w:rPr>
                <w:rFonts w:ascii="Times New Roman"/>
                <w:sz w:val="24"/>
              </w:rPr>
            </w:pPr>
          </w:p>
        </w:tc>
      </w:tr>
      <w:tr w14:paraId="2EA02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FB520D3">
            <w:pPr>
              <w:pStyle w:val="34"/>
              <w:spacing w:before="240"/>
              <w:ind w:right="336"/>
              <w:jc w:val="right"/>
              <w:rPr>
                <w:sz w:val="24"/>
              </w:rPr>
            </w:pPr>
            <w:r>
              <w:rPr>
                <w:sz w:val="24"/>
              </w:rPr>
              <w:t>8</w:t>
            </w:r>
          </w:p>
        </w:tc>
        <w:tc>
          <w:tcPr>
            <w:tcW w:w="1080" w:type="dxa"/>
          </w:tcPr>
          <w:p w14:paraId="6BB44F43">
            <w:pPr>
              <w:pStyle w:val="34"/>
              <w:spacing w:before="240"/>
              <w:rPr>
                <w:rFonts w:ascii="Times New Roman"/>
                <w:sz w:val="24"/>
              </w:rPr>
            </w:pPr>
          </w:p>
        </w:tc>
        <w:tc>
          <w:tcPr>
            <w:tcW w:w="3060" w:type="dxa"/>
          </w:tcPr>
          <w:p w14:paraId="6078BD61">
            <w:pPr>
              <w:pStyle w:val="34"/>
              <w:spacing w:before="240"/>
              <w:rPr>
                <w:rFonts w:ascii="Times New Roman"/>
                <w:sz w:val="24"/>
              </w:rPr>
            </w:pPr>
          </w:p>
        </w:tc>
        <w:tc>
          <w:tcPr>
            <w:tcW w:w="3554" w:type="dxa"/>
          </w:tcPr>
          <w:p w14:paraId="43101B9B">
            <w:pPr>
              <w:pStyle w:val="34"/>
              <w:spacing w:before="240"/>
              <w:rPr>
                <w:rFonts w:ascii="Times New Roman"/>
                <w:sz w:val="24"/>
              </w:rPr>
            </w:pPr>
          </w:p>
        </w:tc>
      </w:tr>
      <w:tr w14:paraId="78BC6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EF2BBE1">
            <w:pPr>
              <w:pStyle w:val="34"/>
              <w:spacing w:before="240"/>
              <w:ind w:right="336"/>
              <w:jc w:val="right"/>
              <w:rPr>
                <w:sz w:val="24"/>
              </w:rPr>
            </w:pPr>
            <w:r>
              <w:rPr>
                <w:sz w:val="24"/>
              </w:rPr>
              <w:t>9</w:t>
            </w:r>
          </w:p>
        </w:tc>
        <w:tc>
          <w:tcPr>
            <w:tcW w:w="1080" w:type="dxa"/>
          </w:tcPr>
          <w:p w14:paraId="67232578">
            <w:pPr>
              <w:pStyle w:val="34"/>
              <w:spacing w:before="240"/>
              <w:rPr>
                <w:rFonts w:ascii="Times New Roman"/>
                <w:sz w:val="24"/>
              </w:rPr>
            </w:pPr>
          </w:p>
        </w:tc>
        <w:tc>
          <w:tcPr>
            <w:tcW w:w="3060" w:type="dxa"/>
          </w:tcPr>
          <w:p w14:paraId="44C21EFC">
            <w:pPr>
              <w:pStyle w:val="34"/>
              <w:spacing w:before="240"/>
              <w:rPr>
                <w:rFonts w:ascii="Times New Roman"/>
                <w:sz w:val="24"/>
              </w:rPr>
            </w:pPr>
          </w:p>
        </w:tc>
        <w:tc>
          <w:tcPr>
            <w:tcW w:w="3554" w:type="dxa"/>
          </w:tcPr>
          <w:p w14:paraId="59D3FCB0">
            <w:pPr>
              <w:pStyle w:val="34"/>
              <w:spacing w:before="240"/>
              <w:rPr>
                <w:rFonts w:ascii="Times New Roman"/>
                <w:sz w:val="24"/>
              </w:rPr>
            </w:pPr>
          </w:p>
        </w:tc>
      </w:tr>
      <w:tr w14:paraId="05BCA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472A7C2">
            <w:pPr>
              <w:pStyle w:val="34"/>
              <w:spacing w:before="240"/>
              <w:ind w:right="276"/>
              <w:jc w:val="right"/>
              <w:rPr>
                <w:sz w:val="24"/>
              </w:rPr>
            </w:pPr>
            <w:r>
              <w:rPr>
                <w:sz w:val="24"/>
              </w:rPr>
              <w:t>10</w:t>
            </w:r>
          </w:p>
        </w:tc>
        <w:tc>
          <w:tcPr>
            <w:tcW w:w="1080" w:type="dxa"/>
          </w:tcPr>
          <w:p w14:paraId="1654F4CE">
            <w:pPr>
              <w:pStyle w:val="34"/>
              <w:spacing w:before="240"/>
              <w:rPr>
                <w:rFonts w:ascii="Times New Roman"/>
                <w:sz w:val="24"/>
              </w:rPr>
            </w:pPr>
          </w:p>
        </w:tc>
        <w:tc>
          <w:tcPr>
            <w:tcW w:w="3060" w:type="dxa"/>
          </w:tcPr>
          <w:p w14:paraId="61FB1A84">
            <w:pPr>
              <w:pStyle w:val="34"/>
              <w:spacing w:before="240"/>
              <w:rPr>
                <w:rFonts w:ascii="Times New Roman"/>
                <w:sz w:val="24"/>
              </w:rPr>
            </w:pPr>
          </w:p>
        </w:tc>
        <w:tc>
          <w:tcPr>
            <w:tcW w:w="3554" w:type="dxa"/>
          </w:tcPr>
          <w:p w14:paraId="44F248D6">
            <w:pPr>
              <w:pStyle w:val="34"/>
              <w:spacing w:before="240"/>
              <w:rPr>
                <w:rFonts w:ascii="Times New Roman"/>
                <w:sz w:val="24"/>
              </w:rPr>
            </w:pPr>
          </w:p>
        </w:tc>
      </w:tr>
    </w:tbl>
    <w:p w14:paraId="1B935BC5">
      <w:pPr>
        <w:pStyle w:val="10"/>
        <w:spacing w:before="240"/>
        <w:rPr>
          <w:rFonts w:ascii="黑体"/>
          <w:b/>
          <w:sz w:val="25"/>
        </w:rPr>
      </w:pPr>
    </w:p>
    <w:p w14:paraId="4F8A61E9">
      <w:pPr>
        <w:pStyle w:val="6"/>
        <w:tabs>
          <w:tab w:val="left" w:pos="4598"/>
        </w:tabs>
        <w:spacing w:before="240"/>
        <w:rPr>
          <w:rFonts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27A8C4AF">
      <w:pPr>
        <w:pStyle w:val="6"/>
        <w:tabs>
          <w:tab w:val="left" w:pos="4598"/>
        </w:tabs>
        <w:spacing w:before="240"/>
        <w:rPr>
          <w:rFonts w:ascii="仿宋" w:eastAsia="仿宋"/>
        </w:rPr>
      </w:pPr>
    </w:p>
    <w:p w14:paraId="2469B342">
      <w:pPr>
        <w:pStyle w:val="6"/>
        <w:tabs>
          <w:tab w:val="left" w:pos="4598"/>
        </w:tabs>
        <w:spacing w:before="240"/>
      </w:pPr>
      <w:r>
        <w:rPr>
          <w:b/>
          <w:spacing w:val="-4"/>
        </w:rPr>
        <w:t>注：</w:t>
      </w:r>
      <w:r>
        <w:rPr>
          <w:spacing w:val="-8"/>
        </w:rPr>
        <w:t>为避免歧义，无偏离也应要提报该表，并注明“无”字。如无该表则即使在其它部</w:t>
      </w:r>
      <w:r>
        <w:rPr>
          <w:spacing w:val="-10"/>
        </w:rPr>
        <w:t>分已反映，将也被视为“无偏离”</w:t>
      </w:r>
      <w:r>
        <w:rPr>
          <w:rFonts w:hint="eastAsia"/>
          <w:spacing w:val="-10"/>
        </w:rPr>
        <w:t>。</w:t>
      </w:r>
      <w:r>
        <w:br w:type="page"/>
      </w:r>
    </w:p>
    <w:p w14:paraId="49D20E97">
      <w:pPr>
        <w:spacing w:before="240"/>
        <w:ind w:left="638"/>
        <w:rPr>
          <w:rFonts w:ascii="Calibri" w:eastAsia="黑体"/>
          <w:b/>
          <w:sz w:val="28"/>
          <w:lang w:val="en-US"/>
        </w:rPr>
      </w:pPr>
      <w:r>
        <w:rPr>
          <w:rFonts w:hint="eastAsia" w:ascii="黑体" w:eastAsia="黑体"/>
          <w:b/>
          <w:sz w:val="28"/>
        </w:rPr>
        <w:t>格式</w:t>
      </w:r>
      <w:r>
        <w:rPr>
          <w:rFonts w:hint="eastAsia" w:ascii="Calibri" w:eastAsia="黑体"/>
          <w:b/>
          <w:sz w:val="28"/>
          <w:lang w:val="en-US"/>
        </w:rPr>
        <w:t>6</w:t>
      </w:r>
    </w:p>
    <w:p w14:paraId="7D968A76">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p>
    <w:p w14:paraId="5CA02B1E">
      <w:pPr>
        <w:pStyle w:val="10"/>
        <w:tabs>
          <w:tab w:val="left" w:pos="1478"/>
          <w:tab w:val="left" w:pos="2003"/>
          <w:tab w:val="left" w:pos="2527"/>
        </w:tabs>
        <w:spacing w:before="240"/>
        <w:ind w:left="638"/>
      </w:pPr>
      <w:r>
        <w:t>日期：</w:t>
      </w:r>
      <w:r>
        <w:tab/>
      </w:r>
      <w:r>
        <w:t>年</w:t>
      </w:r>
      <w:r>
        <w:tab/>
      </w:r>
      <w:r>
        <w:t>月</w:t>
      </w:r>
      <w:r>
        <w:tab/>
      </w:r>
      <w:r>
        <w:t>日</w:t>
      </w:r>
    </w:p>
    <w:p w14:paraId="3418FEE6">
      <w:pPr>
        <w:pStyle w:val="10"/>
        <w:spacing w:before="240"/>
        <w:rPr>
          <w:sz w:val="20"/>
        </w:rPr>
      </w:pPr>
    </w:p>
    <w:p w14:paraId="42EA7A6B">
      <w:pPr>
        <w:pStyle w:val="10"/>
        <w:spacing w:before="240"/>
        <w:rPr>
          <w:sz w:val="20"/>
        </w:rPr>
      </w:pPr>
    </w:p>
    <w:p w14:paraId="6894010C">
      <w:pPr>
        <w:pStyle w:val="10"/>
        <w:spacing w:before="240"/>
      </w:pPr>
    </w:p>
    <w:p w14:paraId="0840AC7D">
      <w:pPr>
        <w:spacing w:before="240"/>
        <w:ind w:left="46"/>
        <w:jc w:val="center"/>
        <w:rPr>
          <w:rFonts w:ascii="黑体" w:eastAsia="黑体"/>
          <w:b/>
          <w:sz w:val="28"/>
          <w:lang w:val="en-US"/>
        </w:rPr>
      </w:pPr>
      <w:r>
        <w:rPr>
          <w:rFonts w:hint="eastAsia" w:ascii="黑体" w:eastAsia="黑体"/>
          <w:b/>
          <w:sz w:val="28"/>
        </w:rPr>
        <w:t>服务承诺函</w:t>
      </w:r>
    </w:p>
    <w:p w14:paraId="24EF6C89">
      <w:pPr>
        <w:spacing w:before="240"/>
        <w:ind w:left="46"/>
        <w:jc w:val="center"/>
        <w:rPr>
          <w:rFonts w:eastAsia="黑体"/>
          <w:lang w:val="en-US"/>
        </w:rPr>
      </w:pPr>
    </w:p>
    <w:p w14:paraId="57B791D3">
      <w:pPr>
        <w:pStyle w:val="10"/>
        <w:spacing w:before="240"/>
        <w:rPr>
          <w:rFonts w:ascii="黑体"/>
          <w:b/>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0"/>
      </w:tblGrid>
      <w:tr w14:paraId="3ED02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0" w:hRule="atLeast"/>
        </w:trPr>
        <w:tc>
          <w:tcPr>
            <w:tcW w:w="8500" w:type="dxa"/>
            <w:tcBorders>
              <w:top w:val="nil"/>
              <w:left w:val="nil"/>
              <w:bottom w:val="nil"/>
              <w:right w:val="nil"/>
            </w:tcBorders>
          </w:tcPr>
          <w:p w14:paraId="2BA91B22">
            <w:pPr>
              <w:pStyle w:val="10"/>
              <w:tabs>
                <w:tab w:val="left" w:pos="5258"/>
              </w:tabs>
              <w:spacing w:before="240"/>
            </w:pPr>
            <w:r>
              <w:t>致</w:t>
            </w:r>
            <w:r>
              <w:rPr>
                <w:u w:val="single"/>
              </w:rPr>
              <w:t>（招标人名称）</w:t>
            </w:r>
            <w:r>
              <w:rPr>
                <w:u w:val="single"/>
              </w:rPr>
              <w:tab/>
            </w:r>
            <w:r>
              <w:t>：</w:t>
            </w:r>
          </w:p>
          <w:p w14:paraId="36427397">
            <w:pPr>
              <w:pStyle w:val="10"/>
              <w:tabs>
                <w:tab w:val="left" w:pos="5258"/>
              </w:tabs>
              <w:spacing w:before="240"/>
              <w:ind w:left="638"/>
            </w:pPr>
            <w:r>
              <w:rPr>
                <w:rFonts w:hint="eastAsia"/>
              </w:rPr>
              <w:t>我代表（投标单位名称）对中标合同产品的服务作如下承诺：</w:t>
            </w:r>
          </w:p>
          <w:p w14:paraId="4E3743A7">
            <w:pPr>
              <w:pStyle w:val="34"/>
              <w:spacing w:before="240"/>
              <w:rPr>
                <w:rFonts w:ascii="Times New Roman"/>
                <w:sz w:val="24"/>
              </w:rPr>
            </w:pPr>
          </w:p>
        </w:tc>
      </w:tr>
    </w:tbl>
    <w:p w14:paraId="0DE81323">
      <w:pPr>
        <w:pStyle w:val="10"/>
        <w:spacing w:before="240"/>
        <w:rPr>
          <w:rFonts w:ascii="黑体"/>
          <w:b/>
          <w:sz w:val="25"/>
        </w:rPr>
      </w:pPr>
    </w:p>
    <w:p w14:paraId="08DCF0C1">
      <w:pPr>
        <w:pStyle w:val="6"/>
        <w:tabs>
          <w:tab w:val="left" w:pos="4598"/>
        </w:tabs>
        <w:spacing w:before="240"/>
        <w:ind w:firstLine="480" w:firstLineChars="200"/>
        <w:rPr>
          <w:rFonts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66EBD074">
      <w:pPr>
        <w:pStyle w:val="6"/>
        <w:tabs>
          <w:tab w:val="left" w:pos="4598"/>
        </w:tabs>
        <w:spacing w:before="240"/>
        <w:rPr>
          <w:rFonts w:ascii="仿宋" w:eastAsia="仿宋"/>
        </w:rPr>
      </w:pPr>
    </w:p>
    <w:p w14:paraId="03FC74B3">
      <w:pPr>
        <w:spacing w:before="240"/>
      </w:pPr>
    </w:p>
    <w:p w14:paraId="45E57968">
      <w:pPr>
        <w:spacing w:before="240"/>
        <w:ind w:left="638"/>
        <w:rPr>
          <w:sz w:val="24"/>
          <w:szCs w:val="24"/>
          <w:lang w:val="en-US"/>
        </w:rPr>
      </w:pPr>
    </w:p>
    <w:p w14:paraId="39FF9755">
      <w:pPr>
        <w:spacing w:before="240"/>
        <w:rPr>
          <w:rFonts w:ascii="黑体" w:eastAsia="黑体"/>
          <w:b/>
          <w:sz w:val="28"/>
        </w:rPr>
      </w:pPr>
    </w:p>
    <w:p w14:paraId="267EA590">
      <w:pPr>
        <w:spacing w:before="240"/>
        <w:ind w:left="638"/>
        <w:rPr>
          <w:rFonts w:ascii="Calibri" w:eastAsia="黑体"/>
          <w:b/>
          <w:sz w:val="28"/>
        </w:rPr>
      </w:pPr>
      <w:r>
        <w:rPr>
          <w:rFonts w:hint="eastAsia" w:ascii="黑体" w:eastAsia="黑体"/>
          <w:b/>
          <w:sz w:val="28"/>
        </w:rPr>
        <w:t>格式</w:t>
      </w:r>
      <w:r>
        <w:rPr>
          <w:rFonts w:hint="eastAsia" w:ascii="Calibri" w:eastAsia="黑体"/>
          <w:b/>
          <w:sz w:val="28"/>
          <w:lang w:val="en-US"/>
        </w:rPr>
        <w:t>7</w:t>
      </w:r>
    </w:p>
    <w:p w14:paraId="6BCFEA33">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63D66B09">
      <w:pPr>
        <w:pStyle w:val="5"/>
        <w:spacing w:before="240"/>
        <w:ind w:left="46"/>
        <w:jc w:val="center"/>
        <w:rPr>
          <w:rFonts w:ascii="黑体" w:eastAsia="黑体"/>
        </w:rPr>
      </w:pPr>
      <w:bookmarkStart w:id="25" w:name="企业情况、从业经历、服务承诺一览表"/>
      <w:bookmarkEnd w:id="25"/>
      <w:r>
        <w:rPr>
          <w:rFonts w:hint="eastAsia" w:ascii="黑体" w:eastAsia="黑体"/>
        </w:rPr>
        <w:t>企业情况、从业经历、服务承诺一览表</w:t>
      </w:r>
    </w:p>
    <w:p w14:paraId="0DA024F2">
      <w:pPr>
        <w:pStyle w:val="10"/>
        <w:spacing w:before="240"/>
        <w:rPr>
          <w:rFonts w:ascii="黑体"/>
          <w:b/>
          <w:sz w:val="10"/>
        </w:rPr>
      </w:pPr>
    </w:p>
    <w:tbl>
      <w:tblPr>
        <w:tblStyle w:val="23"/>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74861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7D9C1753">
            <w:pPr>
              <w:pStyle w:val="34"/>
              <w:spacing w:before="240"/>
              <w:ind w:left="3501" w:right="3485"/>
              <w:jc w:val="center"/>
              <w:rPr>
                <w:sz w:val="24"/>
              </w:rPr>
            </w:pPr>
            <w:r>
              <w:rPr>
                <w:sz w:val="24"/>
              </w:rPr>
              <w:t>企业情况</w:t>
            </w:r>
          </w:p>
        </w:tc>
      </w:tr>
      <w:tr w14:paraId="7D46D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2AAB353E">
            <w:pPr>
              <w:pStyle w:val="34"/>
              <w:spacing w:before="240"/>
              <w:ind w:left="230"/>
              <w:rPr>
                <w:sz w:val="24"/>
              </w:rPr>
            </w:pPr>
            <w:r>
              <w:rPr>
                <w:sz w:val="24"/>
              </w:rPr>
              <w:t>公司名称</w:t>
            </w:r>
          </w:p>
        </w:tc>
        <w:tc>
          <w:tcPr>
            <w:tcW w:w="2282" w:type="dxa"/>
            <w:gridSpan w:val="3"/>
          </w:tcPr>
          <w:p w14:paraId="21955A70">
            <w:pPr>
              <w:pStyle w:val="34"/>
              <w:spacing w:before="240"/>
              <w:rPr>
                <w:rFonts w:ascii="Times New Roman"/>
              </w:rPr>
            </w:pPr>
          </w:p>
        </w:tc>
        <w:tc>
          <w:tcPr>
            <w:tcW w:w="1263" w:type="dxa"/>
            <w:gridSpan w:val="2"/>
          </w:tcPr>
          <w:p w14:paraId="73C0E0A6">
            <w:pPr>
              <w:pStyle w:val="34"/>
              <w:spacing w:before="240"/>
              <w:ind w:left="100"/>
              <w:rPr>
                <w:sz w:val="24"/>
              </w:rPr>
            </w:pPr>
            <w:r>
              <w:rPr>
                <w:sz w:val="24"/>
              </w:rPr>
              <w:t>成立时间</w:t>
            </w:r>
          </w:p>
        </w:tc>
        <w:tc>
          <w:tcPr>
            <w:tcW w:w="1400" w:type="dxa"/>
          </w:tcPr>
          <w:p w14:paraId="4610E2F0">
            <w:pPr>
              <w:pStyle w:val="34"/>
              <w:spacing w:before="240"/>
              <w:rPr>
                <w:rFonts w:ascii="Times New Roman"/>
              </w:rPr>
            </w:pPr>
          </w:p>
        </w:tc>
        <w:tc>
          <w:tcPr>
            <w:tcW w:w="1293" w:type="dxa"/>
          </w:tcPr>
          <w:p w14:paraId="52B9E0E1">
            <w:pPr>
              <w:pStyle w:val="34"/>
              <w:spacing w:before="240"/>
              <w:ind w:left="113"/>
              <w:rPr>
                <w:sz w:val="24"/>
              </w:rPr>
            </w:pPr>
            <w:r>
              <w:rPr>
                <w:sz w:val="24"/>
              </w:rPr>
              <w:t>注册资本</w:t>
            </w:r>
          </w:p>
        </w:tc>
        <w:tc>
          <w:tcPr>
            <w:tcW w:w="2263" w:type="dxa"/>
            <w:gridSpan w:val="2"/>
          </w:tcPr>
          <w:p w14:paraId="2BE7B949">
            <w:pPr>
              <w:pStyle w:val="34"/>
              <w:spacing w:before="240"/>
              <w:ind w:right="89"/>
              <w:jc w:val="right"/>
              <w:rPr>
                <w:sz w:val="24"/>
              </w:rPr>
            </w:pPr>
            <w:r>
              <w:rPr>
                <w:sz w:val="24"/>
              </w:rPr>
              <w:t>万元</w:t>
            </w:r>
          </w:p>
        </w:tc>
      </w:tr>
      <w:tr w14:paraId="266C6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0567C021">
            <w:pPr>
              <w:pStyle w:val="34"/>
              <w:spacing w:before="240"/>
              <w:ind w:left="113"/>
              <w:rPr>
                <w:sz w:val="24"/>
              </w:rPr>
            </w:pPr>
            <w:r>
              <w:rPr>
                <w:sz w:val="24"/>
              </w:rPr>
              <w:t>公司在册员工人数</w:t>
            </w:r>
          </w:p>
        </w:tc>
        <w:tc>
          <w:tcPr>
            <w:tcW w:w="1977" w:type="dxa"/>
            <w:gridSpan w:val="2"/>
          </w:tcPr>
          <w:p w14:paraId="0851269E">
            <w:pPr>
              <w:pStyle w:val="34"/>
              <w:spacing w:before="240"/>
              <w:ind w:right="88"/>
              <w:jc w:val="right"/>
              <w:rPr>
                <w:sz w:val="24"/>
              </w:rPr>
            </w:pPr>
            <w:r>
              <w:rPr>
                <w:sz w:val="24"/>
              </w:rPr>
              <w:t>人</w:t>
            </w:r>
          </w:p>
        </w:tc>
        <w:tc>
          <w:tcPr>
            <w:tcW w:w="3970" w:type="dxa"/>
            <w:gridSpan w:val="4"/>
          </w:tcPr>
          <w:p w14:paraId="06707A11">
            <w:pPr>
              <w:pStyle w:val="34"/>
              <w:spacing w:before="240"/>
              <w:ind w:left="113"/>
              <w:rPr>
                <w:sz w:val="24"/>
              </w:rPr>
            </w:pPr>
            <w:r>
              <w:rPr>
                <w:sz w:val="24"/>
              </w:rPr>
              <w:t>专业从事产品研发、生产的员工人数</w:t>
            </w:r>
          </w:p>
        </w:tc>
        <w:tc>
          <w:tcPr>
            <w:tcW w:w="1554" w:type="dxa"/>
          </w:tcPr>
          <w:p w14:paraId="7B298B1B">
            <w:pPr>
              <w:pStyle w:val="34"/>
              <w:spacing w:before="240"/>
              <w:ind w:right="89"/>
              <w:jc w:val="right"/>
              <w:rPr>
                <w:sz w:val="24"/>
              </w:rPr>
            </w:pPr>
            <w:r>
              <w:rPr>
                <w:sz w:val="24"/>
              </w:rPr>
              <w:t>人</w:t>
            </w:r>
          </w:p>
        </w:tc>
      </w:tr>
      <w:tr w14:paraId="4CD79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1BBB16D2">
            <w:pPr>
              <w:pStyle w:val="34"/>
              <w:spacing w:before="240"/>
              <w:ind w:left="113"/>
              <w:rPr>
                <w:sz w:val="24"/>
              </w:rPr>
            </w:pPr>
            <w:r>
              <w:rPr>
                <w:sz w:val="24"/>
              </w:rPr>
              <w:t>企业所通过的体系认证情况</w:t>
            </w:r>
          </w:p>
        </w:tc>
        <w:tc>
          <w:tcPr>
            <w:tcW w:w="6219" w:type="dxa"/>
            <w:gridSpan w:val="6"/>
          </w:tcPr>
          <w:p w14:paraId="5242B0B8">
            <w:pPr>
              <w:pStyle w:val="34"/>
              <w:spacing w:before="240"/>
              <w:rPr>
                <w:rFonts w:ascii="Times New Roman"/>
              </w:rPr>
            </w:pPr>
          </w:p>
        </w:tc>
      </w:tr>
      <w:tr w14:paraId="60EF2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30BD8C09">
            <w:pPr>
              <w:pStyle w:val="34"/>
              <w:spacing w:before="240"/>
              <w:ind w:left="114" w:right="90"/>
              <w:jc w:val="center"/>
              <w:rPr>
                <w:sz w:val="24"/>
              </w:rPr>
            </w:pPr>
            <w:r>
              <w:rPr>
                <w:sz w:val="24"/>
              </w:rPr>
              <w:t>公司现有主要研发、</w:t>
            </w:r>
          </w:p>
          <w:p w14:paraId="61D5B593">
            <w:pPr>
              <w:pStyle w:val="34"/>
              <w:spacing w:before="240"/>
              <w:ind w:left="114" w:right="90"/>
              <w:jc w:val="center"/>
              <w:rPr>
                <w:sz w:val="24"/>
              </w:rPr>
            </w:pPr>
            <w:r>
              <w:rPr>
                <w:sz w:val="24"/>
              </w:rPr>
              <w:t>实验、生产设备</w:t>
            </w:r>
          </w:p>
        </w:tc>
        <w:tc>
          <w:tcPr>
            <w:tcW w:w="7501" w:type="dxa"/>
            <w:gridSpan w:val="7"/>
          </w:tcPr>
          <w:p w14:paraId="156B1956">
            <w:pPr>
              <w:pStyle w:val="34"/>
              <w:spacing w:before="240"/>
              <w:rPr>
                <w:rFonts w:ascii="Times New Roman"/>
              </w:rPr>
            </w:pPr>
          </w:p>
        </w:tc>
      </w:tr>
      <w:tr w14:paraId="4C1D6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36993AB1">
            <w:pPr>
              <w:pStyle w:val="34"/>
              <w:spacing w:before="240"/>
              <w:ind w:left="3501" w:right="3485"/>
              <w:jc w:val="center"/>
              <w:rPr>
                <w:sz w:val="24"/>
              </w:rPr>
            </w:pPr>
            <w:r>
              <w:rPr>
                <w:sz w:val="24"/>
              </w:rPr>
              <w:t>从业经历</w:t>
            </w:r>
          </w:p>
        </w:tc>
      </w:tr>
      <w:tr w14:paraId="59C6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2E7A2FEC">
            <w:pPr>
              <w:pStyle w:val="34"/>
              <w:spacing w:before="240"/>
              <w:ind w:left="494"/>
              <w:rPr>
                <w:sz w:val="21"/>
              </w:rPr>
            </w:pPr>
            <w:r>
              <w:rPr>
                <w:sz w:val="21"/>
              </w:rPr>
              <w:t>正在或曾经从事过的项目名称</w:t>
            </w:r>
          </w:p>
        </w:tc>
        <w:tc>
          <w:tcPr>
            <w:tcW w:w="2663" w:type="dxa"/>
            <w:gridSpan w:val="3"/>
          </w:tcPr>
          <w:p w14:paraId="12A6AF46">
            <w:pPr>
              <w:pStyle w:val="34"/>
              <w:spacing w:before="240"/>
              <w:ind w:left="621"/>
              <w:rPr>
                <w:sz w:val="24"/>
              </w:rPr>
            </w:pPr>
            <w:r>
              <w:rPr>
                <w:sz w:val="24"/>
              </w:rPr>
              <w:t>项目起止时间</w:t>
            </w:r>
          </w:p>
        </w:tc>
        <w:tc>
          <w:tcPr>
            <w:tcW w:w="3556" w:type="dxa"/>
            <w:gridSpan w:val="3"/>
          </w:tcPr>
          <w:p w14:paraId="33CBB553">
            <w:pPr>
              <w:pStyle w:val="34"/>
              <w:spacing w:before="240"/>
              <w:ind w:left="221"/>
              <w:rPr>
                <w:sz w:val="24"/>
              </w:rPr>
            </w:pPr>
            <w:r>
              <w:rPr>
                <w:sz w:val="24"/>
              </w:rPr>
              <w:t>与投标人签订合同的单位名称</w:t>
            </w:r>
          </w:p>
        </w:tc>
      </w:tr>
      <w:tr w14:paraId="7CBC9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A3712BB">
            <w:pPr>
              <w:pStyle w:val="34"/>
              <w:spacing w:before="240"/>
              <w:rPr>
                <w:rFonts w:ascii="Times New Roman"/>
              </w:rPr>
            </w:pPr>
          </w:p>
        </w:tc>
        <w:tc>
          <w:tcPr>
            <w:tcW w:w="2663" w:type="dxa"/>
            <w:gridSpan w:val="3"/>
          </w:tcPr>
          <w:p w14:paraId="504CF143">
            <w:pPr>
              <w:pStyle w:val="34"/>
              <w:spacing w:before="240"/>
              <w:rPr>
                <w:rFonts w:ascii="Times New Roman"/>
              </w:rPr>
            </w:pPr>
          </w:p>
        </w:tc>
        <w:tc>
          <w:tcPr>
            <w:tcW w:w="3556" w:type="dxa"/>
            <w:gridSpan w:val="3"/>
          </w:tcPr>
          <w:p w14:paraId="497E8E03">
            <w:pPr>
              <w:pStyle w:val="34"/>
              <w:spacing w:before="240"/>
              <w:rPr>
                <w:rFonts w:ascii="Times New Roman"/>
              </w:rPr>
            </w:pPr>
          </w:p>
        </w:tc>
      </w:tr>
      <w:tr w14:paraId="3C820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2E4B2218">
            <w:pPr>
              <w:pStyle w:val="34"/>
              <w:spacing w:before="240"/>
              <w:rPr>
                <w:rFonts w:ascii="Times New Roman"/>
              </w:rPr>
            </w:pPr>
          </w:p>
        </w:tc>
        <w:tc>
          <w:tcPr>
            <w:tcW w:w="2663" w:type="dxa"/>
            <w:gridSpan w:val="3"/>
          </w:tcPr>
          <w:p w14:paraId="3669CB34">
            <w:pPr>
              <w:pStyle w:val="34"/>
              <w:spacing w:before="240"/>
              <w:rPr>
                <w:rFonts w:ascii="Times New Roman"/>
              </w:rPr>
            </w:pPr>
          </w:p>
        </w:tc>
        <w:tc>
          <w:tcPr>
            <w:tcW w:w="3556" w:type="dxa"/>
            <w:gridSpan w:val="3"/>
          </w:tcPr>
          <w:p w14:paraId="371C3A63">
            <w:pPr>
              <w:pStyle w:val="34"/>
              <w:spacing w:before="240"/>
              <w:rPr>
                <w:rFonts w:ascii="Times New Roman"/>
              </w:rPr>
            </w:pPr>
          </w:p>
        </w:tc>
      </w:tr>
      <w:tr w14:paraId="4BD6D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18AC22A4">
            <w:pPr>
              <w:pStyle w:val="34"/>
              <w:spacing w:before="240"/>
              <w:rPr>
                <w:rFonts w:ascii="Times New Roman"/>
              </w:rPr>
            </w:pPr>
          </w:p>
        </w:tc>
        <w:tc>
          <w:tcPr>
            <w:tcW w:w="2663" w:type="dxa"/>
            <w:gridSpan w:val="3"/>
          </w:tcPr>
          <w:p w14:paraId="7A3EC615">
            <w:pPr>
              <w:pStyle w:val="34"/>
              <w:spacing w:before="240"/>
              <w:rPr>
                <w:rFonts w:ascii="Times New Roman"/>
              </w:rPr>
            </w:pPr>
          </w:p>
        </w:tc>
        <w:tc>
          <w:tcPr>
            <w:tcW w:w="3556" w:type="dxa"/>
            <w:gridSpan w:val="3"/>
          </w:tcPr>
          <w:p w14:paraId="24829494">
            <w:pPr>
              <w:pStyle w:val="34"/>
              <w:spacing w:before="240"/>
              <w:rPr>
                <w:rFonts w:ascii="Times New Roman"/>
              </w:rPr>
            </w:pPr>
          </w:p>
        </w:tc>
      </w:tr>
      <w:tr w14:paraId="7559B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5DB6C2ED">
            <w:pPr>
              <w:pStyle w:val="34"/>
              <w:spacing w:before="240"/>
              <w:rPr>
                <w:rFonts w:ascii="Times New Roman"/>
              </w:rPr>
            </w:pPr>
          </w:p>
        </w:tc>
        <w:tc>
          <w:tcPr>
            <w:tcW w:w="2663" w:type="dxa"/>
            <w:gridSpan w:val="3"/>
          </w:tcPr>
          <w:p w14:paraId="42388270">
            <w:pPr>
              <w:pStyle w:val="34"/>
              <w:spacing w:before="240"/>
              <w:rPr>
                <w:rFonts w:ascii="Times New Roman"/>
              </w:rPr>
            </w:pPr>
          </w:p>
        </w:tc>
        <w:tc>
          <w:tcPr>
            <w:tcW w:w="3556" w:type="dxa"/>
            <w:gridSpan w:val="3"/>
          </w:tcPr>
          <w:p w14:paraId="26D80467">
            <w:pPr>
              <w:pStyle w:val="34"/>
              <w:spacing w:before="240"/>
              <w:rPr>
                <w:rFonts w:ascii="Times New Roman"/>
              </w:rPr>
            </w:pPr>
          </w:p>
        </w:tc>
      </w:tr>
      <w:tr w14:paraId="0F14C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58ADBAD4">
            <w:pPr>
              <w:pStyle w:val="34"/>
              <w:spacing w:before="240"/>
              <w:ind w:left="3501" w:right="3485"/>
              <w:jc w:val="center"/>
              <w:rPr>
                <w:sz w:val="24"/>
              </w:rPr>
            </w:pPr>
            <w:r>
              <w:rPr>
                <w:sz w:val="24"/>
              </w:rPr>
              <w:t>针对本招标项目的服务承诺</w:t>
            </w:r>
          </w:p>
        </w:tc>
      </w:tr>
      <w:tr w14:paraId="03509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24264330">
            <w:pPr>
              <w:pStyle w:val="34"/>
              <w:spacing w:before="240"/>
              <w:rPr>
                <w:rFonts w:ascii="黑体"/>
                <w:b/>
                <w:sz w:val="24"/>
              </w:rPr>
            </w:pPr>
          </w:p>
          <w:p w14:paraId="1EDDA1DB">
            <w:pPr>
              <w:pStyle w:val="34"/>
              <w:spacing w:before="240"/>
              <w:rPr>
                <w:rFonts w:ascii="黑体"/>
                <w:b/>
                <w:sz w:val="24"/>
              </w:rPr>
            </w:pPr>
          </w:p>
          <w:p w14:paraId="26E1C044">
            <w:pPr>
              <w:pStyle w:val="34"/>
              <w:spacing w:before="240"/>
              <w:rPr>
                <w:rFonts w:ascii="黑体"/>
                <w:b/>
                <w:sz w:val="31"/>
              </w:rPr>
            </w:pPr>
          </w:p>
          <w:p w14:paraId="403944CE">
            <w:pPr>
              <w:pStyle w:val="34"/>
              <w:spacing w:before="240"/>
              <w:ind w:left="154" w:right="134"/>
              <w:jc w:val="center"/>
              <w:rPr>
                <w:sz w:val="24"/>
              </w:rPr>
            </w:pPr>
            <w:r>
              <w:rPr>
                <w:sz w:val="24"/>
              </w:rPr>
              <w:t>可为该项目配备人员、相关设备情况</w:t>
            </w:r>
          </w:p>
        </w:tc>
        <w:tc>
          <w:tcPr>
            <w:tcW w:w="1716" w:type="dxa"/>
            <w:gridSpan w:val="2"/>
          </w:tcPr>
          <w:p w14:paraId="4198D208">
            <w:pPr>
              <w:pStyle w:val="34"/>
              <w:spacing w:before="240"/>
              <w:ind w:left="112" w:right="-44"/>
              <w:rPr>
                <w:sz w:val="24"/>
              </w:rPr>
            </w:pPr>
            <w:r>
              <w:rPr>
                <w:spacing w:val="-12"/>
                <w:sz w:val="24"/>
              </w:rPr>
              <w:t>设计人员</w:t>
            </w:r>
            <w:r>
              <w:rPr>
                <w:sz w:val="24"/>
              </w:rPr>
              <w:t>（名</w:t>
            </w:r>
            <w:r>
              <w:rPr>
                <w:spacing w:val="-14"/>
                <w:sz w:val="24"/>
              </w:rPr>
              <w:t>）</w:t>
            </w:r>
          </w:p>
        </w:tc>
        <w:tc>
          <w:tcPr>
            <w:tcW w:w="6219" w:type="dxa"/>
            <w:gridSpan w:val="6"/>
          </w:tcPr>
          <w:p w14:paraId="0E16CCE3">
            <w:pPr>
              <w:pStyle w:val="34"/>
              <w:spacing w:before="240"/>
              <w:rPr>
                <w:rFonts w:ascii="Times New Roman"/>
              </w:rPr>
            </w:pPr>
          </w:p>
        </w:tc>
      </w:tr>
      <w:tr w14:paraId="226E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46966AAD">
            <w:pPr>
              <w:spacing w:before="240"/>
              <w:rPr>
                <w:sz w:val="2"/>
                <w:szCs w:val="2"/>
              </w:rPr>
            </w:pPr>
          </w:p>
        </w:tc>
        <w:tc>
          <w:tcPr>
            <w:tcW w:w="1716" w:type="dxa"/>
            <w:gridSpan w:val="2"/>
          </w:tcPr>
          <w:p w14:paraId="4FB52F2A">
            <w:pPr>
              <w:pStyle w:val="34"/>
              <w:spacing w:before="240"/>
              <w:ind w:left="148" w:right="130"/>
              <w:rPr>
                <w:sz w:val="24"/>
              </w:rPr>
            </w:pPr>
            <w:r>
              <w:rPr>
                <w:spacing w:val="-6"/>
                <w:sz w:val="24"/>
              </w:rPr>
              <w:t>研发、实验设</w:t>
            </w:r>
            <w:r>
              <w:rPr>
                <w:sz w:val="24"/>
              </w:rPr>
              <w:t>备（</w:t>
            </w:r>
            <w:r>
              <w:rPr>
                <w:spacing w:val="-8"/>
                <w:sz w:val="24"/>
              </w:rPr>
              <w:t>功能、型</w:t>
            </w:r>
          </w:p>
          <w:p w14:paraId="69288603">
            <w:pPr>
              <w:pStyle w:val="34"/>
              <w:spacing w:before="240"/>
              <w:ind w:left="268"/>
              <w:rPr>
                <w:sz w:val="24"/>
              </w:rPr>
            </w:pPr>
            <w:r>
              <w:rPr>
                <w:sz w:val="24"/>
              </w:rPr>
              <w:t>号、数量）</w:t>
            </w:r>
          </w:p>
        </w:tc>
        <w:tc>
          <w:tcPr>
            <w:tcW w:w="6219" w:type="dxa"/>
            <w:gridSpan w:val="6"/>
          </w:tcPr>
          <w:p w14:paraId="5BEE06F9">
            <w:pPr>
              <w:pStyle w:val="34"/>
              <w:spacing w:before="240"/>
              <w:rPr>
                <w:rFonts w:ascii="Times New Roman"/>
              </w:rPr>
            </w:pPr>
          </w:p>
        </w:tc>
      </w:tr>
      <w:tr w14:paraId="44929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4E3461ED">
            <w:pPr>
              <w:spacing w:before="240"/>
              <w:rPr>
                <w:sz w:val="2"/>
                <w:szCs w:val="2"/>
              </w:rPr>
            </w:pPr>
          </w:p>
        </w:tc>
        <w:tc>
          <w:tcPr>
            <w:tcW w:w="1716" w:type="dxa"/>
            <w:gridSpan w:val="2"/>
          </w:tcPr>
          <w:p w14:paraId="7A22181E">
            <w:pPr>
              <w:pStyle w:val="34"/>
              <w:spacing w:before="240"/>
              <w:ind w:left="148" w:right="115"/>
              <w:jc w:val="center"/>
              <w:rPr>
                <w:sz w:val="24"/>
              </w:rPr>
            </w:pPr>
            <w:r>
              <w:rPr>
                <w:sz w:val="24"/>
              </w:rPr>
              <w:t>生产设备（功能、型号、数</w:t>
            </w:r>
          </w:p>
          <w:p w14:paraId="2FC09E5E">
            <w:pPr>
              <w:pStyle w:val="34"/>
              <w:spacing w:before="240"/>
              <w:ind w:left="145" w:right="115"/>
              <w:jc w:val="center"/>
              <w:rPr>
                <w:sz w:val="24"/>
              </w:rPr>
            </w:pPr>
            <w:r>
              <w:rPr>
                <w:sz w:val="24"/>
              </w:rPr>
              <w:t>量）</w:t>
            </w:r>
          </w:p>
        </w:tc>
        <w:tc>
          <w:tcPr>
            <w:tcW w:w="6219" w:type="dxa"/>
            <w:gridSpan w:val="6"/>
          </w:tcPr>
          <w:p w14:paraId="500F0A28">
            <w:pPr>
              <w:pStyle w:val="34"/>
              <w:spacing w:before="240"/>
              <w:rPr>
                <w:rFonts w:ascii="Times New Roman"/>
              </w:rPr>
            </w:pPr>
          </w:p>
        </w:tc>
      </w:tr>
      <w:tr w14:paraId="747AF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8AB7DD9">
            <w:pPr>
              <w:spacing w:before="240"/>
              <w:rPr>
                <w:sz w:val="2"/>
                <w:szCs w:val="2"/>
              </w:rPr>
            </w:pPr>
          </w:p>
        </w:tc>
        <w:tc>
          <w:tcPr>
            <w:tcW w:w="1716" w:type="dxa"/>
            <w:gridSpan w:val="2"/>
          </w:tcPr>
          <w:p w14:paraId="7EB4CED0">
            <w:pPr>
              <w:pStyle w:val="34"/>
              <w:spacing w:before="240"/>
              <w:ind w:left="145" w:right="115"/>
              <w:jc w:val="center"/>
              <w:rPr>
                <w:sz w:val="24"/>
              </w:rPr>
            </w:pPr>
            <w:r>
              <w:rPr>
                <w:sz w:val="24"/>
              </w:rPr>
              <w:t>……</w:t>
            </w:r>
          </w:p>
        </w:tc>
        <w:tc>
          <w:tcPr>
            <w:tcW w:w="6219" w:type="dxa"/>
            <w:gridSpan w:val="6"/>
          </w:tcPr>
          <w:p w14:paraId="75B8C519">
            <w:pPr>
              <w:pStyle w:val="34"/>
              <w:spacing w:before="240"/>
              <w:rPr>
                <w:rFonts w:ascii="Times New Roman"/>
              </w:rPr>
            </w:pPr>
          </w:p>
        </w:tc>
      </w:tr>
      <w:tr w14:paraId="771B0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36FCBD18">
            <w:pPr>
              <w:spacing w:before="240"/>
              <w:rPr>
                <w:sz w:val="2"/>
                <w:szCs w:val="2"/>
              </w:rPr>
            </w:pPr>
          </w:p>
        </w:tc>
        <w:tc>
          <w:tcPr>
            <w:tcW w:w="1716" w:type="dxa"/>
            <w:gridSpan w:val="2"/>
          </w:tcPr>
          <w:p w14:paraId="3799FBD2">
            <w:pPr>
              <w:pStyle w:val="34"/>
              <w:spacing w:before="240"/>
              <w:ind w:left="145" w:right="115"/>
              <w:jc w:val="center"/>
              <w:rPr>
                <w:sz w:val="24"/>
              </w:rPr>
            </w:pPr>
            <w:r>
              <w:rPr>
                <w:sz w:val="24"/>
              </w:rPr>
              <w:t>……</w:t>
            </w:r>
          </w:p>
        </w:tc>
        <w:tc>
          <w:tcPr>
            <w:tcW w:w="6219" w:type="dxa"/>
            <w:gridSpan w:val="6"/>
          </w:tcPr>
          <w:p w14:paraId="7B460611">
            <w:pPr>
              <w:pStyle w:val="34"/>
              <w:spacing w:before="240"/>
              <w:rPr>
                <w:rFonts w:ascii="Times New Roman"/>
              </w:rPr>
            </w:pPr>
          </w:p>
        </w:tc>
      </w:tr>
      <w:tr w14:paraId="01DC1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22F73302">
            <w:pPr>
              <w:pStyle w:val="34"/>
              <w:spacing w:before="240"/>
              <w:ind w:left="151" w:right="134"/>
              <w:jc w:val="center"/>
              <w:rPr>
                <w:sz w:val="24"/>
              </w:rPr>
            </w:pPr>
            <w:r>
              <w:rPr>
                <w:sz w:val="24"/>
              </w:rPr>
              <w:t>其他</w:t>
            </w:r>
          </w:p>
        </w:tc>
        <w:tc>
          <w:tcPr>
            <w:tcW w:w="1716" w:type="dxa"/>
            <w:gridSpan w:val="2"/>
          </w:tcPr>
          <w:p w14:paraId="5D318406">
            <w:pPr>
              <w:pStyle w:val="34"/>
              <w:spacing w:before="240"/>
              <w:ind w:left="145" w:right="115"/>
              <w:jc w:val="center"/>
              <w:rPr>
                <w:sz w:val="24"/>
              </w:rPr>
            </w:pPr>
            <w:r>
              <w:rPr>
                <w:sz w:val="24"/>
              </w:rPr>
              <w:t>……</w:t>
            </w:r>
          </w:p>
        </w:tc>
        <w:tc>
          <w:tcPr>
            <w:tcW w:w="6219" w:type="dxa"/>
            <w:gridSpan w:val="6"/>
          </w:tcPr>
          <w:p w14:paraId="4B2321E1">
            <w:pPr>
              <w:pStyle w:val="34"/>
              <w:spacing w:before="240"/>
              <w:rPr>
                <w:rFonts w:ascii="Times New Roman"/>
              </w:rPr>
            </w:pPr>
          </w:p>
        </w:tc>
      </w:tr>
      <w:tr w14:paraId="6CDC3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363C1D40">
            <w:pPr>
              <w:spacing w:before="240"/>
              <w:rPr>
                <w:sz w:val="2"/>
                <w:szCs w:val="2"/>
              </w:rPr>
            </w:pPr>
          </w:p>
        </w:tc>
        <w:tc>
          <w:tcPr>
            <w:tcW w:w="1716" w:type="dxa"/>
            <w:gridSpan w:val="2"/>
          </w:tcPr>
          <w:p w14:paraId="3ED69B47">
            <w:pPr>
              <w:pStyle w:val="34"/>
              <w:spacing w:before="240"/>
              <w:ind w:left="145" w:right="115"/>
              <w:jc w:val="center"/>
              <w:rPr>
                <w:sz w:val="24"/>
              </w:rPr>
            </w:pPr>
            <w:r>
              <w:rPr>
                <w:sz w:val="24"/>
              </w:rPr>
              <w:t>……</w:t>
            </w:r>
          </w:p>
        </w:tc>
        <w:tc>
          <w:tcPr>
            <w:tcW w:w="6219" w:type="dxa"/>
            <w:gridSpan w:val="6"/>
          </w:tcPr>
          <w:p w14:paraId="256805D8">
            <w:pPr>
              <w:pStyle w:val="34"/>
              <w:spacing w:before="240"/>
              <w:rPr>
                <w:rFonts w:ascii="Times New Roman"/>
              </w:rPr>
            </w:pPr>
          </w:p>
        </w:tc>
      </w:tr>
    </w:tbl>
    <w:p w14:paraId="5D175404">
      <w:pPr>
        <w:pStyle w:val="6"/>
        <w:tabs>
          <w:tab w:val="left" w:pos="4838"/>
        </w:tabs>
        <w:spacing w:before="240"/>
        <w:ind w:left="878"/>
        <w:rPr>
          <w:rFonts w:ascii="仿宋" w:eastAsia="仿宋"/>
        </w:rPr>
      </w:pPr>
      <w:bookmarkStart w:id="26" w:name="投标人名称（盖章）：法定代表人或授权代表签字："/>
      <w:bookmarkEnd w:id="26"/>
    </w:p>
    <w:p w14:paraId="34461E69">
      <w:pPr>
        <w:pStyle w:val="6"/>
        <w:tabs>
          <w:tab w:val="left" w:pos="4838"/>
        </w:tabs>
        <w:spacing w:before="240"/>
        <w:ind w:left="878"/>
        <w:rPr>
          <w:rFonts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3B4503B0">
      <w:pPr>
        <w:spacing w:before="240"/>
        <w:ind w:left="1346" w:right="696" w:hanging="466"/>
        <w:rPr>
          <w:b/>
          <w:spacing w:val="-5"/>
          <w:sz w:val="24"/>
        </w:rPr>
      </w:pPr>
    </w:p>
    <w:p w14:paraId="12E9C701">
      <w:pPr>
        <w:spacing w:before="240"/>
        <w:ind w:left="1346" w:right="696" w:hanging="466"/>
        <w:rPr>
          <w:sz w:val="24"/>
        </w:rPr>
      </w:pPr>
      <w:r>
        <w:rPr>
          <w:b/>
          <w:spacing w:val="-5"/>
          <w:sz w:val="24"/>
        </w:rPr>
        <w:t>注：</w:t>
      </w:r>
      <w:r>
        <w:rPr>
          <w:spacing w:val="-6"/>
          <w:sz w:val="24"/>
        </w:rPr>
        <w:t>1</w:t>
      </w:r>
      <w:r>
        <w:rPr>
          <w:spacing w:val="-5"/>
          <w:sz w:val="24"/>
        </w:rPr>
        <w:t>.投标人为满足本招标项目之需，需实际配置的包含但不限于上述设备、人员及其他条目；</w:t>
      </w:r>
    </w:p>
    <w:p w14:paraId="4993A487">
      <w:pPr>
        <w:spacing w:before="240"/>
        <w:ind w:left="1300" w:right="585"/>
        <w:rPr>
          <w:sz w:val="24"/>
        </w:rPr>
      </w:pPr>
      <w:r>
        <w:rPr>
          <w:sz w:val="24"/>
        </w:rPr>
        <w:t>2.投标人可在上表内容基础上，酌情自行增加相关条目，以便更好的满足项目开展之需要。</w:t>
      </w:r>
    </w:p>
    <w:p w14:paraId="3AAAF3CC">
      <w:pPr>
        <w:spacing w:before="240"/>
        <w:rPr>
          <w:sz w:val="24"/>
        </w:rPr>
      </w:pPr>
      <w:r>
        <w:rPr>
          <w:sz w:val="24"/>
        </w:rPr>
        <w:br w:type="page"/>
      </w:r>
    </w:p>
    <w:p w14:paraId="4E864DA9">
      <w:pPr>
        <w:spacing w:before="240"/>
        <w:ind w:left="638"/>
        <w:rPr>
          <w:rFonts w:ascii="Calibri" w:eastAsia="黑体"/>
          <w:b/>
          <w:sz w:val="28"/>
        </w:rPr>
      </w:pPr>
      <w:r>
        <w:rPr>
          <w:rFonts w:hint="eastAsia" w:ascii="黑体" w:eastAsia="黑体"/>
          <w:b/>
          <w:sz w:val="28"/>
        </w:rPr>
        <w:t>格式</w:t>
      </w:r>
      <w:r>
        <w:rPr>
          <w:rFonts w:hint="eastAsia" w:ascii="Calibri" w:eastAsia="黑体"/>
          <w:b/>
          <w:sz w:val="28"/>
          <w:lang w:val="en-US"/>
        </w:rPr>
        <w:t>8</w:t>
      </w:r>
    </w:p>
    <w:p w14:paraId="28195B05">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7CDE16FA">
      <w:pPr>
        <w:spacing w:before="240"/>
        <w:jc w:val="center"/>
        <w:rPr>
          <w:sz w:val="24"/>
          <w:szCs w:val="24"/>
        </w:rPr>
      </w:pPr>
      <w:r>
        <w:rPr>
          <w:rFonts w:hint="eastAsia"/>
          <w:b/>
          <w:color w:val="000000"/>
          <w:sz w:val="24"/>
          <w:szCs w:val="24"/>
        </w:rPr>
        <w:t>授权委托书</w:t>
      </w:r>
    </w:p>
    <w:p w14:paraId="38D34F60">
      <w:pPr>
        <w:spacing w:before="240"/>
        <w:jc w:val="center"/>
        <w:rPr>
          <w:sz w:val="24"/>
          <w:szCs w:val="24"/>
        </w:rPr>
      </w:pPr>
    </w:p>
    <w:p w14:paraId="301509F8">
      <w:pPr>
        <w:spacing w:before="240"/>
        <w:ind w:firstLine="480" w:firstLineChars="200"/>
        <w:rPr>
          <w:sz w:val="24"/>
          <w:szCs w:val="24"/>
        </w:rPr>
      </w:pPr>
      <w:r>
        <w:rPr>
          <w:rFonts w:hint="eastAsia"/>
          <w:color w:val="000000"/>
          <w:sz w:val="24"/>
          <w:szCs w:val="24"/>
        </w:rPr>
        <w:t>兹有：系法定代表人（或负责人），联系电话：，住址：。</w:t>
      </w:r>
    </w:p>
    <w:p w14:paraId="0ADC8E6F">
      <w:pPr>
        <w:spacing w:before="240"/>
        <w:ind w:firstLine="480" w:firstLineChars="200"/>
        <w:rPr>
          <w:sz w:val="24"/>
          <w:szCs w:val="24"/>
        </w:rPr>
      </w:pPr>
      <w:r>
        <w:rPr>
          <w:rFonts w:hint="eastAsia"/>
          <w:color w:val="000000"/>
          <w:sz w:val="24"/>
          <w:szCs w:val="24"/>
        </w:rPr>
        <w:t>特授权，单位职务：，身份证号：，联系电话：，为本公司（单位）的委托代理人。</w:t>
      </w:r>
    </w:p>
    <w:p w14:paraId="6C6C1315">
      <w:pPr>
        <w:spacing w:before="240"/>
        <w:ind w:firstLine="480" w:firstLineChars="200"/>
        <w:rPr>
          <w:sz w:val="24"/>
          <w:szCs w:val="24"/>
        </w:rPr>
      </w:pPr>
      <w:r>
        <w:rPr>
          <w:rFonts w:hint="eastAsia"/>
          <w:color w:val="000000"/>
          <w:sz w:val="24"/>
          <w:szCs w:val="24"/>
        </w:rPr>
        <w:t>授权权限：代理与中国重型汽车集团有限公司招投标文件递交、合同及其附件协议签署。</w:t>
      </w:r>
    </w:p>
    <w:p w14:paraId="72F7904E">
      <w:pPr>
        <w:spacing w:before="240"/>
        <w:ind w:firstLine="480" w:firstLineChars="200"/>
        <w:rPr>
          <w:sz w:val="24"/>
          <w:szCs w:val="24"/>
        </w:rPr>
      </w:pPr>
      <w:r>
        <w:rPr>
          <w:rFonts w:hint="eastAsia"/>
          <w:color w:val="000000"/>
          <w:sz w:val="24"/>
          <w:szCs w:val="24"/>
        </w:rPr>
        <w:t>授权期限：自年月日至年月日止。</w:t>
      </w:r>
    </w:p>
    <w:p w14:paraId="540FE730">
      <w:pPr>
        <w:spacing w:before="240"/>
        <w:ind w:firstLine="480" w:firstLineChars="200"/>
        <w:rPr>
          <w:sz w:val="24"/>
          <w:szCs w:val="24"/>
        </w:rPr>
      </w:pPr>
      <w:r>
        <w:rPr>
          <w:rFonts w:hint="eastAsia"/>
          <w:color w:val="000000"/>
          <w:sz w:val="24"/>
          <w:szCs w:val="24"/>
        </w:rPr>
        <w:t>委托代理人的代理行为，本公司（单位）均予以认可，并承担经济或法律责任。</w:t>
      </w:r>
    </w:p>
    <w:p w14:paraId="5D30669A">
      <w:pPr>
        <w:spacing w:before="240"/>
        <w:rPr>
          <w:sz w:val="24"/>
          <w:szCs w:val="24"/>
        </w:rPr>
      </w:pPr>
      <w:r>
        <w:rPr>
          <w:rFonts w:hint="eastAsia"/>
          <w:lang w:val="en-US" w:bidi="ar-SA"/>
        </w:rPr>
        <mc:AlternateContent>
          <mc:Choice Requires="wps">
            <w:drawing>
              <wp:anchor distT="0" distB="0" distL="114300" distR="114300" simplePos="0" relativeHeight="251666432" behindDoc="0" locked="0" layoutInCell="1" allowOverlap="1">
                <wp:simplePos x="0" y="0"/>
                <wp:positionH relativeFrom="column">
                  <wp:posOffset>332105</wp:posOffset>
                </wp:positionH>
                <wp:positionV relativeFrom="paragraph">
                  <wp:posOffset>128905</wp:posOffset>
                </wp:positionV>
                <wp:extent cx="2657475" cy="1552575"/>
                <wp:effectExtent l="4445" t="4445" r="5080" b="5080"/>
                <wp:wrapNone/>
                <wp:docPr id="5" name="矩形 1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7E9143">
                            <w:pPr>
                              <w:ind w:firstLine="480"/>
                              <w:jc w:val="center"/>
                            </w:pPr>
                          </w:p>
                          <w:p w14:paraId="51FE44B5">
                            <w:pPr>
                              <w:ind w:firstLine="480"/>
                              <w:jc w:val="center"/>
                            </w:pPr>
                          </w:p>
                          <w:p w14:paraId="59336EAD">
                            <w:pPr>
                              <w:ind w:firstLine="480"/>
                              <w:jc w:val="center"/>
                            </w:pPr>
                          </w:p>
                          <w:p w14:paraId="673B53F5">
                            <w:pPr>
                              <w:ind w:firstLine="480"/>
                              <w:jc w:val="center"/>
                            </w:pPr>
                            <w:r>
                              <w:rPr>
                                <w:rFonts w:hint="eastAsia"/>
                              </w:rPr>
                              <w:t>法定代表人身份证复印件（正面）</w:t>
                            </w:r>
                          </w:p>
                          <w:p w14:paraId="36756F8D">
                            <w:pPr>
                              <w:ind w:firstLine="480"/>
                              <w:jc w:val="center"/>
                            </w:pPr>
                          </w:p>
                          <w:p w14:paraId="6C3783E6">
                            <w:pPr>
                              <w:ind w:firstLine="480"/>
                              <w:jc w:val="center"/>
                            </w:pPr>
                          </w:p>
                        </w:txbxContent>
                      </wps:txbx>
                      <wps:bodyPr wrap="square" upright="1"/>
                    </wps:wsp>
                  </a:graphicData>
                </a:graphic>
              </wp:anchor>
            </w:drawing>
          </mc:Choice>
          <mc:Fallback>
            <w:pict>
              <v:rect id="矩形 13" o:spid="_x0000_s1026" o:spt="1" style="position:absolute;left:0pt;margin-left:26.15pt;margin-top:10.15pt;height:122.25pt;width:209.25pt;z-index:251666432;mso-width-relative:page;mso-height-relative:page;" fillcolor="#FFFFFF" filled="t" stroked="t" coordsize="21600,21600" o:gfxdata="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mCJr9gAAAAJAQAADwAAAAAAAAABACAAAAAi&#10;AAAAZHJzL2Rvd25yZXYueG1sUEsBAhQAFAAAAAgAh07iQJk8OHkKAgAAOQQAAA4AAAAAAAAAAQAg&#10;AAAAJwEAAGRycy9lMm9Eb2MueG1sUEsFBgAAAAAGAAYAWQEAAKMFAAAAAA==&#10;">
                <v:fill on="t" focussize="0,0"/>
                <v:stroke color="#000000" joinstyle="miter"/>
                <v:imagedata o:title=""/>
                <o:lock v:ext="edit" aspectratio="f"/>
                <v:textbox>
                  <w:txbxContent>
                    <w:p w14:paraId="3B7E9143">
                      <w:pPr>
                        <w:ind w:firstLine="480"/>
                        <w:jc w:val="center"/>
                      </w:pPr>
                    </w:p>
                    <w:p w14:paraId="51FE44B5">
                      <w:pPr>
                        <w:ind w:firstLine="480"/>
                        <w:jc w:val="center"/>
                      </w:pPr>
                    </w:p>
                    <w:p w14:paraId="59336EAD">
                      <w:pPr>
                        <w:ind w:firstLine="480"/>
                        <w:jc w:val="center"/>
                      </w:pPr>
                    </w:p>
                    <w:p w14:paraId="673B53F5">
                      <w:pPr>
                        <w:ind w:firstLine="480"/>
                        <w:jc w:val="center"/>
                      </w:pPr>
                      <w:r>
                        <w:rPr>
                          <w:rFonts w:hint="eastAsia"/>
                        </w:rPr>
                        <w:t>法定代表人身份证复印件（正面）</w:t>
                      </w:r>
                    </w:p>
                    <w:p w14:paraId="36756F8D">
                      <w:pPr>
                        <w:ind w:firstLine="480"/>
                        <w:jc w:val="center"/>
                      </w:pPr>
                    </w:p>
                    <w:p w14:paraId="6C3783E6">
                      <w:pPr>
                        <w:ind w:firstLine="480"/>
                        <w:jc w:val="center"/>
                      </w:pPr>
                    </w:p>
                  </w:txbxContent>
                </v:textbox>
              </v:rect>
            </w:pict>
          </mc:Fallback>
        </mc:AlternateContent>
      </w:r>
      <w:r>
        <w:rPr>
          <w:rFonts w:hint="eastAsia"/>
          <w:lang w:val="en-US" w:bidi="ar-SA"/>
        </w:rPr>
        <mc:AlternateContent>
          <mc:Choice Requires="wps">
            <w:drawing>
              <wp:anchor distT="0" distB="0" distL="114300" distR="114300" simplePos="0" relativeHeight="251667456" behindDoc="0" locked="0" layoutInCell="1" allowOverlap="1">
                <wp:simplePos x="0" y="0"/>
                <wp:positionH relativeFrom="column">
                  <wp:posOffset>3132455</wp:posOffset>
                </wp:positionH>
                <wp:positionV relativeFrom="paragraph">
                  <wp:posOffset>128905</wp:posOffset>
                </wp:positionV>
                <wp:extent cx="2514600" cy="1552575"/>
                <wp:effectExtent l="4445" t="4445" r="14605" b="5080"/>
                <wp:wrapNone/>
                <wp:docPr id="7" name="矩形 15"/>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13BE0A">
                            <w:pPr>
                              <w:ind w:firstLine="480"/>
                              <w:jc w:val="center"/>
                            </w:pPr>
                          </w:p>
                          <w:p w14:paraId="39E282AB">
                            <w:pPr>
                              <w:ind w:firstLine="480"/>
                              <w:jc w:val="center"/>
                            </w:pPr>
                          </w:p>
                          <w:p w14:paraId="74EB5B6C">
                            <w:pPr>
                              <w:ind w:firstLine="480"/>
                              <w:jc w:val="center"/>
                            </w:pPr>
                          </w:p>
                          <w:p w14:paraId="18CFF62B">
                            <w:pPr>
                              <w:ind w:firstLine="480"/>
                              <w:jc w:val="center"/>
                            </w:pPr>
                            <w:r>
                              <w:rPr>
                                <w:rFonts w:hint="eastAsia"/>
                              </w:rPr>
                              <w:t>法定代表人身份证复印件（反面）</w:t>
                            </w:r>
                          </w:p>
                          <w:p w14:paraId="4EE7730B">
                            <w:pPr>
                              <w:ind w:firstLine="480"/>
                              <w:jc w:val="center"/>
                            </w:pPr>
                          </w:p>
                        </w:txbxContent>
                      </wps:txbx>
                      <wps:bodyPr wrap="square" upright="1"/>
                    </wps:wsp>
                  </a:graphicData>
                </a:graphic>
              </wp:anchor>
            </w:drawing>
          </mc:Choice>
          <mc:Fallback>
            <w:pict>
              <v:rect id="矩形 15" o:spid="_x0000_s1026" o:spt="1" style="position:absolute;left:0pt;margin-left:246.65pt;margin-top:10.15pt;height:122.25pt;width:198pt;z-index:251667456;mso-width-relative:page;mso-height-relative:page;" fillcolor="#FFFFFF" filled="t" stroked="t" coordsize="21600,21600" o:gfxdata="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YmuiF1wAAAAoBAAAPAAAAAAAAAAEAIAAA&#10;ACIAAABkcnMvZG93bnJldi54bWxQSwECFAAUAAAACACHTuJAQstJUw0CAAA5BAAADgAAAAAAAAAB&#10;ACAAAAAmAQAAZHJzL2Uyb0RvYy54bWxQSwUGAAAAAAYABgBZAQAApQUAAAAA&#10;">
                <v:fill on="t" focussize="0,0"/>
                <v:stroke color="#000000" joinstyle="miter"/>
                <v:imagedata o:title=""/>
                <o:lock v:ext="edit" aspectratio="f"/>
                <v:textbox>
                  <w:txbxContent>
                    <w:p w14:paraId="5413BE0A">
                      <w:pPr>
                        <w:ind w:firstLine="480"/>
                        <w:jc w:val="center"/>
                      </w:pPr>
                    </w:p>
                    <w:p w14:paraId="39E282AB">
                      <w:pPr>
                        <w:ind w:firstLine="480"/>
                        <w:jc w:val="center"/>
                      </w:pPr>
                    </w:p>
                    <w:p w14:paraId="74EB5B6C">
                      <w:pPr>
                        <w:ind w:firstLine="480"/>
                        <w:jc w:val="center"/>
                      </w:pPr>
                    </w:p>
                    <w:p w14:paraId="18CFF62B">
                      <w:pPr>
                        <w:ind w:firstLine="480"/>
                        <w:jc w:val="center"/>
                      </w:pPr>
                      <w:r>
                        <w:rPr>
                          <w:rFonts w:hint="eastAsia"/>
                        </w:rPr>
                        <w:t>法定代表人身份证复印件（反面）</w:t>
                      </w:r>
                    </w:p>
                    <w:p w14:paraId="4EE7730B">
                      <w:pPr>
                        <w:ind w:firstLine="480"/>
                        <w:jc w:val="center"/>
                      </w:pPr>
                    </w:p>
                  </w:txbxContent>
                </v:textbox>
              </v:rect>
            </w:pict>
          </mc:Fallback>
        </mc:AlternateContent>
      </w:r>
    </w:p>
    <w:p w14:paraId="4262419B">
      <w:pPr>
        <w:spacing w:before="240"/>
        <w:rPr>
          <w:sz w:val="24"/>
          <w:szCs w:val="24"/>
        </w:rPr>
      </w:pPr>
    </w:p>
    <w:p w14:paraId="716A01A9">
      <w:pPr>
        <w:spacing w:before="240"/>
        <w:rPr>
          <w:color w:val="000000"/>
          <w:sz w:val="24"/>
          <w:szCs w:val="24"/>
        </w:rPr>
      </w:pPr>
    </w:p>
    <w:p w14:paraId="2EABC30A">
      <w:pPr>
        <w:spacing w:before="240"/>
        <w:rPr>
          <w:color w:val="000000"/>
          <w:sz w:val="24"/>
          <w:szCs w:val="24"/>
        </w:rPr>
      </w:pPr>
    </w:p>
    <w:p w14:paraId="6F50D6C1">
      <w:pPr>
        <w:spacing w:before="240"/>
        <w:rPr>
          <w:color w:val="000000"/>
          <w:sz w:val="24"/>
          <w:szCs w:val="24"/>
        </w:rPr>
      </w:pPr>
    </w:p>
    <w:p w14:paraId="741B265A">
      <w:pPr>
        <w:spacing w:before="240"/>
        <w:rPr>
          <w:color w:val="000000"/>
          <w:sz w:val="24"/>
          <w:szCs w:val="24"/>
        </w:rPr>
      </w:pPr>
      <w:r>
        <w:rPr>
          <w:rFonts w:hint="eastAsia"/>
          <w:lang w:val="en-US" w:bidi="ar-SA"/>
        </w:rPr>
        <mc:AlternateContent>
          <mc:Choice Requires="wps">
            <w:drawing>
              <wp:anchor distT="0" distB="0" distL="114300" distR="114300" simplePos="0" relativeHeight="251668480" behindDoc="0" locked="0" layoutInCell="1" allowOverlap="1">
                <wp:simplePos x="0" y="0"/>
                <wp:positionH relativeFrom="column">
                  <wp:posOffset>332105</wp:posOffset>
                </wp:positionH>
                <wp:positionV relativeFrom="paragraph">
                  <wp:posOffset>147955</wp:posOffset>
                </wp:positionV>
                <wp:extent cx="2657475" cy="1552575"/>
                <wp:effectExtent l="4445" t="4445" r="5080" b="5080"/>
                <wp:wrapNone/>
                <wp:docPr id="8" name="矩形 14"/>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61C9BF">
                            <w:pPr>
                              <w:ind w:firstLine="480"/>
                              <w:jc w:val="cente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25pt;width:209.25pt;z-index:251668480;mso-width-relative:page;mso-height-relative:page;" fillcolor="#FFFFFF" filled="t" stroked="t" coordsize="21600,21600" o:gfxdata="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8tyE3YAAAACQEAAA8AAAAAAAAAAQAgAAAA&#10;IgAAAGRycy9kb3ducmV2LnhtbFBLAQIUABQAAAAIAIdO4kCMHaZVCwIAADkEAAAOAAAAAAAAAAEA&#10;IAAAACcBAABkcnMvZTJvRG9jLnhtbFBLBQYAAAAABgAGAFkBAACkBQAAAAA=&#10;">
                <v:fill on="t" focussize="0,0"/>
                <v:stroke color="#000000" joinstyle="miter"/>
                <v:imagedata o:title=""/>
                <o:lock v:ext="edit" aspectratio="f"/>
                <v:textbox>
                  <w:txbxContent>
                    <w:p w14:paraId="4961C9BF">
                      <w:pPr>
                        <w:ind w:firstLine="480"/>
                        <w:jc w:val="center"/>
                      </w:pPr>
                      <w:r>
                        <w:rPr>
                          <w:rFonts w:hint="eastAsia"/>
                        </w:rPr>
                        <w:t>授权代理人身份证复印件（正面）</w:t>
                      </w:r>
                    </w:p>
                  </w:txbxContent>
                </v:textbox>
              </v:rect>
            </w:pict>
          </mc:Fallback>
        </mc:AlternateContent>
      </w:r>
      <w:r>
        <w:rPr>
          <w:rFonts w:hint="eastAsia"/>
          <w:lang w:val="en-US" w:bidi="ar-SA"/>
        </w:rPr>
        <mc:AlternateContent>
          <mc:Choice Requires="wps">
            <w:drawing>
              <wp:anchor distT="0" distB="0" distL="114300" distR="114300" simplePos="0" relativeHeight="251669504" behindDoc="0" locked="0" layoutInCell="1" allowOverlap="1">
                <wp:simplePos x="0" y="0"/>
                <wp:positionH relativeFrom="column">
                  <wp:posOffset>3132455</wp:posOffset>
                </wp:positionH>
                <wp:positionV relativeFrom="paragraph">
                  <wp:posOffset>138430</wp:posOffset>
                </wp:positionV>
                <wp:extent cx="2514600" cy="1552575"/>
                <wp:effectExtent l="4445" t="4445" r="14605" b="5080"/>
                <wp:wrapNone/>
                <wp:docPr id="9" name="矩形 16"/>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05BDFD">
                            <w:pPr>
                              <w:ind w:firstLine="480"/>
                              <w:jc w:val="cente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46.65pt;margin-top:10.9pt;height:122.25pt;width:198pt;z-index:251669504;mso-width-relative:page;mso-height-relative:page;" fillcolor="#FFFFFF" filled="t" stroked="t" coordsize="21600,21600" o:gfxdata="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EGJ7u1wAAAAoBAAAPAAAAAAAAAAEAIAAAACIA&#10;AABkcnMvZG93bnJldi54bWxQSwECFAAUAAAACACHTuJAZTd5EQoCAAA5BAAADgAAAAAAAAABACAA&#10;AAAmAQAAZHJzL2Uyb0RvYy54bWxQSwUGAAAAAAYABgBZAQAAogUAAAAA&#10;">
                <v:fill on="t" focussize="0,0"/>
                <v:stroke color="#000000" joinstyle="miter"/>
                <v:imagedata o:title=""/>
                <o:lock v:ext="edit" aspectratio="f"/>
                <v:textbox>
                  <w:txbxContent>
                    <w:p w14:paraId="6F05BDFD">
                      <w:pPr>
                        <w:ind w:firstLine="480"/>
                        <w:jc w:val="center"/>
                      </w:pPr>
                      <w:r>
                        <w:rPr>
                          <w:rFonts w:hint="eastAsia"/>
                        </w:rPr>
                        <w:t>授权代理人身份证复印件（反面）</w:t>
                      </w:r>
                    </w:p>
                  </w:txbxContent>
                </v:textbox>
              </v:rect>
            </w:pict>
          </mc:Fallback>
        </mc:AlternateContent>
      </w:r>
    </w:p>
    <w:p w14:paraId="5DC2068C">
      <w:pPr>
        <w:spacing w:before="240"/>
        <w:rPr>
          <w:color w:val="000000"/>
          <w:sz w:val="24"/>
          <w:szCs w:val="24"/>
        </w:rPr>
      </w:pPr>
    </w:p>
    <w:p w14:paraId="7609B317">
      <w:pPr>
        <w:spacing w:before="240"/>
        <w:rPr>
          <w:color w:val="000000"/>
          <w:sz w:val="24"/>
          <w:szCs w:val="24"/>
        </w:rPr>
      </w:pPr>
    </w:p>
    <w:p w14:paraId="50ACBC9D">
      <w:pPr>
        <w:spacing w:before="240"/>
        <w:rPr>
          <w:color w:val="000000"/>
          <w:sz w:val="24"/>
          <w:szCs w:val="24"/>
        </w:rPr>
      </w:pPr>
    </w:p>
    <w:p w14:paraId="0E3EE393">
      <w:pPr>
        <w:pStyle w:val="8"/>
        <w:spacing w:before="240"/>
      </w:pPr>
    </w:p>
    <w:p w14:paraId="5B0DB359">
      <w:pPr>
        <w:spacing w:before="240"/>
        <w:rPr>
          <w:color w:val="000000"/>
          <w:sz w:val="24"/>
          <w:szCs w:val="24"/>
        </w:rPr>
      </w:pPr>
    </w:p>
    <w:p w14:paraId="4D8ADB50">
      <w:pPr>
        <w:spacing w:before="240"/>
        <w:ind w:firstLine="480" w:firstLineChars="200"/>
        <w:rPr>
          <w:sz w:val="24"/>
          <w:szCs w:val="24"/>
        </w:rPr>
      </w:pPr>
    </w:p>
    <w:p w14:paraId="4F4E1A6D">
      <w:pPr>
        <w:spacing w:before="240"/>
        <w:ind w:firstLine="480" w:firstLineChars="200"/>
        <w:rPr>
          <w:sz w:val="24"/>
          <w:szCs w:val="24"/>
        </w:rPr>
      </w:pPr>
      <w:r>
        <w:rPr>
          <w:rFonts w:hint="eastAsia"/>
          <w:sz w:val="24"/>
          <w:szCs w:val="24"/>
        </w:rPr>
        <w:t>单位名称（公章）</w:t>
      </w:r>
    </w:p>
    <w:p w14:paraId="31828EA7">
      <w:pPr>
        <w:spacing w:before="240"/>
        <w:ind w:firstLine="480" w:firstLineChars="200"/>
        <w:rPr>
          <w:sz w:val="24"/>
          <w:szCs w:val="24"/>
        </w:rPr>
      </w:pPr>
      <w:r>
        <w:rPr>
          <w:rFonts w:hint="eastAsia"/>
          <w:color w:val="000000"/>
          <w:sz w:val="24"/>
          <w:szCs w:val="24"/>
        </w:rPr>
        <w:t>法定代表人签字：</w:t>
      </w:r>
    </w:p>
    <w:p w14:paraId="292ED5B5">
      <w:pPr>
        <w:spacing w:before="240"/>
        <w:ind w:firstLine="480" w:firstLineChars="200"/>
        <w:rPr>
          <w:sz w:val="24"/>
          <w:szCs w:val="24"/>
        </w:rPr>
      </w:pPr>
      <w:r>
        <w:rPr>
          <w:rFonts w:hint="eastAsia"/>
          <w:sz w:val="24"/>
          <w:szCs w:val="24"/>
        </w:rPr>
        <w:t>授权代理人签字</w:t>
      </w:r>
      <w:r>
        <w:rPr>
          <w:rFonts w:hint="eastAsia"/>
          <w:color w:val="000000"/>
          <w:sz w:val="24"/>
          <w:szCs w:val="24"/>
        </w:rPr>
        <w:t>：</w:t>
      </w:r>
    </w:p>
    <w:p w14:paraId="21E3AED5">
      <w:pPr>
        <w:spacing w:before="240"/>
        <w:jc w:val="right"/>
        <w:rPr>
          <w:color w:val="000000"/>
          <w:sz w:val="24"/>
          <w:szCs w:val="24"/>
        </w:rPr>
      </w:pPr>
      <w:r>
        <w:rPr>
          <w:rFonts w:hint="eastAsia"/>
          <w:color w:val="000000"/>
          <w:sz w:val="24"/>
          <w:szCs w:val="24"/>
        </w:rPr>
        <w:t>年</w:t>
      </w:r>
      <w:r>
        <w:rPr>
          <w:rFonts w:hint="eastAsia"/>
          <w:color w:val="000000"/>
          <w:sz w:val="24"/>
          <w:szCs w:val="24"/>
          <w:lang w:val="en-US"/>
        </w:rPr>
        <w:t xml:space="preserve">  </w:t>
      </w:r>
      <w:r>
        <w:rPr>
          <w:rFonts w:hint="eastAsia"/>
          <w:color w:val="000000"/>
          <w:sz w:val="24"/>
          <w:szCs w:val="24"/>
        </w:rPr>
        <w:t>月</w:t>
      </w:r>
      <w:r>
        <w:rPr>
          <w:rFonts w:hint="eastAsia"/>
          <w:color w:val="000000"/>
          <w:sz w:val="24"/>
          <w:szCs w:val="24"/>
          <w:lang w:val="en-US"/>
        </w:rPr>
        <w:t xml:space="preserve">  </w:t>
      </w:r>
      <w:r>
        <w:rPr>
          <w:rFonts w:hint="eastAsia"/>
          <w:color w:val="000000"/>
          <w:sz w:val="24"/>
          <w:szCs w:val="24"/>
        </w:rPr>
        <w:t>日</w:t>
      </w:r>
    </w:p>
    <w:p w14:paraId="02E61839">
      <w:pPr>
        <w:spacing w:before="240"/>
        <w:jc w:val="right"/>
        <w:rPr>
          <w:color w:val="000000"/>
          <w:sz w:val="24"/>
          <w:szCs w:val="24"/>
        </w:rPr>
      </w:pPr>
    </w:p>
    <w:p w14:paraId="72DF563A">
      <w:pPr>
        <w:spacing w:before="240"/>
        <w:ind w:left="638"/>
        <w:rPr>
          <w:rFonts w:ascii="Calibri" w:eastAsia="黑体"/>
          <w:b/>
          <w:sz w:val="28"/>
          <w:lang w:val="en-US"/>
        </w:rPr>
      </w:pPr>
      <w:r>
        <w:rPr>
          <w:rFonts w:hint="eastAsia" w:ascii="黑体" w:eastAsia="黑体"/>
          <w:b/>
          <w:sz w:val="28"/>
        </w:rPr>
        <w:t>格式</w:t>
      </w:r>
      <w:r>
        <w:rPr>
          <w:rFonts w:hint="eastAsia" w:ascii="Calibri" w:eastAsia="黑体"/>
          <w:b/>
          <w:sz w:val="28"/>
          <w:lang w:val="en-US"/>
        </w:rPr>
        <w:t>9</w:t>
      </w:r>
    </w:p>
    <w:p w14:paraId="0287207A">
      <w:pPr>
        <w:pStyle w:val="10"/>
        <w:tabs>
          <w:tab w:val="left" w:pos="1463"/>
          <w:tab w:val="left" w:pos="1989"/>
          <w:tab w:val="left" w:pos="2515"/>
          <w:tab w:val="left" w:pos="3052"/>
        </w:tabs>
        <w:spacing w:before="240"/>
        <w:ind w:left="624" w:right="6365" w:firstLine="14"/>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7120E7B9">
      <w:pPr>
        <w:spacing w:before="240"/>
        <w:sectPr>
          <w:headerReference r:id="rId7" w:type="default"/>
          <w:footerReference r:id="rId8" w:type="default"/>
          <w:pgSz w:w="11910" w:h="16840"/>
          <w:pgMar w:top="1240" w:right="820" w:bottom="1180" w:left="780" w:header="506" w:footer="990" w:gutter="0"/>
          <w:cols w:space="720" w:num="1"/>
        </w:sectPr>
      </w:pPr>
    </w:p>
    <w:p w14:paraId="5341CE8F">
      <w:pPr>
        <w:pStyle w:val="10"/>
        <w:spacing w:before="240"/>
        <w:rPr>
          <w:sz w:val="24"/>
        </w:rPr>
      </w:pPr>
    </w:p>
    <w:p w14:paraId="3F57A3E1">
      <w:pPr>
        <w:pStyle w:val="10"/>
        <w:spacing w:before="240"/>
        <w:rPr>
          <w:sz w:val="23"/>
        </w:rPr>
      </w:pPr>
    </w:p>
    <w:p w14:paraId="7AAB388B">
      <w:pPr>
        <w:pStyle w:val="6"/>
        <w:spacing w:before="240"/>
        <w:ind w:left="758"/>
      </w:pPr>
      <w:bookmarkStart w:id="27" w:name="公章："/>
      <w:bookmarkEnd w:id="27"/>
      <w:r>
        <w:t>公章：</w:t>
      </w:r>
    </w:p>
    <w:p w14:paraId="6FCBCE9B">
      <w:pPr>
        <w:spacing w:before="240"/>
        <w:ind w:left="758"/>
        <w:rPr>
          <w:rFonts w:ascii="黑体" w:eastAsia="黑体"/>
          <w:b/>
          <w:sz w:val="28"/>
        </w:rPr>
      </w:pPr>
      <w:r>
        <w:br w:type="column"/>
      </w:r>
      <w:r>
        <w:rPr>
          <w:rFonts w:hint="eastAsia" w:ascii="黑体" w:eastAsia="黑体"/>
          <w:b/>
          <w:sz w:val="28"/>
        </w:rPr>
        <w:t>投标报名表</w:t>
      </w:r>
    </w:p>
    <w:p w14:paraId="73454180">
      <w:pPr>
        <w:spacing w:before="240"/>
        <w:rPr>
          <w:rFonts w:ascii="黑体" w:eastAsia="黑体"/>
          <w:sz w:val="28"/>
        </w:rPr>
        <w:sectPr>
          <w:type w:val="continuous"/>
          <w:pgSz w:w="11910" w:h="16840"/>
          <w:pgMar w:top="1600" w:right="820" w:bottom="280" w:left="780" w:header="720" w:footer="720" w:gutter="0"/>
          <w:cols w:equalWidth="0" w:num="2">
            <w:col w:w="1519" w:space="2191"/>
            <w:col w:w="6600"/>
          </w:cols>
        </w:sectPr>
      </w:pPr>
    </w:p>
    <w:tbl>
      <w:tblPr>
        <w:tblStyle w:val="23"/>
        <w:tblW w:w="0" w:type="auto"/>
        <w:tblInd w:w="7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7"/>
        <w:gridCol w:w="2479"/>
        <w:gridCol w:w="2230"/>
        <w:gridCol w:w="2283"/>
      </w:tblGrid>
      <w:tr w14:paraId="10A47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1767" w:type="dxa"/>
          </w:tcPr>
          <w:p w14:paraId="414C7DBD">
            <w:pPr>
              <w:pStyle w:val="34"/>
              <w:spacing w:before="240"/>
              <w:rPr>
                <w:rFonts w:ascii="黑体"/>
                <w:b/>
                <w:sz w:val="29"/>
              </w:rPr>
            </w:pPr>
          </w:p>
          <w:p w14:paraId="3FF84BEF">
            <w:pPr>
              <w:pStyle w:val="34"/>
              <w:spacing w:before="240"/>
              <w:ind w:left="283" w:right="267"/>
              <w:jc w:val="center"/>
              <w:rPr>
                <w:sz w:val="24"/>
              </w:rPr>
            </w:pPr>
            <w:r>
              <w:rPr>
                <w:sz w:val="24"/>
              </w:rPr>
              <w:t>项目名称</w:t>
            </w:r>
          </w:p>
        </w:tc>
        <w:tc>
          <w:tcPr>
            <w:tcW w:w="6992" w:type="dxa"/>
            <w:gridSpan w:val="3"/>
          </w:tcPr>
          <w:p w14:paraId="5B3857E5">
            <w:pPr>
              <w:pStyle w:val="34"/>
              <w:spacing w:before="240"/>
              <w:rPr>
                <w:rFonts w:ascii="Times New Roman"/>
              </w:rPr>
            </w:pPr>
          </w:p>
        </w:tc>
      </w:tr>
      <w:tr w14:paraId="2CAF0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767" w:type="dxa"/>
          </w:tcPr>
          <w:p w14:paraId="1E4C6320">
            <w:pPr>
              <w:pStyle w:val="34"/>
              <w:spacing w:before="240"/>
              <w:rPr>
                <w:rFonts w:ascii="黑体"/>
                <w:b/>
                <w:sz w:val="25"/>
              </w:rPr>
            </w:pPr>
          </w:p>
          <w:p w14:paraId="2EE427F8">
            <w:pPr>
              <w:pStyle w:val="34"/>
              <w:spacing w:before="240"/>
              <w:ind w:left="423"/>
              <w:rPr>
                <w:sz w:val="24"/>
              </w:rPr>
            </w:pPr>
            <w:r>
              <w:rPr>
                <w:sz w:val="24"/>
              </w:rPr>
              <w:t>投标单位</w:t>
            </w:r>
          </w:p>
          <w:p w14:paraId="62FA361B">
            <w:pPr>
              <w:pStyle w:val="34"/>
              <w:spacing w:before="240"/>
              <w:ind w:left="423"/>
              <w:rPr>
                <w:sz w:val="24"/>
              </w:rPr>
            </w:pPr>
            <w:r>
              <w:rPr>
                <w:sz w:val="24"/>
              </w:rPr>
              <w:t>（全称）</w:t>
            </w:r>
          </w:p>
        </w:tc>
        <w:tc>
          <w:tcPr>
            <w:tcW w:w="6992" w:type="dxa"/>
            <w:gridSpan w:val="3"/>
          </w:tcPr>
          <w:p w14:paraId="3E2BF059">
            <w:pPr>
              <w:pStyle w:val="34"/>
              <w:spacing w:before="240"/>
              <w:rPr>
                <w:rFonts w:ascii="Times New Roman"/>
              </w:rPr>
            </w:pPr>
          </w:p>
        </w:tc>
      </w:tr>
      <w:tr w14:paraId="1415C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 w:hRule="atLeast"/>
        </w:trPr>
        <w:tc>
          <w:tcPr>
            <w:tcW w:w="1767" w:type="dxa"/>
          </w:tcPr>
          <w:p w14:paraId="5D7DC907">
            <w:pPr>
              <w:pStyle w:val="34"/>
              <w:spacing w:before="240"/>
              <w:rPr>
                <w:rFonts w:ascii="黑体"/>
                <w:b/>
                <w:sz w:val="24"/>
              </w:rPr>
            </w:pPr>
          </w:p>
          <w:p w14:paraId="4D86EBDD">
            <w:pPr>
              <w:pStyle w:val="34"/>
              <w:spacing w:before="240"/>
              <w:ind w:left="283" w:right="267"/>
              <w:jc w:val="center"/>
              <w:rPr>
                <w:sz w:val="24"/>
              </w:rPr>
            </w:pPr>
            <w:r>
              <w:rPr>
                <w:sz w:val="24"/>
              </w:rPr>
              <w:t>所投包次</w:t>
            </w:r>
          </w:p>
        </w:tc>
        <w:tc>
          <w:tcPr>
            <w:tcW w:w="6992" w:type="dxa"/>
            <w:gridSpan w:val="3"/>
          </w:tcPr>
          <w:p w14:paraId="5DD7FC8D">
            <w:pPr>
              <w:pStyle w:val="34"/>
              <w:spacing w:before="240"/>
              <w:rPr>
                <w:rFonts w:ascii="Times New Roman"/>
              </w:rPr>
            </w:pPr>
          </w:p>
        </w:tc>
      </w:tr>
      <w:tr w14:paraId="44BDB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1767" w:type="dxa"/>
          </w:tcPr>
          <w:p w14:paraId="5D00CBC5">
            <w:pPr>
              <w:pStyle w:val="34"/>
              <w:spacing w:before="240"/>
              <w:rPr>
                <w:rFonts w:ascii="黑体"/>
                <w:b/>
                <w:sz w:val="19"/>
              </w:rPr>
            </w:pPr>
          </w:p>
          <w:p w14:paraId="3A51CDE3">
            <w:pPr>
              <w:pStyle w:val="34"/>
              <w:spacing w:before="240"/>
              <w:ind w:left="663" w:right="405" w:hanging="240"/>
              <w:rPr>
                <w:sz w:val="24"/>
              </w:rPr>
            </w:pPr>
            <w:r>
              <w:rPr>
                <w:sz w:val="24"/>
              </w:rPr>
              <w:t>投标单位简介</w:t>
            </w:r>
          </w:p>
        </w:tc>
        <w:tc>
          <w:tcPr>
            <w:tcW w:w="6992" w:type="dxa"/>
            <w:gridSpan w:val="3"/>
          </w:tcPr>
          <w:p w14:paraId="526C5103">
            <w:pPr>
              <w:pStyle w:val="34"/>
              <w:spacing w:before="240"/>
              <w:rPr>
                <w:rFonts w:ascii="Times New Roman"/>
              </w:rPr>
            </w:pPr>
          </w:p>
        </w:tc>
      </w:tr>
      <w:tr w14:paraId="1F55D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1767" w:type="dxa"/>
          </w:tcPr>
          <w:p w14:paraId="0F0CED01">
            <w:pPr>
              <w:pStyle w:val="34"/>
              <w:spacing w:before="240"/>
              <w:rPr>
                <w:rFonts w:ascii="黑体"/>
                <w:b/>
                <w:sz w:val="32"/>
              </w:rPr>
            </w:pPr>
          </w:p>
          <w:p w14:paraId="23940474">
            <w:pPr>
              <w:pStyle w:val="34"/>
              <w:spacing w:before="240"/>
              <w:ind w:left="283" w:right="267"/>
              <w:jc w:val="center"/>
              <w:rPr>
                <w:sz w:val="24"/>
              </w:rPr>
            </w:pPr>
            <w:r>
              <w:rPr>
                <w:sz w:val="24"/>
              </w:rPr>
              <w:t>项目负责人</w:t>
            </w:r>
          </w:p>
        </w:tc>
        <w:tc>
          <w:tcPr>
            <w:tcW w:w="2479" w:type="dxa"/>
          </w:tcPr>
          <w:p w14:paraId="0AE7B044">
            <w:pPr>
              <w:pStyle w:val="34"/>
              <w:spacing w:before="240"/>
              <w:rPr>
                <w:rFonts w:ascii="Times New Roman"/>
              </w:rPr>
            </w:pPr>
          </w:p>
        </w:tc>
        <w:tc>
          <w:tcPr>
            <w:tcW w:w="2230" w:type="dxa"/>
          </w:tcPr>
          <w:p w14:paraId="5E5B122B">
            <w:pPr>
              <w:pStyle w:val="34"/>
              <w:spacing w:before="240"/>
              <w:rPr>
                <w:rFonts w:ascii="黑体"/>
                <w:b/>
                <w:sz w:val="32"/>
              </w:rPr>
            </w:pPr>
          </w:p>
          <w:p w14:paraId="7AFDFF8E">
            <w:pPr>
              <w:pStyle w:val="34"/>
              <w:spacing w:before="240"/>
              <w:ind w:right="623"/>
              <w:jc w:val="center"/>
              <w:rPr>
                <w:sz w:val="24"/>
              </w:rPr>
            </w:pPr>
            <w:r>
              <w:rPr>
                <w:sz w:val="24"/>
              </w:rPr>
              <w:t>联系电话</w:t>
            </w:r>
          </w:p>
        </w:tc>
        <w:tc>
          <w:tcPr>
            <w:tcW w:w="2283" w:type="dxa"/>
          </w:tcPr>
          <w:p w14:paraId="31AEEF18">
            <w:pPr>
              <w:pStyle w:val="34"/>
              <w:spacing w:before="240"/>
              <w:rPr>
                <w:rFonts w:ascii="Times New Roman"/>
              </w:rPr>
            </w:pPr>
          </w:p>
        </w:tc>
      </w:tr>
      <w:tr w14:paraId="1B171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767" w:type="dxa"/>
          </w:tcPr>
          <w:p w14:paraId="01E2D55F">
            <w:pPr>
              <w:pStyle w:val="34"/>
              <w:spacing w:before="240"/>
              <w:rPr>
                <w:rFonts w:ascii="黑体"/>
                <w:b/>
                <w:sz w:val="27"/>
              </w:rPr>
            </w:pPr>
          </w:p>
          <w:p w14:paraId="0A2279A8">
            <w:pPr>
              <w:pStyle w:val="34"/>
              <w:spacing w:before="240"/>
              <w:ind w:left="283" w:right="267"/>
              <w:jc w:val="center"/>
              <w:rPr>
                <w:sz w:val="24"/>
              </w:rPr>
            </w:pPr>
            <w:r>
              <w:rPr>
                <w:sz w:val="24"/>
              </w:rPr>
              <w:t>公司电话</w:t>
            </w:r>
          </w:p>
        </w:tc>
        <w:tc>
          <w:tcPr>
            <w:tcW w:w="2479" w:type="dxa"/>
          </w:tcPr>
          <w:p w14:paraId="3D0F8626">
            <w:pPr>
              <w:pStyle w:val="34"/>
              <w:spacing w:before="240"/>
              <w:rPr>
                <w:rFonts w:ascii="Times New Roman"/>
              </w:rPr>
            </w:pPr>
          </w:p>
        </w:tc>
        <w:tc>
          <w:tcPr>
            <w:tcW w:w="2230" w:type="dxa"/>
          </w:tcPr>
          <w:p w14:paraId="02AAB936">
            <w:pPr>
              <w:pStyle w:val="34"/>
              <w:spacing w:before="240"/>
              <w:rPr>
                <w:rFonts w:ascii="黑体"/>
                <w:b/>
                <w:sz w:val="27"/>
              </w:rPr>
            </w:pPr>
          </w:p>
          <w:p w14:paraId="017489D6">
            <w:pPr>
              <w:pStyle w:val="34"/>
              <w:spacing w:before="240"/>
              <w:ind w:left="639" w:right="623"/>
              <w:jc w:val="center"/>
              <w:rPr>
                <w:sz w:val="24"/>
              </w:rPr>
            </w:pPr>
            <w:r>
              <w:rPr>
                <w:sz w:val="24"/>
              </w:rPr>
              <w:t>传真</w:t>
            </w:r>
          </w:p>
        </w:tc>
        <w:tc>
          <w:tcPr>
            <w:tcW w:w="2283" w:type="dxa"/>
          </w:tcPr>
          <w:p w14:paraId="0E2DF691">
            <w:pPr>
              <w:pStyle w:val="34"/>
              <w:spacing w:before="240"/>
              <w:rPr>
                <w:rFonts w:ascii="Times New Roman"/>
              </w:rPr>
            </w:pPr>
          </w:p>
        </w:tc>
      </w:tr>
      <w:tr w14:paraId="148B7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767" w:type="dxa"/>
          </w:tcPr>
          <w:p w14:paraId="24844324">
            <w:pPr>
              <w:pStyle w:val="34"/>
              <w:spacing w:before="240"/>
              <w:rPr>
                <w:rFonts w:ascii="黑体"/>
                <w:b/>
                <w:sz w:val="32"/>
              </w:rPr>
            </w:pPr>
          </w:p>
          <w:p w14:paraId="401AC90F">
            <w:pPr>
              <w:pStyle w:val="34"/>
              <w:spacing w:before="240"/>
              <w:ind w:left="283" w:right="257"/>
              <w:jc w:val="center"/>
              <w:rPr>
                <w:rFonts w:ascii="Calibri"/>
                <w:sz w:val="24"/>
              </w:rPr>
            </w:pPr>
            <w:r>
              <w:rPr>
                <w:rFonts w:ascii="Calibri"/>
                <w:sz w:val="24"/>
              </w:rPr>
              <w:t>E-mail</w:t>
            </w:r>
          </w:p>
        </w:tc>
        <w:tc>
          <w:tcPr>
            <w:tcW w:w="6992" w:type="dxa"/>
            <w:gridSpan w:val="3"/>
          </w:tcPr>
          <w:p w14:paraId="2805AF08">
            <w:pPr>
              <w:pStyle w:val="34"/>
              <w:spacing w:before="240"/>
              <w:rPr>
                <w:rFonts w:ascii="Times New Roman"/>
              </w:rPr>
            </w:pPr>
          </w:p>
        </w:tc>
      </w:tr>
      <w:tr w14:paraId="7F26A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1767" w:type="dxa"/>
          </w:tcPr>
          <w:p w14:paraId="37B1D07E">
            <w:pPr>
              <w:pStyle w:val="34"/>
              <w:spacing w:before="240"/>
              <w:rPr>
                <w:rFonts w:ascii="黑体"/>
                <w:b/>
                <w:sz w:val="24"/>
              </w:rPr>
            </w:pPr>
          </w:p>
          <w:p w14:paraId="4910569E">
            <w:pPr>
              <w:pStyle w:val="34"/>
              <w:spacing w:before="240"/>
              <w:rPr>
                <w:rFonts w:ascii="黑体"/>
                <w:b/>
                <w:sz w:val="25"/>
              </w:rPr>
            </w:pPr>
          </w:p>
          <w:p w14:paraId="0C311F0A">
            <w:pPr>
              <w:pStyle w:val="34"/>
              <w:spacing w:before="240"/>
              <w:ind w:left="283" w:right="267"/>
              <w:jc w:val="center"/>
              <w:rPr>
                <w:sz w:val="24"/>
              </w:rPr>
            </w:pPr>
            <w:r>
              <w:rPr>
                <w:sz w:val="24"/>
              </w:rPr>
              <w:t>报名时间</w:t>
            </w:r>
          </w:p>
        </w:tc>
        <w:tc>
          <w:tcPr>
            <w:tcW w:w="6992" w:type="dxa"/>
            <w:gridSpan w:val="3"/>
          </w:tcPr>
          <w:p w14:paraId="68F30ED5">
            <w:pPr>
              <w:pStyle w:val="34"/>
              <w:spacing w:before="240"/>
              <w:rPr>
                <w:rFonts w:ascii="黑体"/>
                <w:b/>
                <w:sz w:val="24"/>
              </w:rPr>
            </w:pPr>
          </w:p>
          <w:p w14:paraId="547763C0">
            <w:pPr>
              <w:pStyle w:val="34"/>
              <w:spacing w:before="240"/>
              <w:rPr>
                <w:rFonts w:ascii="黑体"/>
                <w:b/>
                <w:sz w:val="25"/>
              </w:rPr>
            </w:pPr>
          </w:p>
          <w:p w14:paraId="704A3874">
            <w:pPr>
              <w:pStyle w:val="34"/>
              <w:tabs>
                <w:tab w:val="left" w:pos="735"/>
                <w:tab w:val="left" w:pos="1455"/>
              </w:tabs>
              <w:spacing w:before="240"/>
              <w:ind w:left="15"/>
              <w:jc w:val="center"/>
              <w:rPr>
                <w:sz w:val="24"/>
              </w:rPr>
            </w:pPr>
            <w:r>
              <w:rPr>
                <w:sz w:val="24"/>
              </w:rPr>
              <w:t>年</w:t>
            </w:r>
            <w:r>
              <w:rPr>
                <w:sz w:val="24"/>
              </w:rPr>
              <w:tab/>
            </w:r>
            <w:r>
              <w:rPr>
                <w:sz w:val="24"/>
              </w:rPr>
              <w:t>月</w:t>
            </w:r>
            <w:r>
              <w:rPr>
                <w:sz w:val="24"/>
              </w:rPr>
              <w:tab/>
            </w:r>
            <w:r>
              <w:rPr>
                <w:sz w:val="24"/>
              </w:rPr>
              <w:t>日</w:t>
            </w:r>
          </w:p>
        </w:tc>
      </w:tr>
    </w:tbl>
    <w:p w14:paraId="2514F983">
      <w:pPr>
        <w:spacing w:before="240"/>
        <w:ind w:left="1108" w:right="789" w:hanging="473"/>
        <w:rPr>
          <w:sz w:val="24"/>
        </w:rPr>
      </w:pPr>
      <w:r>
        <w:rPr>
          <w:b/>
          <w:sz w:val="24"/>
        </w:rPr>
        <w:t>注：</w:t>
      </w:r>
      <w:r>
        <w:rPr>
          <w:sz w:val="24"/>
        </w:rPr>
        <w:t>请投标单位认真填写并加盖公章，并于规定时间前回传。缺项及不按要求时间回复均视为自动放弃本次投标资格。</w:t>
      </w:r>
    </w:p>
    <w:p w14:paraId="364B2B12">
      <w:pPr>
        <w:pStyle w:val="10"/>
        <w:spacing w:before="240"/>
        <w:rPr>
          <w:sz w:val="24"/>
        </w:rPr>
      </w:pPr>
    </w:p>
    <w:p w14:paraId="6D63F12D">
      <w:pPr>
        <w:tabs>
          <w:tab w:val="left" w:pos="4838"/>
        </w:tabs>
        <w:spacing w:before="240"/>
        <w:ind w:left="878"/>
        <w:rPr>
          <w:rFonts w:ascii="仿宋" w:eastAsia="仿宋"/>
          <w:sz w:val="24"/>
        </w:rPr>
      </w:pPr>
      <w:r>
        <w:rPr>
          <w:rFonts w:hint="eastAsia" w:ascii="仿宋" w:eastAsia="仿宋"/>
          <w:sz w:val="24"/>
        </w:rPr>
        <w:t>投标人名称（盖章）：</w:t>
      </w:r>
      <w:r>
        <w:rPr>
          <w:rFonts w:hint="eastAsia" w:ascii="仿宋" w:eastAsia="仿宋"/>
          <w:sz w:val="24"/>
        </w:rPr>
        <w:tab/>
      </w:r>
      <w:r>
        <w:rPr>
          <w:rFonts w:hint="eastAsia" w:ascii="仿宋" w:eastAsia="仿宋"/>
          <w:sz w:val="24"/>
        </w:rPr>
        <w:t>法定代表人或授权代表签字：</w:t>
      </w:r>
    </w:p>
    <w:p w14:paraId="213478A8">
      <w:pPr>
        <w:pStyle w:val="18"/>
        <w:spacing w:before="240" w:line="240" w:lineRule="auto"/>
      </w:pPr>
    </w:p>
    <w:p w14:paraId="245412BE">
      <w:pPr>
        <w:spacing w:before="240"/>
        <w:sectPr>
          <w:type w:val="continuous"/>
          <w:pgSz w:w="11910" w:h="16840"/>
          <w:pgMar w:top="1600" w:right="820" w:bottom="280" w:left="780" w:header="720" w:footer="720" w:gutter="0"/>
          <w:cols w:space="720" w:num="1"/>
        </w:sectPr>
      </w:pPr>
    </w:p>
    <w:p w14:paraId="4BC782A7">
      <w:pPr>
        <w:pStyle w:val="10"/>
        <w:spacing w:before="240"/>
        <w:rPr>
          <w:sz w:val="20"/>
        </w:rPr>
      </w:pPr>
    </w:p>
    <w:p w14:paraId="5E224C48">
      <w:pPr>
        <w:pStyle w:val="2"/>
        <w:tabs>
          <w:tab w:val="left" w:pos="1816"/>
        </w:tabs>
        <w:spacing w:before="240"/>
        <w:ind w:left="50"/>
        <w:rPr>
          <w:rFonts w:ascii="黑体" w:eastAsia="黑体"/>
        </w:rPr>
      </w:pPr>
      <w:bookmarkStart w:id="28" w:name="第三章技术协议书"/>
      <w:bookmarkEnd w:id="28"/>
      <w:r>
        <w:rPr>
          <w:rFonts w:hint="eastAsia" w:ascii="黑体" w:eastAsia="黑体"/>
        </w:rPr>
        <w:t>第三章招标内容和要求</w:t>
      </w:r>
    </w:p>
    <w:p w14:paraId="059B2015">
      <w:pPr>
        <w:spacing w:before="240"/>
        <w:ind w:firstLine="321" w:firstLineChars="100"/>
        <w:rPr>
          <w:rFonts w:ascii="黑体" w:eastAsia="黑体"/>
          <w:b/>
          <w:sz w:val="32"/>
          <w:lang w:val="en-US"/>
        </w:rPr>
      </w:pPr>
      <w:r>
        <w:rPr>
          <w:rFonts w:hint="eastAsia" w:ascii="黑体" w:eastAsia="黑体"/>
          <w:b/>
          <w:sz w:val="32"/>
          <w:lang w:val="en-US"/>
        </w:rPr>
        <w:t>一、招标内容如下：</w:t>
      </w:r>
    </w:p>
    <w:p w14:paraId="667976B0">
      <w:pPr>
        <w:ind w:firstLine="221" w:firstLineChars="100"/>
        <w:rPr>
          <w:lang w:val="en-US"/>
        </w:rPr>
      </w:pPr>
      <w:r>
        <w:rPr>
          <w:rFonts w:hint="eastAsia"/>
          <w:b/>
          <w:lang w:val="en-US"/>
        </w:rPr>
        <w:t>1、服务范围</w:t>
      </w:r>
    </w:p>
    <w:p w14:paraId="2EEA809C">
      <w:pPr>
        <w:ind w:firstLine="440" w:firstLineChars="200"/>
      </w:pPr>
      <w:r>
        <w:rPr>
          <w:rFonts w:hint="eastAsia"/>
        </w:rPr>
        <w:t>投标方为招标方国内配件业务提供仓储资源+全流程作业+包材供应一体化服务。投标方须根据招标方预测业务量，自行租赁符合要求的仓库，配置全部作业人员与设备，完成配件从入库到出库的全部操作，并对服务质量、库存安全、交付时效承担100%责任。</w:t>
      </w:r>
    </w:p>
    <w:p w14:paraId="12AF4DBF">
      <w:pPr>
        <w:ind w:firstLine="440" w:firstLineChars="200"/>
      </w:pPr>
      <w:r>
        <w:rPr>
          <w:rFonts w:hint="eastAsia"/>
        </w:rPr>
        <w:t>配件入库后，投标方承担实物保管安全责任，因投标方管理不善造成的丢失、损坏、锈蚀、错发，由投标方按配件成本价全额赔偿。包装作业完成后，货物移交至集货组托单位后视为风险转移，此前一切货损由投标方承担。</w:t>
      </w:r>
      <w:r>
        <w:rPr>
          <w:rFonts w:hint="eastAsia"/>
          <w:lang w:val="en-US" w:bidi="ar-SA"/>
        </w:rPr>
        <w:drawing>
          <wp:inline distT="0" distB="0" distL="114300" distR="114300">
            <wp:extent cx="6535420" cy="2871470"/>
            <wp:effectExtent l="0" t="0" r="0" b="5080"/>
            <wp:docPr id="6" name="图片 6" descr="95aea40bf5c8126cee03c463738b7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5aea40bf5c8126cee03c463738b7da2"/>
                    <pic:cNvPicPr>
                      <a:picLocks noChangeAspect="1"/>
                    </pic:cNvPicPr>
                  </pic:nvPicPr>
                  <pic:blipFill>
                    <a:blip r:embed="rId11"/>
                    <a:stretch>
                      <a:fillRect/>
                    </a:stretch>
                  </pic:blipFill>
                  <pic:spPr>
                    <a:xfrm>
                      <a:off x="0" y="0"/>
                      <a:ext cx="6535420" cy="2871470"/>
                    </a:xfrm>
                    <a:prstGeom prst="rect">
                      <a:avLst/>
                    </a:prstGeom>
                  </pic:spPr>
                </pic:pic>
              </a:graphicData>
            </a:graphic>
          </wp:inline>
        </w:drawing>
      </w:r>
    </w:p>
    <w:p w14:paraId="5F3EEE46">
      <w:r>
        <w:rPr>
          <w:rFonts w:hint="eastAsia"/>
          <w:lang w:val="en-US" w:bidi="ar-SA"/>
        </w:rPr>
        <w:drawing>
          <wp:inline distT="0" distB="0" distL="114300" distR="114300">
            <wp:extent cx="6542405" cy="3408045"/>
            <wp:effectExtent l="0" t="0" r="1270" b="1905"/>
            <wp:docPr id="10" name="图片 10" descr="37faa01c36a20bcc5dda650848f4d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7faa01c36a20bcc5dda650848f4d4de"/>
                    <pic:cNvPicPr>
                      <a:picLocks noChangeAspect="1"/>
                    </pic:cNvPicPr>
                  </pic:nvPicPr>
                  <pic:blipFill>
                    <a:blip r:embed="rId12"/>
                    <a:stretch>
                      <a:fillRect/>
                    </a:stretch>
                  </pic:blipFill>
                  <pic:spPr>
                    <a:xfrm>
                      <a:off x="0" y="0"/>
                      <a:ext cx="6542405" cy="3408045"/>
                    </a:xfrm>
                    <a:prstGeom prst="rect">
                      <a:avLst/>
                    </a:prstGeom>
                  </pic:spPr>
                </pic:pic>
              </a:graphicData>
            </a:graphic>
          </wp:inline>
        </w:drawing>
      </w:r>
    </w:p>
    <w:p w14:paraId="40DF9DC2">
      <w:pPr>
        <w:ind w:firstLine="440" w:firstLineChars="200"/>
      </w:pPr>
    </w:p>
    <w:p w14:paraId="4D327D53">
      <w:pPr>
        <w:ind w:firstLine="221" w:firstLineChars="100"/>
        <w:rPr>
          <w:rFonts w:asciiTheme="minorEastAsia" w:hAnsiTheme="minorEastAsia" w:eastAsiaTheme="minorEastAsia"/>
          <w:b/>
          <w:lang w:val="en-US"/>
        </w:rPr>
      </w:pPr>
      <w:r>
        <w:rPr>
          <w:rFonts w:hint="eastAsia" w:asciiTheme="minorEastAsia" w:hAnsiTheme="minorEastAsia" w:eastAsiaTheme="minorEastAsia"/>
          <w:b/>
          <w:lang w:val="en-US"/>
        </w:rPr>
        <w:t>2、服务边界</w:t>
      </w:r>
    </w:p>
    <w:tbl>
      <w:tblPr>
        <w:tblStyle w:val="23"/>
        <w:tblW w:w="102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134"/>
        <w:gridCol w:w="8125"/>
      </w:tblGrid>
      <w:tr w14:paraId="1B8F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18" w:hRule="atLeast"/>
        </w:trPr>
        <w:tc>
          <w:tcPr>
            <w:tcW w:w="2134" w:type="dxa"/>
            <w:shd w:val="clear" w:color="auto" w:fill="FFFFFF"/>
            <w:tcMar>
              <w:top w:w="150" w:type="dxa"/>
              <w:left w:w="0" w:type="dxa"/>
              <w:bottom w:w="150" w:type="dxa"/>
              <w:right w:w="240" w:type="dxa"/>
            </w:tcMar>
            <w:vAlign w:val="center"/>
          </w:tcPr>
          <w:p w14:paraId="3D12C210">
            <w:pPr>
              <w:widowControl/>
              <w:autoSpaceDE/>
              <w:autoSpaceDN/>
              <w:spacing w:before="240"/>
              <w:jc w:val="center"/>
              <w:rPr>
                <w:b/>
                <w:bCs/>
                <w:color w:val="0F1115"/>
                <w:lang w:val="en-US" w:bidi="ar-SA"/>
              </w:rPr>
            </w:pPr>
            <w:r>
              <w:rPr>
                <w:rFonts w:hint="eastAsia"/>
                <w:b/>
                <w:bCs/>
                <w:color w:val="0F1115"/>
                <w:lang w:val="en-US" w:bidi="ar-SA"/>
              </w:rPr>
              <w:t>服务科目</w:t>
            </w:r>
          </w:p>
        </w:tc>
        <w:tc>
          <w:tcPr>
            <w:tcW w:w="8125" w:type="dxa"/>
            <w:shd w:val="clear" w:color="auto" w:fill="FFFFFF"/>
            <w:tcMar>
              <w:top w:w="150" w:type="dxa"/>
              <w:left w:w="240" w:type="dxa"/>
              <w:bottom w:w="150" w:type="dxa"/>
              <w:right w:w="240" w:type="dxa"/>
            </w:tcMar>
            <w:vAlign w:val="center"/>
          </w:tcPr>
          <w:p w14:paraId="5B5119D4">
            <w:pPr>
              <w:widowControl/>
              <w:autoSpaceDE/>
              <w:autoSpaceDN/>
              <w:spacing w:before="240"/>
              <w:jc w:val="center"/>
              <w:rPr>
                <w:b/>
                <w:bCs/>
                <w:color w:val="0F1115"/>
                <w:lang w:val="en-US" w:bidi="ar-SA"/>
              </w:rPr>
            </w:pPr>
            <w:r>
              <w:rPr>
                <w:rFonts w:hint="eastAsia"/>
                <w:b/>
                <w:bCs/>
                <w:color w:val="0F1115"/>
                <w:lang w:val="en-US" w:bidi="ar-SA"/>
              </w:rPr>
              <w:t>内容及定义</w:t>
            </w:r>
          </w:p>
        </w:tc>
      </w:tr>
      <w:tr w14:paraId="0E0D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15" w:hRule="atLeast"/>
        </w:trPr>
        <w:tc>
          <w:tcPr>
            <w:tcW w:w="2134" w:type="dxa"/>
            <w:shd w:val="clear" w:color="auto" w:fill="FFFFFF"/>
            <w:tcMar>
              <w:top w:w="150" w:type="dxa"/>
              <w:left w:w="0" w:type="dxa"/>
              <w:bottom w:w="150" w:type="dxa"/>
              <w:right w:w="240" w:type="dxa"/>
            </w:tcMar>
            <w:vAlign w:val="center"/>
          </w:tcPr>
          <w:p w14:paraId="254338AD">
            <w:pPr>
              <w:widowControl/>
              <w:autoSpaceDE/>
              <w:autoSpaceDN/>
              <w:spacing w:before="240"/>
              <w:jc w:val="center"/>
              <w:rPr>
                <w:b/>
                <w:color w:val="0F1115"/>
                <w:lang w:val="en-US" w:bidi="ar-SA"/>
              </w:rPr>
            </w:pPr>
            <w:r>
              <w:rPr>
                <w:rFonts w:hint="eastAsia"/>
                <w:b/>
                <w:bCs/>
                <w:color w:val="0F1115"/>
                <w:lang w:val="en-US" w:bidi="ar-SA"/>
              </w:rPr>
              <w:t>场地租赁</w:t>
            </w:r>
          </w:p>
        </w:tc>
        <w:tc>
          <w:tcPr>
            <w:tcW w:w="8125" w:type="dxa"/>
            <w:shd w:val="clear" w:color="auto" w:fill="FFFFFF"/>
            <w:tcMar>
              <w:top w:w="150" w:type="dxa"/>
              <w:left w:w="240" w:type="dxa"/>
              <w:bottom w:w="150" w:type="dxa"/>
              <w:right w:w="240" w:type="dxa"/>
            </w:tcMar>
            <w:vAlign w:val="center"/>
          </w:tcPr>
          <w:p w14:paraId="2D1C851D">
            <w:pPr>
              <w:widowControl/>
              <w:autoSpaceDE/>
              <w:autoSpaceDN/>
              <w:spacing w:before="240"/>
              <w:rPr>
                <w:color w:val="0F1115"/>
                <w:lang w:val="en-US" w:bidi="ar-SA"/>
              </w:rPr>
            </w:pPr>
            <w:r>
              <w:rPr>
                <w:rFonts w:hint="eastAsia"/>
              </w:rPr>
              <w:t>投标方提供符合本合同技术要求的仓库物理空间及配套基础设施，功能区域涵盖收货质检区、存储区、翻包作业区、集货区、发运区、分运区、退库物资区、员工办公区、招标方工作人员办公区等；同步承担场地范围内的园区安保值守、消防运维、物业设施检修、水电供应保障等管理职责，确保消防设施合规有效、水电供应稳定可靠、安防与物业运维常态达标，对库区消防安全、设施完好性及场地运营保障承担全部责任。</w:t>
            </w:r>
          </w:p>
        </w:tc>
      </w:tr>
      <w:tr w14:paraId="3276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615" w:hRule="atLeast"/>
        </w:trPr>
        <w:tc>
          <w:tcPr>
            <w:tcW w:w="2134" w:type="dxa"/>
            <w:shd w:val="clear" w:color="auto" w:fill="FFFFFF"/>
            <w:tcMar>
              <w:top w:w="150" w:type="dxa"/>
              <w:left w:w="0" w:type="dxa"/>
              <w:bottom w:w="150" w:type="dxa"/>
              <w:right w:w="240" w:type="dxa"/>
            </w:tcMar>
            <w:vAlign w:val="center"/>
          </w:tcPr>
          <w:p w14:paraId="7B2FD2A6">
            <w:pPr>
              <w:widowControl/>
              <w:autoSpaceDE/>
              <w:autoSpaceDN/>
              <w:spacing w:before="240"/>
              <w:jc w:val="center"/>
              <w:rPr>
                <w:b/>
                <w:bCs/>
                <w:color w:val="0F1115"/>
                <w:lang w:val="en-US" w:bidi="ar-SA"/>
              </w:rPr>
            </w:pPr>
            <w:r>
              <w:rPr>
                <w:rFonts w:hint="eastAsia"/>
                <w:b/>
              </w:rPr>
              <w:t>循环取货服务</w:t>
            </w:r>
          </w:p>
        </w:tc>
        <w:tc>
          <w:tcPr>
            <w:tcW w:w="8125" w:type="dxa"/>
            <w:shd w:val="clear" w:color="auto" w:fill="FFFFFF"/>
            <w:tcMar>
              <w:top w:w="150" w:type="dxa"/>
              <w:left w:w="240" w:type="dxa"/>
              <w:bottom w:w="150" w:type="dxa"/>
              <w:right w:w="240" w:type="dxa"/>
            </w:tcMar>
            <w:vAlign w:val="center"/>
          </w:tcPr>
          <w:p w14:paraId="79B68A8E">
            <w:pPr>
              <w:widowControl/>
              <w:autoSpaceDE/>
              <w:autoSpaceDN/>
              <w:spacing w:before="240"/>
            </w:pPr>
            <w:r>
              <w:rPr>
                <w:rFonts w:hint="eastAsia"/>
              </w:rPr>
              <w:t>中标方根据招标方下达的日/周取货计划，按照规划的固定循环线路，前往指定供方生产厂区、配套供应商仓库完成配件提货、清点、交接，集货后统一运输至中标方仓储库区；负责取货全流程的车辆调度、在途管控、货损防护与时效保障，承担取货运输环节的货损、货差、延误全部责任；通过循环集货模式降低供方零散送货车次，均衡到货节奏，匹配库区包装产能，平抑到货波峰波谷。</w:t>
            </w:r>
          </w:p>
        </w:tc>
      </w:tr>
      <w:tr w14:paraId="134A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97" w:hRule="atLeast"/>
        </w:trPr>
        <w:tc>
          <w:tcPr>
            <w:tcW w:w="2134" w:type="dxa"/>
            <w:shd w:val="clear" w:color="auto" w:fill="FFFFFF"/>
            <w:tcMar>
              <w:top w:w="150" w:type="dxa"/>
              <w:left w:w="0" w:type="dxa"/>
              <w:bottom w:w="150" w:type="dxa"/>
              <w:right w:w="240" w:type="dxa"/>
            </w:tcMar>
            <w:vAlign w:val="center"/>
          </w:tcPr>
          <w:p w14:paraId="3189B12D">
            <w:pPr>
              <w:widowControl/>
              <w:autoSpaceDE/>
              <w:autoSpaceDN/>
              <w:spacing w:before="240"/>
              <w:jc w:val="center"/>
              <w:rPr>
                <w:color w:val="0F1115"/>
                <w:lang w:val="en-US" w:bidi="ar-SA"/>
              </w:rPr>
            </w:pPr>
            <w:r>
              <w:rPr>
                <w:rFonts w:hint="eastAsia"/>
                <w:b/>
                <w:bCs/>
                <w:color w:val="0F1115"/>
                <w:lang w:val="en-US" w:bidi="ar-SA"/>
              </w:rPr>
              <w:t>普通配件翻包及分拣服务</w:t>
            </w:r>
          </w:p>
        </w:tc>
        <w:tc>
          <w:tcPr>
            <w:tcW w:w="8125" w:type="dxa"/>
            <w:shd w:val="clear" w:color="auto" w:fill="FFFFFF"/>
            <w:tcMar>
              <w:top w:w="150" w:type="dxa"/>
              <w:left w:w="240" w:type="dxa"/>
              <w:bottom w:w="150" w:type="dxa"/>
              <w:right w:w="240" w:type="dxa"/>
            </w:tcMar>
            <w:vAlign w:val="center"/>
          </w:tcPr>
          <w:p w14:paraId="30F0850A">
            <w:pPr>
              <w:widowControl/>
              <w:autoSpaceDE/>
              <w:autoSpaceDN/>
              <w:spacing w:before="240"/>
              <w:rPr>
                <w:color w:val="0F1115"/>
                <w:lang w:val="en-US" w:bidi="ar-SA"/>
              </w:rPr>
            </w:pPr>
            <w:r>
              <w:rPr>
                <w:rFonts w:hint="eastAsia"/>
                <w:color w:val="0F1115"/>
                <w:lang w:val="en-US" w:bidi="ar-SA"/>
              </w:rPr>
              <w:t>适用不符合销售标准、需更换纸箱(木箱)二级包装的中小体积普通配件。按招标方包装工艺要求，完成收货外观与数量核验、清点、翻包装箱、内件防护、条码绑定校验、外箱标签打印粘贴、按订单/目的地分拣整理及交接全流程作业；对翻包过程中的配件数量准确性、防护质量负责。</w:t>
            </w:r>
          </w:p>
        </w:tc>
      </w:tr>
      <w:tr w14:paraId="3073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297" w:hRule="atLeast"/>
        </w:trPr>
        <w:tc>
          <w:tcPr>
            <w:tcW w:w="2134" w:type="dxa"/>
            <w:shd w:val="clear" w:color="auto" w:fill="FFFFFF"/>
            <w:tcMar>
              <w:top w:w="150" w:type="dxa"/>
              <w:left w:w="0" w:type="dxa"/>
              <w:bottom w:w="150" w:type="dxa"/>
              <w:right w:w="240" w:type="dxa"/>
            </w:tcMar>
            <w:vAlign w:val="center"/>
          </w:tcPr>
          <w:p w14:paraId="047A98AC">
            <w:pPr>
              <w:widowControl/>
              <w:autoSpaceDE/>
              <w:autoSpaceDN/>
              <w:spacing w:before="240"/>
              <w:jc w:val="center"/>
              <w:rPr>
                <w:b/>
                <w:bCs/>
                <w:color w:val="0F1115"/>
                <w:lang w:val="en-US" w:bidi="ar-SA"/>
              </w:rPr>
            </w:pPr>
            <w:r>
              <w:rPr>
                <w:rFonts w:hint="eastAsia"/>
                <w:b/>
                <w:bCs/>
                <w:color w:val="0F1115"/>
                <w:lang w:val="en-US" w:bidi="ar-SA"/>
              </w:rPr>
              <w:t>原包装配件扫码贴码服务</w:t>
            </w:r>
          </w:p>
        </w:tc>
        <w:tc>
          <w:tcPr>
            <w:tcW w:w="8125" w:type="dxa"/>
            <w:shd w:val="clear" w:color="auto" w:fill="FFFFFF"/>
            <w:tcMar>
              <w:top w:w="150" w:type="dxa"/>
              <w:left w:w="240" w:type="dxa"/>
              <w:bottom w:w="150" w:type="dxa"/>
              <w:right w:w="240" w:type="dxa"/>
            </w:tcMar>
            <w:vAlign w:val="center"/>
          </w:tcPr>
          <w:p w14:paraId="2BA94976">
            <w:pPr>
              <w:widowControl/>
              <w:autoSpaceDE/>
              <w:autoSpaceDN/>
              <w:spacing w:before="240"/>
              <w:rPr>
                <w:color w:val="0F1115"/>
                <w:lang w:val="en-US" w:bidi="ar-SA"/>
              </w:rPr>
            </w:pPr>
            <w:r>
              <w:rPr>
                <w:rFonts w:hint="eastAsia"/>
                <w:color w:val="0F1115"/>
                <w:lang w:val="en-US" w:bidi="ar-SA"/>
              </w:rPr>
              <w:t>适用于到货包装符合发运标准、无需更换包装的普通配件。按招标方作业规范，完成收货外观与数量核验、条码绑定/信息采集、外箱标签打印粘贴、按订单/目的地分拣整理及交接全流程作业；不改动原厂包装形态，对分拣准确性、信息录入准确性负责。</w:t>
            </w:r>
          </w:p>
        </w:tc>
      </w:tr>
      <w:tr w14:paraId="127B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5" w:hRule="atLeast"/>
        </w:trPr>
        <w:tc>
          <w:tcPr>
            <w:tcW w:w="2134" w:type="dxa"/>
            <w:shd w:val="clear" w:color="auto" w:fill="FFFFFF"/>
            <w:tcMar>
              <w:top w:w="150" w:type="dxa"/>
              <w:left w:w="0" w:type="dxa"/>
              <w:bottom w:w="150" w:type="dxa"/>
              <w:right w:w="240" w:type="dxa"/>
            </w:tcMar>
            <w:vAlign w:val="center"/>
          </w:tcPr>
          <w:p w14:paraId="1E9AA00C">
            <w:pPr>
              <w:widowControl/>
              <w:autoSpaceDE/>
              <w:autoSpaceDN/>
              <w:spacing w:before="240"/>
              <w:jc w:val="center"/>
              <w:rPr>
                <w:color w:val="0F1115"/>
                <w:lang w:val="en-US" w:bidi="ar-SA"/>
              </w:rPr>
            </w:pPr>
            <w:r>
              <w:rPr>
                <w:rFonts w:hint="eastAsia"/>
                <w:b/>
                <w:bCs/>
                <w:color w:val="0F1115"/>
                <w:lang w:val="en-US" w:bidi="ar-SA"/>
              </w:rPr>
              <w:t>大总成类翻包分拣服务</w:t>
            </w:r>
          </w:p>
        </w:tc>
        <w:tc>
          <w:tcPr>
            <w:tcW w:w="8125" w:type="dxa"/>
            <w:shd w:val="clear" w:color="auto" w:fill="FFFFFF"/>
            <w:tcMar>
              <w:top w:w="150" w:type="dxa"/>
              <w:left w:w="240" w:type="dxa"/>
              <w:bottom w:w="150" w:type="dxa"/>
              <w:right w:w="240" w:type="dxa"/>
            </w:tcMar>
            <w:vAlign w:val="center"/>
          </w:tcPr>
          <w:p w14:paraId="32A75275">
            <w:pPr>
              <w:widowControl/>
              <w:autoSpaceDE/>
              <w:autoSpaceDN/>
              <w:spacing w:before="240"/>
              <w:rPr>
                <w:color w:val="0F1115"/>
                <w:lang w:val="en-US" w:bidi="ar-SA"/>
              </w:rPr>
            </w:pPr>
            <w:r>
              <w:rPr>
                <w:rFonts w:hint="eastAsia"/>
                <w:color w:val="0F1115"/>
                <w:lang w:val="en-US" w:bidi="ar-SA"/>
              </w:rPr>
              <w:t>适用于发动机、驾驶室、变速箱、车桥、车架等到货包装不满足长途发运防护要求、需重新制作包装的大总成件。按招标方包装工艺要求，完成收货状态核验、定制包装制作（木箱/铁框架/加固辅料）、装箱防护加固、条码绑定、按订单/目的地分拣及交接作业；对包装防护质量负责。</w:t>
            </w:r>
          </w:p>
        </w:tc>
      </w:tr>
      <w:tr w14:paraId="06E8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97" w:hRule="atLeast"/>
        </w:trPr>
        <w:tc>
          <w:tcPr>
            <w:tcW w:w="2134" w:type="dxa"/>
            <w:shd w:val="clear" w:color="auto" w:fill="FFFFFF"/>
            <w:tcMar>
              <w:top w:w="150" w:type="dxa"/>
              <w:left w:w="0" w:type="dxa"/>
              <w:bottom w:w="150" w:type="dxa"/>
              <w:right w:w="240" w:type="dxa"/>
            </w:tcMar>
            <w:vAlign w:val="center"/>
          </w:tcPr>
          <w:p w14:paraId="64A1BDFF">
            <w:pPr>
              <w:widowControl/>
              <w:autoSpaceDE/>
              <w:autoSpaceDN/>
              <w:spacing w:before="240"/>
              <w:jc w:val="center"/>
              <w:rPr>
                <w:b/>
                <w:bCs/>
                <w:color w:val="0F1115"/>
                <w:lang w:val="en-US" w:bidi="ar-SA"/>
              </w:rPr>
            </w:pPr>
            <w:r>
              <w:rPr>
                <w:rFonts w:hint="eastAsia"/>
                <w:b/>
                <w:bCs/>
                <w:color w:val="0F1115"/>
                <w:lang w:val="en-US" w:bidi="ar-SA"/>
              </w:rPr>
              <w:t>大总成类分拣服务</w:t>
            </w:r>
          </w:p>
        </w:tc>
        <w:tc>
          <w:tcPr>
            <w:tcW w:w="8125" w:type="dxa"/>
            <w:shd w:val="clear" w:color="auto" w:fill="FFFFFF"/>
            <w:tcMar>
              <w:top w:w="150" w:type="dxa"/>
              <w:left w:w="240" w:type="dxa"/>
              <w:bottom w:w="150" w:type="dxa"/>
              <w:right w:w="240" w:type="dxa"/>
            </w:tcMar>
            <w:vAlign w:val="center"/>
          </w:tcPr>
          <w:p w14:paraId="630C5753">
            <w:pPr>
              <w:widowControl/>
              <w:autoSpaceDE/>
              <w:autoSpaceDN/>
              <w:spacing w:before="240"/>
              <w:rPr>
                <w:color w:val="0F1115"/>
                <w:lang w:val="en-US" w:bidi="ar-SA"/>
              </w:rPr>
            </w:pPr>
            <w:r>
              <w:rPr>
                <w:rFonts w:hint="eastAsia"/>
                <w:color w:val="0F1115"/>
                <w:lang w:val="en-US" w:bidi="ar-SA"/>
              </w:rPr>
              <w:t>适用于发动机、驾驶室、变速箱、车桥、车架等原厂包装符合发运防护标准、无需重新制作包装的大总成件。按招标方作业规范，完成收货状态核验、条码绑定/信息采集、按订单/目的地分拣及交接作业；不改动原厂包装结构，对分拣准确性、信息录入准确性负责。</w:t>
            </w:r>
          </w:p>
        </w:tc>
      </w:tr>
      <w:tr w14:paraId="4416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45" w:hRule="atLeast"/>
        </w:trPr>
        <w:tc>
          <w:tcPr>
            <w:tcW w:w="2134" w:type="dxa"/>
            <w:shd w:val="clear" w:color="auto" w:fill="FFFFFF"/>
            <w:tcMar>
              <w:top w:w="150" w:type="dxa"/>
              <w:left w:w="0" w:type="dxa"/>
              <w:bottom w:w="150" w:type="dxa"/>
              <w:right w:w="240" w:type="dxa"/>
            </w:tcMar>
            <w:vAlign w:val="center"/>
          </w:tcPr>
          <w:p w14:paraId="04450503">
            <w:pPr>
              <w:widowControl/>
              <w:autoSpaceDE/>
              <w:autoSpaceDN/>
              <w:spacing w:before="240"/>
              <w:jc w:val="center"/>
              <w:rPr>
                <w:b/>
                <w:bCs/>
                <w:color w:val="0F1115"/>
                <w:lang w:val="en-US" w:bidi="ar-SA"/>
              </w:rPr>
            </w:pPr>
            <w:r>
              <w:rPr>
                <w:rFonts w:hint="eastAsia"/>
                <w:b/>
                <w:bCs/>
                <w:color w:val="0F1115"/>
                <w:lang w:val="en-US" w:bidi="ar-SA"/>
              </w:rPr>
              <w:t>油液类(曼油)</w:t>
            </w:r>
          </w:p>
        </w:tc>
        <w:tc>
          <w:tcPr>
            <w:tcW w:w="8125" w:type="dxa"/>
            <w:shd w:val="clear" w:color="auto" w:fill="FFFFFF"/>
            <w:tcMar>
              <w:top w:w="150" w:type="dxa"/>
              <w:left w:w="240" w:type="dxa"/>
              <w:bottom w:w="150" w:type="dxa"/>
              <w:right w:w="240" w:type="dxa"/>
            </w:tcMar>
            <w:vAlign w:val="center"/>
          </w:tcPr>
          <w:p w14:paraId="5780EA92">
            <w:pPr>
              <w:widowControl/>
              <w:autoSpaceDE/>
              <w:autoSpaceDN/>
              <w:spacing w:before="240"/>
              <w:rPr>
                <w:color w:val="0F1115"/>
                <w:lang w:val="en-US" w:bidi="ar-SA"/>
              </w:rPr>
            </w:pPr>
            <w:r>
              <w:rPr>
                <w:rFonts w:hint="eastAsia"/>
                <w:color w:val="0F1115"/>
                <w:lang w:val="en-US" w:bidi="ar-SA"/>
              </w:rPr>
              <w:t>适用于招标人自产曼牌机油类产品。覆盖三类作业场景：</w:t>
            </w:r>
          </w:p>
          <w:p w14:paraId="359544E6">
            <w:pPr>
              <w:pStyle w:val="33"/>
              <w:widowControl/>
              <w:numPr>
                <w:ilvl w:val="0"/>
                <w:numId w:val="3"/>
              </w:numPr>
              <w:autoSpaceDE/>
              <w:autoSpaceDN/>
              <w:spacing w:before="240"/>
              <w:ind w:left="471" w:hanging="471"/>
              <w:rPr>
                <w:color w:val="0F1115"/>
                <w:lang w:val="en-US" w:bidi="ar-SA"/>
              </w:rPr>
            </w:pPr>
            <w:r>
              <w:rPr>
                <w:rFonts w:hint="eastAsia"/>
                <w:color w:val="0F1115"/>
                <w:lang w:val="en-US" w:bidi="ar-SA"/>
              </w:rPr>
              <w:t>生产完工产品的储备管理，完成收货数量核验、条码绑定、入库上架、在库养护、先进先出管理、按订单分拣贴标及交接发运；</w:t>
            </w:r>
          </w:p>
          <w:p w14:paraId="7C643A2F">
            <w:pPr>
              <w:pStyle w:val="33"/>
              <w:widowControl/>
              <w:numPr>
                <w:ilvl w:val="0"/>
                <w:numId w:val="3"/>
              </w:numPr>
              <w:autoSpaceDE/>
              <w:autoSpaceDN/>
              <w:spacing w:before="240"/>
              <w:ind w:left="471" w:hanging="471"/>
              <w:rPr>
                <w:color w:val="0F1115"/>
                <w:lang w:val="en-US" w:bidi="ar-SA"/>
              </w:rPr>
            </w:pPr>
            <w:r>
              <w:rPr>
                <w:rFonts w:hint="eastAsia"/>
                <w:color w:val="0F1115"/>
                <w:lang w:val="en-US" w:bidi="ar-SA"/>
              </w:rPr>
              <w:t>是生产完工后直接出库的直通作业，无需入库存储，直接完成条码校验、分拣贴标及交接。</w:t>
            </w:r>
          </w:p>
          <w:p w14:paraId="01AC972D">
            <w:pPr>
              <w:pStyle w:val="33"/>
              <w:widowControl/>
              <w:numPr>
                <w:ilvl w:val="0"/>
                <w:numId w:val="3"/>
              </w:numPr>
              <w:autoSpaceDE/>
              <w:autoSpaceDN/>
              <w:spacing w:before="240"/>
              <w:ind w:left="471" w:hanging="471"/>
              <w:rPr>
                <w:color w:val="0F1115"/>
                <w:lang w:val="en-US" w:bidi="ar-SA"/>
              </w:rPr>
            </w:pPr>
            <w:r>
              <w:rPr>
                <w:rFonts w:hint="eastAsia"/>
                <w:color w:val="0F1115"/>
                <w:lang w:val="en-US" w:bidi="ar-SA"/>
              </w:rPr>
              <w:t>同时承担中心库分运订单出库后实物暂存管理，提供最长2个月的免费暂存期，负责暂存货物的台账隔离、批次跟踪、到期提醒及库存安全，暂存期间账实一致性与货物完好性由中标方承担全部责任。</w:t>
            </w:r>
          </w:p>
        </w:tc>
      </w:tr>
      <w:tr w14:paraId="6670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56" w:hRule="atLeast"/>
        </w:trPr>
        <w:tc>
          <w:tcPr>
            <w:tcW w:w="2134" w:type="dxa"/>
            <w:shd w:val="clear" w:color="auto" w:fill="FFFFFF"/>
            <w:tcMar>
              <w:top w:w="150" w:type="dxa"/>
              <w:left w:w="0" w:type="dxa"/>
              <w:bottom w:w="150" w:type="dxa"/>
              <w:right w:w="240" w:type="dxa"/>
            </w:tcMar>
            <w:vAlign w:val="center"/>
          </w:tcPr>
          <w:p w14:paraId="3033238C">
            <w:pPr>
              <w:widowControl/>
              <w:autoSpaceDE/>
              <w:autoSpaceDN/>
              <w:spacing w:before="240"/>
              <w:jc w:val="center"/>
              <w:rPr>
                <w:color w:val="0F1115"/>
                <w:lang w:val="en-US" w:bidi="ar-SA"/>
              </w:rPr>
            </w:pPr>
            <w:r>
              <w:rPr>
                <w:rFonts w:hint="eastAsia"/>
                <w:b/>
                <w:bCs/>
                <w:color w:val="0F1115"/>
                <w:lang w:val="en-US" w:bidi="ar-SA"/>
              </w:rPr>
              <w:t>仓储管理</w:t>
            </w:r>
          </w:p>
        </w:tc>
        <w:tc>
          <w:tcPr>
            <w:tcW w:w="8125" w:type="dxa"/>
            <w:shd w:val="clear" w:color="auto" w:fill="FFFFFF"/>
            <w:tcMar>
              <w:top w:w="150" w:type="dxa"/>
              <w:left w:w="240" w:type="dxa"/>
              <w:bottom w:w="150" w:type="dxa"/>
              <w:right w:w="240" w:type="dxa"/>
            </w:tcMar>
            <w:vAlign w:val="center"/>
          </w:tcPr>
          <w:p w14:paraId="69C303E7">
            <w:pPr>
              <w:widowControl/>
              <w:autoSpaceDE/>
              <w:autoSpaceDN/>
              <w:spacing w:before="240"/>
              <w:rPr>
                <w:color w:val="0F1115"/>
                <w:lang w:val="en-US" w:bidi="ar-SA"/>
              </w:rPr>
            </w:pPr>
            <w:r>
              <w:rPr>
                <w:rFonts w:hint="eastAsia"/>
                <w:color w:val="0F1115"/>
                <w:lang w:val="en-US" w:bidi="ar-SA"/>
              </w:rPr>
              <w:t>按仓储类别实行分仓管理（含储备库、中转库、销售退回库、分运库），覆盖配件到货验收、扫码入库、库位规划、上架存储、在库养护、批次追溯、先进先出执行、定期盘点、订单下架拣选全流程作业；按照质量质保周期要求，进行分类分区存放，并建立库存台账、容量及库龄预警机制，确保账、卡、物三相符，对库存物资的数量准确性、存储安全性、状态完好性承担全部责任。</w:t>
            </w:r>
          </w:p>
        </w:tc>
      </w:tr>
      <w:tr w14:paraId="7639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7" w:hRule="atLeast"/>
        </w:trPr>
        <w:tc>
          <w:tcPr>
            <w:tcW w:w="2134" w:type="dxa"/>
            <w:shd w:val="clear" w:color="auto" w:fill="FFFFFF"/>
            <w:tcMar>
              <w:top w:w="150" w:type="dxa"/>
              <w:left w:w="0" w:type="dxa"/>
              <w:bottom w:w="150" w:type="dxa"/>
              <w:right w:w="240" w:type="dxa"/>
            </w:tcMar>
            <w:vAlign w:val="center"/>
          </w:tcPr>
          <w:p w14:paraId="666795DD">
            <w:pPr>
              <w:widowControl/>
              <w:autoSpaceDE/>
              <w:autoSpaceDN/>
              <w:spacing w:before="240"/>
              <w:jc w:val="center"/>
              <w:rPr>
                <w:color w:val="0F1115"/>
                <w:lang w:val="en-US" w:bidi="ar-SA"/>
              </w:rPr>
            </w:pPr>
            <w:r>
              <w:rPr>
                <w:rFonts w:hint="eastAsia"/>
                <w:b/>
                <w:bCs/>
                <w:color w:val="0F1115"/>
                <w:lang w:val="en-US" w:bidi="ar-SA"/>
              </w:rPr>
              <w:t>集货前交付服务</w:t>
            </w:r>
          </w:p>
        </w:tc>
        <w:tc>
          <w:tcPr>
            <w:tcW w:w="8125" w:type="dxa"/>
            <w:shd w:val="clear" w:color="auto" w:fill="FFFFFF"/>
            <w:tcMar>
              <w:top w:w="150" w:type="dxa"/>
              <w:left w:w="240" w:type="dxa"/>
              <w:bottom w:w="150" w:type="dxa"/>
              <w:right w:w="240" w:type="dxa"/>
            </w:tcMar>
            <w:vAlign w:val="center"/>
          </w:tcPr>
          <w:p w14:paraId="27B90DB8">
            <w:pPr>
              <w:widowControl/>
              <w:autoSpaceDE/>
              <w:autoSpaceDN/>
              <w:spacing w:before="240"/>
              <w:rPr>
                <w:color w:val="0F1115"/>
                <w:lang w:val="en-US" w:bidi="ar-SA"/>
              </w:rPr>
            </w:pPr>
            <w:r>
              <w:rPr>
                <w:rFonts w:hint="eastAsia"/>
              </w:rPr>
              <w:t>根据系统出库订单指令，按订单维度完成拣货复核，按目的地/承运商归集分类，转运至对应集货待发区域；与后续集货环节办理实物与单据的双向签认交接，对分拣准确率及交付时效性负责。</w:t>
            </w:r>
          </w:p>
        </w:tc>
      </w:tr>
      <w:tr w14:paraId="52D9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56" w:hRule="atLeast"/>
        </w:trPr>
        <w:tc>
          <w:tcPr>
            <w:tcW w:w="2134" w:type="dxa"/>
            <w:shd w:val="clear" w:color="auto" w:fill="FFFFFF"/>
            <w:tcMar>
              <w:top w:w="150" w:type="dxa"/>
              <w:left w:w="0" w:type="dxa"/>
              <w:bottom w:w="150" w:type="dxa"/>
              <w:right w:w="240" w:type="dxa"/>
            </w:tcMar>
            <w:vAlign w:val="center"/>
          </w:tcPr>
          <w:p w14:paraId="04E8E37F">
            <w:pPr>
              <w:widowControl/>
              <w:autoSpaceDE/>
              <w:autoSpaceDN/>
              <w:spacing w:before="240"/>
              <w:jc w:val="center"/>
              <w:rPr>
                <w:color w:val="0F1115"/>
                <w:lang w:val="en-US" w:bidi="ar-SA"/>
              </w:rPr>
            </w:pPr>
            <w:r>
              <w:rPr>
                <w:rFonts w:hint="eastAsia"/>
                <w:b/>
                <w:bCs/>
                <w:color w:val="0F1115"/>
                <w:lang w:val="en-US" w:bidi="ar-SA"/>
              </w:rPr>
              <w:t>包装材料供应及回收</w:t>
            </w:r>
          </w:p>
        </w:tc>
        <w:tc>
          <w:tcPr>
            <w:tcW w:w="8125" w:type="dxa"/>
            <w:shd w:val="clear" w:color="auto" w:fill="FFFFFF"/>
            <w:tcMar>
              <w:top w:w="150" w:type="dxa"/>
              <w:left w:w="240" w:type="dxa"/>
              <w:bottom w:w="150" w:type="dxa"/>
              <w:right w:w="240" w:type="dxa"/>
            </w:tcMar>
            <w:vAlign w:val="center"/>
          </w:tcPr>
          <w:p w14:paraId="3034D358">
            <w:pPr>
              <w:widowControl/>
              <w:autoSpaceDE/>
              <w:autoSpaceDN/>
              <w:spacing w:before="240"/>
              <w:rPr>
                <w:color w:val="0F1115"/>
                <w:lang w:val="en-US" w:bidi="ar-SA"/>
              </w:rPr>
            </w:pPr>
            <w:r>
              <w:rPr>
                <w:rFonts w:hint="eastAsia"/>
                <w:color w:val="0F1115"/>
                <w:lang w:val="en-US" w:bidi="ar-SA"/>
              </w:rPr>
              <w:t>负责项目全品类包装材料的采购、质检、仓储、工位配送及余料回收全流程管理，涵盖纸箱、木箱、托盘等包装容器，以及标签、打包带、封箱胶带、气泡膜、气泡柱、成型泡沫、珍珠棉、气相防锈袋、发泡材料、塑料防护袋、充气气枕等防护缓冲与标识辅料；所有包材材质、性能须符合招标方技术标准与环保要求，对包材质量稳定性与供应及时性负责。</w:t>
            </w:r>
          </w:p>
        </w:tc>
      </w:tr>
      <w:tr w14:paraId="3430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35" w:hRule="atLeast"/>
        </w:trPr>
        <w:tc>
          <w:tcPr>
            <w:tcW w:w="2134" w:type="dxa"/>
            <w:shd w:val="clear" w:color="auto" w:fill="FFFFFF"/>
            <w:tcMar>
              <w:top w:w="150" w:type="dxa"/>
              <w:left w:w="0" w:type="dxa"/>
              <w:bottom w:w="150" w:type="dxa"/>
              <w:right w:w="240" w:type="dxa"/>
            </w:tcMar>
            <w:vAlign w:val="center"/>
          </w:tcPr>
          <w:p w14:paraId="71AB74F1">
            <w:pPr>
              <w:widowControl/>
              <w:autoSpaceDE/>
              <w:autoSpaceDN/>
              <w:spacing w:before="240"/>
              <w:jc w:val="center"/>
              <w:rPr>
                <w:b/>
                <w:bCs/>
                <w:color w:val="0F1115"/>
                <w:lang w:val="en-US" w:bidi="ar-SA"/>
              </w:rPr>
            </w:pPr>
            <w:r>
              <w:rPr>
                <w:rFonts w:hint="eastAsia"/>
                <w:b/>
                <w:bCs/>
                <w:color w:val="0F1115"/>
                <w:lang w:val="en-US" w:bidi="ar-SA"/>
              </w:rPr>
              <w:t>特殊操作服务</w:t>
            </w:r>
          </w:p>
        </w:tc>
        <w:tc>
          <w:tcPr>
            <w:tcW w:w="8125" w:type="dxa"/>
            <w:shd w:val="clear" w:color="auto" w:fill="FFFFFF"/>
            <w:tcMar>
              <w:top w:w="150" w:type="dxa"/>
              <w:left w:w="240" w:type="dxa"/>
              <w:bottom w:w="150" w:type="dxa"/>
              <w:right w:w="240" w:type="dxa"/>
            </w:tcMar>
            <w:vAlign w:val="center"/>
          </w:tcPr>
          <w:p w14:paraId="3EE3738D">
            <w:pPr>
              <w:widowControl/>
              <w:autoSpaceDE/>
              <w:autoSpaceDN/>
              <w:spacing w:before="240"/>
              <w:rPr>
                <w:color w:val="0F1115"/>
                <w:lang w:val="en-US" w:bidi="ar-SA"/>
              </w:rPr>
            </w:pPr>
            <w:r>
              <w:rPr>
                <w:rFonts w:hint="eastAsia"/>
                <w:color w:val="0F1115"/>
                <w:lang w:val="en-US" w:bidi="ar-SA"/>
              </w:rPr>
              <w:t>裸件及包装后成品配件重尺的测量、照片拍摄及数据维护。</w:t>
            </w:r>
          </w:p>
        </w:tc>
      </w:tr>
    </w:tbl>
    <w:p w14:paraId="1E204352">
      <w:pPr>
        <w:spacing w:before="240"/>
        <w:ind w:firstLine="440" w:firstLineChars="200"/>
        <w:rPr>
          <w:rFonts w:ascii="Segoe UI" w:hAnsi="Segoe UI" w:cs="Segoe UI"/>
          <w:color w:val="0F1115"/>
          <w:shd w:val="clear" w:color="auto" w:fill="FFFFFF"/>
        </w:rPr>
      </w:pPr>
    </w:p>
    <w:p w14:paraId="0209D6C0">
      <w:pPr>
        <w:numPr>
          <w:ilvl w:val="0"/>
          <w:numId w:val="4"/>
        </w:numPr>
        <w:spacing w:before="240"/>
        <w:ind w:firstLine="321" w:firstLineChars="100"/>
        <w:rPr>
          <w:b/>
          <w:sz w:val="32"/>
          <w:lang w:val="en-US"/>
        </w:rPr>
      </w:pPr>
      <w:r>
        <w:rPr>
          <w:rFonts w:hint="eastAsia"/>
          <w:b/>
          <w:sz w:val="32"/>
          <w:lang w:val="en-US"/>
        </w:rPr>
        <w:t>技术要求</w:t>
      </w:r>
    </w:p>
    <w:p w14:paraId="159ECC29">
      <w:pPr>
        <w:tabs>
          <w:tab w:val="left" w:pos="918"/>
        </w:tabs>
        <w:ind w:firstLine="442" w:firstLineChars="200"/>
        <w:rPr>
          <w:b/>
          <w:bCs/>
          <w:lang w:val="en-US"/>
        </w:rPr>
      </w:pPr>
      <w:r>
        <w:rPr>
          <w:rFonts w:hint="eastAsia"/>
          <w:b/>
          <w:bCs/>
          <w:lang w:val="en-US"/>
        </w:rPr>
        <w:t>1.国内配件仓储服务技术要求</w:t>
      </w:r>
    </w:p>
    <w:p w14:paraId="6819B797">
      <w:pPr>
        <w:ind w:firstLine="440" w:firstLineChars="200"/>
      </w:pPr>
      <w:r>
        <w:rPr>
          <w:rFonts w:hint="eastAsia"/>
        </w:rPr>
        <w:t>1.1 配件扫码接收要求</w:t>
      </w:r>
    </w:p>
    <w:p w14:paraId="17F3DF93">
      <w:pPr>
        <w:ind w:firstLine="440" w:firstLineChars="200"/>
      </w:pPr>
      <w:r>
        <w:rPr>
          <w:rFonts w:hint="eastAsia"/>
        </w:rPr>
        <w:t>⑴ 供货单位车辆抵达库区接收区后，投标人须在30分钟内安排持证叉车工完成卸车作业，并将货物转运至收货待检区域指定货位。</w:t>
      </w:r>
    </w:p>
    <w:p w14:paraId="5257B7AF">
      <w:pPr>
        <w:ind w:firstLine="440" w:firstLineChars="200"/>
      </w:pPr>
      <w:r>
        <w:rPr>
          <w:rFonts w:hint="eastAsia"/>
        </w:rPr>
        <w:t>⑵ 卸车完成后，投标人收货专员须与供货单位交验人员共同清点物料品种、核对实物数量，双方签字确认交接凭证，明确交接节点责任划分。</w:t>
      </w:r>
    </w:p>
    <w:p w14:paraId="65B3B863">
      <w:pPr>
        <w:ind w:firstLine="440" w:firstLineChars="200"/>
      </w:pPr>
      <w:r>
        <w:rPr>
          <w:rFonts w:hint="eastAsia"/>
        </w:rPr>
        <w:t>1.2 质量检验要求</w:t>
      </w:r>
    </w:p>
    <w:p w14:paraId="7EDDED3D">
      <w:pPr>
        <w:ind w:firstLine="440" w:firstLineChars="200"/>
      </w:pPr>
      <w:r>
        <w:rPr>
          <w:rFonts w:hint="eastAsia"/>
        </w:rPr>
        <w:t>投标人接收到货产品时，须严格按照招标方质量管理文件要求，对产品外观质量、条码标识质量进行全检；产品外观不得存在磕碰、划伤、锈蚀等缺陷，条码须清晰可扫、符合系统识别要求。对检验发现的质量异常产品，须第一时间隔离存放，并填写《质量信息反馈单》上报招标人，最终处置方式以招标人鉴定意见为准。</w:t>
      </w:r>
    </w:p>
    <w:p w14:paraId="7F50FC32">
      <w:pPr>
        <w:ind w:firstLine="440" w:firstLineChars="200"/>
      </w:pPr>
      <w:r>
        <w:rPr>
          <w:rFonts w:hint="eastAsia"/>
        </w:rPr>
        <w:t>1.3 入库时效要求</w:t>
      </w:r>
    </w:p>
    <w:p w14:paraId="77DBDD44">
      <w:pPr>
        <w:ind w:firstLine="440" w:firstLineChars="200"/>
      </w:pPr>
      <w:r>
        <w:rPr>
          <w:rFonts w:hint="eastAsia"/>
        </w:rPr>
        <w:t>⑴ 系统入库时效：当日15:00前完成现场交接的到货产品，须于当日在仓储管理系统内完成入库登账；当日15:00后完成交接的产品，最迟须于次日10:00前完成系统入库操作。</w:t>
      </w:r>
    </w:p>
    <w:p w14:paraId="4C408020">
      <w:pPr>
        <w:ind w:firstLine="440" w:firstLineChars="200"/>
      </w:pPr>
      <w:r>
        <w:rPr>
          <w:rFonts w:hint="eastAsia"/>
        </w:rPr>
        <w:t>⑵ 包装上架时效：系统入库完成后，须在48小时内完成对应配件的包装作业与库位上架。</w:t>
      </w:r>
    </w:p>
    <w:p w14:paraId="0D539C78">
      <w:pPr>
        <w:ind w:firstLine="440" w:firstLineChars="200"/>
      </w:pPr>
      <w:r>
        <w:rPr>
          <w:rFonts w:hint="eastAsia"/>
        </w:rPr>
        <w:t>1.4 配件循环取货要求</w:t>
      </w:r>
    </w:p>
    <w:p w14:paraId="7788D6D4">
      <w:pPr>
        <w:ind w:firstLine="440" w:firstLineChars="200"/>
      </w:pPr>
      <w:r>
        <w:rPr>
          <w:rFonts w:hint="eastAsia"/>
        </w:rPr>
        <w:t>本条适用于招标人内部制造厂区产出配件的常态化取货作业，采用定时定路线循环取货模式，由本项目一体化服务商统一执行，全流程无二次交接环节。</w:t>
      </w:r>
    </w:p>
    <w:p w14:paraId="65437B22">
      <w:pPr>
        <w:ind w:firstLine="440" w:firstLineChars="200"/>
      </w:pPr>
      <w:r>
        <w:rPr>
          <w:rFonts w:hint="eastAsia"/>
        </w:rPr>
        <w:t>⑴ 方案配置：投标人根据招标人产线布局、采购订单计划及日排产计划、取货点位分布，编制专项循环取货方案，明确行驶路线、停靠点位、运行频次、准点标准，经招标人确认后实施，保障产线产出物料及时转运，无滞压、无积压。</w:t>
      </w:r>
    </w:p>
    <w:p w14:paraId="5F454CE6">
      <w:pPr>
        <w:ind w:firstLine="440" w:firstLineChars="200"/>
      </w:pPr>
      <w:r>
        <w:rPr>
          <w:rFonts w:hint="eastAsia"/>
        </w:rPr>
        <w:t>⑵ 取货交接与责任转移：车辆抵达每个取货点位后，投标人作业人员与点位交接人员共同完成实物清点、外观初检，核对物料编码、配件品种、实物数量，核查配件有无磕碰、划伤、锈蚀等外观缺陷，确认条码标识完整。货物装车完成即视为</w:t>
      </w:r>
      <w:r>
        <w:rPr>
          <w:rFonts w:hint="eastAsia"/>
          <w:highlight w:val="yellow"/>
        </w:rPr>
        <w:t>入库</w:t>
      </w:r>
      <w:r>
        <w:rPr>
          <w:rFonts w:hint="eastAsia"/>
        </w:rPr>
        <w:t>完成，对应数量、外观责任同步转移至投标人；取货点位的叉车设备及场内装卸作业由生产制造单位负责提供，投标人不承担该环节叉车设备及人员投入。货物运抵库区后仅做入库抽核，不再重复开展全量数量清点。</w:t>
      </w:r>
    </w:p>
    <w:p w14:paraId="092FBEFF">
      <w:pPr>
        <w:ind w:firstLine="440" w:firstLineChars="200"/>
      </w:pPr>
      <w:r>
        <w:rPr>
          <w:rFonts w:hint="eastAsia"/>
        </w:rPr>
        <w:t>⑶ 负责生产制造单位周转器具返回。</w:t>
      </w:r>
    </w:p>
    <w:p w14:paraId="145F7A68">
      <w:pPr>
        <w:ind w:firstLine="440" w:firstLineChars="200"/>
      </w:pPr>
      <w:r>
        <w:rPr>
          <w:rFonts w:hint="eastAsia"/>
        </w:rPr>
        <w:t>⑷ 调整响应：针对招标人临时调整取货点位、增加取货频次、加急取货等需求，投标人须具备快速响应能力，在约定时限内完成调整并落地执行，保障生产与仓储环节顺畅衔接。</w:t>
      </w:r>
    </w:p>
    <w:p w14:paraId="66B32345">
      <w:pPr>
        <w:ind w:firstLine="440" w:firstLineChars="200"/>
      </w:pPr>
      <w:r>
        <w:rPr>
          <w:rFonts w:hint="eastAsia"/>
        </w:rPr>
        <w:t>1.5 配件包装及出库要求</w:t>
      </w:r>
    </w:p>
    <w:p w14:paraId="17EF52B3">
      <w:pPr>
        <w:ind w:firstLine="440" w:firstLineChars="200"/>
      </w:pPr>
      <w:r>
        <w:rPr>
          <w:rFonts w:hint="eastAsia"/>
        </w:rPr>
        <w:t>⑴ 包装作业规范：投标人须严格执行招标人发布的《包装标准》及对应包装工艺要求，从源头杜绝漏包、错包、错报问题。依据招标方标准体系编制现场作业指导书，定期组织作业人员开展技能培训与质量考核。对照招标方配件目录，按物料大类设立专项包装班组，逐类编制《配件包装工艺卡》，经招标人质量与物流部门联合审核通过后正式落地执行；对成熟统型包装方案持续开展验证优化，对新增品类配件同步开发匹配包装方案，确保包装方案全品类覆盖无死角。配备包装检验试验专用设备与专业技术人员，具备包装防护性能验证能力，对包装作业质量实施全流程闭环管控。</w:t>
      </w:r>
    </w:p>
    <w:p w14:paraId="4BC0A4FD">
      <w:pPr>
        <w:ind w:firstLine="440" w:firstLineChars="200"/>
      </w:pPr>
      <w:r>
        <w:rPr>
          <w:rFonts w:hint="eastAsia"/>
        </w:rPr>
        <w:t>⑵ 上架与出库作业：包装完成的配件须按库位规划及时整理上架；接到仓储管理系统出库指令后，严格按指令完成下架、扫码核验工序，依据分拣出库单将货物精准转运至整箱包装区或自提库区对应指定位置。</w:t>
      </w:r>
    </w:p>
    <w:p w14:paraId="4038ACCD">
      <w:pPr>
        <w:ind w:firstLine="440" w:firstLineChars="200"/>
      </w:pPr>
      <w:r>
        <w:rPr>
          <w:rFonts w:hint="eastAsia"/>
        </w:rPr>
        <w:t>⑶ 出库质检要求：出库前严格执行分级抽检质检制度，按物料批次、品类实行差异化抽检比例，高价值配件、外饰漆面件、大总成类配件提高抽检层级与比例；重点核查配件外观质量、包装防护完整性、条码标识有效性、实物数量与订单指令一致性。抽检发现外观缺陷、包装破损、数量不符、条码异常等不合格情形，须立即隔离存放、组织返工整改并登记上报招标人，严禁不合格货物流出库区；出库质检记录随对应订单归档留存，确保出库质量全流程可追溯。</w:t>
      </w:r>
    </w:p>
    <w:p w14:paraId="3FFACE8B">
      <w:pPr>
        <w:ind w:firstLine="440" w:firstLineChars="200"/>
      </w:pPr>
      <w:r>
        <w:rPr>
          <w:rFonts w:hint="eastAsia"/>
        </w:rPr>
        <w:t>⑷ 订单交接管理：针对自提、委托发运类订单，设置专属封闭交接区域；货物交接完成后，交接双方须在分拣出库单上签字确认，明确交接节点责任；当日下达的移交订单，须于当日完成全部交接手续，不积压、不延后。</w:t>
      </w:r>
    </w:p>
    <w:p w14:paraId="71B0EC63">
      <w:pPr>
        <w:ind w:firstLine="440" w:firstLineChars="200"/>
      </w:pPr>
      <w:r>
        <w:rPr>
          <w:rFonts w:hint="eastAsia"/>
        </w:rPr>
        <w:t>⑸ 常规储备订单出库：常规储备配件订单，自系统下达出库指令起，须在24小时内完成出库审核、分拣复核，并移交至整箱包装区待发。</w:t>
      </w:r>
    </w:p>
    <w:p w14:paraId="0E48FBF9">
      <w:pPr>
        <w:ind w:firstLine="440" w:firstLineChars="200"/>
      </w:pPr>
      <w:r>
        <w:rPr>
          <w:rFonts w:hint="eastAsia"/>
        </w:rPr>
        <w:t>⑹ 急单调件出库：调件类紧急订单，自系统下达出库指令起，须在2小时内完成出库审核、优先分拣，并移交至自提库区指定位置，保障急单时效。</w:t>
      </w:r>
    </w:p>
    <w:p w14:paraId="36B5DD53">
      <w:pPr>
        <w:ind w:firstLine="440" w:firstLineChars="200"/>
      </w:pPr>
      <w:r>
        <w:rPr>
          <w:rFonts w:hint="eastAsia"/>
        </w:rPr>
        <w:t>⑺ 货损责任划分：货物送达招标人客户后，若外包装整体完好、打包带及封箱签无破损，但箱内配件出现货损、货差的，相关责任由投标人（仓储服务方）承担；若因外包装破损导致配件货损、货差的，相关责任由承运单位承担。</w:t>
      </w:r>
    </w:p>
    <w:p w14:paraId="2BA13575">
      <w:pPr>
        <w:ind w:firstLine="440" w:firstLineChars="200"/>
        <w:rPr>
          <w:lang w:val="en-US"/>
        </w:rPr>
      </w:pPr>
      <w:r>
        <w:rPr>
          <w:rFonts w:hint="eastAsia"/>
          <w:lang w:val="en-US"/>
        </w:rPr>
        <w:t>(8)十二大类配件物流包装标准及作业设备要求：</w:t>
      </w:r>
    </w:p>
    <w:p w14:paraId="4BABB602">
      <w:pPr>
        <w:widowControl/>
        <w:spacing w:line="360" w:lineRule="atLeast"/>
        <w:ind w:firstLine="440" w:firstLineChars="200"/>
        <w:outlineLvl w:val="2"/>
        <w:rPr>
          <w:color w:val="000000"/>
        </w:rPr>
      </w:pPr>
      <w:r>
        <w:rPr>
          <w:rFonts w:hint="eastAsia"/>
          <w:color w:val="000000"/>
          <w:lang w:val="en-US"/>
        </w:rPr>
        <w:t>8-</w:t>
      </w:r>
      <w:r>
        <w:rPr>
          <w:rFonts w:hint="eastAsia"/>
          <w:color w:val="000000"/>
        </w:rPr>
        <w:t>1</w:t>
      </w:r>
      <w:r>
        <w:rPr>
          <w:rFonts w:hint="eastAsia"/>
          <w:color w:val="000000"/>
          <w:lang w:val="en-US"/>
        </w:rPr>
        <w:t>.</w:t>
      </w:r>
      <w:r>
        <w:rPr>
          <w:rFonts w:hint="eastAsia"/>
          <w:color w:val="000000"/>
        </w:rPr>
        <w:t>驾驶室、车架类</w:t>
      </w:r>
    </w:p>
    <w:p w14:paraId="260E40AF">
      <w:pPr>
        <w:widowControl/>
        <w:spacing w:line="360" w:lineRule="atLeast"/>
        <w:ind w:firstLine="440" w:firstLineChars="200"/>
        <w:rPr>
          <w:color w:val="000000"/>
        </w:rPr>
      </w:pPr>
      <w:r>
        <w:rPr>
          <w:rFonts w:hint="eastAsia"/>
          <w:color w:val="000000"/>
        </w:rPr>
        <w:t>包装标准：</w:t>
      </w:r>
    </w:p>
    <w:p w14:paraId="468B1C0D">
      <w:pPr>
        <w:widowControl/>
        <w:spacing w:line="360" w:lineRule="atLeast"/>
        <w:ind w:firstLine="440" w:firstLineChars="200"/>
        <w:rPr>
          <w:color w:val="000000"/>
        </w:rPr>
      </w:pPr>
      <w:r>
        <w:rPr>
          <w:rFonts w:hint="eastAsia"/>
          <w:color w:val="000000"/>
        </w:rPr>
        <w:t>驾驶室放置于厂家专用承载工装上；漆面、玻璃表面粘贴防刮保护膜进行防护，采用镀锌铁丝双向拉紧搭配绑带辅助加固，确保运输全过程无位移、无晃动。</w:t>
      </w:r>
    </w:p>
    <w:p w14:paraId="7A08BF5F">
      <w:pPr>
        <w:widowControl/>
        <w:spacing w:line="360" w:lineRule="atLeast"/>
        <w:ind w:firstLine="440" w:firstLineChars="200"/>
        <w:rPr>
          <w:color w:val="000000"/>
        </w:rPr>
      </w:pPr>
      <w:r>
        <w:rPr>
          <w:rFonts w:hint="eastAsia"/>
          <w:color w:val="000000"/>
        </w:rPr>
        <w:t>车架重点对打码标识区域实施局部防护；层叠码放时，层与层之间铺设防滑木方做隔离缓冲。</w:t>
      </w:r>
    </w:p>
    <w:p w14:paraId="6DFBB439">
      <w:pPr>
        <w:widowControl/>
        <w:spacing w:line="360" w:lineRule="atLeast"/>
        <w:ind w:firstLine="440" w:firstLineChars="200"/>
        <w:jc w:val="center"/>
        <w:rPr>
          <w:color w:val="000000"/>
        </w:rPr>
      </w:pPr>
      <w:r>
        <w:rPr>
          <w:rFonts w:hint="eastAsia"/>
          <w:color w:val="000000"/>
          <w:lang w:val="en-US" w:bidi="ar-SA"/>
        </w:rPr>
        <w:drawing>
          <wp:inline distT="0" distB="0" distL="114300" distR="114300">
            <wp:extent cx="2609215" cy="1800225"/>
            <wp:effectExtent l="0" t="0" r="6985" b="3175"/>
            <wp:docPr id="22" name="图片 22" descr="e01490af-1e57-40f4-8b57-bccc978f5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01490af-1e57-40f4-8b57-bccc978f500b"/>
                    <pic:cNvPicPr>
                      <a:picLocks noChangeAspect="1"/>
                    </pic:cNvPicPr>
                  </pic:nvPicPr>
                  <pic:blipFill>
                    <a:blip r:embed="rId13"/>
                    <a:stretch>
                      <a:fillRect/>
                    </a:stretch>
                  </pic:blipFill>
                  <pic:spPr>
                    <a:xfrm>
                      <a:off x="0" y="0"/>
                      <a:ext cx="2609215" cy="1800225"/>
                    </a:xfrm>
                    <a:prstGeom prst="rect">
                      <a:avLst/>
                    </a:prstGeom>
                  </pic:spPr>
                </pic:pic>
              </a:graphicData>
            </a:graphic>
          </wp:inline>
        </w:drawing>
      </w:r>
    </w:p>
    <w:p w14:paraId="57416ADA">
      <w:pPr>
        <w:widowControl/>
        <w:spacing w:line="360" w:lineRule="atLeast"/>
        <w:ind w:firstLine="440" w:firstLineChars="200"/>
      </w:pPr>
      <w:r>
        <w:rPr>
          <w:rFonts w:hint="eastAsia"/>
          <w:color w:val="000000"/>
        </w:rPr>
        <w:t>设备要求：镀锌铁丝、拉紧绑</w:t>
      </w:r>
      <w:r>
        <w:rPr>
          <w:rFonts w:hint="eastAsia"/>
          <w:color w:val="000000"/>
          <w:lang w:val="en-US"/>
        </w:rPr>
        <w:t>带</w:t>
      </w:r>
      <w:r>
        <w:rPr>
          <w:rFonts w:hint="eastAsia"/>
          <w:color w:val="000000"/>
        </w:rPr>
        <w:t>、PE缠绕膜、捆扎</w:t>
      </w:r>
      <w:r>
        <w:rPr>
          <w:rFonts w:hint="eastAsia"/>
          <w:color w:val="000000"/>
          <w:lang w:val="en-US"/>
        </w:rPr>
        <w:t>作业</w:t>
      </w:r>
      <w:r>
        <w:rPr>
          <w:rFonts w:hint="eastAsia"/>
          <w:color w:val="000000"/>
        </w:rPr>
        <w:t>设备</w:t>
      </w:r>
      <w:r>
        <w:rPr>
          <w:rFonts w:hint="eastAsia"/>
          <w:color w:val="000000"/>
          <w:lang w:val="en-US"/>
        </w:rPr>
        <w:t>等</w:t>
      </w:r>
      <w:r>
        <w:rPr>
          <w:rFonts w:hint="eastAsia"/>
          <w:color w:val="000000"/>
        </w:rPr>
        <w:t>。</w:t>
      </w:r>
    </w:p>
    <w:p w14:paraId="2D9D6C2B">
      <w:pPr>
        <w:widowControl/>
        <w:spacing w:line="360" w:lineRule="atLeast"/>
        <w:ind w:firstLine="440" w:firstLineChars="200"/>
        <w:outlineLvl w:val="2"/>
        <w:rPr>
          <w:color w:val="000000"/>
        </w:rPr>
      </w:pPr>
      <w:r>
        <w:rPr>
          <w:rFonts w:hint="eastAsia"/>
          <w:color w:val="000000"/>
          <w:lang w:val="en-US"/>
        </w:rPr>
        <w:t>8-2.</w:t>
      </w:r>
      <w:r>
        <w:rPr>
          <w:rFonts w:hint="eastAsia"/>
          <w:color w:val="000000"/>
        </w:rPr>
        <w:t>油液类</w:t>
      </w:r>
    </w:p>
    <w:p w14:paraId="31320EB9">
      <w:pPr>
        <w:widowControl/>
        <w:spacing w:line="360" w:lineRule="atLeast"/>
        <w:ind w:firstLine="440" w:firstLineChars="200"/>
        <w:rPr>
          <w:color w:val="000000"/>
        </w:rPr>
      </w:pPr>
      <w:r>
        <w:rPr>
          <w:rFonts w:hint="eastAsia"/>
          <w:color w:val="000000"/>
        </w:rPr>
        <w:t>品类范围：润滑油、冷却液、制动液等桶装</w:t>
      </w:r>
      <w:r>
        <w:rPr>
          <w:rFonts w:hint="eastAsia"/>
          <w:color w:val="000000"/>
          <w:lang w:val="en-US"/>
        </w:rPr>
        <w:t>、</w:t>
      </w:r>
      <w:r>
        <w:rPr>
          <w:rFonts w:hint="eastAsia"/>
          <w:color w:val="000000"/>
        </w:rPr>
        <w:t>箱装油液</w:t>
      </w:r>
    </w:p>
    <w:p w14:paraId="1098989A">
      <w:pPr>
        <w:widowControl/>
        <w:spacing w:line="360" w:lineRule="atLeast"/>
        <w:ind w:firstLine="440" w:firstLineChars="200"/>
        <w:rPr>
          <w:color w:val="000000"/>
        </w:rPr>
      </w:pPr>
      <w:r>
        <w:rPr>
          <w:rFonts w:hint="eastAsia"/>
          <w:color w:val="000000"/>
        </w:rPr>
        <w:t>包装标准：原厂原包装收发，不做二次拆包包装。</w:t>
      </w:r>
    </w:p>
    <w:p w14:paraId="5F19DFF7">
      <w:pPr>
        <w:widowControl/>
        <w:spacing w:line="360" w:lineRule="atLeast"/>
        <w:ind w:firstLine="440" w:firstLineChars="200"/>
        <w:jc w:val="center"/>
      </w:pPr>
      <w:r>
        <w:rPr>
          <w:rFonts w:hint="eastAsia"/>
          <w:lang w:val="en-US" w:bidi="ar-SA"/>
        </w:rPr>
        <w:drawing>
          <wp:inline distT="0" distB="0" distL="114300" distR="114300">
            <wp:extent cx="1908175" cy="1800225"/>
            <wp:effectExtent l="0" t="0" r="9525" b="3175"/>
            <wp:docPr id="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1"/>
                    <pic:cNvPicPr>
                      <a:picLocks noChangeAspect="1"/>
                    </pic:cNvPicPr>
                  </pic:nvPicPr>
                  <pic:blipFill>
                    <a:blip r:embed="rId14"/>
                    <a:stretch>
                      <a:fillRect/>
                    </a:stretch>
                  </pic:blipFill>
                  <pic:spPr>
                    <a:xfrm>
                      <a:off x="0" y="0"/>
                      <a:ext cx="1908175" cy="1800225"/>
                    </a:xfrm>
                    <a:prstGeom prst="rect">
                      <a:avLst/>
                    </a:prstGeom>
                    <a:noFill/>
                    <a:ln>
                      <a:noFill/>
                    </a:ln>
                  </pic:spPr>
                </pic:pic>
              </a:graphicData>
            </a:graphic>
          </wp:inline>
        </w:drawing>
      </w:r>
    </w:p>
    <w:p w14:paraId="40EC6120">
      <w:pPr>
        <w:widowControl/>
        <w:spacing w:line="360" w:lineRule="atLeast"/>
        <w:ind w:firstLine="440" w:firstLineChars="200"/>
        <w:outlineLvl w:val="2"/>
        <w:rPr>
          <w:color w:val="000000"/>
        </w:rPr>
      </w:pPr>
      <w:r>
        <w:rPr>
          <w:rFonts w:hint="eastAsia"/>
          <w:color w:val="000000"/>
          <w:lang w:val="en-US"/>
        </w:rPr>
        <w:t>8-3.</w:t>
      </w:r>
      <w:r>
        <w:rPr>
          <w:rFonts w:hint="eastAsia"/>
          <w:color w:val="000000"/>
        </w:rPr>
        <w:t>发变主芯大总成类</w:t>
      </w:r>
    </w:p>
    <w:p w14:paraId="1F233D27">
      <w:pPr>
        <w:widowControl/>
        <w:spacing w:line="360" w:lineRule="atLeast"/>
        <w:ind w:firstLine="440" w:firstLineChars="200"/>
        <w:rPr>
          <w:color w:val="000000"/>
        </w:rPr>
      </w:pPr>
      <w:r>
        <w:rPr>
          <w:rFonts w:hint="eastAsia"/>
          <w:color w:val="000000"/>
        </w:rPr>
        <w:t>品类范围：发动机、变速箱、主减速器等核心大总成</w:t>
      </w:r>
    </w:p>
    <w:p w14:paraId="0F58F3D3">
      <w:pPr>
        <w:widowControl/>
        <w:spacing w:line="360" w:lineRule="atLeast"/>
        <w:ind w:firstLine="440" w:firstLineChars="200"/>
        <w:rPr>
          <w:color w:val="000000"/>
        </w:rPr>
      </w:pPr>
      <w:r>
        <w:rPr>
          <w:rFonts w:hint="eastAsia"/>
          <w:color w:val="000000"/>
        </w:rPr>
        <w:t>包装标准：采用专用木制包装箱，箱底配套减震方木底座，总成应与底座刚性固定，</w:t>
      </w:r>
      <w:r>
        <w:rPr>
          <w:rFonts w:hint="eastAsia"/>
          <w:color w:val="000000"/>
          <w:lang w:val="en-US"/>
        </w:rPr>
        <w:t>底盘采用</w:t>
      </w:r>
      <w:r>
        <w:rPr>
          <w:rFonts w:hint="eastAsia"/>
          <w:color w:val="000000"/>
        </w:rPr>
        <w:t>发泡材料防护，</w:t>
      </w:r>
      <w:r>
        <w:rPr>
          <w:rFonts w:hint="eastAsia"/>
          <w:color w:val="000000"/>
          <w:lang w:val="en-US"/>
        </w:rPr>
        <w:t>视情况粘贴相关</w:t>
      </w:r>
      <w:r>
        <w:rPr>
          <w:rFonts w:hint="eastAsia"/>
          <w:color w:val="000000"/>
        </w:rPr>
        <w:t>防雨、易碎、向上标识。</w:t>
      </w:r>
    </w:p>
    <w:p w14:paraId="2EA605FC">
      <w:pPr>
        <w:widowControl/>
        <w:spacing w:line="360" w:lineRule="atLeast"/>
        <w:ind w:firstLine="440" w:firstLineChars="200"/>
        <w:jc w:val="center"/>
        <w:rPr>
          <w:color w:val="000000"/>
        </w:rPr>
      </w:pPr>
      <w:r>
        <w:rPr>
          <w:rFonts w:hint="eastAsia"/>
          <w:color w:val="000000"/>
          <w:lang w:val="en-US" w:bidi="ar-SA"/>
        </w:rPr>
        <w:drawing>
          <wp:inline distT="0" distB="0" distL="114300" distR="114300">
            <wp:extent cx="2288540" cy="1538605"/>
            <wp:effectExtent l="0" t="0" r="10160" b="10795"/>
            <wp:docPr id="13" name="图片 13" descr="8080536be52fbbd0aef58f8e5b4cf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080536be52fbbd0aef58f8e5b4cfe38"/>
                    <pic:cNvPicPr>
                      <a:picLocks noChangeAspect="1"/>
                    </pic:cNvPicPr>
                  </pic:nvPicPr>
                  <pic:blipFill>
                    <a:blip r:embed="rId15"/>
                    <a:stretch>
                      <a:fillRect/>
                    </a:stretch>
                  </pic:blipFill>
                  <pic:spPr>
                    <a:xfrm>
                      <a:off x="0" y="0"/>
                      <a:ext cx="2288540" cy="1538605"/>
                    </a:xfrm>
                    <a:prstGeom prst="rect">
                      <a:avLst/>
                    </a:prstGeom>
                  </pic:spPr>
                </pic:pic>
              </a:graphicData>
            </a:graphic>
          </wp:inline>
        </w:drawing>
      </w:r>
    </w:p>
    <w:p w14:paraId="6BAEF08C">
      <w:pPr>
        <w:widowControl/>
        <w:spacing w:line="360" w:lineRule="atLeast"/>
        <w:ind w:firstLine="440" w:firstLineChars="200"/>
        <w:rPr>
          <w:color w:val="000000"/>
        </w:rPr>
      </w:pPr>
      <w:r>
        <w:rPr>
          <w:rFonts w:hint="eastAsia"/>
          <w:color w:val="000000"/>
        </w:rPr>
        <w:t>作业设备要求：定制实木包装箱、气动钉枪、发泡材料及</w:t>
      </w:r>
      <w:r>
        <w:rPr>
          <w:rFonts w:hint="eastAsia"/>
          <w:color w:val="000000"/>
          <w:lang w:val="en-US"/>
        </w:rPr>
        <w:t>配套作业</w:t>
      </w:r>
      <w:r>
        <w:rPr>
          <w:rFonts w:hint="eastAsia"/>
          <w:color w:val="000000"/>
        </w:rPr>
        <w:t>设备</w:t>
      </w:r>
      <w:r>
        <w:rPr>
          <w:rFonts w:hint="eastAsia"/>
          <w:color w:val="000000"/>
          <w:lang w:val="en-US"/>
        </w:rPr>
        <w:t>等</w:t>
      </w:r>
      <w:r>
        <w:rPr>
          <w:rFonts w:hint="eastAsia"/>
          <w:color w:val="000000"/>
        </w:rPr>
        <w:t>。</w:t>
      </w:r>
    </w:p>
    <w:p w14:paraId="38368A9A">
      <w:pPr>
        <w:widowControl/>
        <w:spacing w:line="360" w:lineRule="atLeast"/>
        <w:ind w:firstLine="440" w:firstLineChars="200"/>
        <w:outlineLvl w:val="2"/>
        <w:rPr>
          <w:color w:val="000000"/>
        </w:rPr>
      </w:pPr>
      <w:r>
        <w:rPr>
          <w:rFonts w:hint="eastAsia"/>
          <w:color w:val="000000"/>
          <w:lang w:val="en-US"/>
        </w:rPr>
        <w:t>8-</w:t>
      </w:r>
      <w:r>
        <w:rPr>
          <w:rFonts w:hint="eastAsia"/>
          <w:color w:val="000000"/>
        </w:rPr>
        <w:t>4.桥、板簧、下防护支架类</w:t>
      </w:r>
    </w:p>
    <w:p w14:paraId="1F4E2D94">
      <w:pPr>
        <w:widowControl/>
        <w:spacing w:line="360" w:lineRule="atLeast"/>
        <w:ind w:firstLine="440" w:firstLineChars="200"/>
        <w:rPr>
          <w:color w:val="000000"/>
        </w:rPr>
      </w:pPr>
      <w:r>
        <w:rPr>
          <w:rFonts w:hint="eastAsia"/>
          <w:color w:val="000000"/>
        </w:rPr>
        <w:t>品类范围：车桥总成、板簧、防护支架等轴类大件</w:t>
      </w:r>
    </w:p>
    <w:p w14:paraId="69C1433E">
      <w:pPr>
        <w:widowControl/>
        <w:spacing w:line="360" w:lineRule="atLeast"/>
        <w:ind w:firstLine="440" w:firstLineChars="200"/>
        <w:rPr>
          <w:color w:val="000000"/>
        </w:rPr>
      </w:pPr>
      <w:r>
        <w:rPr>
          <w:rFonts w:hint="eastAsia"/>
          <w:color w:val="000000"/>
        </w:rPr>
        <w:t>包装标准：轴头、法兰等精密加工面套专用防尘防锈保护，如橡胶套、珍珠棉等。</w:t>
      </w:r>
    </w:p>
    <w:p w14:paraId="2D36EB1B">
      <w:pPr>
        <w:widowControl/>
        <w:spacing w:line="360" w:lineRule="atLeast"/>
        <w:ind w:firstLine="440" w:firstLineChars="200"/>
        <w:rPr>
          <w:color w:val="000000"/>
        </w:rPr>
      </w:pPr>
      <w:r>
        <w:rPr>
          <w:rFonts w:hint="eastAsia"/>
          <w:color w:val="000000"/>
        </w:rPr>
        <w:t>整件平稳放置于标准木托盘并固定并捆扎固定；多层码放层间垫木方防护，</w:t>
      </w:r>
      <w:r>
        <w:rPr>
          <w:sz w:val="24"/>
          <w:szCs w:val="24"/>
        </w:rPr>
        <w:t>必要时使用</w:t>
      </w:r>
      <w:r>
        <w:rPr>
          <w:rFonts w:hint="eastAsia"/>
          <w:sz w:val="24"/>
          <w:szCs w:val="24"/>
          <w:lang w:val="en-US"/>
        </w:rPr>
        <w:t>气垫</w:t>
      </w:r>
      <w:r>
        <w:rPr>
          <w:sz w:val="24"/>
          <w:szCs w:val="24"/>
        </w:rPr>
        <w:t>膜整体</w:t>
      </w:r>
      <w:r>
        <w:rPr>
          <w:rFonts w:hint="eastAsia"/>
          <w:sz w:val="24"/>
          <w:szCs w:val="24"/>
          <w:lang w:val="en-US"/>
        </w:rPr>
        <w:t>包裹</w:t>
      </w:r>
      <w:r>
        <w:rPr>
          <w:rFonts w:hint="eastAsia"/>
          <w:color w:val="000000"/>
        </w:rPr>
        <w:t>。</w:t>
      </w:r>
    </w:p>
    <w:p w14:paraId="13C45999">
      <w:pPr>
        <w:widowControl/>
        <w:spacing w:line="360" w:lineRule="atLeast"/>
        <w:ind w:firstLine="440" w:firstLineChars="200"/>
        <w:jc w:val="center"/>
        <w:rPr>
          <w:color w:val="000000"/>
        </w:rPr>
      </w:pPr>
      <w:r>
        <w:rPr>
          <w:rFonts w:hint="eastAsia"/>
          <w:lang w:val="en-US" w:bidi="ar-SA"/>
        </w:rPr>
        <w:drawing>
          <wp:inline distT="0" distB="0" distL="114300" distR="114300">
            <wp:extent cx="4091305" cy="1530985"/>
            <wp:effectExtent l="0" t="0" r="10795" b="5715"/>
            <wp:docPr id="2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8"/>
                    <pic:cNvPicPr>
                      <a:picLocks noChangeAspect="1"/>
                    </pic:cNvPicPr>
                  </pic:nvPicPr>
                  <pic:blipFill>
                    <a:blip r:embed="rId16"/>
                    <a:stretch>
                      <a:fillRect/>
                    </a:stretch>
                  </pic:blipFill>
                  <pic:spPr>
                    <a:xfrm>
                      <a:off x="0" y="0"/>
                      <a:ext cx="4091305" cy="1530985"/>
                    </a:xfrm>
                    <a:prstGeom prst="rect">
                      <a:avLst/>
                    </a:prstGeom>
                    <a:noFill/>
                    <a:ln>
                      <a:noFill/>
                    </a:ln>
                  </pic:spPr>
                </pic:pic>
              </a:graphicData>
            </a:graphic>
          </wp:inline>
        </w:drawing>
      </w:r>
      <w:r>
        <w:rPr>
          <w:rFonts w:hint="eastAsia"/>
          <w:lang w:val="en-US"/>
        </w:rPr>
        <w:t xml:space="preserve"> </w:t>
      </w:r>
    </w:p>
    <w:p w14:paraId="734178A3">
      <w:pPr>
        <w:widowControl/>
        <w:spacing w:line="360" w:lineRule="atLeast"/>
        <w:ind w:firstLine="440" w:firstLineChars="200"/>
      </w:pPr>
      <w:r>
        <w:rPr>
          <w:rFonts w:hint="eastAsia"/>
          <w:color w:val="000000"/>
        </w:rPr>
        <w:t>作业设备要求：标准木托盘、轴头防护帽、打包带、打包机、缠绕膜及缠膜设备</w:t>
      </w:r>
      <w:r>
        <w:rPr>
          <w:rFonts w:hint="eastAsia"/>
          <w:color w:val="000000"/>
          <w:lang w:val="en-US"/>
        </w:rPr>
        <w:t>等</w:t>
      </w:r>
      <w:r>
        <w:rPr>
          <w:rFonts w:hint="eastAsia"/>
          <w:color w:val="000000"/>
        </w:rPr>
        <w:t>。</w:t>
      </w:r>
    </w:p>
    <w:p w14:paraId="0C8CA26D">
      <w:pPr>
        <w:widowControl/>
        <w:spacing w:line="360" w:lineRule="atLeast"/>
        <w:ind w:firstLine="440" w:firstLineChars="200"/>
        <w:outlineLvl w:val="2"/>
        <w:rPr>
          <w:color w:val="000000"/>
        </w:rPr>
      </w:pPr>
      <w:r>
        <w:rPr>
          <w:rFonts w:hint="eastAsia"/>
          <w:color w:val="000000"/>
          <w:lang w:val="en-US"/>
        </w:rPr>
        <w:t>8-</w:t>
      </w:r>
      <w:r>
        <w:rPr>
          <w:rFonts w:hint="eastAsia"/>
          <w:color w:val="000000"/>
        </w:rPr>
        <w:t>5.玻璃顶盖类</w:t>
      </w:r>
    </w:p>
    <w:p w14:paraId="79D45F59">
      <w:pPr>
        <w:widowControl/>
        <w:spacing w:line="360" w:lineRule="atLeast"/>
        <w:ind w:firstLine="440" w:firstLineChars="200"/>
        <w:rPr>
          <w:color w:val="000000"/>
        </w:rPr>
      </w:pPr>
      <w:r>
        <w:rPr>
          <w:rFonts w:hint="eastAsia"/>
          <w:color w:val="000000"/>
        </w:rPr>
        <w:t>品类范围：挡风玻璃、顶盖玻璃等易碎玻璃件</w:t>
      </w:r>
    </w:p>
    <w:p w14:paraId="7D13E948">
      <w:pPr>
        <w:widowControl/>
        <w:spacing w:line="360" w:lineRule="atLeast"/>
        <w:ind w:firstLine="440" w:firstLineChars="200"/>
        <w:rPr>
          <w:color w:val="000000"/>
        </w:rPr>
      </w:pPr>
      <w:r>
        <w:rPr>
          <w:rFonts w:hint="eastAsia"/>
          <w:color w:val="000000"/>
        </w:rPr>
        <w:t>包装标准：</w:t>
      </w:r>
      <w:r>
        <w:rPr>
          <w:sz w:val="24"/>
          <w:szCs w:val="24"/>
        </w:rPr>
        <w:t>采用定制立式实木框架包装；玻璃与木框缝隙填充橡胶缓冲条，实现完全限位，防止运输过程中窜动磕碰；木框架外侧粘贴 “易碎、向上、防潮、不可重压” 警示标识。</w:t>
      </w:r>
    </w:p>
    <w:p w14:paraId="2BB6D355">
      <w:pPr>
        <w:widowControl/>
        <w:spacing w:line="360" w:lineRule="atLeast"/>
        <w:ind w:firstLine="440" w:firstLineChars="200"/>
        <w:jc w:val="center"/>
        <w:rPr>
          <w:color w:val="000000"/>
        </w:rPr>
      </w:pPr>
      <w:r>
        <w:rPr>
          <w:rFonts w:hint="eastAsia"/>
          <w:lang w:val="en-US" w:bidi="ar-SA"/>
        </w:rPr>
        <w:drawing>
          <wp:inline distT="0" distB="0" distL="114300" distR="114300">
            <wp:extent cx="3425190" cy="1800225"/>
            <wp:effectExtent l="0" t="0" r="3810" b="3175"/>
            <wp:docPr id="1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
                    <pic:cNvPicPr>
                      <a:picLocks noChangeAspect="1"/>
                    </pic:cNvPicPr>
                  </pic:nvPicPr>
                  <pic:blipFill>
                    <a:blip r:embed="rId17"/>
                    <a:stretch>
                      <a:fillRect/>
                    </a:stretch>
                  </pic:blipFill>
                  <pic:spPr>
                    <a:xfrm>
                      <a:off x="0" y="0"/>
                      <a:ext cx="3425190" cy="1800225"/>
                    </a:xfrm>
                    <a:prstGeom prst="rect">
                      <a:avLst/>
                    </a:prstGeom>
                    <a:noFill/>
                    <a:ln>
                      <a:noFill/>
                    </a:ln>
                  </pic:spPr>
                </pic:pic>
              </a:graphicData>
            </a:graphic>
          </wp:inline>
        </w:drawing>
      </w:r>
    </w:p>
    <w:p w14:paraId="4199A112">
      <w:pPr>
        <w:widowControl/>
        <w:spacing w:line="360" w:lineRule="atLeast"/>
        <w:ind w:firstLine="440" w:firstLineChars="200"/>
      </w:pPr>
      <w:r>
        <w:rPr>
          <w:rFonts w:hint="eastAsia"/>
          <w:color w:val="000000"/>
        </w:rPr>
        <w:t>作业设备要求：定制立式实木包装框架、橡胶缓冲条、钉枪、玻璃搬运吸盘</w:t>
      </w:r>
      <w:r>
        <w:rPr>
          <w:rFonts w:hint="eastAsia"/>
          <w:color w:val="000000"/>
          <w:lang w:val="en-US"/>
        </w:rPr>
        <w:t>等</w:t>
      </w:r>
      <w:r>
        <w:rPr>
          <w:rFonts w:hint="eastAsia"/>
          <w:color w:val="000000"/>
        </w:rPr>
        <w:t>。</w:t>
      </w:r>
    </w:p>
    <w:p w14:paraId="4BA792AB">
      <w:pPr>
        <w:widowControl/>
        <w:spacing w:line="360" w:lineRule="atLeast"/>
        <w:ind w:firstLine="440" w:firstLineChars="200"/>
        <w:outlineLvl w:val="2"/>
        <w:rPr>
          <w:color w:val="000000"/>
        </w:rPr>
      </w:pPr>
      <w:r>
        <w:rPr>
          <w:rFonts w:hint="eastAsia"/>
          <w:color w:val="000000"/>
          <w:lang w:val="en-US"/>
        </w:rPr>
        <w:t>8-</w:t>
      </w:r>
      <w:r>
        <w:rPr>
          <w:rFonts w:hint="eastAsia"/>
          <w:color w:val="000000"/>
        </w:rPr>
        <w:t>6.保险杠、车门、面罩等外饰件</w:t>
      </w:r>
    </w:p>
    <w:p w14:paraId="651EEC6A">
      <w:pPr>
        <w:widowControl/>
        <w:spacing w:line="360" w:lineRule="atLeast"/>
        <w:ind w:firstLine="440" w:firstLineChars="200"/>
        <w:rPr>
          <w:color w:val="000000"/>
        </w:rPr>
      </w:pPr>
      <w:r>
        <w:rPr>
          <w:rFonts w:hint="eastAsia"/>
          <w:color w:val="000000"/>
        </w:rPr>
        <w:t>品类范围：保险杠、车门、面罩等大型外覆盖件</w:t>
      </w:r>
    </w:p>
    <w:p w14:paraId="0FE196B7">
      <w:pPr>
        <w:widowControl/>
        <w:spacing w:line="360" w:lineRule="atLeast"/>
        <w:ind w:firstLine="440" w:firstLineChars="200"/>
        <w:rPr>
          <w:color w:val="000000"/>
        </w:rPr>
      </w:pPr>
      <w:r>
        <w:rPr>
          <w:rFonts w:hint="eastAsia"/>
          <w:color w:val="000000"/>
        </w:rPr>
        <w:t>包装标准：</w:t>
      </w:r>
    </w:p>
    <w:p w14:paraId="7D9B9AEE">
      <w:pPr>
        <w:widowControl/>
        <w:spacing w:line="360" w:lineRule="atLeast"/>
        <w:ind w:firstLine="480" w:firstLineChars="200"/>
        <w:rPr>
          <w:sz w:val="24"/>
          <w:szCs w:val="24"/>
        </w:rPr>
      </w:pPr>
      <w:r>
        <w:rPr>
          <w:rFonts w:hint="eastAsia"/>
          <w:sz w:val="24"/>
          <w:szCs w:val="24"/>
          <w:lang w:val="en-US"/>
        </w:rPr>
        <w:t>配件</w:t>
      </w:r>
      <w:r>
        <w:rPr>
          <w:sz w:val="24"/>
          <w:szCs w:val="24"/>
        </w:rPr>
        <w:t>整体包裹珍珠棉，卡扣位置、边角等易损伤部位，采用加厚珍珠棉搭配硬护角强化防护；外层使用缠绕膜紧密裹覆定型。 处理完成后装入专用金属周转笼，笼体内填充蜂窝纸板等材料限位，避免运输途中晃动磕碰。</w:t>
      </w:r>
    </w:p>
    <w:p w14:paraId="24F56017">
      <w:pPr>
        <w:widowControl/>
        <w:spacing w:line="360" w:lineRule="atLeast"/>
        <w:ind w:firstLine="440" w:firstLineChars="200"/>
        <w:jc w:val="center"/>
        <w:rPr>
          <w:color w:val="000000"/>
        </w:rPr>
      </w:pPr>
      <w:r>
        <w:rPr>
          <w:rFonts w:hint="eastAsia"/>
          <w:lang w:val="en-US" w:bidi="ar-SA"/>
        </w:rPr>
        <w:drawing>
          <wp:inline distT="0" distB="0" distL="114300" distR="114300">
            <wp:extent cx="3237230" cy="1800225"/>
            <wp:effectExtent l="0" t="0" r="1270" b="3175"/>
            <wp:docPr id="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
                    <pic:cNvPicPr>
                      <a:picLocks noChangeAspect="1"/>
                    </pic:cNvPicPr>
                  </pic:nvPicPr>
                  <pic:blipFill>
                    <a:blip r:embed="rId18"/>
                    <a:stretch>
                      <a:fillRect/>
                    </a:stretch>
                  </pic:blipFill>
                  <pic:spPr>
                    <a:xfrm>
                      <a:off x="0" y="0"/>
                      <a:ext cx="3237230" cy="1800225"/>
                    </a:xfrm>
                    <a:prstGeom prst="rect">
                      <a:avLst/>
                    </a:prstGeom>
                    <a:noFill/>
                    <a:ln>
                      <a:noFill/>
                    </a:ln>
                  </pic:spPr>
                </pic:pic>
              </a:graphicData>
            </a:graphic>
          </wp:inline>
        </w:drawing>
      </w:r>
    </w:p>
    <w:p w14:paraId="78827E73">
      <w:pPr>
        <w:widowControl/>
        <w:spacing w:line="360" w:lineRule="atLeast"/>
        <w:ind w:firstLine="440" w:firstLineChars="200"/>
        <w:rPr>
          <w:lang w:val="en-US"/>
        </w:rPr>
      </w:pPr>
      <w:r>
        <w:rPr>
          <w:rFonts w:hint="eastAsia"/>
          <w:color w:val="000000"/>
        </w:rPr>
        <w:t>作业设备要求：专用金属周转笼、珍珠棉、缠绕膜、硬纸护角、蜂窝纸板</w:t>
      </w:r>
      <w:r>
        <w:rPr>
          <w:rFonts w:hint="eastAsia"/>
          <w:color w:val="000000"/>
          <w:lang w:val="en-US"/>
        </w:rPr>
        <w:t>等相关包材。</w:t>
      </w:r>
    </w:p>
    <w:p w14:paraId="0CC4F56E">
      <w:pPr>
        <w:widowControl/>
        <w:spacing w:line="360" w:lineRule="atLeast"/>
        <w:ind w:firstLine="440" w:firstLineChars="200"/>
        <w:outlineLvl w:val="2"/>
        <w:rPr>
          <w:color w:val="000000"/>
        </w:rPr>
      </w:pPr>
      <w:r>
        <w:rPr>
          <w:rFonts w:hint="eastAsia"/>
          <w:color w:val="000000"/>
          <w:lang w:val="en-US"/>
        </w:rPr>
        <w:t>8-</w:t>
      </w:r>
      <w:r>
        <w:rPr>
          <w:rFonts w:hint="eastAsia"/>
          <w:color w:val="000000"/>
        </w:rPr>
        <w:t>7.散热器、座椅、油箱类</w:t>
      </w:r>
    </w:p>
    <w:p w14:paraId="243385EE">
      <w:pPr>
        <w:widowControl/>
        <w:spacing w:line="360" w:lineRule="atLeast"/>
        <w:ind w:firstLine="440" w:firstLineChars="200"/>
        <w:rPr>
          <w:color w:val="000000"/>
        </w:rPr>
      </w:pPr>
      <w:r>
        <w:rPr>
          <w:rFonts w:hint="eastAsia"/>
          <w:color w:val="000000"/>
        </w:rPr>
        <w:t>品类范围：散热器总成、座椅、油箱等大件</w:t>
      </w:r>
    </w:p>
    <w:p w14:paraId="72D048B4">
      <w:pPr>
        <w:widowControl/>
        <w:spacing w:line="360" w:lineRule="atLeast"/>
        <w:ind w:firstLine="440" w:firstLineChars="200"/>
        <w:rPr>
          <w:color w:val="000000"/>
        </w:rPr>
      </w:pPr>
      <w:r>
        <w:rPr>
          <w:rFonts w:hint="eastAsia"/>
          <w:color w:val="000000"/>
        </w:rPr>
        <w:t>包装标准：根据配件外形尺寸定制多层瓦楞纸箱，箱内</w:t>
      </w:r>
      <w:r>
        <w:rPr>
          <w:rFonts w:hint="eastAsia"/>
          <w:color w:val="000000"/>
          <w:lang w:val="en-US"/>
        </w:rPr>
        <w:t>增加珍珠棉或者泡沫</w:t>
      </w:r>
      <w:r>
        <w:rPr>
          <w:rFonts w:hint="eastAsia"/>
          <w:color w:val="000000"/>
        </w:rPr>
        <w:t>缓冲；</w:t>
      </w:r>
      <w:r>
        <w:rPr>
          <w:sz w:val="24"/>
          <w:szCs w:val="24"/>
        </w:rPr>
        <w:t>散热器散热翅片、座椅面料表面必须做好防护。</w:t>
      </w:r>
      <w:r>
        <w:rPr>
          <w:rFonts w:hint="eastAsia"/>
          <w:color w:val="000000"/>
        </w:rPr>
        <w:t>纸箱采用</w:t>
      </w:r>
      <w:r>
        <w:rPr>
          <w:rFonts w:hint="eastAsia"/>
          <w:color w:val="000000"/>
          <w:lang w:val="en-US"/>
        </w:rPr>
        <w:t>H</w:t>
      </w:r>
      <w:r>
        <w:rPr>
          <w:rFonts w:hint="eastAsia"/>
          <w:color w:val="000000"/>
        </w:rPr>
        <w:t>型胶带全边封箱，整箱加十字打包带加固；单件重量超标的配套标准托盘集装码放。</w:t>
      </w:r>
    </w:p>
    <w:p w14:paraId="1C3F6E8E">
      <w:pPr>
        <w:widowControl/>
        <w:spacing w:line="360" w:lineRule="atLeast"/>
        <w:ind w:firstLine="440" w:firstLineChars="200"/>
        <w:jc w:val="center"/>
        <w:rPr>
          <w:color w:val="000000"/>
        </w:rPr>
      </w:pPr>
      <w:r>
        <w:rPr>
          <w:rFonts w:hint="eastAsia"/>
          <w:lang w:val="en-US" w:bidi="ar-SA"/>
        </w:rPr>
        <w:drawing>
          <wp:inline distT="0" distB="0" distL="114300" distR="114300">
            <wp:extent cx="2390140" cy="1800225"/>
            <wp:effectExtent l="0" t="0" r="10160" b="3175"/>
            <wp:docPr id="1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pic:cNvPicPr>
                      <a:picLocks noChangeAspect="1"/>
                    </pic:cNvPicPr>
                  </pic:nvPicPr>
                  <pic:blipFill>
                    <a:blip r:embed="rId19"/>
                    <a:stretch>
                      <a:fillRect/>
                    </a:stretch>
                  </pic:blipFill>
                  <pic:spPr>
                    <a:xfrm>
                      <a:off x="0" y="0"/>
                      <a:ext cx="2390140" cy="1800225"/>
                    </a:xfrm>
                    <a:prstGeom prst="rect">
                      <a:avLst/>
                    </a:prstGeom>
                    <a:noFill/>
                    <a:ln>
                      <a:noFill/>
                    </a:ln>
                  </pic:spPr>
                </pic:pic>
              </a:graphicData>
            </a:graphic>
          </wp:inline>
        </w:drawing>
      </w:r>
      <w:r>
        <w:rPr>
          <w:lang w:val="en-US" w:bidi="ar-SA"/>
        </w:rPr>
        <w:drawing>
          <wp:inline distT="0" distB="0" distL="114300" distR="114300">
            <wp:extent cx="1156335" cy="1791335"/>
            <wp:effectExtent l="0" t="0" r="12065" b="1206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20"/>
                    <a:stretch>
                      <a:fillRect/>
                    </a:stretch>
                  </pic:blipFill>
                  <pic:spPr>
                    <a:xfrm>
                      <a:off x="0" y="0"/>
                      <a:ext cx="1156335" cy="1791335"/>
                    </a:xfrm>
                    <a:prstGeom prst="rect">
                      <a:avLst/>
                    </a:prstGeom>
                    <a:noFill/>
                    <a:ln>
                      <a:noFill/>
                    </a:ln>
                  </pic:spPr>
                </pic:pic>
              </a:graphicData>
            </a:graphic>
          </wp:inline>
        </w:drawing>
      </w:r>
    </w:p>
    <w:p w14:paraId="4059FA10">
      <w:pPr>
        <w:widowControl/>
        <w:spacing w:line="360" w:lineRule="atLeast"/>
        <w:ind w:firstLine="440" w:firstLineChars="200"/>
        <w:rPr>
          <w:lang w:val="en-US"/>
        </w:rPr>
      </w:pPr>
      <w:r>
        <w:rPr>
          <w:rFonts w:hint="eastAsia"/>
          <w:color w:val="000000"/>
        </w:rPr>
        <w:t>作业设备要求：定制多层瓦楞纸箱、</w:t>
      </w:r>
      <w:r>
        <w:rPr>
          <w:rFonts w:hint="eastAsia"/>
          <w:color w:val="000000"/>
          <w:lang w:val="en-US"/>
        </w:rPr>
        <w:t>定制珍珠棉或者泡沫</w:t>
      </w:r>
      <w:r>
        <w:rPr>
          <w:rFonts w:hint="eastAsia"/>
          <w:color w:val="000000"/>
        </w:rPr>
        <w:t>、封箱胶带、打包带、自动封箱机、气动打包机</w:t>
      </w:r>
      <w:r>
        <w:rPr>
          <w:rFonts w:hint="eastAsia"/>
          <w:color w:val="000000"/>
          <w:lang w:val="en-US"/>
        </w:rPr>
        <w:t>等</w:t>
      </w:r>
    </w:p>
    <w:p w14:paraId="640C9061">
      <w:pPr>
        <w:widowControl/>
        <w:spacing w:line="360" w:lineRule="atLeast"/>
        <w:ind w:firstLine="440" w:firstLineChars="200"/>
        <w:outlineLvl w:val="2"/>
        <w:rPr>
          <w:color w:val="000000"/>
        </w:rPr>
      </w:pPr>
      <w:r>
        <w:rPr>
          <w:rFonts w:hint="eastAsia"/>
          <w:color w:val="000000"/>
          <w:lang w:val="en-US"/>
        </w:rPr>
        <w:t>8-</w:t>
      </w:r>
      <w:r>
        <w:rPr>
          <w:rFonts w:hint="eastAsia"/>
          <w:color w:val="000000"/>
        </w:rPr>
        <w:t>8.制动蹄、半轴类</w:t>
      </w:r>
    </w:p>
    <w:p w14:paraId="4144905D">
      <w:pPr>
        <w:widowControl/>
        <w:spacing w:line="360" w:lineRule="atLeast"/>
        <w:ind w:firstLine="440" w:firstLineChars="200"/>
        <w:rPr>
          <w:color w:val="000000"/>
        </w:rPr>
      </w:pPr>
      <w:r>
        <w:rPr>
          <w:rFonts w:hint="eastAsia"/>
          <w:color w:val="000000"/>
        </w:rPr>
        <w:t>品类范围：制动蹄、半轴、传动轴等长条形中小件</w:t>
      </w:r>
    </w:p>
    <w:p w14:paraId="73B19348">
      <w:pPr>
        <w:widowControl/>
        <w:spacing w:line="360" w:lineRule="atLeast"/>
        <w:ind w:firstLine="440" w:firstLineChars="200"/>
        <w:rPr>
          <w:color w:val="000000"/>
        </w:rPr>
      </w:pPr>
      <w:r>
        <w:rPr>
          <w:rFonts w:hint="eastAsia"/>
          <w:color w:val="000000"/>
        </w:rPr>
        <w:t>包装标准：采用定制多层瓦楞纸箱，配件单件套珍珠棉或防锈袋，层间垫瓦楞纸板分隔，避免碰撞磨损；长轴端部加装防护护帽。</w:t>
      </w:r>
    </w:p>
    <w:p w14:paraId="3E2AC6F8">
      <w:pPr>
        <w:widowControl/>
        <w:spacing w:line="360" w:lineRule="atLeast"/>
        <w:ind w:firstLine="440" w:firstLineChars="200"/>
        <w:rPr>
          <w:color w:val="000000"/>
        </w:rPr>
      </w:pPr>
      <w:r>
        <w:rPr>
          <w:rFonts w:hint="eastAsia"/>
          <w:color w:val="000000"/>
        </w:rPr>
        <w:t>箱内空隙填充缓冲材料防止窜动，纸箱采用井字形打包带加固，避免长箱弯折断裂。</w:t>
      </w:r>
    </w:p>
    <w:p w14:paraId="0F9DE338">
      <w:pPr>
        <w:widowControl/>
        <w:spacing w:line="360" w:lineRule="atLeast"/>
        <w:ind w:firstLine="440" w:firstLineChars="200"/>
        <w:jc w:val="center"/>
        <w:rPr>
          <w:color w:val="000000"/>
        </w:rPr>
      </w:pPr>
      <w:r>
        <w:rPr>
          <w:rFonts w:hint="eastAsia"/>
          <w:lang w:val="en-US" w:bidi="ar-SA"/>
        </w:rPr>
        <w:drawing>
          <wp:inline distT="0" distB="0" distL="114300" distR="114300">
            <wp:extent cx="2214880" cy="1338580"/>
            <wp:effectExtent l="0" t="0" r="7620" b="7620"/>
            <wp:docPr id="2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7"/>
                    <pic:cNvPicPr>
                      <a:picLocks noChangeAspect="1"/>
                    </pic:cNvPicPr>
                  </pic:nvPicPr>
                  <pic:blipFill>
                    <a:blip r:embed="rId21"/>
                    <a:stretch>
                      <a:fillRect/>
                    </a:stretch>
                  </pic:blipFill>
                  <pic:spPr>
                    <a:xfrm>
                      <a:off x="0" y="0"/>
                      <a:ext cx="2214880" cy="1338580"/>
                    </a:xfrm>
                    <a:prstGeom prst="rect">
                      <a:avLst/>
                    </a:prstGeom>
                    <a:noFill/>
                    <a:ln>
                      <a:noFill/>
                    </a:ln>
                  </pic:spPr>
                </pic:pic>
              </a:graphicData>
            </a:graphic>
          </wp:inline>
        </w:drawing>
      </w:r>
      <w:r>
        <w:rPr>
          <w:rFonts w:hint="eastAsia"/>
          <w:lang w:val="en-US"/>
        </w:rPr>
        <w:t xml:space="preserve">  </w:t>
      </w:r>
      <w:r>
        <w:rPr>
          <w:rFonts w:hint="eastAsia"/>
          <w:lang w:val="en-US" w:bidi="ar-SA"/>
        </w:rPr>
        <w:drawing>
          <wp:inline distT="0" distB="0" distL="114300" distR="114300">
            <wp:extent cx="1696720" cy="1365885"/>
            <wp:effectExtent l="0" t="0" r="5080" b="5715"/>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pic:cNvPicPr>
                      <a:picLocks noChangeAspect="1"/>
                    </pic:cNvPicPr>
                  </pic:nvPicPr>
                  <pic:blipFill>
                    <a:blip r:embed="rId22"/>
                    <a:stretch>
                      <a:fillRect/>
                    </a:stretch>
                  </pic:blipFill>
                  <pic:spPr>
                    <a:xfrm>
                      <a:off x="0" y="0"/>
                      <a:ext cx="1696720" cy="1365885"/>
                    </a:xfrm>
                    <a:prstGeom prst="rect">
                      <a:avLst/>
                    </a:prstGeom>
                    <a:noFill/>
                    <a:ln>
                      <a:noFill/>
                    </a:ln>
                  </pic:spPr>
                </pic:pic>
              </a:graphicData>
            </a:graphic>
          </wp:inline>
        </w:drawing>
      </w:r>
    </w:p>
    <w:p w14:paraId="5DE5BF79">
      <w:pPr>
        <w:widowControl/>
        <w:spacing w:line="360" w:lineRule="atLeast"/>
        <w:ind w:firstLine="440" w:firstLineChars="200"/>
        <w:rPr>
          <w:lang w:val="en-US"/>
        </w:rPr>
      </w:pPr>
      <w:r>
        <w:rPr>
          <w:rFonts w:hint="eastAsia"/>
          <w:color w:val="000000"/>
        </w:rPr>
        <w:t>作业设备要求：定制长条瓦楞纸箱、珍珠棉</w:t>
      </w:r>
      <w:r>
        <w:rPr>
          <w:rFonts w:hint="eastAsia"/>
          <w:color w:val="000000"/>
          <w:lang w:val="en-US"/>
        </w:rPr>
        <w:t>/</w:t>
      </w:r>
      <w:r>
        <w:rPr>
          <w:rFonts w:hint="eastAsia"/>
          <w:color w:val="000000"/>
        </w:rPr>
        <w:t>防锈袋、封箱胶带、打包机</w:t>
      </w:r>
      <w:r>
        <w:rPr>
          <w:rFonts w:hint="eastAsia"/>
          <w:color w:val="000000"/>
          <w:lang w:val="en-US"/>
        </w:rPr>
        <w:t>等</w:t>
      </w:r>
    </w:p>
    <w:p w14:paraId="3DF3F615">
      <w:pPr>
        <w:widowControl/>
        <w:spacing w:line="360" w:lineRule="atLeast"/>
        <w:ind w:firstLine="440" w:firstLineChars="200"/>
        <w:outlineLvl w:val="2"/>
        <w:rPr>
          <w:color w:val="000000"/>
        </w:rPr>
      </w:pPr>
      <w:r>
        <w:rPr>
          <w:rFonts w:hint="eastAsia"/>
          <w:color w:val="000000"/>
          <w:lang w:val="en-US"/>
        </w:rPr>
        <w:t>8-</w:t>
      </w:r>
      <w:r>
        <w:rPr>
          <w:rFonts w:hint="eastAsia"/>
          <w:color w:val="000000"/>
        </w:rPr>
        <w:t>9.压盘、从动盘、蓄电池、分离轴承类</w:t>
      </w:r>
    </w:p>
    <w:p w14:paraId="2873F2D0">
      <w:pPr>
        <w:widowControl/>
        <w:spacing w:line="360" w:lineRule="atLeast"/>
        <w:ind w:firstLine="440" w:firstLineChars="200"/>
        <w:rPr>
          <w:color w:val="000000"/>
        </w:rPr>
      </w:pPr>
      <w:r>
        <w:rPr>
          <w:rFonts w:hint="eastAsia"/>
          <w:color w:val="000000"/>
        </w:rPr>
        <w:t>品类范围：盘类、蓄电池等</w:t>
      </w:r>
    </w:p>
    <w:p w14:paraId="4E82DA90">
      <w:pPr>
        <w:widowControl/>
        <w:spacing w:line="360" w:lineRule="atLeast"/>
        <w:ind w:firstLine="440" w:firstLineChars="200"/>
        <w:rPr>
          <w:color w:val="000000"/>
        </w:rPr>
      </w:pPr>
      <w:r>
        <w:rPr>
          <w:rFonts w:hint="eastAsia"/>
          <w:color w:val="000000"/>
        </w:rPr>
        <w:t>包装标准：按配件形状定制适配尺寸瓦楞纸箱，内配成型</w:t>
      </w:r>
      <w:r>
        <w:rPr>
          <w:rFonts w:hint="eastAsia"/>
          <w:color w:val="000000"/>
          <w:lang w:val="en-US"/>
        </w:rPr>
        <w:t>泡沫/珍珠棉</w:t>
      </w:r>
      <w:r>
        <w:rPr>
          <w:rFonts w:hint="eastAsia"/>
          <w:color w:val="000000"/>
        </w:rPr>
        <w:t>，按配件轮廓卡位固定。</w:t>
      </w:r>
    </w:p>
    <w:p w14:paraId="6B135C03">
      <w:pPr>
        <w:widowControl/>
        <w:spacing w:line="360" w:lineRule="atLeast"/>
        <w:ind w:firstLine="440" w:firstLineChars="200"/>
        <w:rPr>
          <w:color w:val="000000"/>
        </w:rPr>
      </w:pPr>
      <w:r>
        <w:rPr>
          <w:rFonts w:hint="eastAsia"/>
          <w:color w:val="000000"/>
        </w:rPr>
        <w:t>轴承、精密件单独套防锈袋</w:t>
      </w:r>
      <w:r>
        <w:rPr>
          <w:rFonts w:hint="eastAsia"/>
          <w:color w:val="000000"/>
          <w:lang w:val="en-US"/>
        </w:rPr>
        <w:t>/</w:t>
      </w:r>
      <w:r>
        <w:rPr>
          <w:rFonts w:hint="eastAsia"/>
          <w:color w:val="000000"/>
        </w:rPr>
        <w:t>塑封袋；纸箱封箱后十字打包带加固。</w:t>
      </w:r>
    </w:p>
    <w:p w14:paraId="7303D7F8">
      <w:pPr>
        <w:widowControl/>
        <w:spacing w:line="360" w:lineRule="atLeast"/>
        <w:ind w:firstLine="440" w:firstLineChars="200"/>
        <w:jc w:val="center"/>
        <w:rPr>
          <w:color w:val="000000"/>
        </w:rPr>
      </w:pPr>
      <w:r>
        <w:rPr>
          <w:rFonts w:hint="eastAsia"/>
          <w:lang w:val="en-US" w:bidi="ar-SA"/>
        </w:rPr>
        <w:drawing>
          <wp:inline distT="0" distB="0" distL="114300" distR="114300">
            <wp:extent cx="3559810" cy="1497965"/>
            <wp:effectExtent l="0" t="0" r="8890" b="635"/>
            <wp:docPr id="1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pic:cNvPicPr>
                      <a:picLocks noChangeAspect="1"/>
                    </pic:cNvPicPr>
                  </pic:nvPicPr>
                  <pic:blipFill>
                    <a:blip r:embed="rId23"/>
                    <a:srcRect l="2415" t="3560"/>
                    <a:stretch>
                      <a:fillRect/>
                    </a:stretch>
                  </pic:blipFill>
                  <pic:spPr>
                    <a:xfrm>
                      <a:off x="0" y="0"/>
                      <a:ext cx="3559810" cy="1497965"/>
                    </a:xfrm>
                    <a:prstGeom prst="rect">
                      <a:avLst/>
                    </a:prstGeom>
                    <a:noFill/>
                    <a:ln>
                      <a:noFill/>
                    </a:ln>
                  </pic:spPr>
                </pic:pic>
              </a:graphicData>
            </a:graphic>
          </wp:inline>
        </w:drawing>
      </w:r>
    </w:p>
    <w:p w14:paraId="0ECDD082">
      <w:pPr>
        <w:widowControl/>
        <w:spacing w:line="360" w:lineRule="atLeast"/>
        <w:ind w:firstLine="440" w:firstLineChars="200"/>
        <w:rPr>
          <w:color w:val="000000"/>
        </w:rPr>
      </w:pPr>
      <w:r>
        <w:rPr>
          <w:rFonts w:hint="eastAsia"/>
          <w:color w:val="000000"/>
        </w:rPr>
        <w:t>作业设备要求：定制瓦楞纸箱、</w:t>
      </w:r>
      <w:r>
        <w:rPr>
          <w:rFonts w:hint="eastAsia"/>
          <w:color w:val="000000"/>
          <w:lang w:val="en-US"/>
        </w:rPr>
        <w:t>成型泡沫/珍珠棉</w:t>
      </w:r>
      <w:r>
        <w:rPr>
          <w:rFonts w:hint="eastAsia"/>
          <w:color w:val="000000"/>
        </w:rPr>
        <w:t>、防锈袋、封箱胶带、打包机</w:t>
      </w:r>
    </w:p>
    <w:p w14:paraId="115C647A">
      <w:pPr>
        <w:widowControl/>
        <w:spacing w:line="360" w:lineRule="atLeast"/>
        <w:ind w:firstLine="440" w:firstLineChars="200"/>
        <w:outlineLvl w:val="2"/>
        <w:rPr>
          <w:color w:val="000000"/>
        </w:rPr>
      </w:pPr>
      <w:r>
        <w:rPr>
          <w:rFonts w:hint="eastAsia"/>
          <w:color w:val="000000"/>
          <w:lang w:val="en-US"/>
        </w:rPr>
        <w:t>8-1</w:t>
      </w:r>
      <w:r>
        <w:rPr>
          <w:rFonts w:hint="eastAsia"/>
          <w:color w:val="000000"/>
        </w:rPr>
        <w:t>0.管线、线束类</w:t>
      </w:r>
    </w:p>
    <w:p w14:paraId="19143638">
      <w:pPr>
        <w:widowControl/>
        <w:spacing w:line="360" w:lineRule="atLeast"/>
        <w:ind w:firstLine="440" w:firstLineChars="200"/>
        <w:rPr>
          <w:color w:val="000000"/>
        </w:rPr>
      </w:pPr>
      <w:r>
        <w:rPr>
          <w:rFonts w:hint="eastAsia"/>
          <w:color w:val="000000"/>
        </w:rPr>
        <w:t>品类范围：油管、气管、整车线束等管线件</w:t>
      </w:r>
    </w:p>
    <w:p w14:paraId="2F8EA5CB">
      <w:pPr>
        <w:widowControl/>
        <w:spacing w:line="360" w:lineRule="atLeast"/>
        <w:ind w:firstLine="440" w:firstLineChars="200"/>
        <w:rPr>
          <w:color w:val="000000"/>
        </w:rPr>
      </w:pPr>
      <w:r>
        <w:rPr>
          <w:rFonts w:hint="eastAsia"/>
          <w:color w:val="000000"/>
        </w:rPr>
        <w:t>包装标准：硬管线按规格盘绕成圈，用尼龙扎带等距固定防止散乱；柔性线束整理成型，扎带固定后装PE袋热塑封。</w:t>
      </w:r>
    </w:p>
    <w:p w14:paraId="390B0BDA">
      <w:pPr>
        <w:widowControl/>
        <w:spacing w:line="360" w:lineRule="atLeast"/>
        <w:ind w:firstLine="440" w:firstLineChars="200"/>
        <w:rPr>
          <w:color w:val="000000"/>
        </w:rPr>
      </w:pPr>
      <w:r>
        <w:rPr>
          <w:rFonts w:hint="eastAsia"/>
          <w:color w:val="000000"/>
        </w:rPr>
        <w:t>按规格分类装入多次瓦楞纸箱，箱内视情况填充缓冲材料防挤压；</w:t>
      </w:r>
    </w:p>
    <w:p w14:paraId="5DD4A0E7">
      <w:pPr>
        <w:widowControl/>
        <w:spacing w:line="360" w:lineRule="atLeast"/>
        <w:ind w:firstLine="440" w:firstLineChars="200"/>
        <w:jc w:val="center"/>
        <w:rPr>
          <w:color w:val="000000"/>
        </w:rPr>
      </w:pPr>
      <w:r>
        <w:rPr>
          <w:rFonts w:hint="eastAsia"/>
          <w:lang w:val="en-US" w:bidi="ar-SA"/>
        </w:rPr>
        <w:drawing>
          <wp:inline distT="0" distB="0" distL="114300" distR="114300">
            <wp:extent cx="1532255" cy="1800225"/>
            <wp:effectExtent l="0" t="0" r="4445" b="3175"/>
            <wp:docPr id="2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pic:cNvPicPr>
                      <a:picLocks noChangeAspect="1"/>
                    </pic:cNvPicPr>
                  </pic:nvPicPr>
                  <pic:blipFill>
                    <a:blip r:embed="rId24"/>
                    <a:stretch>
                      <a:fillRect/>
                    </a:stretch>
                  </pic:blipFill>
                  <pic:spPr>
                    <a:xfrm>
                      <a:off x="0" y="0"/>
                      <a:ext cx="1532255" cy="1800225"/>
                    </a:xfrm>
                    <a:prstGeom prst="rect">
                      <a:avLst/>
                    </a:prstGeom>
                    <a:noFill/>
                    <a:ln>
                      <a:noFill/>
                    </a:ln>
                  </pic:spPr>
                </pic:pic>
              </a:graphicData>
            </a:graphic>
          </wp:inline>
        </w:drawing>
      </w:r>
    </w:p>
    <w:p w14:paraId="2F19BDB4">
      <w:pPr>
        <w:widowControl/>
        <w:spacing w:line="360" w:lineRule="atLeast"/>
        <w:ind w:firstLine="440" w:firstLineChars="200"/>
      </w:pPr>
      <w:r>
        <w:rPr>
          <w:rFonts w:hint="eastAsia"/>
          <w:color w:val="000000"/>
        </w:rPr>
        <w:t>作业设备要求：尼龙扎带、盘线工装、PE 塑封袋、热塑封机、纸箱、缓冲填充物</w:t>
      </w:r>
      <w:r>
        <w:rPr>
          <w:rFonts w:hint="eastAsia"/>
          <w:color w:val="000000"/>
          <w:lang w:val="en-US"/>
        </w:rPr>
        <w:t>等</w:t>
      </w:r>
      <w:r>
        <w:rPr>
          <w:rFonts w:hint="eastAsia"/>
          <w:color w:val="000000"/>
        </w:rPr>
        <w:t>。</w:t>
      </w:r>
    </w:p>
    <w:p w14:paraId="629D5268">
      <w:pPr>
        <w:widowControl/>
        <w:spacing w:line="360" w:lineRule="atLeast"/>
        <w:ind w:firstLine="440" w:firstLineChars="200"/>
        <w:outlineLvl w:val="2"/>
        <w:rPr>
          <w:color w:val="000000"/>
        </w:rPr>
      </w:pPr>
      <w:r>
        <w:rPr>
          <w:rFonts w:hint="eastAsia"/>
          <w:color w:val="000000"/>
          <w:lang w:val="en-US"/>
        </w:rPr>
        <w:t>8-</w:t>
      </w:r>
      <w:r>
        <w:rPr>
          <w:rFonts w:hint="eastAsia"/>
          <w:color w:val="000000"/>
        </w:rPr>
        <w:t>11.齿轮、小型盘类、标准件类</w:t>
      </w:r>
    </w:p>
    <w:p w14:paraId="42999DD3">
      <w:pPr>
        <w:widowControl/>
        <w:spacing w:line="360" w:lineRule="atLeast"/>
        <w:ind w:firstLine="440" w:firstLineChars="200"/>
        <w:rPr>
          <w:color w:val="000000"/>
        </w:rPr>
      </w:pPr>
      <w:r>
        <w:rPr>
          <w:rFonts w:hint="eastAsia"/>
          <w:color w:val="000000"/>
        </w:rPr>
        <w:t>品类范围：齿轮、小型法兰盘、螺栓螺母等标准件</w:t>
      </w:r>
    </w:p>
    <w:p w14:paraId="76099A1E">
      <w:pPr>
        <w:widowControl/>
        <w:spacing w:line="360" w:lineRule="atLeast"/>
        <w:ind w:firstLine="440" w:firstLineChars="200"/>
        <w:rPr>
          <w:color w:val="000000"/>
        </w:rPr>
      </w:pPr>
      <w:r>
        <w:rPr>
          <w:rFonts w:hint="eastAsia"/>
          <w:color w:val="000000"/>
        </w:rPr>
        <w:t>包装标准：齿轮、小型盘类单件套防锈袋，采用热塑封包装，排列装入</w:t>
      </w:r>
      <w:r>
        <w:rPr>
          <w:rFonts w:hint="eastAsia"/>
          <w:color w:val="000000"/>
          <w:lang w:val="en-US"/>
        </w:rPr>
        <w:t>纸盒</w:t>
      </w:r>
      <w:r>
        <w:rPr>
          <w:rFonts w:hint="eastAsia"/>
          <w:color w:val="000000"/>
        </w:rPr>
        <w:t>。螺栓、螺母等标准件按规格定量分装</w:t>
      </w:r>
      <w:r>
        <w:rPr>
          <w:rFonts w:hint="eastAsia"/>
          <w:color w:val="000000"/>
          <w:lang w:val="en-US"/>
        </w:rPr>
        <w:t>内</w:t>
      </w:r>
      <w:r>
        <w:rPr>
          <w:rFonts w:hint="eastAsia"/>
          <w:color w:val="000000"/>
        </w:rPr>
        <w:t>盒，装盒后再统一装入外箱；箱体标注品名、规格、数量。</w:t>
      </w:r>
    </w:p>
    <w:p w14:paraId="677B769D">
      <w:pPr>
        <w:widowControl/>
        <w:spacing w:line="360" w:lineRule="atLeast"/>
        <w:ind w:firstLine="440" w:firstLineChars="200"/>
        <w:jc w:val="center"/>
        <w:rPr>
          <w:color w:val="000000"/>
        </w:rPr>
      </w:pPr>
      <w:r>
        <w:rPr>
          <w:rFonts w:hint="eastAsia"/>
          <w:lang w:val="en-US" w:bidi="ar-SA"/>
        </w:rPr>
        <w:drawing>
          <wp:inline distT="0" distB="0" distL="114300" distR="114300">
            <wp:extent cx="1894840" cy="1783715"/>
            <wp:effectExtent l="0" t="0" r="10160" b="698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5"/>
                    <a:stretch>
                      <a:fillRect/>
                    </a:stretch>
                  </pic:blipFill>
                  <pic:spPr>
                    <a:xfrm>
                      <a:off x="0" y="0"/>
                      <a:ext cx="1894840" cy="1783715"/>
                    </a:xfrm>
                    <a:prstGeom prst="rect">
                      <a:avLst/>
                    </a:prstGeom>
                    <a:noFill/>
                    <a:ln>
                      <a:noFill/>
                    </a:ln>
                  </pic:spPr>
                </pic:pic>
              </a:graphicData>
            </a:graphic>
          </wp:inline>
        </w:drawing>
      </w:r>
      <w:r>
        <w:rPr>
          <w:rFonts w:hint="eastAsia"/>
          <w:lang w:val="en-US"/>
        </w:rPr>
        <w:t xml:space="preserve"> </w:t>
      </w:r>
      <w:r>
        <w:rPr>
          <w:rFonts w:hint="eastAsia"/>
          <w:lang w:val="en-US" w:bidi="ar-SA"/>
        </w:rPr>
        <w:drawing>
          <wp:inline distT="0" distB="0" distL="114300" distR="114300">
            <wp:extent cx="1870710" cy="1800225"/>
            <wp:effectExtent l="0" t="0" r="8890" b="3175"/>
            <wp:docPr id="2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6"/>
                    <pic:cNvPicPr>
                      <a:picLocks noChangeAspect="1"/>
                    </pic:cNvPicPr>
                  </pic:nvPicPr>
                  <pic:blipFill>
                    <a:blip r:embed="rId26"/>
                    <a:stretch>
                      <a:fillRect/>
                    </a:stretch>
                  </pic:blipFill>
                  <pic:spPr>
                    <a:xfrm>
                      <a:off x="0" y="0"/>
                      <a:ext cx="1870710" cy="1800225"/>
                    </a:xfrm>
                    <a:prstGeom prst="rect">
                      <a:avLst/>
                    </a:prstGeom>
                    <a:noFill/>
                    <a:ln>
                      <a:noFill/>
                    </a:ln>
                  </pic:spPr>
                </pic:pic>
              </a:graphicData>
            </a:graphic>
          </wp:inline>
        </w:drawing>
      </w:r>
    </w:p>
    <w:p w14:paraId="1F55DCC3">
      <w:pPr>
        <w:widowControl/>
        <w:spacing w:line="360" w:lineRule="atLeast"/>
        <w:ind w:firstLine="440" w:firstLineChars="200"/>
      </w:pPr>
      <w:r>
        <w:rPr>
          <w:rFonts w:hint="eastAsia"/>
          <w:color w:val="000000"/>
        </w:rPr>
        <w:t>作业设备要求：防锈袋、热塑封机、</w:t>
      </w:r>
      <w:r>
        <w:rPr>
          <w:rFonts w:hint="eastAsia"/>
          <w:color w:val="000000"/>
          <w:lang w:val="en-US"/>
        </w:rPr>
        <w:t>纸盒</w:t>
      </w:r>
      <w:r>
        <w:rPr>
          <w:rFonts w:hint="eastAsia"/>
          <w:color w:val="000000"/>
        </w:rPr>
        <w:t>、标签打印机、手动封箱器。</w:t>
      </w:r>
    </w:p>
    <w:p w14:paraId="0C32DBF7">
      <w:pPr>
        <w:widowControl/>
        <w:spacing w:line="360" w:lineRule="atLeast"/>
        <w:ind w:firstLine="440" w:firstLineChars="200"/>
        <w:outlineLvl w:val="2"/>
        <w:rPr>
          <w:color w:val="000000"/>
        </w:rPr>
      </w:pPr>
      <w:r>
        <w:rPr>
          <w:rFonts w:hint="eastAsia"/>
          <w:color w:val="000000"/>
          <w:lang w:val="en-US"/>
        </w:rPr>
        <w:t>8-</w:t>
      </w:r>
      <w:r>
        <w:rPr>
          <w:rFonts w:hint="eastAsia"/>
          <w:color w:val="000000"/>
        </w:rPr>
        <w:t>12.轻抛内外饰异形件</w:t>
      </w:r>
    </w:p>
    <w:p w14:paraId="5652E87F">
      <w:pPr>
        <w:widowControl/>
        <w:spacing w:line="360" w:lineRule="atLeast"/>
        <w:ind w:firstLine="440" w:firstLineChars="200"/>
        <w:rPr>
          <w:color w:val="000000"/>
        </w:rPr>
      </w:pPr>
      <w:r>
        <w:rPr>
          <w:rFonts w:hint="eastAsia"/>
          <w:color w:val="000000"/>
        </w:rPr>
        <w:t>品类范围：内饰板、装饰件等轻抛、异形配件</w:t>
      </w:r>
    </w:p>
    <w:p w14:paraId="696BC409">
      <w:pPr>
        <w:widowControl/>
        <w:spacing w:line="360" w:lineRule="atLeast"/>
        <w:ind w:firstLine="440" w:firstLineChars="200"/>
        <w:rPr>
          <w:color w:val="000000"/>
        </w:rPr>
      </w:pPr>
      <w:r>
        <w:rPr>
          <w:rFonts w:hint="eastAsia"/>
          <w:color w:val="000000"/>
        </w:rPr>
        <w:t>包装标准：规则配件采用适配尺寸瓦楞纸箱包装，内填缓冲材料填充空隙；异形、不规则件先包裹珍珠棉缓冲，外层用缠绕膜整体裹覆定型，易损边角加护角。</w:t>
      </w:r>
    </w:p>
    <w:p w14:paraId="3F9B4544">
      <w:pPr>
        <w:widowControl/>
        <w:spacing w:line="360" w:lineRule="atLeast"/>
        <w:ind w:firstLine="440" w:firstLineChars="200"/>
        <w:jc w:val="center"/>
        <w:rPr>
          <w:color w:val="000000"/>
        </w:rPr>
      </w:pPr>
      <w:r>
        <w:rPr>
          <w:rFonts w:hint="eastAsia"/>
          <w:lang w:val="en-US" w:bidi="ar-SA"/>
        </w:rPr>
        <w:drawing>
          <wp:inline distT="0" distB="0" distL="114300" distR="114300">
            <wp:extent cx="1413510" cy="2540000"/>
            <wp:effectExtent l="0" t="0" r="0" b="889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27"/>
                    <a:stretch>
                      <a:fillRect/>
                    </a:stretch>
                  </pic:blipFill>
                  <pic:spPr>
                    <a:xfrm rot="16200000">
                      <a:off x="0" y="0"/>
                      <a:ext cx="1413510" cy="2540000"/>
                    </a:xfrm>
                    <a:prstGeom prst="rect">
                      <a:avLst/>
                    </a:prstGeom>
                    <a:noFill/>
                    <a:ln>
                      <a:noFill/>
                    </a:ln>
                  </pic:spPr>
                </pic:pic>
              </a:graphicData>
            </a:graphic>
          </wp:inline>
        </w:drawing>
      </w:r>
      <w:r>
        <w:rPr>
          <w:rFonts w:hint="eastAsia"/>
          <w:lang w:val="en-US"/>
        </w:rPr>
        <w:t xml:space="preserve">  </w:t>
      </w:r>
      <w:r>
        <w:rPr>
          <w:rFonts w:hint="eastAsia"/>
          <w:lang w:val="en-US" w:bidi="ar-SA"/>
        </w:rPr>
        <w:drawing>
          <wp:inline distT="0" distB="0" distL="114300" distR="114300">
            <wp:extent cx="2392045" cy="1440180"/>
            <wp:effectExtent l="0" t="0" r="8255" b="762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28"/>
                    <a:stretch>
                      <a:fillRect/>
                    </a:stretch>
                  </pic:blipFill>
                  <pic:spPr>
                    <a:xfrm>
                      <a:off x="0" y="0"/>
                      <a:ext cx="2392045" cy="1440180"/>
                    </a:xfrm>
                    <a:prstGeom prst="rect">
                      <a:avLst/>
                    </a:prstGeom>
                    <a:noFill/>
                    <a:ln>
                      <a:noFill/>
                    </a:ln>
                  </pic:spPr>
                </pic:pic>
              </a:graphicData>
            </a:graphic>
          </wp:inline>
        </w:drawing>
      </w:r>
    </w:p>
    <w:p w14:paraId="2FC59820">
      <w:pPr>
        <w:widowControl/>
        <w:spacing w:line="360" w:lineRule="atLeast"/>
        <w:ind w:firstLine="440" w:firstLineChars="200"/>
        <w:rPr>
          <w:color w:val="000000"/>
        </w:rPr>
      </w:pPr>
      <w:r>
        <w:rPr>
          <w:rFonts w:hint="eastAsia"/>
          <w:color w:val="000000"/>
        </w:rPr>
        <w:t>作业设备要求：多规格瓦楞纸箱、珍珠棉、</w:t>
      </w:r>
      <w:r>
        <w:rPr>
          <w:rFonts w:hint="eastAsia"/>
          <w:color w:val="000000"/>
          <w:lang w:val="en-US"/>
        </w:rPr>
        <w:t>气垫膜</w:t>
      </w:r>
      <w:r>
        <w:rPr>
          <w:rFonts w:hint="eastAsia"/>
          <w:color w:val="000000"/>
        </w:rPr>
        <w:t>、</w:t>
      </w:r>
      <w:r>
        <w:rPr>
          <w:rFonts w:hint="eastAsia"/>
          <w:color w:val="000000"/>
          <w:lang w:val="en-US"/>
        </w:rPr>
        <w:t>气泡柱</w:t>
      </w:r>
      <w:r>
        <w:rPr>
          <w:rFonts w:hint="eastAsia"/>
          <w:color w:val="000000"/>
        </w:rPr>
        <w:t>、封箱胶带</w:t>
      </w:r>
      <w:r>
        <w:rPr>
          <w:rFonts w:hint="eastAsia"/>
          <w:color w:val="000000"/>
          <w:lang w:val="en-US"/>
        </w:rPr>
        <w:t>等</w:t>
      </w:r>
      <w:r>
        <w:rPr>
          <w:rFonts w:hint="eastAsia"/>
          <w:color w:val="000000"/>
        </w:rPr>
        <w:t>。</w:t>
      </w:r>
    </w:p>
    <w:p w14:paraId="14E892E8">
      <w:pPr>
        <w:ind w:firstLine="440" w:firstLineChars="200"/>
      </w:pPr>
    </w:p>
    <w:p w14:paraId="00B8A5A7">
      <w:pPr>
        <w:ind w:firstLine="440" w:firstLineChars="200"/>
      </w:pPr>
      <w:r>
        <w:rPr>
          <w:rFonts w:hint="eastAsia"/>
        </w:rPr>
        <w:t>1.6 仓储管理要求</w:t>
      </w:r>
    </w:p>
    <w:p w14:paraId="1CC79D6C">
      <w:pPr>
        <w:ind w:firstLine="440" w:firstLineChars="200"/>
      </w:pPr>
      <w:r>
        <w:rPr>
          <w:rFonts w:hint="eastAsia"/>
        </w:rPr>
        <w:t>⑴ 投标人负责根据《通用仓库等级GB/T21072-2007》管理标准和《仓储服务质量要求GB/T21071-2007》的评价指标实施管理。</w:t>
      </w:r>
    </w:p>
    <w:p w14:paraId="43136BED">
      <w:pPr>
        <w:ind w:firstLine="440" w:firstLineChars="200"/>
      </w:pPr>
      <w:r>
        <w:rPr>
          <w:rFonts w:hint="eastAsia"/>
        </w:rPr>
        <w:t>⑵ 仓储整体应做到"两齐"（库容整齐、堆放整齐）、"三清"（数量、质量、规格清晰可查）、"三洁"（工位器具、物件、地面整洁）、"三相符"（账、卡、物相符）。</w:t>
      </w:r>
    </w:p>
    <w:p w14:paraId="3755CC0D">
      <w:pPr>
        <w:ind w:firstLine="440" w:firstLineChars="200"/>
      </w:pPr>
      <w:r>
        <w:rPr>
          <w:rFonts w:hint="eastAsia"/>
        </w:rPr>
        <w:t>⑶ 定期盘点：定期对成品库进行盘点，确保未发运订单包装箱等物资与库存数量的准确性。</w:t>
      </w:r>
    </w:p>
    <w:p w14:paraId="19AACE20">
      <w:pPr>
        <w:ind w:firstLine="440" w:firstLineChars="200"/>
      </w:pPr>
      <w:r>
        <w:rPr>
          <w:rFonts w:hint="eastAsia"/>
        </w:rPr>
        <w:t>⑷ 分类管理：根据历史出库频次、物料类别进行分类存放管理。</w:t>
      </w:r>
    </w:p>
    <w:p w14:paraId="7104F516">
      <w:pPr>
        <w:ind w:firstLine="440" w:firstLineChars="200"/>
      </w:pPr>
      <w:r>
        <w:rPr>
          <w:rFonts w:hint="eastAsia"/>
        </w:rPr>
        <w:t>⑸ 实施先进先出的原则（FIFO）。</w:t>
      </w:r>
    </w:p>
    <w:p w14:paraId="294C1AFA">
      <w:pPr>
        <w:ind w:firstLine="440" w:firstLineChars="200"/>
      </w:pPr>
      <w:r>
        <w:rPr>
          <w:rFonts w:hint="eastAsia"/>
        </w:rPr>
        <w:t>⑹ 建立库存预警机制：当库存量增加到预警上限时，及时采取相应措施开发新场地或增加钢结构大棚满足成品库仓储需求。</w:t>
      </w:r>
    </w:p>
    <w:p w14:paraId="54768E0C">
      <w:pPr>
        <w:ind w:firstLine="440" w:firstLineChars="200"/>
      </w:pPr>
      <w:r>
        <w:rPr>
          <w:rFonts w:hint="eastAsia"/>
        </w:rPr>
        <w:t>⑺ 数据分析与预测：定期分析库存数据，发现库存管理中的问题和趋势，以便于及时调整库存策略。</w:t>
      </w:r>
    </w:p>
    <w:p w14:paraId="5E3A69C7">
      <w:pPr>
        <w:ind w:firstLine="440" w:firstLineChars="200"/>
      </w:pPr>
      <w:r>
        <w:rPr>
          <w:rFonts w:hint="eastAsia"/>
        </w:rPr>
        <w:t>1.7 特殊操作管理要求</w:t>
      </w:r>
    </w:p>
    <w:p w14:paraId="1760A1EB">
      <w:pPr>
        <w:ind w:firstLine="440" w:firstLineChars="200"/>
      </w:pPr>
      <w:r>
        <w:rPr>
          <w:rFonts w:hint="eastAsia"/>
        </w:rPr>
        <w:t>⑴ 配件信息采集：投标人应按照招标方要求，对入库配件进行拍照存档，并精确测量配件的净重、毛重及外形尺寸（长、宽、高）。测量数据准确率应不低于98%，并实时录入招标方指定系统，作为后续包装方案设计及物流计费的依据。</w:t>
      </w:r>
    </w:p>
    <w:p w14:paraId="43821082">
      <w:pPr>
        <w:ind w:firstLine="440" w:firstLineChars="200"/>
      </w:pPr>
      <w:r>
        <w:rPr>
          <w:rFonts w:hint="eastAsia"/>
        </w:rPr>
        <w:t>⑵ 退库作业要求：投标人应建立规范的退库作业流程，接收退货配件时，需核对原出库信息、检验配件状态，并按招标方要求进行重新入库、隔离或处置。退库操作需在</w:t>
      </w:r>
      <w:r>
        <w:rPr>
          <w:rFonts w:hint="eastAsia"/>
          <w:lang w:val="en-US"/>
        </w:rPr>
        <w:t>2</w:t>
      </w:r>
      <w:r>
        <w:rPr>
          <w:rFonts w:hint="eastAsia"/>
        </w:rPr>
        <w:t>小时内完成系统录入，并确保账物一致。</w:t>
      </w:r>
    </w:p>
    <w:p w14:paraId="3FA252DC">
      <w:pPr>
        <w:ind w:firstLine="440" w:firstLineChars="200"/>
      </w:pPr>
      <w:r>
        <w:rPr>
          <w:rFonts w:hint="eastAsia"/>
        </w:rPr>
        <w:t>⑶ 投标人应在翻包及装箱作业现场配置高清视频采集设备，对所有出库货物（含纸箱装箱、木箱封装、集装箱装柜）的完整操作过程进行全程录像。视频记录需清晰呈现：装箱人员、作业时间、箱内配件状态、封箱前实物画面及封箱操作。视频资料应随订单保存不少于6个月，作为货损货差争议判定的首要依据。招标方有权随时抽查或调阅视频记录，投标人不得以任何理由拒绝提供。</w:t>
      </w:r>
    </w:p>
    <w:p w14:paraId="62778A89">
      <w:pPr>
        <w:ind w:firstLine="440" w:firstLineChars="200"/>
      </w:pPr>
      <w:r>
        <w:rPr>
          <w:rFonts w:hint="eastAsia"/>
        </w:rPr>
        <w:t>⑷ 包装设计要求：投标人应具备专业的包装方案设计能力，针对一级包装的部分复杂场景，根据配件的防护、防锈等特性，综合国内外设计标准、成本、运输要求、空隙率、环保要求等，优化设计包装方案，交招标人所在集团相关研发人员审核后，按照要求执行包装方案。</w:t>
      </w:r>
    </w:p>
    <w:p w14:paraId="66EED79E">
      <w:pPr>
        <w:ind w:firstLine="440" w:firstLineChars="200"/>
      </w:pPr>
      <w:r>
        <w:rPr>
          <w:rFonts w:hint="eastAsia"/>
        </w:rPr>
        <w:t>2.包材管理要求</w:t>
      </w:r>
    </w:p>
    <w:p w14:paraId="6778089C">
      <w:pPr>
        <w:ind w:firstLine="440" w:firstLineChars="200"/>
      </w:pPr>
      <w:r>
        <w:rPr>
          <w:rFonts w:hint="eastAsia"/>
        </w:rPr>
        <w:t>2.1 全流程责任</w:t>
      </w:r>
    </w:p>
    <w:p w14:paraId="63FA9760">
      <w:pPr>
        <w:ind w:firstLine="440" w:firstLineChars="200"/>
      </w:pPr>
      <w:r>
        <w:rPr>
          <w:rFonts w:hint="eastAsia"/>
        </w:rPr>
        <w:t>⑴中标供应商对本项目全品类包装材料（以下简称"包材"，涵盖纸箱、木箱、木托盘、缓冲填充物、缠绕膜、封箱胶带、标识标签、气相防锈材料、防护袋、捆扎带等所有包装相关物料）承担全生命周期管理责任，覆盖从寻源采购、入厂质检、仓储保管、工位配送、现场使用管控、消耗统计、余料回收，到呆滞物料处置、质量问题追溯的全部环节。</w:t>
      </w:r>
    </w:p>
    <w:p w14:paraId="02A22669">
      <w:pPr>
        <w:ind w:firstLine="440" w:firstLineChars="200"/>
      </w:pPr>
      <w:r>
        <w:rPr>
          <w:rFonts w:hint="eastAsia"/>
        </w:rPr>
        <w:t>⑵中标方须配置专职包材管理员与质量检验员，建立完整的包材管理体系与台账，对包材供应及时性、质量合规性、消耗合理性、数据准确性承担全部责任。</w:t>
      </w:r>
    </w:p>
    <w:p w14:paraId="1A471BC0">
      <w:pPr>
        <w:ind w:firstLine="440" w:firstLineChars="200"/>
      </w:pPr>
      <w:r>
        <w:rPr>
          <w:rFonts w:hint="eastAsia"/>
        </w:rPr>
        <w:t>2.2 合规与标准</w:t>
      </w:r>
    </w:p>
    <w:p w14:paraId="71CC1605">
      <w:pPr>
        <w:ind w:firstLine="440" w:firstLineChars="200"/>
      </w:pPr>
      <w:r>
        <w:rPr>
          <w:rFonts w:hint="eastAsia"/>
        </w:rPr>
        <w:t>⑴ 标准符合性要求：所有包材的材质、规格、物理性能、环保要求、印刷标识，必须无条件符合招标方发布的《包装产品技术协议书》、对应配件包装BOM清单，以及国家、行业现行强制性标准。</w:t>
      </w:r>
    </w:p>
    <w:p w14:paraId="534A13BB">
      <w:pPr>
        <w:ind w:firstLine="440" w:firstLineChars="200"/>
      </w:pPr>
      <w:r>
        <w:rPr>
          <w:rFonts w:hint="eastAsia"/>
        </w:rPr>
        <w:t>⑵ 标准更新响应：招标方保留因技术升级、业务需求、合规要求更新包材标准的权利。标准更新发布后，中标方须在7个工作日内完成包材方案调整与打样验证，15个工作日内完成全面切换落地，且不得因标准变更提出额外加价要求。</w:t>
      </w:r>
    </w:p>
    <w:p w14:paraId="41E6991B">
      <w:pPr>
        <w:ind w:firstLine="440" w:firstLineChars="200"/>
      </w:pPr>
      <w:r>
        <w:rPr>
          <w:rFonts w:hint="eastAsia"/>
        </w:rPr>
        <w:t>⑶ 计费规则说明：本项目实行包工包料模式，所有包材采购、运输、检测、仓储、损耗成本均已包含在对应服务费率中，招标方不对包材进行单独采购、单独结算。中标方须在保障质量与供应稳定的前提下，实现成本可控与持续优化。</w:t>
      </w:r>
    </w:p>
    <w:p w14:paraId="228052D9">
      <w:pPr>
        <w:ind w:firstLine="440" w:firstLineChars="200"/>
      </w:pPr>
      <w:r>
        <w:rPr>
          <w:rFonts w:hint="eastAsia"/>
        </w:rPr>
        <w:t>2.3 包装材料技术标准与方案管理</w:t>
      </w:r>
    </w:p>
    <w:p w14:paraId="4EC21CCA">
      <w:pPr>
        <w:ind w:firstLine="440" w:firstLineChars="200"/>
      </w:pPr>
      <w:r>
        <w:rPr>
          <w:rFonts w:hint="eastAsia"/>
        </w:rPr>
        <w:t>2.3.1 包装方案设计及工艺执行</w:t>
      </w:r>
    </w:p>
    <w:p w14:paraId="091EFF11">
      <w:pPr>
        <w:ind w:firstLine="440" w:firstLineChars="200"/>
      </w:pPr>
      <w:r>
        <w:rPr>
          <w:rFonts w:hint="eastAsia"/>
        </w:rPr>
        <w:t>⑴ 中标方必须严格依据招标方配件目录、官方发布的包装方案（BOM）及《配件包装工艺卡》执行作业，严禁擅自变更包材材质、规格、用量及包装工艺。</w:t>
      </w:r>
    </w:p>
    <w:p w14:paraId="49A0ACBE">
      <w:pPr>
        <w:ind w:firstLine="440" w:firstLineChars="200"/>
      </w:pPr>
      <w:r>
        <w:rPr>
          <w:rFonts w:hint="eastAsia"/>
        </w:rPr>
        <w:t>⑵ 《配件包装工艺卡》由中标方按品类编制，经招标人质量、物流部门联合审核通过后方可生效；任何方案调整均须提交变更申请，经招标方书面审批后方可执行，私自变更视为违约。</w:t>
      </w:r>
    </w:p>
    <w:p w14:paraId="2DB86205">
      <w:pPr>
        <w:ind w:firstLine="440" w:firstLineChars="200"/>
      </w:pPr>
      <w:r>
        <w:rPr>
          <w:rFonts w:hint="eastAsia"/>
        </w:rPr>
        <w:t>⑶ 中标方须按照招标方确认的包装工艺标准及业务需求计划，及时足额采购对应品类、规格的包装材料，保障现场作业连续供应，因包材采购不及时导致作业停滞、发运延误的，相关责任由中标方承担。</w:t>
      </w:r>
    </w:p>
    <w:p w14:paraId="5BB8A2B7">
      <w:pPr>
        <w:ind w:firstLine="440" w:firstLineChars="200"/>
      </w:pPr>
      <w:r>
        <w:rPr>
          <w:rFonts w:hint="eastAsia"/>
        </w:rPr>
        <w:t>⑷ 招标方提出新增包装工艺要求或作业设备升级需求时，中标方须在约定时限内完成配套包材开发、设备配置落地及作业人员培训，经招标人验证合格后正式投入使用，确保工艺标准与现场作业能力同步匹配。</w:t>
      </w:r>
    </w:p>
    <w:p w14:paraId="4019B685">
      <w:pPr>
        <w:ind w:firstLine="440" w:firstLineChars="200"/>
      </w:pPr>
      <w:r>
        <w:rPr>
          <w:rFonts w:hint="eastAsia"/>
        </w:rPr>
        <w:t>⑸ 因招标方要求新增或调整包装工艺、更新包材技术标准，导致单类物料包装作业及包材成本较原执行标准涨幅超过50%，或单类物料年度包装及包材成本较原预算增幅超过10万元的，中标方可向招标方提交正式成本对比分析报告（含原方案成本明细、新工艺方案成本测算、对应依据文件），经招标方审核确认后，双方签订补充协议调整对应费用标准后执行。中标方须保证工艺切换后的包装质量、防护性能、作业效率完全符合招标人标准要求，经招标人现场验证、执行效果确认合格后，方可执行调整后的费用标准；若工艺切换质量不达标、执行效果未满足要求的，招标人不予调整对应费用。</w:t>
      </w:r>
    </w:p>
    <w:p w14:paraId="2D178ECB">
      <w:pPr>
        <w:ind w:firstLine="440" w:firstLineChars="200"/>
      </w:pPr>
      <w:r>
        <w:rPr>
          <w:rFonts w:hint="eastAsia"/>
        </w:rPr>
        <w:t>2.3.2 方案优化与迭代</w:t>
      </w:r>
    </w:p>
    <w:p w14:paraId="40D69BFE">
      <w:pPr>
        <w:ind w:firstLine="440" w:firstLineChars="200"/>
      </w:pPr>
      <w:r>
        <w:rPr>
          <w:rFonts w:hint="eastAsia"/>
        </w:rPr>
        <w:t>⑴ 主动优化义务：中标方须每月度提交包材方案优化报告，围绕防护性能提升、装载率提升、成本降低、环保升级等方向提出改进方案，经招标方评审通过后落地实施。</w:t>
      </w:r>
    </w:p>
    <w:p w14:paraId="3D8430F4">
      <w:pPr>
        <w:ind w:firstLine="440" w:firstLineChars="200"/>
      </w:pPr>
      <w:r>
        <w:rPr>
          <w:rFonts w:hint="eastAsia"/>
        </w:rPr>
        <w:t>⑵ 新产品响应时效：针对新增配件型号、特殊发运需求，中标方须在3个工作日内输出初步包装方案，7个工作日内完成打样与跌落/振动防护验证，满足业务上线需求。</w:t>
      </w:r>
    </w:p>
    <w:p w14:paraId="324FFF5E">
      <w:pPr>
        <w:ind w:firstLine="440" w:firstLineChars="200"/>
      </w:pPr>
      <w:r>
        <w:rPr>
          <w:rFonts w:hint="eastAsia"/>
        </w:rPr>
        <w:t>⑶ 标准体系配合：须配合招标方及所属集团相关部门，逐步完善包材技术规范、设计标准、检验标准，参与集团包装标准的评审与落地验证。</w:t>
      </w:r>
    </w:p>
    <w:p w14:paraId="2CC44195">
      <w:pPr>
        <w:ind w:firstLine="440" w:firstLineChars="200"/>
      </w:pPr>
      <w:r>
        <w:rPr>
          <w:rFonts w:hint="eastAsia"/>
        </w:rPr>
        <w:t>2.3.3 包材质量技术要求</w:t>
      </w:r>
    </w:p>
    <w:p w14:paraId="70E81A78">
      <w:pPr>
        <w:ind w:firstLine="440" w:firstLineChars="200"/>
      </w:pPr>
      <w:r>
        <w:rPr>
          <w:rFonts w:hint="eastAsia"/>
        </w:rPr>
        <w:t>所有包材须满足招标方图纸与技术标准，并提供对应检测证明，核心品类强制要求如下：</w:t>
      </w:r>
    </w:p>
    <w:p w14:paraId="553349CB">
      <w:pPr>
        <w:ind w:firstLine="440" w:firstLineChars="200"/>
      </w:pPr>
      <w:r>
        <w:rPr>
          <w:rFonts w:hint="eastAsia"/>
        </w:rPr>
        <w:t>⑴ 纸箱类：明确原纸克重、耐破强度、边压强度、戳穿强度等关键指标，印刷内容清晰牢固、位置统一，防潮性能满足长途仓储运输要求；每批次提供出厂检测报告，每季度提供第三方权威机构检测报告。</w:t>
      </w:r>
    </w:p>
    <w:p w14:paraId="53F7A207">
      <w:pPr>
        <w:ind w:firstLine="440" w:firstLineChars="200"/>
      </w:pPr>
      <w:r>
        <w:rPr>
          <w:rFonts w:hint="eastAsia"/>
        </w:rPr>
        <w:t>⑵ 木箱/木框架类：明确板材材质、厚度、承重载荷、加固方式，出口件须具备合规IPPC熏蒸标识；成品须满足堆码、吊装、长途运输防护要求。</w:t>
      </w:r>
    </w:p>
    <w:p w14:paraId="4ADBEB59">
      <w:pPr>
        <w:ind w:firstLine="440" w:firstLineChars="200"/>
      </w:pPr>
      <w:r>
        <w:rPr>
          <w:rFonts w:hint="eastAsia"/>
        </w:rPr>
        <w:t>⑶ 缓冲防护类：气泡膜、珍珠棉、成型泡沫、气枕等材料须具备稳定的抗冲击、抗震动性能，环保无异味、无腐蚀性，不得对配件表面、漆面造成损伤。</w:t>
      </w:r>
    </w:p>
    <w:p w14:paraId="07875D78">
      <w:pPr>
        <w:ind w:firstLine="440" w:firstLineChars="200"/>
      </w:pPr>
      <w:r>
        <w:rPr>
          <w:rFonts w:hint="eastAsia"/>
        </w:rPr>
        <w:t>⑷ 防锈类材料：气相防锈袋、防锈纸、防锈油等须明确气相缓蚀能力、防锈有效期，满足配件6个月以上仓储防锈要求，提供第三方防锈性能检测报告。</w:t>
      </w:r>
    </w:p>
    <w:p w14:paraId="08B6DFAA">
      <w:pPr>
        <w:ind w:firstLine="440" w:firstLineChars="200"/>
      </w:pPr>
      <w:r>
        <w:rPr>
          <w:rFonts w:hint="eastAsia"/>
        </w:rPr>
        <w:t>⑸ 辅助材料：封箱胶带初粘力与持粘力满足长途运输要求，缠绕膜拉伸率与抗穿刺性能达标，标签附着力强、耐刮擦、不易脱落，适配仓储与物流全流程环境。</w:t>
      </w:r>
    </w:p>
    <w:p w14:paraId="30DE0867">
      <w:pPr>
        <w:ind w:firstLine="440" w:firstLineChars="200"/>
      </w:pPr>
      <w:r>
        <w:rPr>
          <w:rFonts w:hint="eastAsia"/>
        </w:rPr>
        <w:t>2.3.4 检测与质量管控能力</w:t>
      </w:r>
    </w:p>
    <w:p w14:paraId="1886D38D">
      <w:pPr>
        <w:ind w:firstLine="440" w:firstLineChars="200"/>
      </w:pPr>
      <w:r>
        <w:rPr>
          <w:rFonts w:hint="eastAsia"/>
        </w:rPr>
        <w:t>⑴ 中标方须配备包材质量检测专用设备，包括但不限于纸箱耐破强度测试仪、边压强度测试仪、胶带拉力测试仪、防锈性能快速检测装置等，具备入厂全检、批次抽检能力。</w:t>
      </w:r>
    </w:p>
    <w:p w14:paraId="28B3C291">
      <w:pPr>
        <w:ind w:firstLine="440" w:firstLineChars="200"/>
      </w:pPr>
      <w:r>
        <w:rPr>
          <w:rFonts w:hint="eastAsia"/>
        </w:rPr>
        <w:t>⑵ 须建立完整的质量管理机制，包含质量问题根因分析、纠正预防措施制定、持续改进跟踪、过程质量巡检，确保包材质量批次合格率≥99.5%。</w:t>
      </w:r>
    </w:p>
    <w:p w14:paraId="6D531EFD">
      <w:pPr>
        <w:ind w:firstLine="440" w:firstLineChars="200"/>
      </w:pPr>
      <w:r>
        <w:rPr>
          <w:rFonts w:hint="eastAsia"/>
        </w:rPr>
        <w:t>2.4 包材仓储、配送与现场管理</w:t>
      </w:r>
    </w:p>
    <w:p w14:paraId="757DF7E6">
      <w:pPr>
        <w:ind w:firstLine="440" w:firstLineChars="200"/>
      </w:pPr>
      <w:r>
        <w:rPr>
          <w:rFonts w:hint="eastAsia"/>
        </w:rPr>
        <w:t>2.4.1 专业化仓储管理</w:t>
      </w:r>
    </w:p>
    <w:p w14:paraId="792995FC">
      <w:pPr>
        <w:ind w:firstLine="440" w:firstLineChars="200"/>
      </w:pPr>
      <w:r>
        <w:rPr>
          <w:rFonts w:hint="eastAsia"/>
        </w:rPr>
        <w:t>⑴ 中标方须设立独立的包材专用仓库或封闭库区，内部清晰划分合格品区、待检区、不合格品隔离区、呆滞物料区，实行定置化管理。</w:t>
      </w:r>
    </w:p>
    <w:p w14:paraId="2A1BBE7C">
      <w:pPr>
        <w:ind w:firstLine="440" w:firstLineChars="200"/>
      </w:pPr>
      <w:r>
        <w:rPr>
          <w:rFonts w:hint="eastAsia"/>
        </w:rPr>
        <w:t>⑵ 库区环境管控，做好防潮、防火、防压、防晒、防尘措施；纸质包材、防锈包材须离地离墙存储，严格控制存储环境温湿度，杜绝受潮、锈蚀、变形、污染。</w:t>
      </w:r>
    </w:p>
    <w:p w14:paraId="107F9475">
      <w:pPr>
        <w:ind w:firstLine="440" w:firstLineChars="200"/>
      </w:pPr>
      <w:r>
        <w:rPr>
          <w:rFonts w:hint="eastAsia"/>
        </w:rPr>
        <w:t>⑶ 库存精细化管理：包材全部纳入仓储管理系统（WMS），做到账、卡、物100%相符；执行先进先出（FIFO）原则，避免包材过期失效；每月开展一次全面盘点，盘点报告同步提交招标方。</w:t>
      </w:r>
    </w:p>
    <w:p w14:paraId="338D5724">
      <w:pPr>
        <w:ind w:firstLine="440" w:firstLineChars="200"/>
      </w:pPr>
      <w:r>
        <w:rPr>
          <w:rFonts w:hint="eastAsia"/>
        </w:rPr>
        <w:t>⑷ 安全库存机制：针对通用核心包材，须设定不低于15天正常用量的安全库存；针对大促、冲量等业务峰值场景，须提前按招标方预测完成备货，保障供应无断点。</w:t>
      </w:r>
    </w:p>
    <w:p w14:paraId="24924FC1">
      <w:pPr>
        <w:ind w:firstLine="440" w:firstLineChars="200"/>
      </w:pPr>
      <w:r>
        <w:rPr>
          <w:rFonts w:hint="eastAsia"/>
        </w:rPr>
        <w:t>2.4.2 工位配送管理</w:t>
      </w:r>
    </w:p>
    <w:p w14:paraId="07C40706">
      <w:pPr>
        <w:ind w:firstLine="440" w:firstLineChars="200"/>
      </w:pPr>
      <w:r>
        <w:rPr>
          <w:rFonts w:hint="eastAsia"/>
        </w:rPr>
        <w:t>实行按需配送机制，根据各包装班组作业节拍，定时、定量将对应包材配送至指定工位，避免工位现场包材堆积、占用作业空间。应急补料响应：工位出现包材短缺需求时，中标方须在30分钟内完成补料送达，不得因包材供应不及时导致包装作业中断。</w:t>
      </w:r>
    </w:p>
    <w:p w14:paraId="053B21A8">
      <w:pPr>
        <w:ind w:firstLine="440" w:firstLineChars="200"/>
      </w:pPr>
      <w:r>
        <w:rPr>
          <w:rFonts w:hint="eastAsia"/>
        </w:rPr>
        <w:t>2.4.3 现场使用与余料回收</w:t>
      </w:r>
    </w:p>
    <w:p w14:paraId="4EDAF3D8">
      <w:pPr>
        <w:ind w:firstLine="440" w:firstLineChars="200"/>
      </w:pPr>
      <w:r>
        <w:rPr>
          <w:rFonts w:hint="eastAsia"/>
        </w:rPr>
        <w:t>作业现场包材须定置摆放，符合5S管理要求；严格按工艺定额使用包材，避免随意裁切、过度用料、无故浪费。可回收余料须分类归集、定期回收处置；可复用包材须做好清洁、检查、复用管理，降低消耗成本。呆滞、过期、报废包材须每月梳理上报，在招标方监督下统一处置，严禁不合格包材流入作业环节。</w:t>
      </w:r>
    </w:p>
    <w:p w14:paraId="4B888511">
      <w:pPr>
        <w:ind w:firstLine="440" w:firstLineChars="200"/>
      </w:pPr>
      <w:r>
        <w:rPr>
          <w:rFonts w:hint="eastAsia"/>
        </w:rPr>
        <w:t>2.5 供应保障与应急管理</w:t>
      </w:r>
    </w:p>
    <w:p w14:paraId="522BDA4A">
      <w:pPr>
        <w:ind w:firstLine="440" w:firstLineChars="200"/>
      </w:pPr>
      <w:r>
        <w:rPr>
          <w:rFonts w:hint="eastAsia"/>
        </w:rPr>
        <w:t>双供应商机制：每类核心包材（纸箱、木箱、关键防锈材料）须储备合格备选供应商，建立备选供应商资质档案，主供渠道出现异常时可快速切换。峰值保障能力：针对季度末、年底冲量及促销节点，须提前根据招标方业务预测，提前15天完成包材备货，峰值产能下包材供应保障率100%。因包材供应中断导致配件发运延误、客户投诉的，全部损失由中标方承担，并按招标方考核条款进行处罚。</w:t>
      </w:r>
    </w:p>
    <w:p w14:paraId="75D7CD56">
      <w:pPr>
        <w:ind w:firstLine="440" w:firstLineChars="200"/>
      </w:pPr>
      <w:r>
        <w:rPr>
          <w:rFonts w:hint="eastAsia"/>
        </w:rPr>
        <w:t>2.6 质量异常处理与责任界定</w:t>
      </w:r>
    </w:p>
    <w:p w14:paraId="04F9242D">
      <w:pPr>
        <w:ind w:firstLine="440" w:firstLineChars="200"/>
      </w:pPr>
      <w:r>
        <w:rPr>
          <w:rFonts w:hint="eastAsia"/>
        </w:rPr>
        <w:t>⑴ 入厂检验不合格：包材到货后经检验不合格的，须立即隔离存放、全部退回更换，因此造成的到货延误、作业停滞损失由中标方承担。</w:t>
      </w:r>
    </w:p>
    <w:p w14:paraId="17CEC750">
      <w:pPr>
        <w:ind w:firstLine="440" w:firstLineChars="200"/>
      </w:pPr>
      <w:r>
        <w:rPr>
          <w:rFonts w:hint="eastAsia"/>
        </w:rPr>
        <w:t>⑵ 使用过程质量异常：作业中发现包材存在批量质量问题，须立即停用该批次包材；中标方须24小时内到场排查原因，48小时内出具整改方案与验证计划，整改合格后方可恢复使用。</w:t>
      </w:r>
    </w:p>
    <w:p w14:paraId="0EB51FE2">
      <w:pPr>
        <w:ind w:firstLine="440" w:firstLineChars="200"/>
      </w:pPr>
      <w:r>
        <w:rPr>
          <w:rFonts w:hint="eastAsia"/>
        </w:rPr>
        <w:t>⑶ 货损责任界定：因包材质量不达标、包装方案缺陷，导致配件在仓储、运输过程中出现锈蚀、磕碰、破损、受潮等货损的，中标方须按配件成本价全额赔偿，并承担对应物流费、返工费、客户索赔等全部关联损失。</w:t>
      </w:r>
    </w:p>
    <w:p w14:paraId="4CB582E8">
      <w:pPr>
        <w:ind w:firstLine="440" w:firstLineChars="200"/>
      </w:pPr>
      <w:r>
        <w:rPr>
          <w:rFonts w:hint="eastAsia"/>
        </w:rPr>
        <w:t>3. 场地管理要求</w:t>
      </w:r>
    </w:p>
    <w:p w14:paraId="274AEF69">
      <w:pPr>
        <w:ind w:firstLine="440" w:firstLineChars="200"/>
      </w:pPr>
      <w:r>
        <w:rPr>
          <w:rFonts w:hint="eastAsia"/>
        </w:rPr>
        <w:t>3.1 仓库选址与基础配置要求</w:t>
      </w:r>
    </w:p>
    <w:p w14:paraId="71F36BAA">
      <w:pPr>
        <w:ind w:firstLine="440" w:firstLineChars="200"/>
      </w:pPr>
      <w:r>
        <w:rPr>
          <w:rFonts w:hint="eastAsia"/>
        </w:rPr>
        <w:t>3.1.1 外部仓库由投标人全额出资提供，选址须位于章丘工业园区10公里直线半径范围内，可用仓储面积不低于</w:t>
      </w:r>
      <w:r>
        <w:rPr>
          <w:rFonts w:hint="eastAsia"/>
          <w:highlight w:val="yellow"/>
          <w:lang w:val="en-US"/>
        </w:rPr>
        <w:t>5</w:t>
      </w:r>
      <w:r>
        <w:rPr>
          <w:rFonts w:hint="eastAsia"/>
          <w:highlight w:val="yellow"/>
        </w:rPr>
        <w:t>万㎡</w:t>
      </w:r>
      <w:r>
        <w:rPr>
          <w:rFonts w:hint="eastAsia"/>
        </w:rPr>
        <w:t>；库区须具备独立产权或合法长期租赁使用权，剩余租赁有效期完整覆盖合同周期，投标时须同步提供产权证明/租赁协议、库区平面布局图作为履约能力佐证。</w:t>
      </w:r>
    </w:p>
    <w:p w14:paraId="03E0B324">
      <w:pPr>
        <w:ind w:firstLine="440" w:firstLineChars="200"/>
      </w:pPr>
      <w:r>
        <w:rPr>
          <w:rFonts w:hint="eastAsia"/>
        </w:rPr>
        <w:t>3.1.2 库房建筑须符合《建筑设计防火规范》（GB50016）相关消防标准，优先采用高台库结构，按存储物品火灾危险性实行分区分级管理：油液类单独设置库区、包装材料专用库区须达到独立设置防火区，金属总成库区、普通配件存储区、作业分拣区按丁类仓库消防标准执行，满足对应耐火等级、防火分区、消防设施配置要求；所有库区消防设施须经当地消防部门验收合格或备案，投标人须提供对应证明材料。</w:t>
      </w:r>
    </w:p>
    <w:p w14:paraId="3C8B36CD">
      <w:pPr>
        <w:ind w:firstLine="440" w:firstLineChars="200"/>
      </w:pPr>
      <w:r>
        <w:rPr>
          <w:rFonts w:hint="eastAsia"/>
        </w:rPr>
        <w:t>⑴ 库房主体结构完好，</w:t>
      </w:r>
      <w:r>
        <w:rPr>
          <w:rFonts w:hint="eastAsia"/>
          <w:highlight w:val="yellow"/>
        </w:rPr>
        <w:t>地面水泥</w:t>
      </w:r>
      <w:r>
        <w:rPr>
          <w:rFonts w:hint="eastAsia"/>
          <w:highlight w:val="yellow"/>
          <w:lang w:val="en-US"/>
        </w:rPr>
        <w:t>/</w:t>
      </w:r>
      <w:r>
        <w:rPr>
          <w:rFonts w:hint="eastAsia"/>
          <w:highlight w:val="yellow"/>
        </w:rPr>
        <w:t>金刚砂地面基础上做固化打磨处理或环氧地坪</w:t>
      </w:r>
      <w:r>
        <w:rPr>
          <w:rFonts w:hint="eastAsia"/>
        </w:rPr>
        <w:t>，静态承重不低于</w:t>
      </w:r>
      <w:r>
        <w:rPr>
          <w:rFonts w:hint="eastAsia"/>
          <w:highlight w:val="yellow"/>
          <w:lang w:val="en-US"/>
        </w:rPr>
        <w:t>3</w:t>
      </w:r>
      <w:r>
        <w:rPr>
          <w:rFonts w:hint="eastAsia"/>
          <w:highlight w:val="yellow"/>
        </w:rPr>
        <w:t>t/㎡</w:t>
      </w:r>
      <w:r>
        <w:rPr>
          <w:rFonts w:hint="eastAsia"/>
        </w:rPr>
        <w:t>，无开裂、起砂、屋面渗漏问题；库房净空高度不低于9米，满足高位货架与自动化设备布设需求。</w:t>
      </w:r>
    </w:p>
    <w:p w14:paraId="1F3AC385">
      <w:pPr>
        <w:ind w:firstLine="440" w:firstLineChars="200"/>
      </w:pPr>
      <w:r>
        <w:rPr>
          <w:rFonts w:hint="eastAsia"/>
        </w:rPr>
        <w:t xml:space="preserve">⑵ </w:t>
      </w:r>
      <w:r>
        <w:rPr>
          <w:rFonts w:hint="eastAsia"/>
          <w:highlight w:val="yellow"/>
        </w:rPr>
        <w:t>装卸货区配置专用升降平台</w:t>
      </w:r>
      <w:r>
        <w:rPr>
          <w:rFonts w:hint="eastAsia"/>
          <w:highlight w:val="yellow"/>
          <w:lang w:val="en-US"/>
        </w:rPr>
        <w:t>或</w:t>
      </w:r>
      <w:r>
        <w:rPr>
          <w:rFonts w:hint="eastAsia"/>
          <w:highlight w:val="yellow"/>
        </w:rPr>
        <w:t>防雨雨棚</w:t>
      </w:r>
      <w:r>
        <w:rPr>
          <w:rFonts w:hint="eastAsia"/>
        </w:rPr>
        <w:t>，雨棚进深不小于5米，保障雨雪天气正常装卸作业；库区周边设置环形作业通道，满足17.5米大型货运车辆双向通行与掉头要求。</w:t>
      </w:r>
    </w:p>
    <w:p w14:paraId="71F7C56D">
      <w:pPr>
        <w:ind w:firstLine="440" w:firstLineChars="200"/>
      </w:pPr>
      <w:r>
        <w:rPr>
          <w:rFonts w:hint="eastAsia"/>
        </w:rPr>
        <w:t>⑶ 须结合业务需求合理投入仓储硬件设备，包括高位货架、托盘立库、多层穿梭车立库等自动化存储设备，以及配套装卸、搬运设备，确保仓储容量与包装作业能力可覆盖招标方业务峰值需求。</w:t>
      </w:r>
    </w:p>
    <w:p w14:paraId="2EC81DFF">
      <w:pPr>
        <w:ind w:firstLine="440" w:firstLineChars="200"/>
      </w:pPr>
      <w:r>
        <w:rPr>
          <w:rFonts w:hint="eastAsia"/>
        </w:rPr>
        <w:t>⑷ 配套基础设施齐全完好：墙体、门窗、防撞柱、挡鼠板、消防设施等附属设施无破损、功能正常；仓库内水源、强电电源、应急照明、有线网络接口布设完善，全库区实现无线网络无死角覆盖，网络带宽满足作业系统、视频监控7×24小时稳定运行。</w:t>
      </w:r>
    </w:p>
    <w:p w14:paraId="46921814">
      <w:pPr>
        <w:ind w:firstLine="440" w:firstLineChars="200"/>
      </w:pPr>
      <w:r>
        <w:rPr>
          <w:rFonts w:hint="eastAsia"/>
        </w:rPr>
        <w:t>3.2 仓库扩容能力要求</w:t>
      </w:r>
    </w:p>
    <w:p w14:paraId="417566F3">
      <w:pPr>
        <w:ind w:firstLine="440" w:firstLineChars="200"/>
      </w:pPr>
      <w:r>
        <w:rPr>
          <w:rFonts w:hint="eastAsia"/>
        </w:rPr>
        <w:t>投标方须具备弹性、快速、可承诺的仓库扩容能力，应对</w:t>
      </w:r>
      <w:r>
        <w:rPr>
          <w:rFonts w:hint="eastAsia"/>
          <w:lang w:val="en-US"/>
        </w:rPr>
        <w:t>分运</w:t>
      </w:r>
      <w:r>
        <w:rPr>
          <w:rFonts w:hint="eastAsia"/>
        </w:rPr>
        <w:t>业务模式，并将其作为本次服务履约的核心保障条件。扩容要求：合同期内，招标方有权要求投标方在收到书面通知后30个工作日内，完成不少于5,000平方米的合规仓库面积交付使用；招标方可根据业务节奏分阶段提出后续扩容需求，投标方须确保具备每30日新增不少于5,000平方米的持续供给能力，直至满足招标方总需求。</w:t>
      </w:r>
    </w:p>
    <w:p w14:paraId="10D06BEA">
      <w:pPr>
        <w:ind w:firstLine="440" w:firstLineChars="200"/>
      </w:pPr>
      <w:r>
        <w:rPr>
          <w:rFonts w:hint="eastAsia"/>
        </w:rPr>
        <w:t>3.3 消防、安保与物业管理</w:t>
      </w:r>
    </w:p>
    <w:p w14:paraId="1B733ECA">
      <w:pPr>
        <w:ind w:firstLine="440" w:firstLineChars="200"/>
      </w:pPr>
      <w:r>
        <w:rPr>
          <w:rFonts w:hint="eastAsia"/>
        </w:rPr>
        <w:t>3.3.1 消防安全管理</w:t>
      </w:r>
    </w:p>
    <w:p w14:paraId="40BF50A9">
      <w:pPr>
        <w:ind w:firstLine="440" w:firstLineChars="200"/>
      </w:pPr>
      <w:r>
        <w:rPr>
          <w:rFonts w:hint="eastAsia"/>
        </w:rPr>
        <w:t>⑴ 库区消防等级须严格符合国家消防法规标准，消防栓、烟感报警、灭火器等消防设施配置齐全，且通过当地消防部门验收，取得合法消防验收/备案文件。</w:t>
      </w:r>
    </w:p>
    <w:p w14:paraId="499BE500">
      <w:pPr>
        <w:ind w:firstLine="440" w:firstLineChars="200"/>
      </w:pPr>
      <w:r>
        <w:rPr>
          <w:rFonts w:hint="eastAsia"/>
        </w:rPr>
        <w:t>⑵ 投标人须建立常态化消防管理制度：每月开展1次全面消防隐患排查，每半年组织1次全员消防演练，消防设施每年委托第三方机构完成年检并出具合格报告，所有记录与报告须同步报备招标方。</w:t>
      </w:r>
    </w:p>
    <w:p w14:paraId="6726EF99">
      <w:pPr>
        <w:ind w:firstLine="440" w:firstLineChars="200"/>
      </w:pPr>
      <w:r>
        <w:rPr>
          <w:rFonts w:hint="eastAsia"/>
        </w:rPr>
        <w:t>⑶ 严禁堵塞、占用消防通道、安全出口与消防车通道，严禁私拉乱接电线、违规使用大功率电器，严禁在库区内存放易燃易爆违禁品；消防通道与防火分区标识清晰，保持全天候畅通。</w:t>
      </w:r>
    </w:p>
    <w:p w14:paraId="5AA5583E">
      <w:pPr>
        <w:ind w:firstLine="440" w:firstLineChars="200"/>
      </w:pPr>
      <w:r>
        <w:rPr>
          <w:rFonts w:hint="eastAsia"/>
        </w:rPr>
        <w:t>3.3.2 安保与安防管理</w:t>
      </w:r>
    </w:p>
    <w:p w14:paraId="5664E4CC">
      <w:pPr>
        <w:ind w:firstLine="440" w:firstLineChars="200"/>
      </w:pPr>
      <w:r>
        <w:rPr>
          <w:rFonts w:hint="eastAsia"/>
        </w:rPr>
        <w:t>⑴ 投标人须配备24小时专职安保值守团队，建立人员、车辆、货物出入登记核验制度，对进出库区的人员、车辆执行严格门禁管控；库区外围设置实体围墙或防护围栏，实现全封闭物理管理。</w:t>
      </w:r>
    </w:p>
    <w:p w14:paraId="391C8C8C">
      <w:pPr>
        <w:ind w:firstLine="440" w:firstLineChars="200"/>
      </w:pPr>
      <w:r>
        <w:rPr>
          <w:rFonts w:hint="eastAsia"/>
        </w:rPr>
        <w:t>⑵ 全库区配置高清视频监控系统，覆盖所有作业区、通道、出入口、货架区、包材库区、贵重配件存放区，监控无死角；视频录像保存周期不少于6个月，画面清晰可追溯人员、车辆、货物细节。</w:t>
      </w:r>
    </w:p>
    <w:p w14:paraId="64A6020F">
      <w:pPr>
        <w:ind w:firstLine="440" w:firstLineChars="200"/>
      </w:pPr>
      <w:r>
        <w:rPr>
          <w:rFonts w:hint="eastAsia"/>
        </w:rPr>
        <w:t>⑶ 安防监控系统须对招标方无条件开放实时查看与历史回放权限，招标方有权随时调阅监控资料，投标人不得以任何理由拒绝。</w:t>
      </w:r>
    </w:p>
    <w:p w14:paraId="6B5C42D2">
      <w:pPr>
        <w:ind w:firstLine="440" w:firstLineChars="200"/>
      </w:pPr>
      <w:r>
        <w:rPr>
          <w:rFonts w:hint="eastAsia"/>
        </w:rPr>
        <w:t>⑷ 建立定点巡查机制，安保人员每小时对库区重点区域巡查1次并留存记录；若发生货物被盗、人为损坏事件，由投标人按配件成本价承担全部损失赔偿责任。</w:t>
      </w:r>
    </w:p>
    <w:p w14:paraId="5EC7DE59">
      <w:pPr>
        <w:ind w:firstLine="440" w:firstLineChars="200"/>
      </w:pPr>
      <w:r>
        <w:rPr>
          <w:rFonts w:hint="eastAsia"/>
        </w:rPr>
        <w:t>3.3.3 物业管理服务</w:t>
      </w:r>
    </w:p>
    <w:p w14:paraId="20E5C789">
      <w:pPr>
        <w:ind w:firstLine="440" w:firstLineChars="200"/>
      </w:pPr>
      <w:r>
        <w:rPr>
          <w:rFonts w:hint="eastAsia"/>
        </w:rPr>
        <w:t>⑴ 投标人承担库区及配套办公区全范围的物业管理责任，配备专职物业运维团队，负责园区公共区域、作业区域、办公区域的日常运营保障，所有物业成本均包含在合同服务费用中，不向招标方另行收取。</w:t>
      </w:r>
    </w:p>
    <w:p w14:paraId="3EB05FDB">
      <w:pPr>
        <w:ind w:firstLine="440" w:firstLineChars="200"/>
      </w:pPr>
      <w:r>
        <w:rPr>
          <w:rFonts w:hint="eastAsia"/>
        </w:rPr>
        <w:t>⑵ 日常保洁管理：公共通道、作业区域、卫生间、办公公共区域每日定时清洁，垃圾日产日清；作业废弃物分类存放、定期清运，保持库区整体环境整洁有序。</w:t>
      </w:r>
    </w:p>
    <w:p w14:paraId="199589CD">
      <w:pPr>
        <w:ind w:firstLine="440" w:firstLineChars="200"/>
      </w:pPr>
      <w:r>
        <w:rPr>
          <w:rFonts w:hint="eastAsia"/>
        </w:rPr>
        <w:t>⑶ 设施运维管理：负责园区内道路、地坪、门窗、照明、水电管网、消防设施、门禁系统等公共设施的日常巡检、维修与保养，出现故障30分钟内响应处置，确保设施功能完好。</w:t>
      </w:r>
    </w:p>
    <w:p w14:paraId="710AC56A">
      <w:pPr>
        <w:ind w:firstLine="440" w:firstLineChars="200"/>
      </w:pPr>
      <w:r>
        <w:rPr>
          <w:rFonts w:hint="eastAsia"/>
        </w:rPr>
        <w:t>⑷ 环境秩序管理：负责园区车辆停放秩序管控，保障作业通道、消防通道畅通；负责园区绿化养护、防汛防涝日常管理，维护园区正常运营秩序。</w:t>
      </w:r>
    </w:p>
    <w:p w14:paraId="62497771">
      <w:pPr>
        <w:ind w:firstLine="440" w:firstLineChars="200"/>
      </w:pPr>
      <w:r>
        <w:rPr>
          <w:rFonts w:hint="eastAsia"/>
        </w:rPr>
        <w:t>3.3.4 招标方专属办公区配置</w:t>
      </w:r>
    </w:p>
    <w:p w14:paraId="77241C47">
      <w:pPr>
        <w:ind w:firstLine="440" w:firstLineChars="200"/>
      </w:pPr>
      <w:r>
        <w:rPr>
          <w:rFonts w:hint="eastAsia"/>
        </w:rPr>
        <w:t>⑴ 投标人须在库区范围内提供独立封闭的专属办公区域，与生产作业区物理分隔，设置独立门禁，保障招标方现场管理团队的办公私密性与人员、信息安全。</w:t>
      </w:r>
      <w:r>
        <w:rPr>
          <w:rFonts w:hint="eastAsia"/>
          <w:lang w:val="en-US"/>
        </w:rPr>
        <w:t xml:space="preserve"> </w:t>
      </w:r>
      <w:r>
        <w:rPr>
          <w:rFonts w:hint="eastAsia"/>
        </w:rPr>
        <w:t>办公区相关建设、运维、使用费用均包含在合同总价中，招标人无需额外支付任何费用。</w:t>
      </w:r>
    </w:p>
    <w:p w14:paraId="7520521A">
      <w:pPr>
        <w:ind w:firstLine="440" w:firstLineChars="200"/>
      </w:pPr>
      <w:r>
        <w:rPr>
          <w:rFonts w:hint="eastAsia"/>
        </w:rPr>
        <w:t>⑵ 空间与工位配置：办公区实用面积不低于400㎡，设置开放办公区与独立办公室，配备不少于50个标准办公工位，配套办公桌椅、文件储物柜等基础家具；设置2间独立会议室，分别满足不少于20人、40人的会议需求，配套会议桌、座椅、书写白板等基础会议设施。</w:t>
      </w:r>
    </w:p>
    <w:p w14:paraId="78D3F5B8">
      <w:pPr>
        <w:ind w:firstLine="440" w:firstLineChars="200"/>
      </w:pPr>
      <w:r>
        <w:rPr>
          <w:rFonts w:hint="eastAsia"/>
        </w:rPr>
        <w:t>⑶ 废旧物资处置区域：投标人须在库区范围设置1000平方米专属废旧物资处置区域，与生产作业区物理分隔，用于废旧包材处理。应具备称重设备、摄像头。</w:t>
      </w:r>
    </w:p>
    <w:p w14:paraId="35C9ACEC">
      <w:pPr>
        <w:ind w:firstLine="440" w:firstLineChars="200"/>
      </w:pPr>
      <w:r>
        <w:rPr>
          <w:rFonts w:hint="eastAsia"/>
        </w:rPr>
        <w:t>3.3.5 生活配套设施</w:t>
      </w:r>
    </w:p>
    <w:p w14:paraId="49DCDFF6">
      <w:pPr>
        <w:ind w:firstLine="440" w:firstLineChars="200"/>
      </w:pPr>
      <w:r>
        <w:rPr>
          <w:rFonts w:hint="eastAsia"/>
        </w:rPr>
        <w:t>办公区全域配备冷暖空调，温度可自主调节；配备直饮净水设备，24小时供应冷、热饮用水；配套干净整洁的独立公共卫生间，每日定时清洁消毒。</w:t>
      </w:r>
    </w:p>
    <w:p w14:paraId="60515681">
      <w:pPr>
        <w:ind w:firstLine="440" w:firstLineChars="200"/>
      </w:pPr>
      <w:r>
        <w:rPr>
          <w:rFonts w:hint="eastAsia"/>
        </w:rPr>
        <w:t>3.3.6 水电与网络保障</w:t>
      </w:r>
    </w:p>
    <w:p w14:paraId="7624AA7C">
      <w:pPr>
        <w:ind w:firstLine="440" w:firstLineChars="200"/>
      </w:pPr>
      <w:r>
        <w:rPr>
          <w:rFonts w:hint="eastAsia"/>
        </w:rPr>
        <w:t>办公区接入稳定市政水电，配备独立用电回路，保障办公设备稳定运行；接入专用光纤网络，下行带宽不低于500M、上行带宽不低于100M，支持多终端同时在线，满足日常办公、业务系统访问、远程视频会议等需求。水电、网络使用及运维费用全部由投标人承担。</w:t>
      </w:r>
    </w:p>
    <w:p w14:paraId="0E178407">
      <w:pPr>
        <w:ind w:firstLine="440" w:firstLineChars="200"/>
      </w:pPr>
      <w:r>
        <w:rPr>
          <w:rFonts w:hint="eastAsia"/>
        </w:rPr>
        <w:t>3.3.7 日常运维服务</w:t>
      </w:r>
    </w:p>
    <w:p w14:paraId="4805A4C4">
      <w:pPr>
        <w:ind w:firstLine="440" w:firstLineChars="200"/>
      </w:pPr>
      <w:r>
        <w:rPr>
          <w:rFonts w:hint="eastAsia"/>
        </w:rPr>
        <w:t>由投标人物业团队负责办公区域的日常保洁、垃圾清运、设施维修保养；空调、水电、网络、门禁等设施出现故障，须在30分钟内响应到场处置，一般故障2小时内修复，保障办公环境持续可用。</w:t>
      </w:r>
    </w:p>
    <w:p w14:paraId="696A3379">
      <w:pPr>
        <w:ind w:firstLine="440" w:firstLineChars="200"/>
      </w:pPr>
      <w:r>
        <w:rPr>
          <w:rFonts w:hint="eastAsia"/>
        </w:rPr>
        <w:t>3.4 仓储管理要求细则</w:t>
      </w:r>
    </w:p>
    <w:p w14:paraId="1D9218E6">
      <w:pPr>
        <w:ind w:firstLine="440" w:firstLineChars="200"/>
      </w:pPr>
      <w:r>
        <w:rPr>
          <w:rFonts w:hint="eastAsia"/>
        </w:rPr>
        <w:t>3.4.1 功能分区与目视化管理</w:t>
      </w:r>
    </w:p>
    <w:p w14:paraId="5E1CB818">
      <w:pPr>
        <w:ind w:firstLine="440" w:firstLineChars="200"/>
      </w:pPr>
      <w:r>
        <w:rPr>
          <w:rFonts w:hint="eastAsia"/>
        </w:rPr>
        <w:t>⑴ 仓储区域须按业务全流程清晰划分功能区，至少包含：收货卸货区、待检区、高位货架存储区、平地堆码区、翻包作业区、集货待发区、不合格品隔离区、退库待处理区、空器具存放区、设备充电区、包材专用库区、油液专属存储区、办公区等。</w:t>
      </w:r>
    </w:p>
    <w:p w14:paraId="270EAFB9">
      <w:pPr>
        <w:ind w:firstLine="440" w:firstLineChars="200"/>
      </w:pPr>
      <w:r>
        <w:rPr>
          <w:rFonts w:hint="eastAsia"/>
        </w:rPr>
        <w:t>⑵ 各功能区明确专属责任人，严格执行HOS目视化管理标准：区域标识牌清晰醒目、位置统一，地面标线规范，库位编码规则统一；仓库主入口处张贴大幅库区平面布局图，标注功能分区、物资存放位置、消防设施点位、逃生路线。</w:t>
      </w:r>
    </w:p>
    <w:p w14:paraId="05342552">
      <w:pPr>
        <w:ind w:firstLine="440" w:firstLineChars="200"/>
      </w:pPr>
      <w:r>
        <w:rPr>
          <w:rFonts w:hint="eastAsia"/>
        </w:rPr>
        <w:t>3.4.2 现场5S管理</w:t>
      </w:r>
    </w:p>
    <w:p w14:paraId="50FE9DFD">
      <w:pPr>
        <w:ind w:firstLine="440" w:firstLineChars="200"/>
      </w:pPr>
      <w:r>
        <w:rPr>
          <w:rFonts w:hint="eastAsia"/>
        </w:rPr>
        <w:t>⑴ 仓库现场严格执行5S管理标准，持续保持"两齐、三清、三洁、两相符"：两齐即库容整齐、堆放整齐；三清即数量清、质量清、规格清；三洁即货架洁、物件洁、地面洁；两相符即账、物一致相符。</w:t>
      </w:r>
    </w:p>
    <w:p w14:paraId="22FE84CB">
      <w:pPr>
        <w:ind w:firstLine="440" w:firstLineChars="200"/>
      </w:pPr>
      <w:r>
        <w:rPr>
          <w:rFonts w:hint="eastAsia"/>
        </w:rPr>
        <w:t>⑵ 货架区域编码、库位号准确清晰、牢固耐用，仓储区内区、架、层、位定位精准；货物堆码符合"上轻下重、大不压小"原则，严禁超高、超荷载堆放。</w:t>
      </w:r>
    </w:p>
    <w:p w14:paraId="600C5E94">
      <w:pPr>
        <w:ind w:firstLine="440" w:firstLineChars="200"/>
      </w:pPr>
      <w:r>
        <w:rPr>
          <w:rFonts w:hint="eastAsia"/>
        </w:rPr>
        <w:t>⑶ 建立每日班前班后5S巡检机制，当班产生的包装废弃物、垃圾须分类存放至指定区域，做到当班清理、当日清运，严禁杂物占用作业通道与库位。</w:t>
      </w:r>
    </w:p>
    <w:p w14:paraId="513A2115">
      <w:pPr>
        <w:ind w:firstLine="440" w:firstLineChars="200"/>
      </w:pPr>
      <w:r>
        <w:rPr>
          <w:rFonts w:hint="eastAsia"/>
        </w:rPr>
        <w:t>3.4.3 设施设备现场管理</w:t>
      </w:r>
    </w:p>
    <w:p w14:paraId="24B3AD56">
      <w:pPr>
        <w:ind w:firstLine="440" w:firstLineChars="200"/>
      </w:pPr>
      <w:r>
        <w:rPr>
          <w:rFonts w:hint="eastAsia"/>
        </w:rPr>
        <w:t>⑴ 仓储货架、升降平台、叉车、输送线等设施设备须建立日常点检、定期维护保养制度，点检与维保记录存档备查，确保设备完好运行。</w:t>
      </w:r>
    </w:p>
    <w:p w14:paraId="4A978179">
      <w:pPr>
        <w:ind w:firstLine="440" w:firstLineChars="200"/>
      </w:pPr>
      <w:r>
        <w:rPr>
          <w:rFonts w:hint="eastAsia"/>
        </w:rPr>
        <w:t>⑵ 所有货架须在醒目位置张贴额定荷载标识，明确加载方式与限重要求；同一区域不同承载能力的货架须分区标识，严禁超荷载存放货物。</w:t>
      </w:r>
    </w:p>
    <w:p w14:paraId="3C8BB8FB">
      <w:pPr>
        <w:ind w:firstLine="440" w:firstLineChars="200"/>
      </w:pPr>
      <w:r>
        <w:rPr>
          <w:rFonts w:hint="eastAsia"/>
        </w:rPr>
        <w:t>⑶ 货架通道、主作业通道、消防通道内严禁堆放任何物品，保持全天候畅通；设备、工具使用完毕后须归位至指定存放区域，严禁随意摆放。</w:t>
      </w:r>
    </w:p>
    <w:p w14:paraId="6564F5D5">
      <w:pPr>
        <w:ind w:firstLine="440" w:firstLineChars="200"/>
      </w:pPr>
      <w:r>
        <w:rPr>
          <w:rFonts w:hint="eastAsia"/>
        </w:rPr>
        <w:t>3.4.4 防灾与应急管理</w:t>
      </w:r>
    </w:p>
    <w:p w14:paraId="3CF84563">
      <w:pPr>
        <w:ind w:firstLine="440" w:firstLineChars="200"/>
      </w:pPr>
      <w:r>
        <w:rPr>
          <w:rFonts w:hint="eastAsia"/>
        </w:rPr>
        <w:t>⑴ 定期组织开展防火、防汛、防盗、防爆、防台风专项检查，建立隐患台账，实现闭环整改；库区配备充足的防汛沙袋、排水设备，雨季前完成排水系统疏通与防汛专项演练。</w:t>
      </w:r>
    </w:p>
    <w:p w14:paraId="7EAFF13E">
      <w:pPr>
        <w:ind w:firstLine="440" w:firstLineChars="200"/>
      </w:pPr>
      <w:r>
        <w:rPr>
          <w:rFonts w:hint="eastAsia"/>
        </w:rPr>
        <w:t>⑵ 针对极端天气、设备故障、消防隐患等突发事件，制定专项应急预案，明确应急处置流程与责任人，每半年至少组织1次实战演练，保障人员与货物安全。</w:t>
      </w:r>
    </w:p>
    <w:p w14:paraId="0BE6AE04">
      <w:pPr>
        <w:ind w:firstLine="440" w:firstLineChars="200"/>
      </w:pPr>
      <w:r>
        <w:rPr>
          <w:rFonts w:hint="eastAsia"/>
        </w:rPr>
        <w:t>4. 器具管理要求</w:t>
      </w:r>
    </w:p>
    <w:p w14:paraId="2F18BB16">
      <w:pPr>
        <w:ind w:firstLine="440" w:firstLineChars="200"/>
        <w:rPr>
          <w:highlight w:val="yellow"/>
        </w:rPr>
      </w:pPr>
      <w:r>
        <w:rPr>
          <w:rFonts w:hint="eastAsia"/>
        </w:rPr>
        <w:t>4.1 该项目运行后，</w:t>
      </w:r>
      <w:r>
        <w:rPr>
          <w:rFonts w:hint="eastAsia"/>
          <w:highlight w:val="yellow"/>
        </w:rPr>
        <w:t>外部仓库-包装线所用的包装器具由投标人购买投入，投标人须对进出仓库的包装器具进行统一管理，对于管理不善造成供应商或招标人器具损坏或丢失的，应按照器具年限折旧价进行赔偿。</w:t>
      </w:r>
    </w:p>
    <w:p w14:paraId="4F1E1ABB">
      <w:pPr>
        <w:ind w:firstLine="440" w:firstLineChars="200"/>
      </w:pPr>
      <w:r>
        <w:rPr>
          <w:rFonts w:hint="eastAsia"/>
        </w:rPr>
        <w:t>4.2 投标人应配备器具管理员，进行器具的保管、台账更新、维护、维修、保养等管理工作。供应商的器具只进行折叠、整理、保管工作。</w:t>
      </w:r>
    </w:p>
    <w:p w14:paraId="37FFC116">
      <w:pPr>
        <w:ind w:firstLine="440" w:firstLineChars="200"/>
      </w:pPr>
      <w:r>
        <w:rPr>
          <w:rFonts w:hint="eastAsia"/>
        </w:rPr>
        <w:t>4.3 投标人应建立完整的器具管理流程和手段，保证器具的准确回收、清洁、保管（招标人供应商仅负责保管），并针对招标人及招标人供应商提供的器具提出可行性改善建议。</w:t>
      </w:r>
    </w:p>
    <w:p w14:paraId="7B28A513">
      <w:pPr>
        <w:ind w:firstLine="440" w:firstLineChars="200"/>
      </w:pPr>
      <w:r>
        <w:rPr>
          <w:rFonts w:hint="eastAsia"/>
        </w:rPr>
        <w:t>4.4 投标人在其日常作业中发现包装器具损坏的情况，应第一时间对该包装器具进行隔离，避免损坏的包装器具流通使用。同时第一时间通知器具管理员，由器具管理员进行处理。</w:t>
      </w:r>
    </w:p>
    <w:p w14:paraId="14A12941">
      <w:pPr>
        <w:ind w:firstLine="440" w:firstLineChars="200"/>
      </w:pPr>
      <w:r>
        <w:rPr>
          <w:rFonts w:hint="eastAsia"/>
        </w:rPr>
        <w:t>4.5 投标人应对管辖范围内的器具实行动态管理，随时更新台帐，确保帐物相符。</w:t>
      </w:r>
    </w:p>
    <w:p w14:paraId="1C401B70">
      <w:pPr>
        <w:ind w:firstLine="440" w:firstLineChars="200"/>
      </w:pPr>
      <w:r>
        <w:rPr>
          <w:rFonts w:hint="eastAsia"/>
        </w:rPr>
        <w:t>4.6 招标人有权定期组织投标人相关人员对自有包装器具进行盘点，盘点过程中，若存在差异，相关责任人需将异常原因及整改结果反馈给招标人。</w:t>
      </w:r>
    </w:p>
    <w:p w14:paraId="7A974A81">
      <w:pPr>
        <w:ind w:firstLine="440" w:firstLineChars="200"/>
      </w:pPr>
      <w:r>
        <w:rPr>
          <w:rFonts w:hint="eastAsia"/>
        </w:rPr>
        <w:t>4.7 物流器具的使用不允许出现张开、凸出、悬出等不正确的荷载布置。</w:t>
      </w:r>
    </w:p>
    <w:p w14:paraId="7CD01038">
      <w:pPr>
        <w:ind w:firstLine="440" w:firstLineChars="200"/>
      </w:pPr>
      <w:r>
        <w:rPr>
          <w:rFonts w:hint="eastAsia"/>
        </w:rPr>
        <w:t>4.8 器具设计按附件《器具设计规范》为准。</w:t>
      </w:r>
    </w:p>
    <w:p w14:paraId="2D7C0B41">
      <w:pPr>
        <w:ind w:firstLine="440" w:firstLineChars="200"/>
      </w:pPr>
      <w:r>
        <w:rPr>
          <w:rFonts w:hint="eastAsia"/>
        </w:rPr>
        <w:t>5. 运营设备要求</w:t>
      </w:r>
    </w:p>
    <w:p w14:paraId="6420B0A7">
      <w:pPr>
        <w:ind w:firstLine="440" w:firstLineChars="200"/>
      </w:pPr>
      <w:r>
        <w:rPr>
          <w:rFonts w:hint="eastAsia"/>
          <w:lang w:val="en-US"/>
        </w:rPr>
        <w:t>5</w:t>
      </w:r>
      <w:r>
        <w:rPr>
          <w:rFonts w:hint="eastAsia"/>
        </w:rPr>
        <w:t>.1 总体要求</w:t>
      </w:r>
    </w:p>
    <w:p w14:paraId="20F214E6">
      <w:pPr>
        <w:ind w:firstLine="440" w:firstLineChars="200"/>
      </w:pPr>
      <w:r>
        <w:rPr>
          <w:rFonts w:hint="eastAsia"/>
        </w:rPr>
        <w:t>⑴ 本项目入库、存储、包装、分拣、出库全流程采用自动化作业模式，投标人须根据招标业务量峰值需求，自行配置全流程自动化仓储物流设备，覆盖入库验收、存储搬运、包装分拣、出库集货全环节，实现作业自动化、过程可追溯、效率可保障。所有设备性能稳定可靠，符合国家及行业安全标准，设备投入、运维、维保全部由投标人承担。</w:t>
      </w:r>
    </w:p>
    <w:p w14:paraId="557CD1AF">
      <w:pPr>
        <w:ind w:firstLine="440" w:firstLineChars="200"/>
      </w:pPr>
      <w:r>
        <w:rPr>
          <w:rFonts w:hint="eastAsia"/>
        </w:rPr>
        <w:t>⑵ 招标人有权对投标人的设备性能、投入数量、自动化程度进行审核，当设备无法满足招标人运营需求时，招标人有权要求投标人更换合格设备或追加设备投入。</w:t>
      </w:r>
    </w:p>
    <w:p w14:paraId="31F1FEC1">
      <w:pPr>
        <w:ind w:firstLine="440" w:firstLineChars="200"/>
      </w:pPr>
      <w:r>
        <w:rPr>
          <w:rFonts w:hint="eastAsia"/>
          <w:lang w:val="en-US"/>
        </w:rPr>
        <w:t>5</w:t>
      </w:r>
      <w:r>
        <w:rPr>
          <w:rFonts w:hint="eastAsia"/>
        </w:rPr>
        <w:t>.2 仓储存储自动化设备</w:t>
      </w:r>
    </w:p>
    <w:p w14:paraId="29EB6D2C">
      <w:pPr>
        <w:ind w:firstLine="440" w:firstLineChars="200"/>
      </w:pPr>
      <w:r>
        <w:rPr>
          <w:rFonts w:hint="eastAsia"/>
        </w:rPr>
        <w:t>⑴ 油液类（曼牌机油）专属存储区，投标人须配置专用重型货架系统，适配标准托盘规格，满足多层存储要求，单层额定承重满足油液产品满载存储需求，符合消防安全与仓储规范，支持先进先出管理与自动化搬运作业。</w:t>
      </w:r>
    </w:p>
    <w:p w14:paraId="108E53D3">
      <w:pPr>
        <w:ind w:firstLine="440" w:firstLineChars="200"/>
      </w:pPr>
      <w:r>
        <w:rPr>
          <w:rFonts w:hint="eastAsia"/>
        </w:rPr>
        <w:t>⑵ 普通配件存储区须配置高位货架系统，库位编码规则统一、标识清晰，支持仓储管理系统（WMS）库位可视化管理，配套自动化搬运设备（</w:t>
      </w:r>
      <w:r>
        <w:rPr>
          <w:rFonts w:hint="eastAsia"/>
          <w:highlight w:val="yellow"/>
          <w:lang w:val="en-US"/>
        </w:rPr>
        <w:t>AGV</w:t>
      </w:r>
      <w:r>
        <w:rPr>
          <w:rFonts w:hint="eastAsia"/>
        </w:rPr>
        <w:t>），实现货物自动上下架与库位动态调度。</w:t>
      </w:r>
    </w:p>
    <w:p w14:paraId="4308BF5C">
      <w:pPr>
        <w:ind w:firstLine="440" w:firstLineChars="200"/>
      </w:pPr>
      <w:r>
        <w:rPr>
          <w:rFonts w:hint="eastAsia"/>
        </w:rPr>
        <w:t>⑶ 包材、不合格品、退库物资等辅助库区须配置对应存储设备与定置管理设施，满足分区分类存储要求。</w:t>
      </w:r>
    </w:p>
    <w:p w14:paraId="73E5C8FA">
      <w:pPr>
        <w:ind w:firstLine="440" w:firstLineChars="200"/>
      </w:pPr>
      <w:r>
        <w:rPr>
          <w:rFonts w:hint="eastAsia"/>
          <w:lang w:val="en-US"/>
        </w:rPr>
        <w:t>5</w:t>
      </w:r>
      <w:r>
        <w:rPr>
          <w:rFonts w:hint="eastAsia"/>
        </w:rPr>
        <w:t>.3 入库作业自动化设备</w:t>
      </w:r>
    </w:p>
    <w:p w14:paraId="0DE27083">
      <w:pPr>
        <w:ind w:firstLine="440" w:firstLineChars="200"/>
      </w:pPr>
      <w:r>
        <w:rPr>
          <w:rFonts w:hint="eastAsia"/>
        </w:rPr>
        <w:t>⑴ 入库收货端须配置自动化收货采集设备，集成条码扫描、动态称重、外形尺寸测量、拍照存档功能，自动完成到货配件的信息采集，数据实时同步仓储管理系统；信息采集准确率不低于98%，满足入库数据自动录入要求，减少人工干预。</w:t>
      </w:r>
    </w:p>
    <w:p w14:paraId="12CA5D90">
      <w:pPr>
        <w:ind w:firstLine="440" w:firstLineChars="200"/>
      </w:pPr>
      <w:r>
        <w:rPr>
          <w:rFonts w:hint="eastAsia"/>
        </w:rPr>
        <w:t>⑵ 配套入库输送线系统（</w:t>
      </w:r>
      <w:r>
        <w:rPr>
          <w:rFonts w:hint="eastAsia"/>
          <w:highlight w:val="yellow"/>
          <w:lang w:val="en-US"/>
        </w:rPr>
        <w:t>或者AGV设备</w:t>
      </w:r>
      <w:r>
        <w:rPr>
          <w:rFonts w:hint="eastAsia"/>
        </w:rPr>
        <w:t>），实现货物从收货待检区、质检区到存储区、包装作业区的自动转运，衔接各作业环节，减少人工叉车短驳转运，保障入库时效。</w:t>
      </w:r>
    </w:p>
    <w:p w14:paraId="650AE7B5">
      <w:pPr>
        <w:ind w:firstLine="440" w:firstLineChars="200"/>
      </w:pPr>
      <w:r>
        <w:rPr>
          <w:rFonts w:hint="eastAsia"/>
        </w:rPr>
        <w:t>⑶ 设置入库专属质检工作站，补充自动化采集环节的人工复核能力，配套专业质检照明系统、标准化操作台面及基础质检器具，满足外饰件漆面外观、外形尺寸、单件重量、条码标识等非材质性能类参数的检查与抽检需求；照明照度满足精细外观缺陷识别要求。</w:t>
      </w:r>
    </w:p>
    <w:p w14:paraId="55BEBB5A">
      <w:pPr>
        <w:ind w:firstLine="440" w:firstLineChars="200"/>
      </w:pPr>
      <w:r>
        <w:rPr>
          <w:rFonts w:hint="eastAsia"/>
          <w:lang w:val="en-US"/>
        </w:rPr>
        <w:t>5</w:t>
      </w:r>
      <w:r>
        <w:rPr>
          <w:rFonts w:hint="eastAsia"/>
        </w:rPr>
        <w:t>.4 包装分拣自动化设备</w:t>
      </w:r>
    </w:p>
    <w:p w14:paraId="2CB5F057">
      <w:pPr>
        <w:ind w:firstLine="440" w:firstLineChars="200"/>
      </w:pPr>
      <w:r>
        <w:rPr>
          <w:rFonts w:hint="eastAsia"/>
        </w:rPr>
        <w:t>⑴ 须配置自动化包装分拣系统，覆盖中小普通件、标准件的翻包、贴标、分拣作业；系统支持按订单、目的地、承运商多维度分拣，分拣准确率与处理效率满足业务峰值需求。</w:t>
      </w:r>
    </w:p>
    <w:p w14:paraId="7B52C24B">
      <w:pPr>
        <w:ind w:firstLine="440" w:firstLineChars="200"/>
      </w:pPr>
      <w:r>
        <w:rPr>
          <w:rFonts w:hint="eastAsia"/>
        </w:rPr>
        <w:t>⑵ 系统配套自动供件装置、分拣格口、包装工位接驳输送设备，实现供件、分拣、包装自动化衔接；具备订单自动校验、异常件自动剔除功能，错分率控制在合理范围内。</w:t>
      </w:r>
    </w:p>
    <w:p w14:paraId="3AB2F606">
      <w:pPr>
        <w:ind w:firstLine="440" w:firstLineChars="200"/>
      </w:pPr>
      <w:r>
        <w:rPr>
          <w:rFonts w:hint="eastAsia"/>
        </w:rPr>
        <w:t>⑶ 发动机、驾驶室、车架、变速箱、车桥等大总成类配件，须配置专用起重、加固包装作业设备，满足重型配件包装作业需求，保障包装防护质量与作业安全。</w:t>
      </w:r>
    </w:p>
    <w:p w14:paraId="4DE0035D">
      <w:pPr>
        <w:ind w:firstLine="440" w:firstLineChars="200"/>
      </w:pPr>
      <w:r>
        <w:rPr>
          <w:rFonts w:hint="eastAsia"/>
          <w:lang w:val="en-US"/>
        </w:rPr>
        <w:t>5</w:t>
      </w:r>
      <w:r>
        <w:rPr>
          <w:rFonts w:hint="eastAsia"/>
        </w:rPr>
        <w:t>.5 出库作业自动化设备</w:t>
      </w:r>
    </w:p>
    <w:p w14:paraId="21FBC7B1">
      <w:pPr>
        <w:ind w:firstLine="440" w:firstLineChars="200"/>
      </w:pPr>
      <w:r>
        <w:rPr>
          <w:rFonts w:hint="eastAsia"/>
        </w:rPr>
        <w:t>⑴ 出库端须配置自动化集货分拣设备，如交叉带分拣机、滑块式分拣机、摆轮式分拣机、顶升移栽分拣机等，按目的地维度自动完成货物拣选复核、承运商归集分类，自动转运至集货待发区域；支持整箱、拆零等多种出库模式，满足常规储备订单、急单调件等不同出库时效要求。</w:t>
      </w:r>
    </w:p>
    <w:p w14:paraId="7A0AF62A">
      <w:pPr>
        <w:ind w:firstLine="440" w:firstLineChars="200"/>
      </w:pPr>
      <w:r>
        <w:rPr>
          <w:rFonts w:hint="eastAsia"/>
        </w:rPr>
        <w:t>⑵ 出库交接环节配置自动核验设备，自动比对出库订单与实物信息，确保出库准确率；作业数据自动回传系统，实现出库全流程可追溯。</w:t>
      </w:r>
    </w:p>
    <w:p w14:paraId="15A84186">
      <w:pPr>
        <w:ind w:firstLine="440" w:firstLineChars="200"/>
      </w:pPr>
      <w:r>
        <w:rPr>
          <w:rFonts w:hint="eastAsia"/>
          <w:lang w:val="en-US"/>
        </w:rPr>
        <w:t>5</w:t>
      </w:r>
      <w:r>
        <w:rPr>
          <w:rFonts w:hint="eastAsia"/>
        </w:rPr>
        <w:t>.6 设备管理要求</w:t>
      </w:r>
    </w:p>
    <w:p w14:paraId="6B550BDA">
      <w:pPr>
        <w:ind w:firstLine="440" w:firstLineChars="200"/>
      </w:pPr>
      <w:r>
        <w:rPr>
          <w:rFonts w:hint="eastAsia"/>
        </w:rPr>
        <w:t>⑴ 投标人须配备设备管理信息系统，监控物流设备的运行状态、维保周期、作业效率，实现设备全生命周期管理。</w:t>
      </w:r>
    </w:p>
    <w:p w14:paraId="19269EEA">
      <w:pPr>
        <w:ind w:firstLine="440" w:firstLineChars="200"/>
      </w:pPr>
      <w:r>
        <w:rPr>
          <w:rFonts w:hint="eastAsia"/>
        </w:rPr>
        <w:t>⑵ 投标人须建立设备日常点检、定期维护保养制度，及时处理点检发现的问题，确保设备保持良好的使用性能，点检与维保记录存档备查。</w:t>
      </w:r>
    </w:p>
    <w:p w14:paraId="32CB816E">
      <w:pPr>
        <w:ind w:firstLine="440" w:firstLineChars="200"/>
      </w:pPr>
      <w:r>
        <w:rPr>
          <w:rFonts w:hint="eastAsia"/>
        </w:rPr>
        <w:t>⑶ 叉车、搬运车等特种作业设备须由持证人员操作，严格执行库区安全作业规范；所有设备须张贴额定荷载标识，严禁超荷载运行。</w:t>
      </w:r>
    </w:p>
    <w:p w14:paraId="1D8B41D6">
      <w:pPr>
        <w:ind w:firstLine="440" w:firstLineChars="200"/>
      </w:pPr>
      <w:r>
        <w:rPr>
          <w:rFonts w:hint="eastAsia"/>
        </w:rPr>
        <w:t>⑷ 设备通道、消防通道须保持畅通，设备、工具使用完毕后归位至指定区域，符合现场5S管理要求。</w:t>
      </w:r>
    </w:p>
    <w:p w14:paraId="5DE0B830">
      <w:pPr>
        <w:ind w:firstLine="440" w:firstLineChars="200"/>
      </w:pPr>
      <w:r>
        <w:rPr>
          <w:rFonts w:hint="eastAsia"/>
          <w:lang w:val="en-US"/>
        </w:rPr>
        <w:t>6</w:t>
      </w:r>
      <w:r>
        <w:rPr>
          <w:rFonts w:hint="eastAsia"/>
        </w:rPr>
        <w:t>. 组织机构</w:t>
      </w:r>
    </w:p>
    <w:p w14:paraId="3F847D30">
      <w:pPr>
        <w:ind w:firstLine="440" w:firstLineChars="200"/>
      </w:pPr>
      <w:r>
        <w:rPr>
          <w:rFonts w:hint="eastAsia"/>
        </w:rPr>
        <w:t>⑴ 团队配置要求：</w:t>
      </w:r>
    </w:p>
    <w:p w14:paraId="5A763E6C">
      <w:pPr>
        <w:ind w:firstLine="440" w:firstLineChars="200"/>
      </w:pPr>
      <w:r>
        <w:rPr>
          <w:rFonts w:hint="eastAsia"/>
        </w:rPr>
        <w:t>项目经理：1人，5年以上汽车/制造业仓储项目管理经验，现场驻场率≥90%。</w:t>
      </w:r>
    </w:p>
    <w:p w14:paraId="3A526BA6">
      <w:pPr>
        <w:ind w:firstLine="440" w:firstLineChars="200"/>
      </w:pPr>
      <w:r>
        <w:rPr>
          <w:rFonts w:hint="eastAsia"/>
        </w:rPr>
        <w:t>仓库主管：按分仓配置（</w:t>
      </w:r>
      <w:r>
        <w:rPr>
          <w:rFonts w:hint="eastAsia"/>
          <w:lang w:val="en-US"/>
        </w:rPr>
        <w:t>包装库</w:t>
      </w:r>
      <w:r>
        <w:rPr>
          <w:rFonts w:hint="eastAsia"/>
        </w:rPr>
        <w:t>、</w:t>
      </w:r>
      <w:r>
        <w:rPr>
          <w:rFonts w:hint="eastAsia"/>
          <w:lang w:val="en-US"/>
        </w:rPr>
        <w:t>储备</w:t>
      </w:r>
      <w:r>
        <w:rPr>
          <w:rFonts w:hint="eastAsia"/>
        </w:rPr>
        <w:t>库各1人），3年以上相关工作经验。</w:t>
      </w:r>
    </w:p>
    <w:p w14:paraId="7E24BF71">
      <w:pPr>
        <w:ind w:firstLine="440" w:firstLineChars="200"/>
      </w:pPr>
      <w:r>
        <w:rPr>
          <w:rFonts w:hint="eastAsia"/>
        </w:rPr>
        <w:t>招标方保留随机抽查、现场考核的权力，不合格人员投标方须立即更换。</w:t>
      </w:r>
    </w:p>
    <w:p w14:paraId="7F6B5E98">
      <w:pPr>
        <w:ind w:firstLine="440" w:firstLineChars="200"/>
      </w:pPr>
      <w:r>
        <w:rPr>
          <w:rFonts w:hint="eastAsia"/>
        </w:rPr>
        <w:t>投标人项目经理岗位人员如发生变更，需要在变更前一个月内向招标人物流部门备案并获得招标人同意后方可进行人员的变更。</w:t>
      </w:r>
    </w:p>
    <w:p w14:paraId="262E35C4">
      <w:pPr>
        <w:ind w:firstLine="440" w:firstLineChars="200"/>
      </w:pPr>
      <w:r>
        <w:rPr>
          <w:rFonts w:hint="eastAsia"/>
        </w:rPr>
        <w:t>⑵ 投标人运营组织架构的设置须以招标人的业务设定为基础，与招标人系统的业务框架和运营流程保持一致。</w:t>
      </w:r>
    </w:p>
    <w:p w14:paraId="6480E660">
      <w:pPr>
        <w:ind w:firstLine="440" w:firstLineChars="200"/>
      </w:pPr>
      <w:r>
        <w:rPr>
          <w:rFonts w:hint="eastAsia"/>
        </w:rPr>
        <w:t>⑶ 投标人必须建立合理的薪酬体系及员工激励机制，控制人员流失率，避免对招标人的生产运营造成不良影响。</w:t>
      </w:r>
    </w:p>
    <w:p w14:paraId="04BF8041">
      <w:pPr>
        <w:ind w:firstLine="440" w:firstLineChars="200"/>
      </w:pPr>
      <w:r>
        <w:rPr>
          <w:rFonts w:hint="eastAsia"/>
        </w:rPr>
        <w:t>⑷ 各级人员应具备"一岗多能"，在组织机构设置和人员配备上投标人应充分体现这一要求。</w:t>
      </w:r>
    </w:p>
    <w:p w14:paraId="5FE54E2C">
      <w:pPr>
        <w:ind w:firstLine="440" w:firstLineChars="200"/>
      </w:pPr>
      <w:r>
        <w:rPr>
          <w:rFonts w:hint="eastAsia"/>
        </w:rPr>
        <w:t>⑸ 在某些特殊岗位投标人人员必须达到相关岗位要求并且具备相关的操作资格证。</w:t>
      </w:r>
    </w:p>
    <w:p w14:paraId="1089BBFE">
      <w:pPr>
        <w:ind w:firstLine="440" w:firstLineChars="200"/>
      </w:pPr>
      <w:r>
        <w:rPr>
          <w:rFonts w:hint="eastAsia"/>
        </w:rPr>
        <w:t>⑹ 投标方需与自有员工签订正式劳动合同，并按时足额支付工资。严禁使用劳务派遣"临时工"顶岗关键作业岗位。</w:t>
      </w:r>
    </w:p>
    <w:p w14:paraId="5E214491">
      <w:pPr>
        <w:ind w:firstLine="440" w:firstLineChars="200"/>
      </w:pPr>
      <w:r>
        <w:rPr>
          <w:rFonts w:hint="eastAsia"/>
          <w:lang w:val="en-US"/>
        </w:rPr>
        <w:t>7</w:t>
      </w:r>
      <w:r>
        <w:rPr>
          <w:rFonts w:hint="eastAsia"/>
        </w:rPr>
        <w:t>. 人员管理</w:t>
      </w:r>
    </w:p>
    <w:p w14:paraId="7CE41076">
      <w:pPr>
        <w:ind w:firstLine="440" w:firstLineChars="200"/>
      </w:pPr>
      <w:r>
        <w:rPr>
          <w:rFonts w:hint="eastAsia"/>
        </w:rPr>
        <w:t>⑴ 投标人专职岗位人员如发生变更，需要在变更前2个工作日内向招标人物流部门备案并获得招标人同意后方可进行人员的变更。</w:t>
      </w:r>
    </w:p>
    <w:p w14:paraId="3E656DFB">
      <w:pPr>
        <w:ind w:firstLine="440" w:firstLineChars="200"/>
      </w:pPr>
      <w:r>
        <w:rPr>
          <w:rFonts w:hint="eastAsia"/>
        </w:rPr>
        <w:t>⑵ 投标人根据招标人业务定期组织人员培训，保存培训记录，培训费用由投标人自行承担。培训类型包括操作技能及标准化作业培训、安全和消防培训、新业务流程培训等。</w:t>
      </w:r>
    </w:p>
    <w:p w14:paraId="3D8D2B03">
      <w:pPr>
        <w:ind w:firstLine="440" w:firstLineChars="200"/>
      </w:pPr>
      <w:r>
        <w:rPr>
          <w:rFonts w:hint="eastAsia"/>
        </w:rPr>
        <w:t>⑶ 投标人需要保证岗位人员每日出勤率大于95%，自有人员比例不少于40%。鉴于物流属劳动密集型行业，作业强度大，原则上作业人员男性年龄小于55周岁，女性年龄小于45周岁。</w:t>
      </w:r>
    </w:p>
    <w:p w14:paraId="77C74FDE">
      <w:pPr>
        <w:ind w:firstLine="440" w:firstLineChars="200"/>
      </w:pPr>
      <w:r>
        <w:rPr>
          <w:rFonts w:hint="eastAsia"/>
          <w:lang w:val="en-US"/>
        </w:rPr>
        <w:t>8</w:t>
      </w:r>
      <w:r>
        <w:rPr>
          <w:rFonts w:hint="eastAsia"/>
        </w:rPr>
        <w:t>. 其他要求</w:t>
      </w:r>
    </w:p>
    <w:p w14:paraId="6E6A3D08">
      <w:pPr>
        <w:ind w:firstLine="440" w:firstLineChars="200"/>
      </w:pPr>
      <w:r>
        <w:rPr>
          <w:rFonts w:hint="eastAsia"/>
        </w:rPr>
        <w:t>⑴ 业务开展使用的辅料、办公用品、耗材等由投标方自行解决，且投标方采购的上述用品必须经过招标方的检验认可。</w:t>
      </w:r>
    </w:p>
    <w:p w14:paraId="6C18FE46">
      <w:pPr>
        <w:ind w:firstLine="440" w:firstLineChars="200"/>
      </w:pPr>
      <w:r>
        <w:rPr>
          <w:rFonts w:hint="eastAsia"/>
        </w:rPr>
        <w:t>⑵ 投标方员工的工作服、手套、劳保鞋、防毒口罩等劳保用品，以及乘用车，均由投标方自行解决，投标方应确保相关劳保用品的合格性和适用性。</w:t>
      </w:r>
    </w:p>
    <w:p w14:paraId="2D93332C">
      <w:pPr>
        <w:ind w:firstLine="440" w:firstLineChars="200"/>
      </w:pPr>
      <w:r>
        <w:rPr>
          <w:rFonts w:hint="eastAsia"/>
        </w:rPr>
        <w:t>⑶ 对于外部仓库，投标单位须配置摄像头和考勤系统，强化物流现场监控和人员考勤等日常管理。</w:t>
      </w:r>
    </w:p>
    <w:p w14:paraId="579F2195">
      <w:pPr>
        <w:tabs>
          <w:tab w:val="left" w:pos="918"/>
        </w:tabs>
        <w:spacing w:line="360" w:lineRule="auto"/>
        <w:rPr>
          <w:b/>
          <w:bCs/>
          <w:lang w:val="en-US"/>
        </w:rPr>
      </w:pPr>
      <w:r>
        <w:rPr>
          <w:rFonts w:hint="eastAsia"/>
          <w:b/>
          <w:bCs/>
          <w:lang w:val="en-US"/>
        </w:rPr>
        <w:t>（三）费用计算公式</w:t>
      </w:r>
    </w:p>
    <w:p w14:paraId="5D7D502E">
      <w:pPr>
        <w:numPr>
          <w:ilvl w:val="0"/>
          <w:numId w:val="5"/>
        </w:numPr>
        <w:tabs>
          <w:tab w:val="left" w:pos="918"/>
        </w:tabs>
        <w:spacing w:line="360" w:lineRule="auto"/>
        <w:ind w:firstLine="422" w:firstLineChars="200"/>
        <w:rPr>
          <w:b/>
          <w:bCs/>
          <w:color w:val="FF0000"/>
          <w:sz w:val="21"/>
          <w:szCs w:val="21"/>
          <w:lang w:val="en-US"/>
        </w:rPr>
      </w:pPr>
      <w:r>
        <w:rPr>
          <w:rFonts w:hint="eastAsia"/>
          <w:b/>
          <w:bCs/>
          <w:color w:val="FF0000"/>
          <w:sz w:val="21"/>
          <w:szCs w:val="21"/>
          <w:lang w:val="en-US"/>
        </w:rPr>
        <w:t>仓储包装场地费；按照自然年度每月系统出库（包含普通配件、驾驶室、车架、分运曼油）金额*费率</w:t>
      </w:r>
    </w:p>
    <w:p w14:paraId="1C7078F5">
      <w:pPr>
        <w:tabs>
          <w:tab w:val="left" w:pos="918"/>
        </w:tabs>
        <w:spacing w:line="360" w:lineRule="auto"/>
        <w:ind w:firstLine="2530" w:firstLineChars="1200"/>
        <w:rPr>
          <w:b/>
          <w:bCs/>
          <w:color w:val="FF0000"/>
          <w:sz w:val="21"/>
          <w:szCs w:val="21"/>
          <w:lang w:val="en-US"/>
        </w:rPr>
      </w:pPr>
      <w:r>
        <w:rPr>
          <w:rFonts w:hint="eastAsia"/>
          <w:b/>
          <w:bCs/>
          <w:color w:val="FF0000"/>
          <w:sz w:val="21"/>
          <w:szCs w:val="21"/>
          <w:lang w:val="en-US"/>
        </w:rPr>
        <w:t>标准计算,每月支付场地费用。</w:t>
      </w:r>
    </w:p>
    <w:p w14:paraId="40FB569F">
      <w:pPr>
        <w:numPr>
          <w:ilvl w:val="0"/>
          <w:numId w:val="5"/>
        </w:numPr>
        <w:tabs>
          <w:tab w:val="left" w:pos="918"/>
        </w:tabs>
        <w:spacing w:line="360" w:lineRule="auto"/>
        <w:ind w:firstLine="422" w:firstLineChars="200"/>
        <w:rPr>
          <w:b/>
          <w:bCs/>
          <w:color w:val="FF0000"/>
          <w:sz w:val="21"/>
          <w:szCs w:val="21"/>
          <w:lang w:val="en-US"/>
        </w:rPr>
      </w:pPr>
      <w:r>
        <w:rPr>
          <w:rFonts w:hint="eastAsia"/>
          <w:b/>
          <w:bCs/>
          <w:color w:val="FF0000"/>
          <w:sz w:val="21"/>
          <w:szCs w:val="21"/>
          <w:lang w:val="en-US"/>
        </w:rPr>
        <w:t>总成包装服务费；包装操作费按照月度系统出库数量*单价标准计算，每月支付服务费用。</w:t>
      </w:r>
    </w:p>
    <w:p w14:paraId="4CF363E0">
      <w:pPr>
        <w:tabs>
          <w:tab w:val="left" w:pos="918"/>
        </w:tabs>
        <w:spacing w:line="360" w:lineRule="auto"/>
        <w:rPr>
          <w:b/>
          <w:bCs/>
          <w:color w:val="FF0000"/>
          <w:sz w:val="21"/>
          <w:szCs w:val="21"/>
          <w:lang w:val="en-US"/>
        </w:rPr>
      </w:pPr>
      <w:r>
        <w:rPr>
          <w:rFonts w:hint="eastAsia"/>
          <w:b/>
          <w:bCs/>
          <w:color w:val="FF0000"/>
          <w:sz w:val="21"/>
          <w:szCs w:val="21"/>
          <w:lang w:val="en-US"/>
        </w:rPr>
        <w:t xml:space="preserve">                       包材费按照月度系统出库数量*单价标准计算，每月支付服务费用。</w:t>
      </w:r>
    </w:p>
    <w:p w14:paraId="20FEB265">
      <w:pPr>
        <w:numPr>
          <w:ilvl w:val="0"/>
          <w:numId w:val="5"/>
        </w:numPr>
        <w:tabs>
          <w:tab w:val="left" w:pos="918"/>
        </w:tabs>
        <w:spacing w:line="360" w:lineRule="auto"/>
        <w:ind w:firstLine="422" w:firstLineChars="200"/>
        <w:rPr>
          <w:b/>
          <w:bCs/>
          <w:color w:val="FF0000"/>
          <w:sz w:val="21"/>
          <w:szCs w:val="21"/>
          <w:lang w:val="en-US"/>
        </w:rPr>
      </w:pPr>
      <w:r>
        <w:rPr>
          <w:rFonts w:hint="eastAsia"/>
          <w:b/>
          <w:bCs/>
          <w:color w:val="FF0000"/>
          <w:sz w:val="21"/>
          <w:szCs w:val="21"/>
          <w:lang w:val="en-US"/>
        </w:rPr>
        <w:t>普通配件包装服务：配件包装服务费按照月度系统普通配件出库金额*费率标准计算，每月支付服务</w:t>
      </w:r>
    </w:p>
    <w:p w14:paraId="0BFAD768">
      <w:pPr>
        <w:tabs>
          <w:tab w:val="left" w:pos="918"/>
        </w:tabs>
        <w:spacing w:line="360" w:lineRule="auto"/>
        <w:ind w:left="440" w:leftChars="200" w:firstLine="2319" w:firstLineChars="1100"/>
        <w:rPr>
          <w:b/>
          <w:bCs/>
          <w:color w:val="FF0000"/>
          <w:sz w:val="21"/>
          <w:szCs w:val="21"/>
          <w:lang w:val="en-US"/>
        </w:rPr>
      </w:pPr>
      <w:r>
        <w:rPr>
          <w:rFonts w:hint="eastAsia"/>
          <w:b/>
          <w:bCs/>
          <w:color w:val="FF0000"/>
          <w:sz w:val="21"/>
          <w:szCs w:val="21"/>
          <w:lang w:val="en-US"/>
        </w:rPr>
        <w:t>费用。</w:t>
      </w:r>
    </w:p>
    <w:p w14:paraId="1C3056FC">
      <w:pPr>
        <w:tabs>
          <w:tab w:val="left" w:pos="918"/>
        </w:tabs>
        <w:spacing w:line="360" w:lineRule="auto"/>
        <w:ind w:left="440" w:leftChars="200"/>
        <w:rPr>
          <w:b/>
          <w:bCs/>
          <w:color w:val="FF0000"/>
          <w:sz w:val="21"/>
          <w:szCs w:val="21"/>
          <w:lang w:val="en-US"/>
        </w:rPr>
      </w:pPr>
      <w:r>
        <w:rPr>
          <w:rFonts w:hint="eastAsia"/>
          <w:b/>
          <w:bCs/>
          <w:color w:val="FF0000"/>
          <w:sz w:val="21"/>
          <w:szCs w:val="21"/>
          <w:lang w:val="en-US"/>
        </w:rPr>
        <w:t xml:space="preserve">                     配件包材费按照月度系统普通配件出库金额*费率标准计算计算，每月支付服务</w:t>
      </w:r>
    </w:p>
    <w:p w14:paraId="10D0F192">
      <w:pPr>
        <w:tabs>
          <w:tab w:val="left" w:pos="918"/>
        </w:tabs>
        <w:spacing w:line="360" w:lineRule="auto"/>
        <w:ind w:left="440" w:leftChars="200" w:firstLine="2319" w:firstLineChars="1100"/>
        <w:rPr>
          <w:b/>
          <w:bCs/>
          <w:color w:val="FF0000"/>
          <w:sz w:val="21"/>
          <w:szCs w:val="21"/>
          <w:lang w:val="en-US"/>
        </w:rPr>
      </w:pPr>
      <w:r>
        <w:rPr>
          <w:rFonts w:hint="eastAsia"/>
          <w:b/>
          <w:bCs/>
          <w:color w:val="FF0000"/>
          <w:sz w:val="21"/>
          <w:szCs w:val="21"/>
          <w:lang w:val="en-US"/>
        </w:rPr>
        <w:t>费用。</w:t>
      </w:r>
    </w:p>
    <w:p w14:paraId="7A912357">
      <w:p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4、集货装箱服务费用;打包组托装箱费按照月度系统出库金额（不包含驾驶室、车架、曼油）*费率标准计算，每月支付服务费用。</w:t>
      </w:r>
    </w:p>
    <w:p w14:paraId="54DB4DF2">
      <w:p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5、分运服务费用：曼油分运仓储费按照月度分运曼油系统出库数量*单价标准计算，每月支付服务费用。</w:t>
      </w:r>
    </w:p>
    <w:p w14:paraId="3576E533">
      <w:p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 xml:space="preserve">                曼油、驾驶室超期分运仓储费按照月度系统出库超期未发运数量*单价标准计算，每月支付服务费用。</w:t>
      </w:r>
    </w:p>
    <w:p w14:paraId="2A8E0E2A">
      <w:pPr>
        <w:numPr>
          <w:ilvl w:val="0"/>
          <w:numId w:val="6"/>
        </w:num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仓储服务费用：储备库配件仓储服务费按照月度出库金额*费率标准计算，每月支付服务费用，此费用仅为储备仓储服务费，包装和包材费用按照包装服务费用执行。</w:t>
      </w:r>
    </w:p>
    <w:p w14:paraId="5DA071CE">
      <w:pPr>
        <w:tabs>
          <w:tab w:val="left" w:pos="918"/>
        </w:tabs>
        <w:spacing w:line="360" w:lineRule="auto"/>
        <w:ind w:left="-1760" w:leftChars="-800" w:firstLine="2319" w:firstLineChars="1100"/>
        <w:rPr>
          <w:b/>
          <w:bCs/>
          <w:color w:val="FF0000"/>
          <w:sz w:val="21"/>
          <w:szCs w:val="21"/>
          <w:lang w:val="en-US"/>
        </w:rPr>
      </w:pPr>
      <w:r>
        <w:rPr>
          <w:rFonts w:hint="eastAsia"/>
          <w:b/>
          <w:bCs/>
          <w:color w:val="FF0000"/>
          <w:sz w:val="21"/>
          <w:szCs w:val="21"/>
          <w:lang w:val="en-US"/>
        </w:rPr>
        <w:t xml:space="preserve">               退库物资管理费按照月度接收或者甲方指令库区内调拨入库重量*单价标准计算，每月</w:t>
      </w:r>
    </w:p>
    <w:p w14:paraId="5416C217">
      <w:pPr>
        <w:tabs>
          <w:tab w:val="left" w:pos="918"/>
        </w:tabs>
        <w:spacing w:line="360" w:lineRule="auto"/>
        <w:ind w:left="-1760" w:leftChars="-800" w:firstLine="4006" w:firstLineChars="1900"/>
        <w:rPr>
          <w:b/>
          <w:bCs/>
          <w:color w:val="FF0000"/>
          <w:sz w:val="21"/>
          <w:szCs w:val="21"/>
          <w:lang w:val="en-US"/>
        </w:rPr>
      </w:pPr>
      <w:r>
        <w:rPr>
          <w:rFonts w:hint="eastAsia"/>
          <w:b/>
          <w:bCs/>
          <w:color w:val="FF0000"/>
          <w:sz w:val="21"/>
          <w:szCs w:val="21"/>
          <w:lang w:val="en-US"/>
        </w:rPr>
        <w:t>支付服务费用，此费用仅为退库配件仓储服务费，包装和包材费用按照包装服务费用</w:t>
      </w:r>
    </w:p>
    <w:p w14:paraId="6E9684AF">
      <w:pPr>
        <w:tabs>
          <w:tab w:val="left" w:pos="918"/>
        </w:tabs>
        <w:spacing w:line="360" w:lineRule="auto"/>
        <w:ind w:left="-1760" w:leftChars="-800" w:firstLine="4006" w:firstLineChars="1900"/>
        <w:rPr>
          <w:b/>
          <w:bCs/>
          <w:color w:val="FF0000"/>
          <w:sz w:val="21"/>
          <w:szCs w:val="21"/>
          <w:lang w:val="en-US"/>
        </w:rPr>
      </w:pPr>
      <w:r>
        <w:rPr>
          <w:rFonts w:hint="eastAsia"/>
          <w:b/>
          <w:bCs/>
          <w:color w:val="FF0000"/>
          <w:sz w:val="21"/>
          <w:szCs w:val="21"/>
          <w:lang w:val="en-US"/>
        </w:rPr>
        <w:t>执行。</w:t>
      </w:r>
    </w:p>
    <w:p w14:paraId="1EDFC824">
      <w:pPr>
        <w:numPr>
          <w:ilvl w:val="0"/>
          <w:numId w:val="6"/>
        </w:num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 xml:space="preserve"> 循环取货费用：循环取货费用按照相应车型和取货地点车次*单价标准计算，每月支付服务费用。</w:t>
      </w:r>
    </w:p>
    <w:p w14:paraId="059C1A02">
      <w:pPr>
        <w:numPr>
          <w:ilvl w:val="0"/>
          <w:numId w:val="6"/>
        </w:num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取货清点交接费用：取货清点交接费用按照月度系统出库金额*费率标准计算，每月支付服务费用。</w:t>
      </w:r>
    </w:p>
    <w:p w14:paraId="0096836F">
      <w:pPr>
        <w:numPr>
          <w:ilvl w:val="0"/>
          <w:numId w:val="6"/>
        </w:numPr>
        <w:tabs>
          <w:tab w:val="left" w:pos="918"/>
        </w:tabs>
        <w:spacing w:line="360" w:lineRule="auto"/>
        <w:ind w:left="2548" w:leftChars="200" w:hanging="2108" w:hangingChars="1000"/>
        <w:rPr>
          <w:b/>
          <w:bCs/>
          <w:color w:val="FF0000"/>
          <w:sz w:val="21"/>
          <w:szCs w:val="21"/>
          <w:lang w:val="en-US"/>
        </w:rPr>
      </w:pPr>
      <w:r>
        <w:rPr>
          <w:rFonts w:hint="eastAsia"/>
          <w:b/>
          <w:bCs/>
          <w:color w:val="FF0000"/>
          <w:sz w:val="21"/>
          <w:szCs w:val="21"/>
          <w:lang w:val="en-US"/>
        </w:rPr>
        <w:t>当招标人出库价格体系进行大幅调整（整体比例超出5%）时，招标人有权依据价格调整比例，对挂账结</w:t>
      </w:r>
    </w:p>
    <w:p w14:paraId="28DD8872">
      <w:pPr>
        <w:tabs>
          <w:tab w:val="left" w:pos="918"/>
        </w:tabs>
        <w:spacing w:line="360" w:lineRule="auto"/>
        <w:ind w:firstLine="843" w:firstLineChars="400"/>
        <w:rPr>
          <w:b/>
          <w:bCs/>
          <w:color w:val="FF0000"/>
          <w:sz w:val="21"/>
          <w:szCs w:val="21"/>
          <w:lang w:val="en-US"/>
        </w:rPr>
      </w:pPr>
      <w:r>
        <w:rPr>
          <w:rFonts w:hint="eastAsia"/>
          <w:b/>
          <w:bCs/>
          <w:color w:val="FF0000"/>
          <w:sz w:val="21"/>
          <w:szCs w:val="21"/>
          <w:lang w:val="en-US"/>
        </w:rPr>
        <w:t xml:space="preserve">算时的出库金额进行相应比例调整。 </w:t>
      </w:r>
    </w:p>
    <w:p w14:paraId="545E374F">
      <w:pPr>
        <w:ind w:firstLine="422" w:firstLineChars="200"/>
        <w:rPr>
          <w:lang w:val="en-US"/>
        </w:rPr>
      </w:pPr>
      <w:r>
        <w:rPr>
          <w:rFonts w:hint="eastAsia"/>
          <w:b/>
          <w:bCs/>
          <w:color w:val="FF0000"/>
          <w:sz w:val="21"/>
          <w:szCs w:val="21"/>
          <w:lang w:val="en-US"/>
        </w:rPr>
        <w:t xml:space="preserve">     </w:t>
      </w:r>
      <w:r>
        <w:rPr>
          <w:rFonts w:hint="eastAsia"/>
          <w:b/>
          <w:bCs/>
          <w:lang w:val="en-US"/>
        </w:rPr>
        <w:t>四</w:t>
      </w:r>
      <w:r>
        <w:rPr>
          <w:rFonts w:hint="eastAsia"/>
          <w:b/>
          <w:bCs/>
        </w:rPr>
        <w:t>、考核</w:t>
      </w:r>
      <w:r>
        <w:rPr>
          <w:rFonts w:hint="eastAsia"/>
          <w:b/>
          <w:bCs/>
          <w:lang w:val="en-US"/>
        </w:rPr>
        <w:t>条款和要求</w:t>
      </w:r>
    </w:p>
    <w:p w14:paraId="194AFBF1">
      <w:pPr>
        <w:ind w:firstLine="440" w:firstLineChars="200"/>
      </w:pPr>
      <w:r>
        <w:rPr>
          <w:rFonts w:hint="eastAsia"/>
        </w:rPr>
        <w:t>1. 基础管理项目检查考核</w:t>
      </w:r>
    </w:p>
    <w:p w14:paraId="35B92552">
      <w:pPr>
        <w:ind w:firstLine="440" w:firstLineChars="200"/>
      </w:pPr>
      <w:r>
        <w:rPr>
          <w:rFonts w:hint="eastAsia"/>
        </w:rPr>
        <w:t>1.1 影响配件发交</w:t>
      </w:r>
    </w:p>
    <w:p w14:paraId="4F50EC92">
      <w:pPr>
        <w:ind w:firstLine="440" w:firstLineChars="200"/>
      </w:pPr>
      <w:r>
        <w:rPr>
          <w:rFonts w:hint="eastAsia"/>
        </w:rPr>
        <w:t>因投标人原因造成配件发交不及时，致使公司配件计划未按时完成，造成包装线停线每小时考核10000元，问题处理不及时，影响视情节扣款。</w:t>
      </w:r>
    </w:p>
    <w:p w14:paraId="39E9623E">
      <w:pPr>
        <w:ind w:firstLine="440" w:firstLineChars="200"/>
      </w:pPr>
      <w:r>
        <w:rPr>
          <w:rFonts w:hint="eastAsia"/>
        </w:rPr>
        <w:t>1.2 配送差异</w:t>
      </w:r>
    </w:p>
    <w:p w14:paraId="766D10FD">
      <w:pPr>
        <w:ind w:firstLine="440" w:firstLineChars="200"/>
      </w:pPr>
      <w:r>
        <w:rPr>
          <w:rFonts w:hint="eastAsia"/>
        </w:rPr>
        <w:t>如投标人人员虚签单据，一经查实，招标人视情况按照差异产品总价值的100%至200%对责任第三方物流进行经济考核。</w:t>
      </w:r>
    </w:p>
    <w:p w14:paraId="5538A8F8">
      <w:pPr>
        <w:ind w:firstLine="440" w:firstLineChars="200"/>
      </w:pPr>
      <w:r>
        <w:rPr>
          <w:rFonts w:hint="eastAsia"/>
        </w:rPr>
        <w:t>1.3 账卡物不一致</w:t>
      </w:r>
    </w:p>
    <w:p w14:paraId="51ADBC8B">
      <w:pPr>
        <w:ind w:firstLine="440" w:firstLineChars="200"/>
      </w:pPr>
      <w:r>
        <w:rPr>
          <w:rFonts w:hint="eastAsia"/>
        </w:rPr>
        <w:t>检查中发现投标人产品账卡物不一致，执行配件销售公司考核细则。</w:t>
      </w:r>
    </w:p>
    <w:p w14:paraId="63949D78">
      <w:pPr>
        <w:ind w:firstLine="440" w:firstLineChars="200"/>
      </w:pPr>
      <w:r>
        <w:rPr>
          <w:rFonts w:hint="eastAsia"/>
        </w:rPr>
        <w:t>1.4 安全</w:t>
      </w:r>
    </w:p>
    <w:p w14:paraId="2257416D">
      <w:pPr>
        <w:ind w:firstLine="440" w:firstLineChars="200"/>
      </w:pPr>
      <w:r>
        <w:rPr>
          <w:rFonts w:hint="eastAsia"/>
        </w:rPr>
        <w:t>对于安全隐患严重或不符合项重复出现的，处理措施包含但不限于提升经济考核力度、停转相关费用、调整产品结构等。</w:t>
      </w:r>
    </w:p>
    <w:p w14:paraId="3F76AA85">
      <w:pPr>
        <w:ind w:firstLine="440" w:firstLineChars="200"/>
      </w:pPr>
      <w:r>
        <w:rPr>
          <w:rFonts w:hint="eastAsia"/>
        </w:rPr>
        <w:t>1.5 出厂违规</w:t>
      </w:r>
    </w:p>
    <w:p w14:paraId="4FB139FD">
      <w:pPr>
        <w:ind w:firstLine="440" w:firstLineChars="200"/>
      </w:pPr>
      <w:r>
        <w:rPr>
          <w:rFonts w:hint="eastAsia"/>
        </w:rPr>
        <w:t>a）对于违规携带产品件出厂行为，视情况给予责任单位500至5000元经济考核，情况严重的按照违规携带物品总价值的10-20倍对责任单位进行经济考核。</w:t>
      </w:r>
    </w:p>
    <w:p w14:paraId="418BF155">
      <w:pPr>
        <w:ind w:firstLine="440" w:firstLineChars="200"/>
      </w:pPr>
      <w:r>
        <w:rPr>
          <w:rFonts w:hint="eastAsia"/>
        </w:rPr>
        <w:t>b）对于违规携带废旧物资类（纸包装、塑料包装、木头等）出厂行为，招标人视情况给予责任单位500至2000元经济考核。</w:t>
      </w:r>
    </w:p>
    <w:p w14:paraId="47892D37">
      <w:pPr>
        <w:ind w:left="440" w:leftChars="200"/>
      </w:pPr>
      <w:r>
        <w:rPr>
          <w:rFonts w:hint="eastAsia"/>
        </w:rPr>
        <w:t>c）视违规严重程度，可采取限期取消涉事车辆入厂资格，将涉事人列入招标人入厂人员黑名单，禁止从事与招标人相关的物流业务等措施。</w:t>
      </w:r>
    </w:p>
    <w:p w14:paraId="717227B2">
      <w:pPr>
        <w:ind w:firstLine="440" w:firstLineChars="200"/>
      </w:pPr>
      <w:r>
        <w:rPr>
          <w:rFonts w:hint="eastAsia"/>
        </w:rPr>
        <w:t>1.6 除严重不合格项外，检查中发现一般不合格项，视情况考核投标人50至500元；一般不合格项包括：</w:t>
      </w:r>
    </w:p>
    <w:p w14:paraId="69BAE442">
      <w:pPr>
        <w:ind w:firstLine="440" w:firstLineChars="200"/>
      </w:pPr>
      <w:r>
        <w:rPr>
          <w:rFonts w:hint="eastAsia"/>
        </w:rPr>
        <w:t>a）投标人工作流程中的相关项</w:t>
      </w:r>
    </w:p>
    <w:p w14:paraId="37E0E0E1">
      <w:pPr>
        <w:ind w:firstLine="440" w:firstLineChars="200"/>
      </w:pPr>
      <w:r>
        <w:rPr>
          <w:rFonts w:hint="eastAsia"/>
        </w:rPr>
        <w:t>b）投标人产品质量控制中相关项</w:t>
      </w:r>
    </w:p>
    <w:p w14:paraId="7DAE0A9D">
      <w:pPr>
        <w:ind w:firstLine="440" w:firstLineChars="200"/>
      </w:pPr>
      <w:r>
        <w:rPr>
          <w:rFonts w:hint="eastAsia"/>
        </w:rPr>
        <w:t>c）投标人内部管理制度的相关项</w:t>
      </w:r>
    </w:p>
    <w:p w14:paraId="680CEB05">
      <w:pPr>
        <w:ind w:firstLine="440" w:firstLineChars="200"/>
      </w:pPr>
      <w:r>
        <w:rPr>
          <w:rFonts w:hint="eastAsia"/>
        </w:rPr>
        <w:t>d）投标人上线配送的相关项</w:t>
      </w:r>
    </w:p>
    <w:p w14:paraId="5A599FDD">
      <w:pPr>
        <w:ind w:firstLine="440" w:firstLineChars="200"/>
      </w:pPr>
      <w:r>
        <w:rPr>
          <w:rFonts w:hint="eastAsia"/>
        </w:rPr>
        <w:t>1.7 投标人公司被检查出的不合格项，未制订纠正措施或未按期关闭的，经检查落实，每发生一次加扣500元；经加倍考核后仍未制订纠正措施或继续未按期关闭的，每拖延一个工作日再加罚责任公司100元。</w:t>
      </w:r>
    </w:p>
    <w:p w14:paraId="351A1552">
      <w:pPr>
        <w:ind w:firstLine="442" w:firstLineChars="200"/>
        <w:rPr>
          <w:b/>
          <w:bCs/>
        </w:rPr>
      </w:pPr>
      <w:r>
        <w:rPr>
          <w:rFonts w:hint="eastAsia"/>
          <w:b/>
          <w:bCs/>
          <w:lang w:val="en-US"/>
        </w:rPr>
        <w:t>五</w:t>
      </w:r>
      <w:r>
        <w:rPr>
          <w:rFonts w:hint="eastAsia"/>
          <w:b/>
          <w:bCs/>
        </w:rPr>
        <w:t>、物流服务终止说明</w:t>
      </w:r>
    </w:p>
    <w:p w14:paraId="34659E1D">
      <w:pPr>
        <w:ind w:firstLine="440" w:firstLineChars="200"/>
      </w:pPr>
      <w:r>
        <w:rPr>
          <w:rFonts w:hint="eastAsia"/>
          <w:lang w:val="en-US"/>
        </w:rPr>
        <w:t>1.</w:t>
      </w:r>
      <w:r>
        <w:rPr>
          <w:rFonts w:hint="eastAsia"/>
        </w:rPr>
        <w:t>物流服务终止分为：合同期满双方任何一方提出终止合同、投标人因自身原因主动提前退出（需在合同中明确违约赔偿问题）、因投标人服务业绩差、不能满足招标人生产需求、在合同期内造成招标人重大资产损失，招标人有权单方面要求终止合同（招标人无违约责任）。</w:t>
      </w:r>
    </w:p>
    <w:p w14:paraId="53B6E38F">
      <w:pPr>
        <w:ind w:firstLine="440" w:firstLineChars="200"/>
      </w:pPr>
      <w:r>
        <w:rPr>
          <w:rFonts w:hint="eastAsia"/>
          <w:lang w:val="en-US"/>
        </w:rPr>
        <w:t>(1)</w:t>
      </w:r>
      <w:r>
        <w:rPr>
          <w:rFonts w:hint="eastAsia"/>
        </w:rPr>
        <w:t>如因投标人原因主动提出终止业务，投标人应提前三个月向招标人出具书面申请。</w:t>
      </w:r>
    </w:p>
    <w:p w14:paraId="1BF64369">
      <w:pPr>
        <w:ind w:firstLine="440" w:firstLineChars="200"/>
      </w:pPr>
      <w:r>
        <w:rPr>
          <w:rFonts w:hint="eastAsia"/>
          <w:lang w:val="en-US"/>
        </w:rPr>
        <w:t>(2)</w:t>
      </w:r>
      <w:r>
        <w:rPr>
          <w:rFonts w:hint="eastAsia"/>
        </w:rPr>
        <w:t>投标人的绩效考评出现四级、五级情况、不能满足招标人生产需求、在合同期内造成招标人重大资产损失时，招标人有权启动终止合同的流程，经相关领导批准后，提前三个月通知投标人准备退出的方案实施。</w:t>
      </w:r>
    </w:p>
    <w:p w14:paraId="1AC9EC03">
      <w:pPr>
        <w:ind w:firstLine="440" w:firstLineChars="200"/>
      </w:pPr>
      <w:r>
        <w:rPr>
          <w:rFonts w:hint="eastAsia"/>
          <w:lang w:val="en-US"/>
        </w:rPr>
        <w:t>2.</w:t>
      </w:r>
      <w:r>
        <w:rPr>
          <w:rFonts w:hint="eastAsia"/>
        </w:rPr>
        <w:t>物流服务终止时，投标人应同意招标人的下一中标方按设备折旧后的价格购买相关设备，在业务过渡期继续使用设备，以确保招标人业务正常运作；或经招标人同意后将设备限期拆除六、物流业务切换要求。</w:t>
      </w:r>
    </w:p>
    <w:p w14:paraId="3A006F5F">
      <w:pPr>
        <w:ind w:firstLine="440" w:firstLineChars="200"/>
      </w:pPr>
      <w:r>
        <w:rPr>
          <w:rFonts w:hint="eastAsia"/>
          <w:lang w:val="en-US"/>
        </w:rPr>
        <w:t>(1)</w:t>
      </w:r>
      <w:r>
        <w:rPr>
          <w:rFonts w:hint="eastAsia"/>
        </w:rPr>
        <w:t>物流商接到中标通知后，应立即联系招标人物流管理部门确定业务开展计划，并在5个工作日内确定好外部仓库地址并由招标人确认。</w:t>
      </w:r>
    </w:p>
    <w:p w14:paraId="763E2AB1">
      <w:pPr>
        <w:ind w:firstLine="440" w:firstLineChars="200"/>
      </w:pPr>
      <w:r>
        <w:rPr>
          <w:rFonts w:hint="eastAsia"/>
          <w:lang w:val="en-US"/>
        </w:rPr>
        <w:t>(2)</w:t>
      </w:r>
      <w:r>
        <w:rPr>
          <w:rFonts w:hint="eastAsia"/>
        </w:rPr>
        <w:t>业务交接期间（交接期为3个月），原物流商须本着友好协商原则，无条件配合业务交接工作，确保业务正常运转。对于交接期间出现影响生产的情况，交接期第1个月由原物流商承担70%责任，新物流商承担30%责任；交接期第2个月，由原物流商承担50%责任，新物流商承担50%责任；交接期第3个月，由原物流商承担30%责任，新物流商承担70%责任。</w:t>
      </w:r>
    </w:p>
    <w:p w14:paraId="79B7DA5E">
      <w:pPr>
        <w:ind w:firstLine="440" w:firstLineChars="200"/>
      </w:pPr>
      <w:r>
        <w:rPr>
          <w:rFonts w:hint="eastAsia"/>
          <w:lang w:val="en-US"/>
        </w:rPr>
        <w:t>(3)</w:t>
      </w:r>
      <w:r>
        <w:rPr>
          <w:rFonts w:hint="eastAsia"/>
        </w:rPr>
        <w:t>交接期间物流费：合同签订后商用车与新物流商结算费用，由新物流商与老物流商结算费用；新物流商须与老物流商协商签署过渡期间相关协议，确定费用结算事宜。</w:t>
      </w:r>
    </w:p>
    <w:p w14:paraId="55CCCD86">
      <w:pPr>
        <w:ind w:firstLine="442" w:firstLineChars="200"/>
        <w:rPr>
          <w:b/>
          <w:bCs/>
        </w:rPr>
      </w:pPr>
      <w:r>
        <w:rPr>
          <w:rFonts w:hint="eastAsia"/>
          <w:b/>
          <w:bCs/>
          <w:lang w:val="en-US"/>
        </w:rPr>
        <w:t>六</w:t>
      </w:r>
      <w:r>
        <w:rPr>
          <w:rFonts w:hint="eastAsia"/>
          <w:b/>
          <w:bCs/>
        </w:rPr>
        <w:t>、投标技术方案要求</w:t>
      </w:r>
    </w:p>
    <w:p w14:paraId="60D65DE7">
      <w:pPr>
        <w:ind w:firstLine="440" w:firstLineChars="200"/>
      </w:pPr>
      <w:r>
        <w:rPr>
          <w:rFonts w:hint="eastAsia"/>
          <w:lang w:val="en-US"/>
        </w:rPr>
        <w:t>1.</w:t>
      </w:r>
      <w:r>
        <w:rPr>
          <w:rFonts w:hint="eastAsia"/>
        </w:rPr>
        <w:t>投标人在投标前应与招标人技术负责人和业务部门进行充分沟通，在招标前提交投标技术方案，技术方案需包含以下方面：</w:t>
      </w:r>
    </w:p>
    <w:p w14:paraId="647178A0">
      <w:pPr>
        <w:ind w:firstLine="440" w:firstLineChars="200"/>
      </w:pPr>
      <w:r>
        <w:rPr>
          <w:rFonts w:hint="eastAsia"/>
          <w:lang w:val="en-US"/>
        </w:rPr>
        <w:t>(1)</w:t>
      </w:r>
      <w:r>
        <w:rPr>
          <w:rFonts w:hint="eastAsia"/>
        </w:rPr>
        <w:t>业务理解及详细的运营方案。</w:t>
      </w:r>
    </w:p>
    <w:p w14:paraId="6614126D">
      <w:pPr>
        <w:ind w:firstLine="440" w:firstLineChars="200"/>
      </w:pPr>
      <w:r>
        <w:rPr>
          <w:rFonts w:hint="eastAsia"/>
          <w:lang w:val="en-US"/>
        </w:rPr>
        <w:t>(2)</w:t>
      </w:r>
      <w:r>
        <w:rPr>
          <w:rFonts w:hint="eastAsia"/>
        </w:rPr>
        <w:t>管理架构及项目人员配置，操作员工配置，人员招聘计划。</w:t>
      </w:r>
    </w:p>
    <w:p w14:paraId="1A06BC4A">
      <w:pPr>
        <w:ind w:firstLine="440" w:firstLineChars="200"/>
      </w:pPr>
      <w:r>
        <w:rPr>
          <w:rFonts w:hint="eastAsia"/>
          <w:lang w:val="en-US"/>
        </w:rPr>
        <w:t>(3)</w:t>
      </w:r>
      <w:r>
        <w:rPr>
          <w:rFonts w:hint="eastAsia"/>
        </w:rPr>
        <w:t>物流装卸设备、配送车辆购买或租赁计划。同时提供设备的详细计划推进表，包括设备厂家，安装、调试、生产等计划安排。</w:t>
      </w:r>
    </w:p>
    <w:p w14:paraId="5CE2A8D4">
      <w:pPr>
        <w:ind w:firstLine="440" w:firstLineChars="200"/>
      </w:pPr>
      <w:r>
        <w:rPr>
          <w:rFonts w:hint="eastAsia"/>
          <w:lang w:val="en-US"/>
        </w:rPr>
        <w:t>(4)</w:t>
      </w:r>
      <w:r>
        <w:rPr>
          <w:rFonts w:hint="eastAsia"/>
        </w:rPr>
        <w:t>作业流程（基本的收发存流程，应急管理流程，批次管理方案）。</w:t>
      </w:r>
    </w:p>
    <w:p w14:paraId="07098539">
      <w:pPr>
        <w:ind w:firstLine="440" w:firstLineChars="200"/>
      </w:pPr>
      <w:r>
        <w:rPr>
          <w:rFonts w:hint="eastAsia"/>
          <w:lang w:val="en-US"/>
        </w:rPr>
        <w:t>(5)</w:t>
      </w:r>
      <w:r>
        <w:rPr>
          <w:rFonts w:hint="eastAsia"/>
        </w:rPr>
        <w:t>项目启动准备周期及推进计划。</w:t>
      </w:r>
    </w:p>
    <w:p w14:paraId="7BB8D5A6">
      <w:pPr>
        <w:ind w:firstLine="440" w:firstLineChars="200"/>
      </w:pPr>
      <w:r>
        <w:rPr>
          <w:rFonts w:hint="eastAsia"/>
          <w:lang w:val="en-US"/>
        </w:rPr>
        <w:t>(6)</w:t>
      </w:r>
      <w:r>
        <w:rPr>
          <w:rFonts w:hint="eastAsia"/>
        </w:rPr>
        <w:t>其他先进业务模式及亮点展示。</w:t>
      </w:r>
    </w:p>
    <w:p w14:paraId="08B93914">
      <w:pPr>
        <w:ind w:firstLine="440" w:firstLineChars="200"/>
      </w:pPr>
      <w:r>
        <w:rPr>
          <w:rFonts w:hint="eastAsia"/>
          <w:lang w:val="en-US"/>
        </w:rPr>
        <w:t>2.</w:t>
      </w:r>
      <w:r>
        <w:rPr>
          <w:rFonts w:hint="eastAsia"/>
        </w:rPr>
        <w:t>投标人在上述技术方案要求中提供的人员、设备配备和投入计划，在项目启动阶段必须切实执行。当出现执行不力或未能满足招标人要求，对招标人生产运营造成重大风险时，招标人有权中止商务合同。</w:t>
      </w:r>
    </w:p>
    <w:sectPr>
      <w:footerReference r:id="rId9" w:type="default"/>
      <w:pgSz w:w="11910" w:h="16840"/>
      <w:pgMar w:top="1240" w:right="820" w:bottom="1180" w:left="780"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4F72CB-4A14-428C-87AC-33FD55DC86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6ACA8FE-99EF-45A2-B619-1F06E639EE23}"/>
  </w:font>
  <w:font w:name="微软雅黑">
    <w:panose1 w:val="020B0503020204020204"/>
    <w:charset w:val="86"/>
    <w:family w:val="swiss"/>
    <w:pitch w:val="default"/>
    <w:sig w:usb0="80000287" w:usb1="2ACF3C50" w:usb2="00000016" w:usb3="00000000" w:csb0="0004001F" w:csb1="00000000"/>
    <w:embedRegular r:id="rId3" w:fontKey="{774E71F7-DDC2-43B9-B49A-C79C33F1EB2A}"/>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4" w:fontKey="{5C1B0C3A-6947-42ED-8914-9B313372A8EB}"/>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 w:name="Segoe UI">
    <w:panose1 w:val="020B0502040204020203"/>
    <w:charset w:val="00"/>
    <w:family w:val="swiss"/>
    <w:pitch w:val="default"/>
    <w:sig w:usb0="E4002EFF" w:usb1="C000E47F" w:usb2="00000009" w:usb3="00000000" w:csb0="200001FF" w:csb1="00000000"/>
    <w:embedRegular r:id="rId5" w:fontKey="{CD525B78-A0A8-495B-92D2-84E2EC5C7D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49472">
    <w:pPr>
      <w:pStyle w:val="10"/>
      <w:spacing w:line="14" w:lineRule="auto"/>
      <w:rPr>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7CF63">
    <w:pPr>
      <w:pStyle w:val="10"/>
      <w:spacing w:line="14" w:lineRule="auto"/>
      <w:rPr>
        <w:sz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47845">
    <w:pPr>
      <w:pStyle w:val="10"/>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8260453"/>
    </w:sdtPr>
    <w:sdtContent>
      <w:p w14:paraId="09BCCF15">
        <w:pPr>
          <w:pStyle w:val="16"/>
          <w:jc w:val="center"/>
        </w:pPr>
        <w:r>
          <w:fldChar w:fldCharType="begin"/>
        </w:r>
        <w:r>
          <w:instrText xml:space="preserve">PAGE   \* MERGEFORMAT</w:instrText>
        </w:r>
        <w:r>
          <w:fldChar w:fldCharType="separate"/>
        </w:r>
        <w:r>
          <w:t>41</w:t>
        </w:r>
        <w:r>
          <w:fldChar w:fldCharType="end"/>
        </w:r>
      </w:p>
    </w:sdtContent>
  </w:sdt>
  <w:p w14:paraId="5ACBB587">
    <w:pPr>
      <w:pStyle w:val="10"/>
      <w:spacing w:line="14" w:lineRule="auto"/>
      <w:rPr>
        <w:sz w:val="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6A209">
    <w:pPr>
      <w:pStyle w:val="10"/>
      <w:spacing w:line="14" w:lineRule="auto"/>
      <w:rPr>
        <w:sz w:val="20"/>
      </w:rPr>
    </w:pPr>
    <w:r>
      <w:rPr>
        <w:lang w:val="en-US" w:bidi="ar-SA"/>
      </w:rPr>
      <w:drawing>
        <wp:anchor distT="0" distB="0" distL="0" distR="0" simplePos="0" relativeHeight="251663360"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4384" behindDoc="1" locked="0" layoutInCell="1" allowOverlap="1">
              <wp:simplePos x="0" y="0"/>
              <wp:positionH relativeFrom="page">
                <wp:posOffset>900430</wp:posOffset>
              </wp:positionH>
              <wp:positionV relativeFrom="page">
                <wp:posOffset>787400</wp:posOffset>
              </wp:positionV>
              <wp:extent cx="5759450" cy="0"/>
              <wp:effectExtent l="0" t="0" r="0" b="0"/>
              <wp:wrapNone/>
              <wp:docPr id="16"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2096;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Qu78TWAAAADAEAAA8A&#10;AAAAAAAAAQAgAAAAIgAAAGRycy9kb3ducmV2LnhtbFBLAQIUABQAAAAIAIdO4kBpbCA44AEAANAD&#10;AAAOAAAAAAAAAAEAIAAAACUBAABkcnMvZTJvRG9jLnhtbFBLBQYAAAAABgAGAFkBAAB3BQ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E52A0">
    <w:pPr>
      <w:pStyle w:val="10"/>
      <w:spacing w:line="14" w:lineRule="auto"/>
      <w:rPr>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787400</wp:posOffset>
              </wp:positionV>
              <wp:extent cx="5759450" cy="0"/>
              <wp:effectExtent l="0" t="0" r="0" b="0"/>
              <wp:wrapNone/>
              <wp:docPr id="26" name="直线 6"/>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70.9pt;margin-top:62pt;height:0pt;width:453.5pt;mso-position-horizontal-relative:page;mso-position-vertical-relative:page;z-index:-251656192;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Lu/E1gAAAAwBAAAP&#10;AAAAAAAAAAEAIAAAACIAAABkcnMvZG93bnJldi54bWxQSwECFAAUAAAACACHTuJAaO463+EBAADQ&#10;AwAADgAAAAAAAAABACAAAAAlAQAAZHJzL2Uyb0RvYy54bWxQSwUGAAAAAAYABgBZAQAAeAUAAAAA&#10;">
              <v:fill on="f" focussize="0,0"/>
              <v:stroke weight="0.72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2BCD">
    <w:pPr>
      <w:pStyle w:val="10"/>
      <w:spacing w:line="14" w:lineRule="auto"/>
      <w:rPr>
        <w:sz w:val="20"/>
      </w:rPr>
    </w:pPr>
    <w:r>
      <w:rPr>
        <w:lang w:val="en-US" w:bidi="ar-SA"/>
      </w:rPr>
      <w:drawing>
        <wp:anchor distT="0" distB="0" distL="0" distR="0" simplePos="0" relativeHeight="251661312"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0" r="0" b="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C7vxNYAAAAMAQAA&#10;DwAAAAAAAAABACAAAAAiAAAAZHJzL2Rvd25yZXYueG1sUEsBAhQAFAAAAAgAh07iQGoGf0/iAQAA&#10;0QMAAA4AAAAAAAAAAQAgAAAAJQEAAGRycy9lMm9Eb2MueG1sUEsFBgAAAAAGAAYAWQEAAHkFAAAA&#10;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6E293"/>
    <w:multiLevelType w:val="singleLevel"/>
    <w:tmpl w:val="85F6E293"/>
    <w:lvl w:ilvl="0" w:tentative="0">
      <w:start w:val="1"/>
      <w:numFmt w:val="upperLetter"/>
      <w:suff w:val="nothing"/>
      <w:lvlText w:val="%1、"/>
      <w:lvlJc w:val="left"/>
    </w:lvl>
  </w:abstractNum>
  <w:abstractNum w:abstractNumId="1">
    <w:nsid w:val="914A23D4"/>
    <w:multiLevelType w:val="singleLevel"/>
    <w:tmpl w:val="914A23D4"/>
    <w:lvl w:ilvl="0" w:tentative="0">
      <w:start w:val="1"/>
      <w:numFmt w:val="decimal"/>
      <w:suff w:val="nothing"/>
      <w:lvlText w:val="%1、"/>
      <w:lvlJc w:val="left"/>
    </w:lvl>
  </w:abstractNum>
  <w:abstractNum w:abstractNumId="2">
    <w:nsid w:val="B0BA631F"/>
    <w:multiLevelType w:val="singleLevel"/>
    <w:tmpl w:val="B0BA631F"/>
    <w:lvl w:ilvl="0" w:tentative="0">
      <w:start w:val="2"/>
      <w:numFmt w:val="chineseCounting"/>
      <w:suff w:val="nothing"/>
      <w:lvlText w:val="%1、"/>
      <w:lvlJc w:val="left"/>
      <w:rPr>
        <w:rFonts w:hint="eastAsia"/>
      </w:rPr>
    </w:lvl>
  </w:abstractNum>
  <w:abstractNum w:abstractNumId="3">
    <w:nsid w:val="C81BEA0D"/>
    <w:multiLevelType w:val="singleLevel"/>
    <w:tmpl w:val="C81BEA0D"/>
    <w:lvl w:ilvl="0" w:tentative="0">
      <w:start w:val="6"/>
      <w:numFmt w:val="decimal"/>
      <w:suff w:val="nothing"/>
      <w:lvlText w:val="%1、"/>
      <w:lvlJc w:val="left"/>
    </w:lvl>
  </w:abstractNum>
  <w:abstractNum w:abstractNumId="4">
    <w:nsid w:val="31670C70"/>
    <w:multiLevelType w:val="multilevel"/>
    <w:tmpl w:val="31670C70"/>
    <w:lvl w:ilvl="0" w:tentative="0">
      <w:start w:val="1"/>
      <w:numFmt w:val="decimal"/>
      <w:lvlText w:val="%1、"/>
      <w:lvlJc w:val="left"/>
      <w:pPr>
        <w:ind w:left="720" w:hanging="720"/>
      </w:pPr>
      <w:rPr>
        <w:rFonts w:ascii="Segoe UI" w:hAnsi="Segoe UI" w:eastAsia="宋体" w:cs="Segoe U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B5C62"/>
    <w:multiLevelType w:val="multilevel"/>
    <w:tmpl w:val="5EEB5C62"/>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BhZWNmMjc4ZmNlOTE2YmM4M2YxYjQ0MzE2ZTZkODkifQ=="/>
    <w:docVar w:name="KSO_WPS_MARK_KEY" w:val="06c9e927-e427-4cdd-9248-c131fcb11f2d"/>
  </w:docVars>
  <w:rsids>
    <w:rsidRoot w:val="00172A27"/>
    <w:rsid w:val="0001020E"/>
    <w:rsid w:val="00012420"/>
    <w:rsid w:val="000126CF"/>
    <w:rsid w:val="00012EC2"/>
    <w:rsid w:val="000134DB"/>
    <w:rsid w:val="00014193"/>
    <w:rsid w:val="00015615"/>
    <w:rsid w:val="000169B3"/>
    <w:rsid w:val="00024B53"/>
    <w:rsid w:val="000531A8"/>
    <w:rsid w:val="00075299"/>
    <w:rsid w:val="0007652D"/>
    <w:rsid w:val="00091F40"/>
    <w:rsid w:val="000A182C"/>
    <w:rsid w:val="000A4862"/>
    <w:rsid w:val="000B050B"/>
    <w:rsid w:val="000B366D"/>
    <w:rsid w:val="000B49F0"/>
    <w:rsid w:val="000B52A4"/>
    <w:rsid w:val="000C4A7F"/>
    <w:rsid w:val="000C4C3E"/>
    <w:rsid w:val="000C7442"/>
    <w:rsid w:val="000C7DFF"/>
    <w:rsid w:val="000D0682"/>
    <w:rsid w:val="000D5209"/>
    <w:rsid w:val="000D7EF5"/>
    <w:rsid w:val="000E2D35"/>
    <w:rsid w:val="000E3170"/>
    <w:rsid w:val="000E38FD"/>
    <w:rsid w:val="000E68BF"/>
    <w:rsid w:val="000F3BD6"/>
    <w:rsid w:val="000F4167"/>
    <w:rsid w:val="00103B9B"/>
    <w:rsid w:val="001114F7"/>
    <w:rsid w:val="00112EED"/>
    <w:rsid w:val="001134AA"/>
    <w:rsid w:val="0011600B"/>
    <w:rsid w:val="0012565D"/>
    <w:rsid w:val="001341E1"/>
    <w:rsid w:val="0014025B"/>
    <w:rsid w:val="00144642"/>
    <w:rsid w:val="001632B6"/>
    <w:rsid w:val="00167403"/>
    <w:rsid w:val="001676A4"/>
    <w:rsid w:val="00172A27"/>
    <w:rsid w:val="001765CC"/>
    <w:rsid w:val="00196E7A"/>
    <w:rsid w:val="001A67CA"/>
    <w:rsid w:val="001B11E4"/>
    <w:rsid w:val="001B7128"/>
    <w:rsid w:val="001C39EA"/>
    <w:rsid w:val="001C4EF0"/>
    <w:rsid w:val="001D5E17"/>
    <w:rsid w:val="001D5EEF"/>
    <w:rsid w:val="001D768C"/>
    <w:rsid w:val="001E38A8"/>
    <w:rsid w:val="001E444A"/>
    <w:rsid w:val="001E4628"/>
    <w:rsid w:val="001F1F18"/>
    <w:rsid w:val="001F2286"/>
    <w:rsid w:val="001F5742"/>
    <w:rsid w:val="00207304"/>
    <w:rsid w:val="002139C8"/>
    <w:rsid w:val="00226B91"/>
    <w:rsid w:val="0022704F"/>
    <w:rsid w:val="00231768"/>
    <w:rsid w:val="00233D72"/>
    <w:rsid w:val="0023569D"/>
    <w:rsid w:val="0024345B"/>
    <w:rsid w:val="00255E7D"/>
    <w:rsid w:val="002579BD"/>
    <w:rsid w:val="00266E98"/>
    <w:rsid w:val="00267DB9"/>
    <w:rsid w:val="00270BF4"/>
    <w:rsid w:val="002748C3"/>
    <w:rsid w:val="0027554C"/>
    <w:rsid w:val="00275AEC"/>
    <w:rsid w:val="00291BAF"/>
    <w:rsid w:val="00294E6D"/>
    <w:rsid w:val="00296130"/>
    <w:rsid w:val="002A4427"/>
    <w:rsid w:val="002B13B4"/>
    <w:rsid w:val="002B1ABF"/>
    <w:rsid w:val="002B1E12"/>
    <w:rsid w:val="002C3D38"/>
    <w:rsid w:val="002C4A52"/>
    <w:rsid w:val="002C6524"/>
    <w:rsid w:val="002D31C8"/>
    <w:rsid w:val="002D38E5"/>
    <w:rsid w:val="002D4680"/>
    <w:rsid w:val="002E5340"/>
    <w:rsid w:val="002F1254"/>
    <w:rsid w:val="002F5689"/>
    <w:rsid w:val="002F582E"/>
    <w:rsid w:val="00300F6F"/>
    <w:rsid w:val="00306AD1"/>
    <w:rsid w:val="003128C6"/>
    <w:rsid w:val="00312FEF"/>
    <w:rsid w:val="003162B8"/>
    <w:rsid w:val="0032005B"/>
    <w:rsid w:val="00323E8D"/>
    <w:rsid w:val="003346F5"/>
    <w:rsid w:val="00335546"/>
    <w:rsid w:val="00342283"/>
    <w:rsid w:val="0034281D"/>
    <w:rsid w:val="003468D4"/>
    <w:rsid w:val="00356D67"/>
    <w:rsid w:val="00364C77"/>
    <w:rsid w:val="00364EF2"/>
    <w:rsid w:val="0036677B"/>
    <w:rsid w:val="00375F4B"/>
    <w:rsid w:val="00382ADB"/>
    <w:rsid w:val="003830F1"/>
    <w:rsid w:val="0038556F"/>
    <w:rsid w:val="00386312"/>
    <w:rsid w:val="0038721E"/>
    <w:rsid w:val="00391D88"/>
    <w:rsid w:val="00397C04"/>
    <w:rsid w:val="003A6515"/>
    <w:rsid w:val="003A7892"/>
    <w:rsid w:val="003A7E08"/>
    <w:rsid w:val="003B343B"/>
    <w:rsid w:val="003B6CB8"/>
    <w:rsid w:val="003E11FD"/>
    <w:rsid w:val="003F1E66"/>
    <w:rsid w:val="0040084B"/>
    <w:rsid w:val="004021B9"/>
    <w:rsid w:val="00404647"/>
    <w:rsid w:val="0041267C"/>
    <w:rsid w:val="00417FE0"/>
    <w:rsid w:val="00421C59"/>
    <w:rsid w:val="00424C52"/>
    <w:rsid w:val="004325FA"/>
    <w:rsid w:val="0043594D"/>
    <w:rsid w:val="004464AA"/>
    <w:rsid w:val="004522AE"/>
    <w:rsid w:val="00457CDF"/>
    <w:rsid w:val="00462B0D"/>
    <w:rsid w:val="004724EC"/>
    <w:rsid w:val="00481CE3"/>
    <w:rsid w:val="00482924"/>
    <w:rsid w:val="00494F1F"/>
    <w:rsid w:val="004A1476"/>
    <w:rsid w:val="004A267D"/>
    <w:rsid w:val="004A2CFF"/>
    <w:rsid w:val="004A4E29"/>
    <w:rsid w:val="004A60B6"/>
    <w:rsid w:val="004C1F9D"/>
    <w:rsid w:val="004C61E5"/>
    <w:rsid w:val="004D38F9"/>
    <w:rsid w:val="004E4604"/>
    <w:rsid w:val="004E4864"/>
    <w:rsid w:val="004E7D39"/>
    <w:rsid w:val="005006DF"/>
    <w:rsid w:val="00510DE5"/>
    <w:rsid w:val="00511EC5"/>
    <w:rsid w:val="005364A6"/>
    <w:rsid w:val="00542FE5"/>
    <w:rsid w:val="00547D6D"/>
    <w:rsid w:val="00550421"/>
    <w:rsid w:val="00565420"/>
    <w:rsid w:val="005724D0"/>
    <w:rsid w:val="00572C6D"/>
    <w:rsid w:val="005831CD"/>
    <w:rsid w:val="005879AB"/>
    <w:rsid w:val="00592F5C"/>
    <w:rsid w:val="005973F7"/>
    <w:rsid w:val="005A15EF"/>
    <w:rsid w:val="005A6900"/>
    <w:rsid w:val="005B2B09"/>
    <w:rsid w:val="005B4132"/>
    <w:rsid w:val="005B6D8A"/>
    <w:rsid w:val="005B772C"/>
    <w:rsid w:val="005B7FB9"/>
    <w:rsid w:val="005C2D0F"/>
    <w:rsid w:val="005D0BA9"/>
    <w:rsid w:val="005E195E"/>
    <w:rsid w:val="005F50F1"/>
    <w:rsid w:val="005F79A8"/>
    <w:rsid w:val="006002FC"/>
    <w:rsid w:val="00604BD9"/>
    <w:rsid w:val="0060718A"/>
    <w:rsid w:val="00614049"/>
    <w:rsid w:val="00621A7B"/>
    <w:rsid w:val="00621D41"/>
    <w:rsid w:val="0064104B"/>
    <w:rsid w:val="00641B23"/>
    <w:rsid w:val="0065703B"/>
    <w:rsid w:val="00663D1D"/>
    <w:rsid w:val="00665BAD"/>
    <w:rsid w:val="00667BD3"/>
    <w:rsid w:val="00670104"/>
    <w:rsid w:val="0067231D"/>
    <w:rsid w:val="00672A34"/>
    <w:rsid w:val="00674FDF"/>
    <w:rsid w:val="00677AF9"/>
    <w:rsid w:val="006846B5"/>
    <w:rsid w:val="006A3A52"/>
    <w:rsid w:val="006A7C7F"/>
    <w:rsid w:val="006B5A70"/>
    <w:rsid w:val="006C1919"/>
    <w:rsid w:val="006C4380"/>
    <w:rsid w:val="006C7EE9"/>
    <w:rsid w:val="006D77DF"/>
    <w:rsid w:val="006E3B0E"/>
    <w:rsid w:val="006F2523"/>
    <w:rsid w:val="006F304F"/>
    <w:rsid w:val="006F4608"/>
    <w:rsid w:val="006F503F"/>
    <w:rsid w:val="0070567F"/>
    <w:rsid w:val="00705D10"/>
    <w:rsid w:val="00706DD9"/>
    <w:rsid w:val="00722A99"/>
    <w:rsid w:val="007241C6"/>
    <w:rsid w:val="007370FC"/>
    <w:rsid w:val="00740B96"/>
    <w:rsid w:val="0074608B"/>
    <w:rsid w:val="0075490A"/>
    <w:rsid w:val="0075674A"/>
    <w:rsid w:val="007645EA"/>
    <w:rsid w:val="0077034F"/>
    <w:rsid w:val="00772FAA"/>
    <w:rsid w:val="00775830"/>
    <w:rsid w:val="007845E6"/>
    <w:rsid w:val="00784E0B"/>
    <w:rsid w:val="00786100"/>
    <w:rsid w:val="00787F26"/>
    <w:rsid w:val="00795190"/>
    <w:rsid w:val="007C00BA"/>
    <w:rsid w:val="007C2845"/>
    <w:rsid w:val="007C6FC8"/>
    <w:rsid w:val="007E335E"/>
    <w:rsid w:val="007E4DC7"/>
    <w:rsid w:val="007E5D21"/>
    <w:rsid w:val="007E66EE"/>
    <w:rsid w:val="007F4AB2"/>
    <w:rsid w:val="008075BE"/>
    <w:rsid w:val="00822F78"/>
    <w:rsid w:val="00826C8D"/>
    <w:rsid w:val="00840039"/>
    <w:rsid w:val="00844B4D"/>
    <w:rsid w:val="008503D4"/>
    <w:rsid w:val="00857A51"/>
    <w:rsid w:val="0086075D"/>
    <w:rsid w:val="00861A0C"/>
    <w:rsid w:val="0086680E"/>
    <w:rsid w:val="0087572D"/>
    <w:rsid w:val="008820BF"/>
    <w:rsid w:val="008840F6"/>
    <w:rsid w:val="0088468C"/>
    <w:rsid w:val="00891988"/>
    <w:rsid w:val="00892B51"/>
    <w:rsid w:val="008A5358"/>
    <w:rsid w:val="008A7EAB"/>
    <w:rsid w:val="008B402B"/>
    <w:rsid w:val="008B5E62"/>
    <w:rsid w:val="008B6043"/>
    <w:rsid w:val="008C28FF"/>
    <w:rsid w:val="008C34F4"/>
    <w:rsid w:val="008D5D92"/>
    <w:rsid w:val="008E0950"/>
    <w:rsid w:val="008E3609"/>
    <w:rsid w:val="008E4BA6"/>
    <w:rsid w:val="008E67F6"/>
    <w:rsid w:val="008F34DB"/>
    <w:rsid w:val="00912F10"/>
    <w:rsid w:val="00914FAD"/>
    <w:rsid w:val="00917121"/>
    <w:rsid w:val="00920869"/>
    <w:rsid w:val="0092196B"/>
    <w:rsid w:val="00923AD0"/>
    <w:rsid w:val="00923E25"/>
    <w:rsid w:val="00925975"/>
    <w:rsid w:val="00931781"/>
    <w:rsid w:val="00932092"/>
    <w:rsid w:val="00934BA0"/>
    <w:rsid w:val="00942F1D"/>
    <w:rsid w:val="00947390"/>
    <w:rsid w:val="009531B6"/>
    <w:rsid w:val="00954760"/>
    <w:rsid w:val="00963C77"/>
    <w:rsid w:val="0096440E"/>
    <w:rsid w:val="00964619"/>
    <w:rsid w:val="0096616A"/>
    <w:rsid w:val="0096757A"/>
    <w:rsid w:val="0097307E"/>
    <w:rsid w:val="009747BA"/>
    <w:rsid w:val="009766DB"/>
    <w:rsid w:val="0097787F"/>
    <w:rsid w:val="009821D8"/>
    <w:rsid w:val="009A0B2E"/>
    <w:rsid w:val="009A2276"/>
    <w:rsid w:val="009B6CA3"/>
    <w:rsid w:val="009C1733"/>
    <w:rsid w:val="009C37C9"/>
    <w:rsid w:val="009D2DA7"/>
    <w:rsid w:val="009D618F"/>
    <w:rsid w:val="009D70B2"/>
    <w:rsid w:val="009E211D"/>
    <w:rsid w:val="009E6E26"/>
    <w:rsid w:val="009F0B80"/>
    <w:rsid w:val="009F119E"/>
    <w:rsid w:val="009F3209"/>
    <w:rsid w:val="009F4405"/>
    <w:rsid w:val="00A00926"/>
    <w:rsid w:val="00A0401B"/>
    <w:rsid w:val="00A1703C"/>
    <w:rsid w:val="00A249A8"/>
    <w:rsid w:val="00A2589F"/>
    <w:rsid w:val="00A3664D"/>
    <w:rsid w:val="00A36B4A"/>
    <w:rsid w:val="00A420D7"/>
    <w:rsid w:val="00A46234"/>
    <w:rsid w:val="00A57909"/>
    <w:rsid w:val="00A769E7"/>
    <w:rsid w:val="00A76D75"/>
    <w:rsid w:val="00A82AAC"/>
    <w:rsid w:val="00A870FC"/>
    <w:rsid w:val="00A970C1"/>
    <w:rsid w:val="00AB27D2"/>
    <w:rsid w:val="00AB4B16"/>
    <w:rsid w:val="00AB59ED"/>
    <w:rsid w:val="00AB62D4"/>
    <w:rsid w:val="00AB7F89"/>
    <w:rsid w:val="00AC4EFA"/>
    <w:rsid w:val="00AC5CDB"/>
    <w:rsid w:val="00AC7944"/>
    <w:rsid w:val="00AC7C4F"/>
    <w:rsid w:val="00AD24E5"/>
    <w:rsid w:val="00AD4333"/>
    <w:rsid w:val="00AD55D2"/>
    <w:rsid w:val="00AE3832"/>
    <w:rsid w:val="00AF6595"/>
    <w:rsid w:val="00AF76C8"/>
    <w:rsid w:val="00B008D1"/>
    <w:rsid w:val="00B05427"/>
    <w:rsid w:val="00B23A21"/>
    <w:rsid w:val="00B25779"/>
    <w:rsid w:val="00B25ECE"/>
    <w:rsid w:val="00B40CB4"/>
    <w:rsid w:val="00B47BCA"/>
    <w:rsid w:val="00B51CC3"/>
    <w:rsid w:val="00B62F19"/>
    <w:rsid w:val="00B75FF4"/>
    <w:rsid w:val="00B83F32"/>
    <w:rsid w:val="00B84B66"/>
    <w:rsid w:val="00B84F8B"/>
    <w:rsid w:val="00B95123"/>
    <w:rsid w:val="00B96A44"/>
    <w:rsid w:val="00BA7621"/>
    <w:rsid w:val="00BB2AAC"/>
    <w:rsid w:val="00BD091B"/>
    <w:rsid w:val="00BD2AFC"/>
    <w:rsid w:val="00BD3D7E"/>
    <w:rsid w:val="00BE6BE7"/>
    <w:rsid w:val="00BF3F0B"/>
    <w:rsid w:val="00BF6BB1"/>
    <w:rsid w:val="00BF7DBD"/>
    <w:rsid w:val="00C018AA"/>
    <w:rsid w:val="00C03941"/>
    <w:rsid w:val="00C06979"/>
    <w:rsid w:val="00C10C46"/>
    <w:rsid w:val="00C11CDD"/>
    <w:rsid w:val="00C148B6"/>
    <w:rsid w:val="00C16305"/>
    <w:rsid w:val="00C422DA"/>
    <w:rsid w:val="00C5148A"/>
    <w:rsid w:val="00C5232B"/>
    <w:rsid w:val="00C63D4E"/>
    <w:rsid w:val="00C65E48"/>
    <w:rsid w:val="00C717B5"/>
    <w:rsid w:val="00C76AC1"/>
    <w:rsid w:val="00C82620"/>
    <w:rsid w:val="00C82D7F"/>
    <w:rsid w:val="00C93E09"/>
    <w:rsid w:val="00CA7FEA"/>
    <w:rsid w:val="00CB04EB"/>
    <w:rsid w:val="00CB590D"/>
    <w:rsid w:val="00CC0260"/>
    <w:rsid w:val="00CC0E98"/>
    <w:rsid w:val="00CD2889"/>
    <w:rsid w:val="00CD4B4B"/>
    <w:rsid w:val="00CE0538"/>
    <w:rsid w:val="00D11267"/>
    <w:rsid w:val="00D23C00"/>
    <w:rsid w:val="00D26E82"/>
    <w:rsid w:val="00D315AB"/>
    <w:rsid w:val="00D31DE9"/>
    <w:rsid w:val="00D32CBB"/>
    <w:rsid w:val="00D40BD7"/>
    <w:rsid w:val="00D43FB1"/>
    <w:rsid w:val="00D46BC2"/>
    <w:rsid w:val="00D54037"/>
    <w:rsid w:val="00D571D1"/>
    <w:rsid w:val="00D641AD"/>
    <w:rsid w:val="00D719AE"/>
    <w:rsid w:val="00D84F02"/>
    <w:rsid w:val="00D8548C"/>
    <w:rsid w:val="00D877A0"/>
    <w:rsid w:val="00D944BE"/>
    <w:rsid w:val="00D9510B"/>
    <w:rsid w:val="00DB5F8B"/>
    <w:rsid w:val="00DC3742"/>
    <w:rsid w:val="00DC5D8E"/>
    <w:rsid w:val="00DD16BD"/>
    <w:rsid w:val="00DD2DBE"/>
    <w:rsid w:val="00DE06CA"/>
    <w:rsid w:val="00DE4574"/>
    <w:rsid w:val="00DE6BE9"/>
    <w:rsid w:val="00DE7DD2"/>
    <w:rsid w:val="00DF39DB"/>
    <w:rsid w:val="00DF647C"/>
    <w:rsid w:val="00E04040"/>
    <w:rsid w:val="00E068DB"/>
    <w:rsid w:val="00E0726F"/>
    <w:rsid w:val="00E13D9C"/>
    <w:rsid w:val="00E14E12"/>
    <w:rsid w:val="00E30DC4"/>
    <w:rsid w:val="00E32B9F"/>
    <w:rsid w:val="00E339B3"/>
    <w:rsid w:val="00E36631"/>
    <w:rsid w:val="00E37F60"/>
    <w:rsid w:val="00E40478"/>
    <w:rsid w:val="00E46BDF"/>
    <w:rsid w:val="00E52169"/>
    <w:rsid w:val="00E52A66"/>
    <w:rsid w:val="00E67477"/>
    <w:rsid w:val="00E82F38"/>
    <w:rsid w:val="00E84643"/>
    <w:rsid w:val="00E854EA"/>
    <w:rsid w:val="00E91145"/>
    <w:rsid w:val="00E91F9F"/>
    <w:rsid w:val="00E94250"/>
    <w:rsid w:val="00EA0719"/>
    <w:rsid w:val="00EA4BB4"/>
    <w:rsid w:val="00EA7971"/>
    <w:rsid w:val="00EB11D2"/>
    <w:rsid w:val="00EB575C"/>
    <w:rsid w:val="00EB716C"/>
    <w:rsid w:val="00ED2244"/>
    <w:rsid w:val="00EE231D"/>
    <w:rsid w:val="00EE4571"/>
    <w:rsid w:val="00EE49EB"/>
    <w:rsid w:val="00EE4E05"/>
    <w:rsid w:val="00EF4171"/>
    <w:rsid w:val="00EF74B3"/>
    <w:rsid w:val="00F109D3"/>
    <w:rsid w:val="00F1709E"/>
    <w:rsid w:val="00F17E68"/>
    <w:rsid w:val="00F21F52"/>
    <w:rsid w:val="00F3044B"/>
    <w:rsid w:val="00F30530"/>
    <w:rsid w:val="00F325D1"/>
    <w:rsid w:val="00F37907"/>
    <w:rsid w:val="00F40A8D"/>
    <w:rsid w:val="00F46D8B"/>
    <w:rsid w:val="00F55148"/>
    <w:rsid w:val="00F57563"/>
    <w:rsid w:val="00F666BC"/>
    <w:rsid w:val="00F75D9D"/>
    <w:rsid w:val="00F852D8"/>
    <w:rsid w:val="00FA054B"/>
    <w:rsid w:val="00FA0A7C"/>
    <w:rsid w:val="00FB0D46"/>
    <w:rsid w:val="00FB0ED6"/>
    <w:rsid w:val="00FB5E0E"/>
    <w:rsid w:val="00FC34D4"/>
    <w:rsid w:val="00FC4441"/>
    <w:rsid w:val="00FC7879"/>
    <w:rsid w:val="00FD071E"/>
    <w:rsid w:val="00FD4788"/>
    <w:rsid w:val="00FD6D8F"/>
    <w:rsid w:val="00FE2D21"/>
    <w:rsid w:val="011919CD"/>
    <w:rsid w:val="01230867"/>
    <w:rsid w:val="014A102B"/>
    <w:rsid w:val="014D51E0"/>
    <w:rsid w:val="01843CE1"/>
    <w:rsid w:val="019B53E2"/>
    <w:rsid w:val="01A67412"/>
    <w:rsid w:val="01B43D58"/>
    <w:rsid w:val="01BF5692"/>
    <w:rsid w:val="01C47A58"/>
    <w:rsid w:val="022A282F"/>
    <w:rsid w:val="0259781F"/>
    <w:rsid w:val="027B1BCC"/>
    <w:rsid w:val="029967AF"/>
    <w:rsid w:val="03050966"/>
    <w:rsid w:val="03241D96"/>
    <w:rsid w:val="03390F09"/>
    <w:rsid w:val="0341035F"/>
    <w:rsid w:val="034C108A"/>
    <w:rsid w:val="036265C3"/>
    <w:rsid w:val="03776295"/>
    <w:rsid w:val="0388609F"/>
    <w:rsid w:val="038A570F"/>
    <w:rsid w:val="03A0562C"/>
    <w:rsid w:val="03A82039"/>
    <w:rsid w:val="03AD3555"/>
    <w:rsid w:val="03BE0200"/>
    <w:rsid w:val="03C2134C"/>
    <w:rsid w:val="03C3126E"/>
    <w:rsid w:val="04034B3F"/>
    <w:rsid w:val="046955D1"/>
    <w:rsid w:val="04E458C6"/>
    <w:rsid w:val="050147A6"/>
    <w:rsid w:val="05345E4A"/>
    <w:rsid w:val="0538698A"/>
    <w:rsid w:val="059823D5"/>
    <w:rsid w:val="05DC49D1"/>
    <w:rsid w:val="06392C6E"/>
    <w:rsid w:val="064A6717"/>
    <w:rsid w:val="064C18CF"/>
    <w:rsid w:val="069468A4"/>
    <w:rsid w:val="06DB091B"/>
    <w:rsid w:val="073E5E22"/>
    <w:rsid w:val="07556094"/>
    <w:rsid w:val="076A180B"/>
    <w:rsid w:val="077B569C"/>
    <w:rsid w:val="077F644C"/>
    <w:rsid w:val="079716E0"/>
    <w:rsid w:val="07A143F7"/>
    <w:rsid w:val="07D7256B"/>
    <w:rsid w:val="07D72EEC"/>
    <w:rsid w:val="07E06700"/>
    <w:rsid w:val="08021140"/>
    <w:rsid w:val="08052CBC"/>
    <w:rsid w:val="08053E60"/>
    <w:rsid w:val="082500FC"/>
    <w:rsid w:val="084360D4"/>
    <w:rsid w:val="085B58CB"/>
    <w:rsid w:val="0865384C"/>
    <w:rsid w:val="08687758"/>
    <w:rsid w:val="087F2EBE"/>
    <w:rsid w:val="088B0C83"/>
    <w:rsid w:val="08A640D8"/>
    <w:rsid w:val="08BD2512"/>
    <w:rsid w:val="08C571E9"/>
    <w:rsid w:val="08FF566C"/>
    <w:rsid w:val="091A14D0"/>
    <w:rsid w:val="0A014251"/>
    <w:rsid w:val="0A102F37"/>
    <w:rsid w:val="0A116916"/>
    <w:rsid w:val="0A413783"/>
    <w:rsid w:val="0A892BC4"/>
    <w:rsid w:val="0ADE1415"/>
    <w:rsid w:val="0AF851D4"/>
    <w:rsid w:val="0B550CF8"/>
    <w:rsid w:val="0B654DEE"/>
    <w:rsid w:val="0B70168E"/>
    <w:rsid w:val="0B785B6B"/>
    <w:rsid w:val="0B991B8D"/>
    <w:rsid w:val="0BA224F5"/>
    <w:rsid w:val="0BAD7D4D"/>
    <w:rsid w:val="0BB7010A"/>
    <w:rsid w:val="0BEB6F66"/>
    <w:rsid w:val="0BF83A12"/>
    <w:rsid w:val="0C243F75"/>
    <w:rsid w:val="0C2661F0"/>
    <w:rsid w:val="0C360B29"/>
    <w:rsid w:val="0C403756"/>
    <w:rsid w:val="0C6A75EB"/>
    <w:rsid w:val="0C77358D"/>
    <w:rsid w:val="0C875CC8"/>
    <w:rsid w:val="0C9B273A"/>
    <w:rsid w:val="0CAB58BF"/>
    <w:rsid w:val="0CB61B4C"/>
    <w:rsid w:val="0CD03677"/>
    <w:rsid w:val="0CF14890"/>
    <w:rsid w:val="0D513658"/>
    <w:rsid w:val="0D67304B"/>
    <w:rsid w:val="0DC568BA"/>
    <w:rsid w:val="0DC65EDD"/>
    <w:rsid w:val="0E007BFE"/>
    <w:rsid w:val="0E3223A3"/>
    <w:rsid w:val="0E4468EC"/>
    <w:rsid w:val="0E811D9B"/>
    <w:rsid w:val="0EC266A4"/>
    <w:rsid w:val="0EF5464B"/>
    <w:rsid w:val="0EFC5292"/>
    <w:rsid w:val="0F277F16"/>
    <w:rsid w:val="0F3630C4"/>
    <w:rsid w:val="0F3E6571"/>
    <w:rsid w:val="0F5F0672"/>
    <w:rsid w:val="0F8B0D10"/>
    <w:rsid w:val="0FCB393D"/>
    <w:rsid w:val="10033D7D"/>
    <w:rsid w:val="101F3682"/>
    <w:rsid w:val="101F7D63"/>
    <w:rsid w:val="10311638"/>
    <w:rsid w:val="104D5455"/>
    <w:rsid w:val="104E67D8"/>
    <w:rsid w:val="105570A4"/>
    <w:rsid w:val="10956862"/>
    <w:rsid w:val="10AF3DB8"/>
    <w:rsid w:val="10B658EF"/>
    <w:rsid w:val="10D34B99"/>
    <w:rsid w:val="10DD79E1"/>
    <w:rsid w:val="10DE2C41"/>
    <w:rsid w:val="10F746EF"/>
    <w:rsid w:val="10F845FF"/>
    <w:rsid w:val="11140D0D"/>
    <w:rsid w:val="112A4BDF"/>
    <w:rsid w:val="115A06BC"/>
    <w:rsid w:val="117C3B09"/>
    <w:rsid w:val="1187354D"/>
    <w:rsid w:val="11943BFC"/>
    <w:rsid w:val="11C92340"/>
    <w:rsid w:val="11D712CF"/>
    <w:rsid w:val="11E45052"/>
    <w:rsid w:val="12106856"/>
    <w:rsid w:val="12376050"/>
    <w:rsid w:val="124C7CFC"/>
    <w:rsid w:val="12555A81"/>
    <w:rsid w:val="128A74D9"/>
    <w:rsid w:val="129640D0"/>
    <w:rsid w:val="12BA1301"/>
    <w:rsid w:val="12EC0194"/>
    <w:rsid w:val="12F85578"/>
    <w:rsid w:val="13254941"/>
    <w:rsid w:val="133D5D2E"/>
    <w:rsid w:val="13464AEF"/>
    <w:rsid w:val="13624146"/>
    <w:rsid w:val="13A577F4"/>
    <w:rsid w:val="13DD1A2C"/>
    <w:rsid w:val="13F65EC0"/>
    <w:rsid w:val="142E20E6"/>
    <w:rsid w:val="14447817"/>
    <w:rsid w:val="14500CC6"/>
    <w:rsid w:val="147C72F5"/>
    <w:rsid w:val="14B051F1"/>
    <w:rsid w:val="14F945B8"/>
    <w:rsid w:val="15024633"/>
    <w:rsid w:val="15445D2D"/>
    <w:rsid w:val="155852F7"/>
    <w:rsid w:val="156342B3"/>
    <w:rsid w:val="15820E0E"/>
    <w:rsid w:val="15B17F40"/>
    <w:rsid w:val="16261A6C"/>
    <w:rsid w:val="162A64DB"/>
    <w:rsid w:val="16810BF3"/>
    <w:rsid w:val="1683496B"/>
    <w:rsid w:val="17230B90"/>
    <w:rsid w:val="172D2DA6"/>
    <w:rsid w:val="177E7B73"/>
    <w:rsid w:val="17EC4792"/>
    <w:rsid w:val="17EE22B8"/>
    <w:rsid w:val="183531B9"/>
    <w:rsid w:val="18461DBF"/>
    <w:rsid w:val="187A7FF0"/>
    <w:rsid w:val="190D7CD7"/>
    <w:rsid w:val="193208CA"/>
    <w:rsid w:val="193B7CE6"/>
    <w:rsid w:val="19406B43"/>
    <w:rsid w:val="194F679D"/>
    <w:rsid w:val="197802FF"/>
    <w:rsid w:val="1981654B"/>
    <w:rsid w:val="19B15C1B"/>
    <w:rsid w:val="19E923FA"/>
    <w:rsid w:val="1A023DF9"/>
    <w:rsid w:val="1A0538E9"/>
    <w:rsid w:val="1A4C1518"/>
    <w:rsid w:val="1A592112"/>
    <w:rsid w:val="1A5B4AE4"/>
    <w:rsid w:val="1A882E99"/>
    <w:rsid w:val="1A9C3620"/>
    <w:rsid w:val="1AE86FF7"/>
    <w:rsid w:val="1B1B75C1"/>
    <w:rsid w:val="1B254374"/>
    <w:rsid w:val="1B3F107D"/>
    <w:rsid w:val="1B5A7C65"/>
    <w:rsid w:val="1B887F31"/>
    <w:rsid w:val="1BA17641"/>
    <w:rsid w:val="1BAA774A"/>
    <w:rsid w:val="1BC913FA"/>
    <w:rsid w:val="1BD143CB"/>
    <w:rsid w:val="1BE85FD5"/>
    <w:rsid w:val="1C151402"/>
    <w:rsid w:val="1C165E9D"/>
    <w:rsid w:val="1C4050AC"/>
    <w:rsid w:val="1C42009F"/>
    <w:rsid w:val="1C4F505D"/>
    <w:rsid w:val="1C803E9F"/>
    <w:rsid w:val="1CB069C9"/>
    <w:rsid w:val="1CCE6A55"/>
    <w:rsid w:val="1D056FCE"/>
    <w:rsid w:val="1D3B4934"/>
    <w:rsid w:val="1D426114"/>
    <w:rsid w:val="1D4D7A81"/>
    <w:rsid w:val="1D703BEA"/>
    <w:rsid w:val="1D720703"/>
    <w:rsid w:val="1D734218"/>
    <w:rsid w:val="1DD90202"/>
    <w:rsid w:val="1DDC440A"/>
    <w:rsid w:val="1DF148B0"/>
    <w:rsid w:val="1E0569BD"/>
    <w:rsid w:val="1E433DCE"/>
    <w:rsid w:val="1E766E25"/>
    <w:rsid w:val="1E91766C"/>
    <w:rsid w:val="1E9442FD"/>
    <w:rsid w:val="1EAD4248"/>
    <w:rsid w:val="1EB951C5"/>
    <w:rsid w:val="1EE1261E"/>
    <w:rsid w:val="1EE2244B"/>
    <w:rsid w:val="1F1C6D1A"/>
    <w:rsid w:val="1F264AA8"/>
    <w:rsid w:val="1F572E39"/>
    <w:rsid w:val="1F695BD9"/>
    <w:rsid w:val="1F953961"/>
    <w:rsid w:val="1FC83E66"/>
    <w:rsid w:val="1FF10680"/>
    <w:rsid w:val="2006518E"/>
    <w:rsid w:val="2009190A"/>
    <w:rsid w:val="20096D56"/>
    <w:rsid w:val="20286583"/>
    <w:rsid w:val="204C04C4"/>
    <w:rsid w:val="20542ED4"/>
    <w:rsid w:val="20616AC2"/>
    <w:rsid w:val="20951584"/>
    <w:rsid w:val="20A27EDE"/>
    <w:rsid w:val="20BE0119"/>
    <w:rsid w:val="20F81A0D"/>
    <w:rsid w:val="20F871F2"/>
    <w:rsid w:val="21283337"/>
    <w:rsid w:val="212F4F14"/>
    <w:rsid w:val="21615AF6"/>
    <w:rsid w:val="21855CF6"/>
    <w:rsid w:val="218852A3"/>
    <w:rsid w:val="218D2B42"/>
    <w:rsid w:val="218E12A7"/>
    <w:rsid w:val="21A03AA8"/>
    <w:rsid w:val="21B77BBF"/>
    <w:rsid w:val="21BC7AAA"/>
    <w:rsid w:val="21BE64FB"/>
    <w:rsid w:val="21C65101"/>
    <w:rsid w:val="220B1CB9"/>
    <w:rsid w:val="222D5F2C"/>
    <w:rsid w:val="2254369E"/>
    <w:rsid w:val="22635651"/>
    <w:rsid w:val="22866955"/>
    <w:rsid w:val="22D00320"/>
    <w:rsid w:val="22D351CD"/>
    <w:rsid w:val="22DF49A0"/>
    <w:rsid w:val="22F35D1E"/>
    <w:rsid w:val="23072480"/>
    <w:rsid w:val="231352C9"/>
    <w:rsid w:val="231F61B9"/>
    <w:rsid w:val="23403CD9"/>
    <w:rsid w:val="237F540E"/>
    <w:rsid w:val="238364F0"/>
    <w:rsid w:val="242A0B1C"/>
    <w:rsid w:val="244D128E"/>
    <w:rsid w:val="2468142C"/>
    <w:rsid w:val="24681644"/>
    <w:rsid w:val="24750829"/>
    <w:rsid w:val="247F1D74"/>
    <w:rsid w:val="248C3BA5"/>
    <w:rsid w:val="24941163"/>
    <w:rsid w:val="24B00DC2"/>
    <w:rsid w:val="24B85237"/>
    <w:rsid w:val="24D42836"/>
    <w:rsid w:val="252226D1"/>
    <w:rsid w:val="25270544"/>
    <w:rsid w:val="252A6231"/>
    <w:rsid w:val="2535403D"/>
    <w:rsid w:val="25857E31"/>
    <w:rsid w:val="25A168D1"/>
    <w:rsid w:val="25D532B6"/>
    <w:rsid w:val="25FC0296"/>
    <w:rsid w:val="26006BE2"/>
    <w:rsid w:val="261631EE"/>
    <w:rsid w:val="26485289"/>
    <w:rsid w:val="26F71063"/>
    <w:rsid w:val="27236888"/>
    <w:rsid w:val="275B0FEC"/>
    <w:rsid w:val="2767173F"/>
    <w:rsid w:val="2778394C"/>
    <w:rsid w:val="278175EE"/>
    <w:rsid w:val="27874E22"/>
    <w:rsid w:val="2795347D"/>
    <w:rsid w:val="27A23E03"/>
    <w:rsid w:val="27A40BE5"/>
    <w:rsid w:val="27CC5901"/>
    <w:rsid w:val="27CD7C39"/>
    <w:rsid w:val="27E45486"/>
    <w:rsid w:val="27FF2633"/>
    <w:rsid w:val="285A3CA7"/>
    <w:rsid w:val="28862099"/>
    <w:rsid w:val="28980ADE"/>
    <w:rsid w:val="28B35540"/>
    <w:rsid w:val="28C57EB6"/>
    <w:rsid w:val="28C67AC6"/>
    <w:rsid w:val="28CC57D4"/>
    <w:rsid w:val="28CF3A40"/>
    <w:rsid w:val="28DC5495"/>
    <w:rsid w:val="29587043"/>
    <w:rsid w:val="297F5466"/>
    <w:rsid w:val="29915DE2"/>
    <w:rsid w:val="29A46C7B"/>
    <w:rsid w:val="29D049D8"/>
    <w:rsid w:val="29DA5BB3"/>
    <w:rsid w:val="2A573499"/>
    <w:rsid w:val="2AAB7558"/>
    <w:rsid w:val="2AD57876"/>
    <w:rsid w:val="2B010F3D"/>
    <w:rsid w:val="2BC00AE1"/>
    <w:rsid w:val="2BCB017A"/>
    <w:rsid w:val="2BF65788"/>
    <w:rsid w:val="2C2D2E0F"/>
    <w:rsid w:val="2C380593"/>
    <w:rsid w:val="2C624BCB"/>
    <w:rsid w:val="2CAA2BF1"/>
    <w:rsid w:val="2CD14AB5"/>
    <w:rsid w:val="2D014005"/>
    <w:rsid w:val="2D1E0AF2"/>
    <w:rsid w:val="2D555BBA"/>
    <w:rsid w:val="2D860632"/>
    <w:rsid w:val="2DA46EE3"/>
    <w:rsid w:val="2DBD575A"/>
    <w:rsid w:val="2DE27D71"/>
    <w:rsid w:val="2DEE5337"/>
    <w:rsid w:val="2DF31DEB"/>
    <w:rsid w:val="2EC07FEB"/>
    <w:rsid w:val="2EE0091C"/>
    <w:rsid w:val="2F155773"/>
    <w:rsid w:val="2F4607D4"/>
    <w:rsid w:val="2F683F01"/>
    <w:rsid w:val="2F740A34"/>
    <w:rsid w:val="2F86141A"/>
    <w:rsid w:val="2F907075"/>
    <w:rsid w:val="2F94153F"/>
    <w:rsid w:val="2F961D29"/>
    <w:rsid w:val="2F9F5C3A"/>
    <w:rsid w:val="2FB22B26"/>
    <w:rsid w:val="2FD302BA"/>
    <w:rsid w:val="30271D9D"/>
    <w:rsid w:val="304E16EE"/>
    <w:rsid w:val="305667F5"/>
    <w:rsid w:val="30B8506B"/>
    <w:rsid w:val="30C65728"/>
    <w:rsid w:val="30F32560"/>
    <w:rsid w:val="30F46739"/>
    <w:rsid w:val="31081922"/>
    <w:rsid w:val="31213C0A"/>
    <w:rsid w:val="31315C04"/>
    <w:rsid w:val="315D54F9"/>
    <w:rsid w:val="31821510"/>
    <w:rsid w:val="31F73B75"/>
    <w:rsid w:val="32096C28"/>
    <w:rsid w:val="32344B0E"/>
    <w:rsid w:val="32461CBF"/>
    <w:rsid w:val="32496C2A"/>
    <w:rsid w:val="329640C8"/>
    <w:rsid w:val="329F0094"/>
    <w:rsid w:val="329F6E8C"/>
    <w:rsid w:val="32A5100A"/>
    <w:rsid w:val="32C75571"/>
    <w:rsid w:val="32D22A86"/>
    <w:rsid w:val="32E33472"/>
    <w:rsid w:val="334D5380"/>
    <w:rsid w:val="3376722C"/>
    <w:rsid w:val="337B280D"/>
    <w:rsid w:val="33BC29FD"/>
    <w:rsid w:val="33D22636"/>
    <w:rsid w:val="340225C1"/>
    <w:rsid w:val="3428494C"/>
    <w:rsid w:val="34681E11"/>
    <w:rsid w:val="346F0491"/>
    <w:rsid w:val="347A1ED7"/>
    <w:rsid w:val="34A9783B"/>
    <w:rsid w:val="34E302AC"/>
    <w:rsid w:val="34F30AB6"/>
    <w:rsid w:val="35054FBB"/>
    <w:rsid w:val="352E4A35"/>
    <w:rsid w:val="35497409"/>
    <w:rsid w:val="35526F62"/>
    <w:rsid w:val="35C34BEF"/>
    <w:rsid w:val="35DF05A8"/>
    <w:rsid w:val="35ED0385"/>
    <w:rsid w:val="361A779D"/>
    <w:rsid w:val="361C228F"/>
    <w:rsid w:val="3652556C"/>
    <w:rsid w:val="36767D98"/>
    <w:rsid w:val="36970E1A"/>
    <w:rsid w:val="36A06C35"/>
    <w:rsid w:val="36B316DA"/>
    <w:rsid w:val="36D93CDC"/>
    <w:rsid w:val="37031A7D"/>
    <w:rsid w:val="37105528"/>
    <w:rsid w:val="3744384B"/>
    <w:rsid w:val="375703DD"/>
    <w:rsid w:val="37921173"/>
    <w:rsid w:val="37ED3EE3"/>
    <w:rsid w:val="38292EB2"/>
    <w:rsid w:val="38426AE1"/>
    <w:rsid w:val="387A17D0"/>
    <w:rsid w:val="38903F96"/>
    <w:rsid w:val="38AC150A"/>
    <w:rsid w:val="38C52157"/>
    <w:rsid w:val="38D536F1"/>
    <w:rsid w:val="38F8669B"/>
    <w:rsid w:val="3914724D"/>
    <w:rsid w:val="395A7356"/>
    <w:rsid w:val="397B4138"/>
    <w:rsid w:val="39881188"/>
    <w:rsid w:val="39F230E9"/>
    <w:rsid w:val="3A157721"/>
    <w:rsid w:val="3A2D5B98"/>
    <w:rsid w:val="3A3117A5"/>
    <w:rsid w:val="3A9A2A06"/>
    <w:rsid w:val="3AA87C2A"/>
    <w:rsid w:val="3AF34CD6"/>
    <w:rsid w:val="3B0D4565"/>
    <w:rsid w:val="3B2D2E2C"/>
    <w:rsid w:val="3B3A6161"/>
    <w:rsid w:val="3B5D01BA"/>
    <w:rsid w:val="3BA23236"/>
    <w:rsid w:val="3BC01A4C"/>
    <w:rsid w:val="3BD96051"/>
    <w:rsid w:val="3BE5514C"/>
    <w:rsid w:val="3BFC0394"/>
    <w:rsid w:val="3C1755F1"/>
    <w:rsid w:val="3C664263"/>
    <w:rsid w:val="3C696E4E"/>
    <w:rsid w:val="3C7C07D6"/>
    <w:rsid w:val="3CB72D11"/>
    <w:rsid w:val="3D0814B8"/>
    <w:rsid w:val="3D0A7925"/>
    <w:rsid w:val="3D7F2A3A"/>
    <w:rsid w:val="3D9D2591"/>
    <w:rsid w:val="3DA07C69"/>
    <w:rsid w:val="3DD339DE"/>
    <w:rsid w:val="3DE44963"/>
    <w:rsid w:val="3DEC2546"/>
    <w:rsid w:val="3E1B7C8C"/>
    <w:rsid w:val="3E34044B"/>
    <w:rsid w:val="3E470FA5"/>
    <w:rsid w:val="3E904E16"/>
    <w:rsid w:val="3ED454B4"/>
    <w:rsid w:val="3EE014B5"/>
    <w:rsid w:val="3F54604E"/>
    <w:rsid w:val="3F9A2FE2"/>
    <w:rsid w:val="3FC337AF"/>
    <w:rsid w:val="3FEC690A"/>
    <w:rsid w:val="400275A8"/>
    <w:rsid w:val="403B627D"/>
    <w:rsid w:val="40586DF9"/>
    <w:rsid w:val="40A62FAE"/>
    <w:rsid w:val="40C06C58"/>
    <w:rsid w:val="40C14999"/>
    <w:rsid w:val="4124604B"/>
    <w:rsid w:val="415077B3"/>
    <w:rsid w:val="41581F02"/>
    <w:rsid w:val="419F7E3C"/>
    <w:rsid w:val="41A57F5F"/>
    <w:rsid w:val="41DD6EB8"/>
    <w:rsid w:val="42063430"/>
    <w:rsid w:val="42481D25"/>
    <w:rsid w:val="428930C1"/>
    <w:rsid w:val="428C788C"/>
    <w:rsid w:val="43081F71"/>
    <w:rsid w:val="430C4B34"/>
    <w:rsid w:val="43305847"/>
    <w:rsid w:val="435272F0"/>
    <w:rsid w:val="439A451D"/>
    <w:rsid w:val="439D20AF"/>
    <w:rsid w:val="44193DFD"/>
    <w:rsid w:val="44580936"/>
    <w:rsid w:val="445C1E73"/>
    <w:rsid w:val="446C6D71"/>
    <w:rsid w:val="448B244A"/>
    <w:rsid w:val="44977C54"/>
    <w:rsid w:val="44AB0037"/>
    <w:rsid w:val="44C333F6"/>
    <w:rsid w:val="44C71617"/>
    <w:rsid w:val="44E81303"/>
    <w:rsid w:val="44F529B8"/>
    <w:rsid w:val="450568A2"/>
    <w:rsid w:val="450A5A18"/>
    <w:rsid w:val="450B2189"/>
    <w:rsid w:val="45127E24"/>
    <w:rsid w:val="45435142"/>
    <w:rsid w:val="45626A52"/>
    <w:rsid w:val="45664A3A"/>
    <w:rsid w:val="463B406B"/>
    <w:rsid w:val="46E66846"/>
    <w:rsid w:val="47176170"/>
    <w:rsid w:val="47236E1E"/>
    <w:rsid w:val="4734208D"/>
    <w:rsid w:val="47711A94"/>
    <w:rsid w:val="47A0687C"/>
    <w:rsid w:val="47A62AC6"/>
    <w:rsid w:val="47AA383E"/>
    <w:rsid w:val="480E0F78"/>
    <w:rsid w:val="482B56E9"/>
    <w:rsid w:val="483671E0"/>
    <w:rsid w:val="484F0AE6"/>
    <w:rsid w:val="487C0CE3"/>
    <w:rsid w:val="48CB5B7A"/>
    <w:rsid w:val="48DF4A04"/>
    <w:rsid w:val="49627B61"/>
    <w:rsid w:val="497D39D4"/>
    <w:rsid w:val="49E21F62"/>
    <w:rsid w:val="49E44A75"/>
    <w:rsid w:val="49E91B09"/>
    <w:rsid w:val="4A221478"/>
    <w:rsid w:val="4A371F9A"/>
    <w:rsid w:val="4A7E035D"/>
    <w:rsid w:val="4AA84226"/>
    <w:rsid w:val="4AC40C32"/>
    <w:rsid w:val="4B0C5FD6"/>
    <w:rsid w:val="4B271154"/>
    <w:rsid w:val="4B7B52E0"/>
    <w:rsid w:val="4B96301B"/>
    <w:rsid w:val="4B9C55AC"/>
    <w:rsid w:val="4BDB6EBD"/>
    <w:rsid w:val="4BDE7972"/>
    <w:rsid w:val="4BEB0F8C"/>
    <w:rsid w:val="4BF012A1"/>
    <w:rsid w:val="4C01437F"/>
    <w:rsid w:val="4C021283"/>
    <w:rsid w:val="4C1C0024"/>
    <w:rsid w:val="4C467460"/>
    <w:rsid w:val="4C6D0D68"/>
    <w:rsid w:val="4C8F6EBF"/>
    <w:rsid w:val="4CE953FD"/>
    <w:rsid w:val="4CF161AB"/>
    <w:rsid w:val="4D0770A0"/>
    <w:rsid w:val="4D13025C"/>
    <w:rsid w:val="4D39639D"/>
    <w:rsid w:val="4D722403"/>
    <w:rsid w:val="4D902F7E"/>
    <w:rsid w:val="4D91320E"/>
    <w:rsid w:val="4DA86FE8"/>
    <w:rsid w:val="4DCD2284"/>
    <w:rsid w:val="4E2F35AF"/>
    <w:rsid w:val="4E340AB4"/>
    <w:rsid w:val="4E3418C0"/>
    <w:rsid w:val="4E371E5A"/>
    <w:rsid w:val="4E4A3379"/>
    <w:rsid w:val="4E551EDC"/>
    <w:rsid w:val="4E5B79A0"/>
    <w:rsid w:val="4E6F4217"/>
    <w:rsid w:val="4E7B76FB"/>
    <w:rsid w:val="4E7D0BC8"/>
    <w:rsid w:val="4F06780C"/>
    <w:rsid w:val="4F0854A1"/>
    <w:rsid w:val="4F2E0C11"/>
    <w:rsid w:val="4F43657B"/>
    <w:rsid w:val="4F8D0EEC"/>
    <w:rsid w:val="4F940308"/>
    <w:rsid w:val="4FA950E4"/>
    <w:rsid w:val="4FDF7447"/>
    <w:rsid w:val="4FF115AF"/>
    <w:rsid w:val="500C493E"/>
    <w:rsid w:val="50451773"/>
    <w:rsid w:val="5082112D"/>
    <w:rsid w:val="50830813"/>
    <w:rsid w:val="50A2159F"/>
    <w:rsid w:val="513675CD"/>
    <w:rsid w:val="513E6134"/>
    <w:rsid w:val="513F57D3"/>
    <w:rsid w:val="51595F3F"/>
    <w:rsid w:val="518A37D0"/>
    <w:rsid w:val="51907961"/>
    <w:rsid w:val="51BB2504"/>
    <w:rsid w:val="51CC2CF4"/>
    <w:rsid w:val="52447207"/>
    <w:rsid w:val="524516C9"/>
    <w:rsid w:val="52B10DD9"/>
    <w:rsid w:val="52BA2535"/>
    <w:rsid w:val="531D7740"/>
    <w:rsid w:val="5381501B"/>
    <w:rsid w:val="53B621CC"/>
    <w:rsid w:val="53D5422C"/>
    <w:rsid w:val="53E72565"/>
    <w:rsid w:val="53E7363B"/>
    <w:rsid w:val="54520E62"/>
    <w:rsid w:val="54700790"/>
    <w:rsid w:val="549443B9"/>
    <w:rsid w:val="54964829"/>
    <w:rsid w:val="551F0D5C"/>
    <w:rsid w:val="553908D4"/>
    <w:rsid w:val="553F2546"/>
    <w:rsid w:val="556732EC"/>
    <w:rsid w:val="55CD4B1F"/>
    <w:rsid w:val="55F3721B"/>
    <w:rsid w:val="55F84AFC"/>
    <w:rsid w:val="55FB7373"/>
    <w:rsid w:val="560C17E0"/>
    <w:rsid w:val="565D2662"/>
    <w:rsid w:val="568D446F"/>
    <w:rsid w:val="56913C3D"/>
    <w:rsid w:val="56925B4E"/>
    <w:rsid w:val="569B1CE8"/>
    <w:rsid w:val="56B527FF"/>
    <w:rsid w:val="56F53E18"/>
    <w:rsid w:val="57147576"/>
    <w:rsid w:val="57250FEB"/>
    <w:rsid w:val="57672F12"/>
    <w:rsid w:val="57A3769B"/>
    <w:rsid w:val="57E2654F"/>
    <w:rsid w:val="57E8457C"/>
    <w:rsid w:val="57FF131B"/>
    <w:rsid w:val="58183F58"/>
    <w:rsid w:val="58376D8D"/>
    <w:rsid w:val="58466FCB"/>
    <w:rsid w:val="58B61D39"/>
    <w:rsid w:val="59017256"/>
    <w:rsid w:val="59374D38"/>
    <w:rsid w:val="5951546F"/>
    <w:rsid w:val="59524EA3"/>
    <w:rsid w:val="59617E35"/>
    <w:rsid w:val="5963780F"/>
    <w:rsid w:val="596A6CE9"/>
    <w:rsid w:val="59777658"/>
    <w:rsid w:val="59906324"/>
    <w:rsid w:val="59AA17DC"/>
    <w:rsid w:val="59B2243E"/>
    <w:rsid w:val="59E545C2"/>
    <w:rsid w:val="5A132625"/>
    <w:rsid w:val="5A236E98"/>
    <w:rsid w:val="5A290952"/>
    <w:rsid w:val="5A9F6E67"/>
    <w:rsid w:val="5AD53B49"/>
    <w:rsid w:val="5AEF6D32"/>
    <w:rsid w:val="5B2D4231"/>
    <w:rsid w:val="5B536DF1"/>
    <w:rsid w:val="5B7A0033"/>
    <w:rsid w:val="5B7C71A8"/>
    <w:rsid w:val="5B88284D"/>
    <w:rsid w:val="5BAE3DA6"/>
    <w:rsid w:val="5BDD4DDA"/>
    <w:rsid w:val="5BED59B0"/>
    <w:rsid w:val="5C0F5E9A"/>
    <w:rsid w:val="5C234194"/>
    <w:rsid w:val="5C503BFC"/>
    <w:rsid w:val="5C716E94"/>
    <w:rsid w:val="5CE62FC8"/>
    <w:rsid w:val="5D4A7509"/>
    <w:rsid w:val="5D8056F6"/>
    <w:rsid w:val="5D8F6D1E"/>
    <w:rsid w:val="5DE0776E"/>
    <w:rsid w:val="5E0F1019"/>
    <w:rsid w:val="5E530E11"/>
    <w:rsid w:val="5E543636"/>
    <w:rsid w:val="5E710B1A"/>
    <w:rsid w:val="5EA345D2"/>
    <w:rsid w:val="5EF44053"/>
    <w:rsid w:val="5F11241C"/>
    <w:rsid w:val="5F310BD2"/>
    <w:rsid w:val="5F36141C"/>
    <w:rsid w:val="5F922AF6"/>
    <w:rsid w:val="5FE4503A"/>
    <w:rsid w:val="5FF72EA8"/>
    <w:rsid w:val="60C468F8"/>
    <w:rsid w:val="610C4B2A"/>
    <w:rsid w:val="61433767"/>
    <w:rsid w:val="61471E39"/>
    <w:rsid w:val="61826B9A"/>
    <w:rsid w:val="618D2B43"/>
    <w:rsid w:val="619C2577"/>
    <w:rsid w:val="61B307F0"/>
    <w:rsid w:val="61BF104E"/>
    <w:rsid w:val="61D23DFF"/>
    <w:rsid w:val="61FA11EA"/>
    <w:rsid w:val="6217535A"/>
    <w:rsid w:val="621F0B8D"/>
    <w:rsid w:val="623325FE"/>
    <w:rsid w:val="629A1C32"/>
    <w:rsid w:val="629D15BD"/>
    <w:rsid w:val="629F6A6C"/>
    <w:rsid w:val="62B83593"/>
    <w:rsid w:val="62EC13E0"/>
    <w:rsid w:val="63242B8A"/>
    <w:rsid w:val="632521D5"/>
    <w:rsid w:val="63275C4B"/>
    <w:rsid w:val="632B7C2A"/>
    <w:rsid w:val="63302325"/>
    <w:rsid w:val="63343F18"/>
    <w:rsid w:val="63770981"/>
    <w:rsid w:val="63D22189"/>
    <w:rsid w:val="643273F2"/>
    <w:rsid w:val="644840CB"/>
    <w:rsid w:val="64A935C5"/>
    <w:rsid w:val="64C660E9"/>
    <w:rsid w:val="64D0120A"/>
    <w:rsid w:val="64D20A3B"/>
    <w:rsid w:val="64E81CE8"/>
    <w:rsid w:val="65137EA4"/>
    <w:rsid w:val="652E4F93"/>
    <w:rsid w:val="65532D27"/>
    <w:rsid w:val="657E6E3B"/>
    <w:rsid w:val="65B31A18"/>
    <w:rsid w:val="66B37912"/>
    <w:rsid w:val="66E4436D"/>
    <w:rsid w:val="674212A6"/>
    <w:rsid w:val="67550FD9"/>
    <w:rsid w:val="67823CC0"/>
    <w:rsid w:val="67AF2BE1"/>
    <w:rsid w:val="67CE6042"/>
    <w:rsid w:val="67DD427D"/>
    <w:rsid w:val="68093B71"/>
    <w:rsid w:val="68285891"/>
    <w:rsid w:val="68422EE7"/>
    <w:rsid w:val="6846059D"/>
    <w:rsid w:val="68556F04"/>
    <w:rsid w:val="68CA6329"/>
    <w:rsid w:val="68DA3707"/>
    <w:rsid w:val="6917406C"/>
    <w:rsid w:val="692D1E6D"/>
    <w:rsid w:val="69D41F5D"/>
    <w:rsid w:val="69F820EF"/>
    <w:rsid w:val="6A723491"/>
    <w:rsid w:val="6A8F602E"/>
    <w:rsid w:val="6A97339E"/>
    <w:rsid w:val="6AAD576F"/>
    <w:rsid w:val="6AC21210"/>
    <w:rsid w:val="6AC256F7"/>
    <w:rsid w:val="6B0F199C"/>
    <w:rsid w:val="6B2D7B77"/>
    <w:rsid w:val="6B3C23E4"/>
    <w:rsid w:val="6B4849B1"/>
    <w:rsid w:val="6B6C2319"/>
    <w:rsid w:val="6BBA6837"/>
    <w:rsid w:val="6BC905D3"/>
    <w:rsid w:val="6C186A79"/>
    <w:rsid w:val="6C1F0503"/>
    <w:rsid w:val="6C3118E9"/>
    <w:rsid w:val="6CDF1A50"/>
    <w:rsid w:val="6CF41C73"/>
    <w:rsid w:val="6D093CC7"/>
    <w:rsid w:val="6D3276C6"/>
    <w:rsid w:val="6D745F31"/>
    <w:rsid w:val="6D884DD1"/>
    <w:rsid w:val="6D8A305E"/>
    <w:rsid w:val="6D8E6B22"/>
    <w:rsid w:val="6DEF7365"/>
    <w:rsid w:val="6E8C1058"/>
    <w:rsid w:val="6EA26C21"/>
    <w:rsid w:val="6ED70525"/>
    <w:rsid w:val="6EF93BD8"/>
    <w:rsid w:val="6F011A46"/>
    <w:rsid w:val="6F136C48"/>
    <w:rsid w:val="6F1F4627"/>
    <w:rsid w:val="6F481C75"/>
    <w:rsid w:val="6F601138"/>
    <w:rsid w:val="6F6033B7"/>
    <w:rsid w:val="6F64675F"/>
    <w:rsid w:val="6F817B43"/>
    <w:rsid w:val="6FE0558F"/>
    <w:rsid w:val="6FE36B69"/>
    <w:rsid w:val="6FED1473"/>
    <w:rsid w:val="708A67E8"/>
    <w:rsid w:val="709C3A00"/>
    <w:rsid w:val="70A1703D"/>
    <w:rsid w:val="70D64348"/>
    <w:rsid w:val="70F04A0B"/>
    <w:rsid w:val="710F5456"/>
    <w:rsid w:val="715E3530"/>
    <w:rsid w:val="7184028D"/>
    <w:rsid w:val="718F5D0B"/>
    <w:rsid w:val="71A96805"/>
    <w:rsid w:val="71C07997"/>
    <w:rsid w:val="726E73F3"/>
    <w:rsid w:val="729B5D0E"/>
    <w:rsid w:val="72C65DD6"/>
    <w:rsid w:val="72CB6491"/>
    <w:rsid w:val="73006FCB"/>
    <w:rsid w:val="73015D8B"/>
    <w:rsid w:val="730D1485"/>
    <w:rsid w:val="735B7814"/>
    <w:rsid w:val="73B8604B"/>
    <w:rsid w:val="74024886"/>
    <w:rsid w:val="74193F58"/>
    <w:rsid w:val="74490982"/>
    <w:rsid w:val="74600FBD"/>
    <w:rsid w:val="746045F4"/>
    <w:rsid w:val="747405C4"/>
    <w:rsid w:val="747D6D0E"/>
    <w:rsid w:val="74F82FA3"/>
    <w:rsid w:val="75264883"/>
    <w:rsid w:val="753126EC"/>
    <w:rsid w:val="75343D04"/>
    <w:rsid w:val="753A3218"/>
    <w:rsid w:val="753C2969"/>
    <w:rsid w:val="758B6831"/>
    <w:rsid w:val="75B11767"/>
    <w:rsid w:val="75DF70CB"/>
    <w:rsid w:val="75F87AD8"/>
    <w:rsid w:val="76880357"/>
    <w:rsid w:val="769642C1"/>
    <w:rsid w:val="7697120E"/>
    <w:rsid w:val="770F4295"/>
    <w:rsid w:val="77423B73"/>
    <w:rsid w:val="774B079D"/>
    <w:rsid w:val="77642AF4"/>
    <w:rsid w:val="77877265"/>
    <w:rsid w:val="77A51B6E"/>
    <w:rsid w:val="77B06FA0"/>
    <w:rsid w:val="77E1079F"/>
    <w:rsid w:val="78154C4D"/>
    <w:rsid w:val="78251A02"/>
    <w:rsid w:val="78350173"/>
    <w:rsid w:val="78746B29"/>
    <w:rsid w:val="787F04FF"/>
    <w:rsid w:val="78C716BD"/>
    <w:rsid w:val="79464C25"/>
    <w:rsid w:val="794E582D"/>
    <w:rsid w:val="79510BB1"/>
    <w:rsid w:val="79586707"/>
    <w:rsid w:val="798E1527"/>
    <w:rsid w:val="798E2128"/>
    <w:rsid w:val="79AE733E"/>
    <w:rsid w:val="79BD47BC"/>
    <w:rsid w:val="79E8460C"/>
    <w:rsid w:val="79EC535D"/>
    <w:rsid w:val="79EE1860"/>
    <w:rsid w:val="7A3C7DD6"/>
    <w:rsid w:val="7A491974"/>
    <w:rsid w:val="7A542B32"/>
    <w:rsid w:val="7A8E12BB"/>
    <w:rsid w:val="7ABF2F1D"/>
    <w:rsid w:val="7AC82CA3"/>
    <w:rsid w:val="7ACB08FE"/>
    <w:rsid w:val="7AD26999"/>
    <w:rsid w:val="7AED2E7F"/>
    <w:rsid w:val="7B146F90"/>
    <w:rsid w:val="7B37236F"/>
    <w:rsid w:val="7B3960C4"/>
    <w:rsid w:val="7B5F1574"/>
    <w:rsid w:val="7B7A44A0"/>
    <w:rsid w:val="7BA47844"/>
    <w:rsid w:val="7BB120FE"/>
    <w:rsid w:val="7BC3153E"/>
    <w:rsid w:val="7C0B4DE9"/>
    <w:rsid w:val="7C142300"/>
    <w:rsid w:val="7C3943AA"/>
    <w:rsid w:val="7C3945CD"/>
    <w:rsid w:val="7C442F72"/>
    <w:rsid w:val="7C66463B"/>
    <w:rsid w:val="7C7807FA"/>
    <w:rsid w:val="7CAB0727"/>
    <w:rsid w:val="7CBA4FE2"/>
    <w:rsid w:val="7CDC676F"/>
    <w:rsid w:val="7CEF3BBB"/>
    <w:rsid w:val="7D114F13"/>
    <w:rsid w:val="7D5060ED"/>
    <w:rsid w:val="7D5320BC"/>
    <w:rsid w:val="7D544831"/>
    <w:rsid w:val="7D5D2F04"/>
    <w:rsid w:val="7D621902"/>
    <w:rsid w:val="7D7D04EA"/>
    <w:rsid w:val="7D9309C4"/>
    <w:rsid w:val="7DAA26E3"/>
    <w:rsid w:val="7E007AE9"/>
    <w:rsid w:val="7E192908"/>
    <w:rsid w:val="7E5F2B8D"/>
    <w:rsid w:val="7E76329F"/>
    <w:rsid w:val="7E877D09"/>
    <w:rsid w:val="7EDD6C75"/>
    <w:rsid w:val="7EE4500E"/>
    <w:rsid w:val="7EED78F1"/>
    <w:rsid w:val="7F30356C"/>
    <w:rsid w:val="7F907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47"/>
    <w:qFormat/>
    <w:uiPriority w:val="1"/>
    <w:pPr>
      <w:ind w:left="38"/>
      <w:jc w:val="center"/>
      <w:outlineLvl w:val="0"/>
    </w:pPr>
    <w:rPr>
      <w:rFonts w:ascii="微软雅黑" w:hAnsi="微软雅黑" w:eastAsia="微软雅黑" w:cs="微软雅黑"/>
      <w:b/>
      <w:bCs/>
      <w:sz w:val="44"/>
      <w:szCs w:val="44"/>
    </w:rPr>
  </w:style>
  <w:style w:type="paragraph" w:styleId="3">
    <w:name w:val="heading 2"/>
    <w:basedOn w:val="1"/>
    <w:next w:val="1"/>
    <w:link w:val="48"/>
    <w:qFormat/>
    <w:uiPriority w:val="1"/>
    <w:pPr>
      <w:ind w:left="638"/>
      <w:outlineLvl w:val="1"/>
    </w:pPr>
    <w:rPr>
      <w:rFonts w:ascii="黑体" w:hAnsi="黑体" w:eastAsia="黑体" w:cs="黑体"/>
      <w:b/>
      <w:bCs/>
      <w:sz w:val="32"/>
      <w:szCs w:val="32"/>
    </w:rPr>
  </w:style>
  <w:style w:type="paragraph" w:styleId="4">
    <w:name w:val="heading 3"/>
    <w:basedOn w:val="1"/>
    <w:next w:val="1"/>
    <w:link w:val="49"/>
    <w:qFormat/>
    <w:uiPriority w:val="1"/>
    <w:pPr>
      <w:spacing w:before="41"/>
      <w:ind w:left="957"/>
      <w:outlineLvl w:val="2"/>
    </w:pPr>
    <w:rPr>
      <w:rFonts w:ascii="微软雅黑" w:hAnsi="微软雅黑" w:eastAsia="微软雅黑" w:cs="微软雅黑"/>
      <w:sz w:val="32"/>
      <w:szCs w:val="32"/>
    </w:rPr>
  </w:style>
  <w:style w:type="paragraph" w:styleId="5">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6">
    <w:name w:val="heading 5"/>
    <w:basedOn w:val="1"/>
    <w:next w:val="1"/>
    <w:link w:val="88"/>
    <w:qFormat/>
    <w:uiPriority w:val="1"/>
    <w:pPr>
      <w:ind w:left="638"/>
      <w:outlineLvl w:val="4"/>
    </w:pPr>
    <w:rPr>
      <w:sz w:val="24"/>
      <w:szCs w:val="24"/>
    </w:rPr>
  </w:style>
  <w:style w:type="paragraph" w:styleId="7">
    <w:name w:val="heading 6"/>
    <w:basedOn w:val="1"/>
    <w:next w:val="1"/>
    <w:link w:val="45"/>
    <w:qFormat/>
    <w:uiPriority w:val="1"/>
    <w:pPr>
      <w:ind w:left="1269" w:hanging="214"/>
      <w:outlineLvl w:val="5"/>
    </w:pPr>
    <w:rPr>
      <w:b/>
      <w:bCs/>
      <w:sz w:val="21"/>
      <w:szCs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link w:val="84"/>
    <w:qFormat/>
    <w:uiPriority w:val="0"/>
    <w:pPr>
      <w:ind w:firstLine="420" w:firstLineChars="200"/>
    </w:pPr>
    <w:rPr>
      <w:sz w:val="21"/>
    </w:rPr>
  </w:style>
  <w:style w:type="paragraph" w:styleId="9">
    <w:name w:val="annotation text"/>
    <w:basedOn w:val="1"/>
    <w:link w:val="37"/>
    <w:qFormat/>
    <w:uiPriority w:val="0"/>
  </w:style>
  <w:style w:type="paragraph" w:styleId="10">
    <w:name w:val="Body Text"/>
    <w:basedOn w:val="1"/>
    <w:link w:val="61"/>
    <w:qFormat/>
    <w:uiPriority w:val="1"/>
    <w:rPr>
      <w:sz w:val="21"/>
      <w:szCs w:val="21"/>
    </w:rPr>
  </w:style>
  <w:style w:type="paragraph" w:styleId="11">
    <w:name w:val="Body Text Indent"/>
    <w:basedOn w:val="1"/>
    <w:link w:val="41"/>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2"/>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3"/>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50"/>
    <w:qFormat/>
    <w:uiPriority w:val="0"/>
    <w:pPr>
      <w:spacing w:line="520" w:lineRule="exact"/>
      <w:ind w:firstLine="478" w:firstLineChars="199"/>
    </w:pPr>
    <w:rPr>
      <w:sz w:val="24"/>
    </w:rPr>
  </w:style>
  <w:style w:type="paragraph" w:styleId="15">
    <w:name w:val="Balloon Text"/>
    <w:basedOn w:val="1"/>
    <w:link w:val="39"/>
    <w:qFormat/>
    <w:uiPriority w:val="0"/>
    <w:rPr>
      <w:sz w:val="18"/>
      <w:szCs w:val="18"/>
    </w:rPr>
  </w:style>
  <w:style w:type="paragraph" w:styleId="16">
    <w:name w:val="footer"/>
    <w:basedOn w:val="1"/>
    <w:link w:val="36"/>
    <w:qFormat/>
    <w:uiPriority w:val="99"/>
    <w:pPr>
      <w:tabs>
        <w:tab w:val="center" w:pos="4153"/>
        <w:tab w:val="right" w:pos="8306"/>
      </w:tabs>
      <w:snapToGrid w:val="0"/>
    </w:pPr>
    <w:rPr>
      <w:sz w:val="18"/>
      <w:szCs w:val="18"/>
    </w:rPr>
  </w:style>
  <w:style w:type="paragraph" w:styleId="17">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99"/>
    <w:pPr>
      <w:autoSpaceDE/>
      <w:autoSpaceDN/>
      <w:jc w:val="both"/>
    </w:pPr>
    <w:rPr>
      <w:rFonts w:ascii="Times New Roman" w:hAnsi="Times New Roman" w:cs="Times New Roman"/>
      <w:kern w:val="2"/>
      <w:sz w:val="24"/>
      <w:szCs w:val="20"/>
      <w:lang w:val="en-US" w:bidi="ar-SA"/>
    </w:rPr>
  </w:style>
  <w:style w:type="paragraph" w:styleId="22">
    <w:name w:val="annotation subject"/>
    <w:basedOn w:val="9"/>
    <w:next w:val="9"/>
    <w:link w:val="38"/>
    <w:qFormat/>
    <w:uiPriority w:val="0"/>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b/>
    </w:rPr>
  </w:style>
  <w:style w:type="character" w:styleId="27">
    <w:name w:val="page number"/>
    <w:basedOn w:val="25"/>
    <w:qFormat/>
    <w:uiPriority w:val="0"/>
  </w:style>
  <w:style w:type="character" w:styleId="28">
    <w:name w:val="FollowedHyperlink"/>
    <w:qFormat/>
    <w:uiPriority w:val="99"/>
    <w:rPr>
      <w:color w:val="800080"/>
      <w:u w:val="single"/>
    </w:rPr>
  </w:style>
  <w:style w:type="character" w:styleId="29">
    <w:name w:val="Emphasis"/>
    <w:qFormat/>
    <w:uiPriority w:val="20"/>
    <w:rPr>
      <w:i/>
      <w:iCs/>
    </w:rPr>
  </w:style>
  <w:style w:type="character" w:styleId="30">
    <w:name w:val="Hyperlink"/>
    <w:qFormat/>
    <w:uiPriority w:val="99"/>
    <w:rPr>
      <w:rFonts w:cs="Times New Roman"/>
      <w:color w:val="1F4F88"/>
      <w:u w:val="none"/>
    </w:rPr>
  </w:style>
  <w:style w:type="character" w:styleId="31">
    <w:name w:val="annotation reference"/>
    <w:basedOn w:val="25"/>
    <w:qFormat/>
    <w:uiPriority w:val="0"/>
    <w:rPr>
      <w:sz w:val="21"/>
      <w:szCs w:val="21"/>
    </w:rPr>
  </w:style>
  <w:style w:type="table" w:customStyle="1" w:styleId="32">
    <w:name w:val="Table Normal"/>
    <w:semiHidden/>
    <w:unhideWhenUsed/>
    <w:qFormat/>
    <w:uiPriority w:val="2"/>
    <w:tblPr>
      <w:tblCellMar>
        <w:top w:w="0" w:type="dxa"/>
        <w:left w:w="0" w:type="dxa"/>
        <w:bottom w:w="0" w:type="dxa"/>
        <w:right w:w="0" w:type="dxa"/>
      </w:tblCellMar>
    </w:tblPr>
  </w:style>
  <w:style w:type="paragraph" w:styleId="33">
    <w:name w:val="List Paragraph"/>
    <w:basedOn w:val="1"/>
    <w:qFormat/>
    <w:uiPriority w:val="1"/>
    <w:pPr>
      <w:ind w:left="638" w:firstLine="420"/>
    </w:pPr>
  </w:style>
  <w:style w:type="paragraph" w:customStyle="1" w:styleId="34">
    <w:name w:val="Table Paragraph"/>
    <w:basedOn w:val="1"/>
    <w:qFormat/>
    <w:uiPriority w:val="1"/>
  </w:style>
  <w:style w:type="character" w:customStyle="1" w:styleId="35">
    <w:name w:val="页眉 字符"/>
    <w:basedOn w:val="25"/>
    <w:link w:val="17"/>
    <w:qFormat/>
    <w:uiPriority w:val="0"/>
    <w:rPr>
      <w:rFonts w:ascii="宋体" w:hAnsi="宋体" w:eastAsia="宋体" w:cs="宋体"/>
      <w:sz w:val="18"/>
      <w:szCs w:val="18"/>
      <w:lang w:val="zh-CN" w:bidi="zh-CN"/>
    </w:rPr>
  </w:style>
  <w:style w:type="character" w:customStyle="1" w:styleId="36">
    <w:name w:val="页脚 字符"/>
    <w:basedOn w:val="25"/>
    <w:link w:val="16"/>
    <w:qFormat/>
    <w:uiPriority w:val="99"/>
    <w:rPr>
      <w:rFonts w:ascii="宋体" w:hAnsi="宋体" w:eastAsia="宋体" w:cs="宋体"/>
      <w:sz w:val="18"/>
      <w:szCs w:val="18"/>
      <w:lang w:val="zh-CN" w:bidi="zh-CN"/>
    </w:rPr>
  </w:style>
  <w:style w:type="character" w:customStyle="1" w:styleId="37">
    <w:name w:val="批注文字 字符"/>
    <w:basedOn w:val="25"/>
    <w:link w:val="9"/>
    <w:qFormat/>
    <w:uiPriority w:val="0"/>
    <w:rPr>
      <w:rFonts w:ascii="宋体" w:hAnsi="宋体" w:eastAsia="宋体" w:cs="宋体"/>
      <w:sz w:val="22"/>
      <w:szCs w:val="22"/>
      <w:lang w:val="zh-CN" w:bidi="zh-CN"/>
    </w:rPr>
  </w:style>
  <w:style w:type="character" w:customStyle="1" w:styleId="38">
    <w:name w:val="批注主题 字符"/>
    <w:basedOn w:val="37"/>
    <w:link w:val="22"/>
    <w:qFormat/>
    <w:uiPriority w:val="0"/>
    <w:rPr>
      <w:rFonts w:ascii="宋体" w:hAnsi="宋体" w:eastAsia="宋体" w:cs="宋体"/>
      <w:b/>
      <w:bCs/>
      <w:sz w:val="22"/>
      <w:szCs w:val="22"/>
      <w:lang w:val="zh-CN" w:bidi="zh-CN"/>
    </w:rPr>
  </w:style>
  <w:style w:type="character" w:customStyle="1" w:styleId="39">
    <w:name w:val="批注框文本 字符"/>
    <w:basedOn w:val="25"/>
    <w:link w:val="15"/>
    <w:qFormat/>
    <w:uiPriority w:val="0"/>
    <w:rPr>
      <w:rFonts w:ascii="宋体" w:hAnsi="宋体" w:eastAsia="宋体" w:cs="宋体"/>
      <w:sz w:val="18"/>
      <w:szCs w:val="18"/>
      <w:lang w:val="zh-CN" w:bidi="zh-CN"/>
    </w:rPr>
  </w:style>
  <w:style w:type="paragraph" w:customStyle="1" w:styleId="40">
    <w:name w:val="修订1"/>
    <w:hidden/>
    <w:semiHidden/>
    <w:qFormat/>
    <w:uiPriority w:val="99"/>
    <w:rPr>
      <w:rFonts w:ascii="宋体" w:hAnsi="宋体" w:eastAsia="宋体" w:cs="宋体"/>
      <w:sz w:val="22"/>
      <w:szCs w:val="22"/>
      <w:lang w:val="zh-CN" w:eastAsia="zh-CN" w:bidi="zh-CN"/>
    </w:rPr>
  </w:style>
  <w:style w:type="character" w:customStyle="1" w:styleId="41">
    <w:name w:val="正文文本缩进 字符"/>
    <w:basedOn w:val="25"/>
    <w:link w:val="11"/>
    <w:qFormat/>
    <w:uiPriority w:val="99"/>
    <w:rPr>
      <w:rFonts w:ascii="Times New Roman" w:hAnsi="Times New Roman" w:eastAsia="宋体" w:cs="Times New Roman"/>
      <w:kern w:val="2"/>
      <w:sz w:val="21"/>
    </w:rPr>
  </w:style>
  <w:style w:type="character" w:customStyle="1" w:styleId="42">
    <w:name w:val="纯文本 字符"/>
    <w:basedOn w:val="25"/>
    <w:link w:val="12"/>
    <w:qFormat/>
    <w:uiPriority w:val="0"/>
    <w:rPr>
      <w:rFonts w:ascii="宋体" w:hAnsi="Courier New" w:eastAsia="宋体" w:cs="Courier New"/>
      <w:kern w:val="2"/>
      <w:sz w:val="21"/>
      <w:szCs w:val="21"/>
    </w:rPr>
  </w:style>
  <w:style w:type="character" w:customStyle="1" w:styleId="43">
    <w:name w:val="日期 字符"/>
    <w:basedOn w:val="25"/>
    <w:link w:val="13"/>
    <w:qFormat/>
    <w:uiPriority w:val="99"/>
    <w:rPr>
      <w:rFonts w:ascii="Times New Roman" w:hAnsi="Times New Roman" w:eastAsia="宋体" w:cs="Times New Roman"/>
      <w:kern w:val="2"/>
      <w:sz w:val="21"/>
    </w:rPr>
  </w:style>
  <w:style w:type="character" w:customStyle="1" w:styleId="44">
    <w:name w:val="HTML 预设格式 字符"/>
    <w:basedOn w:val="25"/>
    <w:link w:val="20"/>
    <w:qFormat/>
    <w:uiPriority w:val="0"/>
    <w:rPr>
      <w:rFonts w:ascii="Arial" w:hAnsi="Arial" w:eastAsia="宋体" w:cs="Arial"/>
      <w:sz w:val="21"/>
      <w:szCs w:val="21"/>
    </w:rPr>
  </w:style>
  <w:style w:type="character" w:customStyle="1" w:styleId="45">
    <w:name w:val="标题 6 字符"/>
    <w:basedOn w:val="25"/>
    <w:link w:val="7"/>
    <w:qFormat/>
    <w:uiPriority w:val="1"/>
    <w:rPr>
      <w:rFonts w:ascii="宋体" w:hAnsi="宋体" w:eastAsia="宋体" w:cs="宋体"/>
      <w:b/>
      <w:bCs/>
      <w:sz w:val="21"/>
      <w:szCs w:val="21"/>
      <w:lang w:val="zh-CN" w:bidi="zh-CN"/>
    </w:rPr>
  </w:style>
  <w:style w:type="character" w:customStyle="1" w:styleId="46">
    <w:name w:val="font01"/>
    <w:qFormat/>
    <w:uiPriority w:val="0"/>
    <w:rPr>
      <w:rFonts w:hint="eastAsia" w:ascii="宋体" w:hAnsi="宋体" w:eastAsia="宋体" w:cs="宋体"/>
      <w:color w:val="000000"/>
      <w:sz w:val="15"/>
      <w:szCs w:val="15"/>
      <w:u w:val="none"/>
    </w:rPr>
  </w:style>
  <w:style w:type="character" w:customStyle="1" w:styleId="47">
    <w:name w:val="标题 1 字符"/>
    <w:basedOn w:val="25"/>
    <w:link w:val="2"/>
    <w:qFormat/>
    <w:uiPriority w:val="0"/>
    <w:rPr>
      <w:rFonts w:ascii="微软雅黑" w:hAnsi="微软雅黑" w:eastAsia="微软雅黑" w:cs="微软雅黑"/>
      <w:b/>
      <w:bCs/>
      <w:sz w:val="44"/>
      <w:szCs w:val="44"/>
      <w:lang w:val="zh-CN" w:bidi="zh-CN"/>
    </w:rPr>
  </w:style>
  <w:style w:type="character" w:customStyle="1" w:styleId="48">
    <w:name w:val="标题 2 字符"/>
    <w:basedOn w:val="25"/>
    <w:link w:val="3"/>
    <w:qFormat/>
    <w:uiPriority w:val="1"/>
    <w:rPr>
      <w:rFonts w:ascii="黑体" w:hAnsi="黑体" w:eastAsia="黑体" w:cs="黑体"/>
      <w:b/>
      <w:bCs/>
      <w:sz w:val="32"/>
      <w:szCs w:val="32"/>
      <w:lang w:val="zh-CN" w:bidi="zh-CN"/>
    </w:rPr>
  </w:style>
  <w:style w:type="character" w:customStyle="1" w:styleId="49">
    <w:name w:val="标题 3 字符"/>
    <w:basedOn w:val="25"/>
    <w:link w:val="4"/>
    <w:qFormat/>
    <w:uiPriority w:val="9"/>
    <w:rPr>
      <w:rFonts w:ascii="微软雅黑" w:hAnsi="微软雅黑" w:eastAsia="微软雅黑" w:cs="微软雅黑"/>
      <w:sz w:val="32"/>
      <w:szCs w:val="32"/>
      <w:lang w:val="zh-CN" w:bidi="zh-CN"/>
    </w:rPr>
  </w:style>
  <w:style w:type="character" w:customStyle="1" w:styleId="50">
    <w:name w:val="正文文本缩进 2 字符"/>
    <w:basedOn w:val="25"/>
    <w:link w:val="14"/>
    <w:qFormat/>
    <w:uiPriority w:val="0"/>
    <w:rPr>
      <w:rFonts w:ascii="宋体" w:hAnsi="宋体" w:eastAsia="宋体" w:cs="宋体"/>
      <w:sz w:val="24"/>
      <w:szCs w:val="22"/>
      <w:lang w:val="zh-CN" w:bidi="zh-CN"/>
    </w:rPr>
  </w:style>
  <w:style w:type="table" w:customStyle="1" w:styleId="51">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apple-converted-space"/>
    <w:basedOn w:val="25"/>
    <w:qFormat/>
    <w:uiPriority w:val="0"/>
  </w:style>
  <w:style w:type="character" w:customStyle="1" w:styleId="53">
    <w:name w:val="Char Char2"/>
    <w:qFormat/>
    <w:uiPriority w:val="0"/>
    <w:rPr>
      <w:rFonts w:ascii="宋体" w:hAnsi="Courier New" w:cs="宋体"/>
      <w:kern w:val="2"/>
      <w:sz w:val="21"/>
      <w:szCs w:val="21"/>
    </w:rPr>
  </w:style>
  <w:style w:type="character" w:customStyle="1" w:styleId="54">
    <w:name w:val="纯文本 Char"/>
    <w:qFormat/>
    <w:uiPriority w:val="0"/>
    <w:rPr>
      <w:rFonts w:ascii="宋体" w:hAnsi="Courier New" w:eastAsia="宋体"/>
      <w:kern w:val="2"/>
      <w:sz w:val="21"/>
      <w:lang w:val="en-US" w:eastAsia="zh-CN" w:bidi="ar-SA"/>
    </w:rPr>
  </w:style>
  <w:style w:type="character" w:customStyle="1" w:styleId="55">
    <w:name w:val="HTML Markup"/>
    <w:qFormat/>
    <w:uiPriority w:val="0"/>
    <w:rPr>
      <w:vanish/>
      <w:color w:val="FF0000"/>
    </w:rPr>
  </w:style>
  <w:style w:type="character" w:customStyle="1" w:styleId="56">
    <w:name w:val="正文文本缩进 Char"/>
    <w:link w:val="57"/>
    <w:qFormat/>
    <w:uiPriority w:val="0"/>
  </w:style>
  <w:style w:type="paragraph" w:customStyle="1" w:styleId="57">
    <w:name w:val="正文文本缩进1"/>
    <w:basedOn w:val="1"/>
    <w:link w:val="56"/>
    <w:qFormat/>
    <w:uiPriority w:val="0"/>
    <w:pPr>
      <w:autoSpaceDE/>
      <w:autoSpaceDN/>
      <w:spacing w:after="120"/>
      <w:ind w:left="420" w:leftChars="200"/>
      <w:jc w:val="both"/>
    </w:pPr>
    <w:rPr>
      <w:rFonts w:asciiTheme="minorHAnsi" w:hAnsiTheme="minorHAnsi" w:eastAsiaTheme="minorEastAsia" w:cstheme="minorBidi"/>
      <w:sz w:val="20"/>
      <w:szCs w:val="20"/>
      <w:lang w:val="en-US" w:bidi="ar-SA"/>
    </w:rPr>
  </w:style>
  <w:style w:type="character" w:customStyle="1" w:styleId="58">
    <w:name w:val="Char Char3"/>
    <w:qFormat/>
    <w:uiPriority w:val="0"/>
    <w:rPr>
      <w:rFonts w:ascii="宋体" w:hAnsi="Courier New" w:eastAsia="宋体"/>
      <w:kern w:val="2"/>
      <w:sz w:val="21"/>
      <w:lang w:val="en-US" w:eastAsia="zh-CN" w:bidi="ar-SA"/>
    </w:rPr>
  </w:style>
  <w:style w:type="character" w:customStyle="1" w:styleId="59">
    <w:name w:val="font61"/>
    <w:qFormat/>
    <w:uiPriority w:val="0"/>
    <w:rPr>
      <w:rFonts w:hint="eastAsia" w:ascii="宋体" w:hAnsi="宋体" w:eastAsia="宋体" w:cs="宋体"/>
      <w:color w:val="000000"/>
      <w:sz w:val="24"/>
      <w:szCs w:val="24"/>
      <w:u w:val="none"/>
    </w:rPr>
  </w:style>
  <w:style w:type="character" w:customStyle="1" w:styleId="60">
    <w:name w:val="纯文本 Char3"/>
    <w:qFormat/>
    <w:uiPriority w:val="0"/>
    <w:rPr>
      <w:rFonts w:ascii="宋体" w:hAnsi="Courier New" w:eastAsia="宋体"/>
      <w:kern w:val="2"/>
      <w:sz w:val="21"/>
      <w:lang w:val="en-US" w:eastAsia="zh-CN" w:bidi="ar-SA"/>
    </w:rPr>
  </w:style>
  <w:style w:type="character" w:customStyle="1" w:styleId="61">
    <w:name w:val="正文文本 字符"/>
    <w:link w:val="10"/>
    <w:qFormat/>
    <w:uiPriority w:val="1"/>
    <w:rPr>
      <w:rFonts w:ascii="宋体" w:hAnsi="宋体" w:eastAsia="宋体" w:cs="宋体"/>
      <w:sz w:val="21"/>
      <w:szCs w:val="21"/>
      <w:lang w:val="zh-CN" w:bidi="zh-CN"/>
    </w:rPr>
  </w:style>
  <w:style w:type="character" w:customStyle="1" w:styleId="62">
    <w:name w:val="Char Char5"/>
    <w:qFormat/>
    <w:uiPriority w:val="0"/>
    <w:rPr>
      <w:rFonts w:ascii="宋体" w:hAnsi="Courier New" w:eastAsia="宋体"/>
      <w:kern w:val="2"/>
      <w:sz w:val="21"/>
      <w:lang w:val="en-US" w:eastAsia="zh-CN" w:bidi="ar-SA"/>
    </w:rPr>
  </w:style>
  <w:style w:type="character" w:customStyle="1" w:styleId="63">
    <w:name w:val="正文文本 Char"/>
    <w:qFormat/>
    <w:uiPriority w:val="0"/>
    <w:rPr>
      <w:rFonts w:ascii="仿宋_GB2312" w:eastAsia="仿宋_GB2312"/>
      <w:kern w:val="2"/>
      <w:sz w:val="32"/>
    </w:rPr>
  </w:style>
  <w:style w:type="character" w:customStyle="1" w:styleId="64">
    <w:name w:val="批注框文本 Char1"/>
    <w:basedOn w:val="25"/>
    <w:semiHidden/>
    <w:qFormat/>
    <w:uiPriority w:val="99"/>
    <w:rPr>
      <w:rFonts w:ascii="Calibri" w:hAnsi="Calibri" w:eastAsia="宋体" w:cs="Times New Roman"/>
      <w:sz w:val="18"/>
      <w:szCs w:val="18"/>
    </w:rPr>
  </w:style>
  <w:style w:type="character" w:customStyle="1" w:styleId="65">
    <w:name w:val="纯文本 Char2"/>
    <w:basedOn w:val="25"/>
    <w:semiHidden/>
    <w:qFormat/>
    <w:uiPriority w:val="99"/>
    <w:rPr>
      <w:rFonts w:ascii="宋体" w:hAnsi="Courier New" w:eastAsia="宋体" w:cs="Courier New"/>
      <w:szCs w:val="21"/>
    </w:rPr>
  </w:style>
  <w:style w:type="character" w:customStyle="1" w:styleId="66">
    <w:name w:val="页眉 Char1"/>
    <w:basedOn w:val="25"/>
    <w:semiHidden/>
    <w:qFormat/>
    <w:uiPriority w:val="99"/>
    <w:rPr>
      <w:rFonts w:ascii="Calibri" w:hAnsi="Calibri" w:eastAsia="宋体" w:cs="Times New Roman"/>
      <w:sz w:val="18"/>
      <w:szCs w:val="18"/>
    </w:rPr>
  </w:style>
  <w:style w:type="character" w:customStyle="1" w:styleId="67">
    <w:name w:val="正文文本缩进 Char2"/>
    <w:basedOn w:val="25"/>
    <w:semiHidden/>
    <w:qFormat/>
    <w:uiPriority w:val="99"/>
    <w:rPr>
      <w:rFonts w:ascii="Calibri" w:hAnsi="Calibri" w:eastAsia="宋体" w:cs="Times New Roman"/>
      <w:szCs w:val="20"/>
    </w:rPr>
  </w:style>
  <w:style w:type="character" w:customStyle="1" w:styleId="68">
    <w:name w:val="正文文本 Char2"/>
    <w:basedOn w:val="25"/>
    <w:semiHidden/>
    <w:qFormat/>
    <w:uiPriority w:val="99"/>
    <w:rPr>
      <w:rFonts w:ascii="Calibri" w:hAnsi="Calibri" w:eastAsia="宋体" w:cs="Times New Roman"/>
      <w:szCs w:val="20"/>
    </w:rPr>
  </w:style>
  <w:style w:type="character" w:customStyle="1" w:styleId="69">
    <w:name w:val="批注文字 Char1"/>
    <w:basedOn w:val="25"/>
    <w:semiHidden/>
    <w:qFormat/>
    <w:uiPriority w:val="99"/>
    <w:rPr>
      <w:rFonts w:ascii="Calibri" w:hAnsi="Calibri" w:eastAsia="宋体" w:cs="Times New Roman"/>
      <w:szCs w:val="20"/>
    </w:rPr>
  </w:style>
  <w:style w:type="character" w:customStyle="1" w:styleId="70">
    <w:name w:val="页脚 Char1"/>
    <w:basedOn w:val="25"/>
    <w:semiHidden/>
    <w:qFormat/>
    <w:uiPriority w:val="99"/>
    <w:rPr>
      <w:rFonts w:ascii="Calibri" w:hAnsi="Calibri" w:eastAsia="宋体" w:cs="Times New Roman"/>
      <w:sz w:val="18"/>
      <w:szCs w:val="18"/>
    </w:rPr>
  </w:style>
  <w:style w:type="character" w:customStyle="1" w:styleId="71">
    <w:name w:val="批注主题 Char1"/>
    <w:basedOn w:val="69"/>
    <w:semiHidden/>
    <w:qFormat/>
    <w:uiPriority w:val="99"/>
    <w:rPr>
      <w:rFonts w:ascii="Calibri" w:hAnsi="Calibri" w:eastAsia="宋体" w:cs="Times New Roman"/>
      <w:b/>
      <w:bCs/>
      <w:szCs w:val="20"/>
    </w:rPr>
  </w:style>
  <w:style w:type="paragraph" w:customStyle="1" w:styleId="72">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3">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4">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5">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77">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8">
    <w:name w:val="标题 11"/>
    <w:basedOn w:val="1"/>
    <w:qFormat/>
    <w:uiPriority w:val="1"/>
    <w:pPr>
      <w:spacing w:before="33"/>
      <w:ind w:left="139"/>
      <w:jc w:val="center"/>
      <w:outlineLvl w:val="1"/>
    </w:pPr>
    <w:rPr>
      <w:sz w:val="48"/>
      <w:szCs w:val="48"/>
    </w:rPr>
  </w:style>
  <w:style w:type="paragraph" w:customStyle="1" w:styleId="79">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0">
    <w:name w:val="标题 31"/>
    <w:basedOn w:val="1"/>
    <w:qFormat/>
    <w:uiPriority w:val="1"/>
    <w:pPr>
      <w:ind w:left="541"/>
      <w:outlineLvl w:val="3"/>
    </w:pPr>
    <w:rPr>
      <w:rFonts w:ascii="微软雅黑" w:hAnsi="微软雅黑" w:eastAsia="微软雅黑" w:cs="微软雅黑"/>
      <w:b/>
      <w:bCs/>
      <w:sz w:val="21"/>
      <w:szCs w:val="21"/>
    </w:rPr>
  </w:style>
  <w:style w:type="paragraph" w:styleId="81">
    <w:name w:val="No Spacing"/>
    <w:link w:val="82"/>
    <w:qFormat/>
    <w:uiPriority w:val="1"/>
    <w:rPr>
      <w:rFonts w:asciiTheme="minorHAnsi" w:hAnsiTheme="minorHAnsi" w:eastAsiaTheme="minorEastAsia" w:cstheme="minorBidi"/>
      <w:sz w:val="22"/>
      <w:szCs w:val="22"/>
      <w:lang w:val="en-US" w:eastAsia="zh-CN" w:bidi="ar-SA"/>
    </w:rPr>
  </w:style>
  <w:style w:type="character" w:customStyle="1" w:styleId="82">
    <w:name w:val="无间隔 字符"/>
    <w:basedOn w:val="25"/>
    <w:link w:val="81"/>
    <w:qFormat/>
    <w:uiPriority w:val="1"/>
    <w:rPr>
      <w:sz w:val="22"/>
      <w:szCs w:val="22"/>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4">
    <w:name w:val="正文缩进 字符"/>
    <w:link w:val="8"/>
    <w:qFormat/>
    <w:uiPriority w:val="0"/>
    <w:rPr>
      <w:rFonts w:ascii="宋体" w:hAnsi="宋体" w:eastAsia="宋体" w:cs="宋体"/>
      <w:sz w:val="21"/>
      <w:szCs w:val="22"/>
      <w:lang w:val="zh-CN" w:bidi="zh-CN"/>
    </w:rPr>
  </w:style>
  <w:style w:type="character" w:customStyle="1" w:styleId="85">
    <w:name w:val="Char Char51"/>
    <w:qFormat/>
    <w:uiPriority w:val="0"/>
    <w:rPr>
      <w:rFonts w:ascii="宋体" w:hAnsi="Courier New" w:eastAsia="宋体"/>
      <w:kern w:val="2"/>
      <w:sz w:val="21"/>
      <w:lang w:val="en-US" w:eastAsia="zh-CN" w:bidi="ar-SA"/>
    </w:rPr>
  </w:style>
  <w:style w:type="character" w:customStyle="1" w:styleId="86">
    <w:name w:val="Char Char21"/>
    <w:qFormat/>
    <w:uiPriority w:val="0"/>
    <w:rPr>
      <w:rFonts w:ascii="宋体" w:hAnsi="Courier New" w:cs="宋体"/>
      <w:kern w:val="2"/>
      <w:sz w:val="21"/>
      <w:szCs w:val="21"/>
    </w:rPr>
  </w:style>
  <w:style w:type="character" w:customStyle="1" w:styleId="87">
    <w:name w:val="Char Char31"/>
    <w:qFormat/>
    <w:uiPriority w:val="0"/>
    <w:rPr>
      <w:rFonts w:ascii="宋体" w:hAnsi="Courier New" w:eastAsia="宋体"/>
      <w:kern w:val="2"/>
      <w:sz w:val="21"/>
      <w:lang w:val="en-US" w:eastAsia="zh-CN" w:bidi="ar-SA"/>
    </w:rPr>
  </w:style>
  <w:style w:type="character" w:customStyle="1" w:styleId="88">
    <w:name w:val="标题 5 字符"/>
    <w:basedOn w:val="25"/>
    <w:link w:val="6"/>
    <w:qFormat/>
    <w:uiPriority w:val="1"/>
    <w:rPr>
      <w:rFonts w:ascii="宋体" w:hAnsi="宋体" w:eastAsia="宋体" w:cs="宋体"/>
      <w:sz w:val="24"/>
      <w:szCs w:val="24"/>
      <w:lang w:val="zh-CN" w:bidi="zh-CN"/>
    </w:rPr>
  </w:style>
  <w:style w:type="paragraph" w:customStyle="1" w:styleId="89">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0">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1">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2">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3">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4">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6">
    <w:name w:val="xl70"/>
    <w:basedOn w:val="1"/>
    <w:qFormat/>
    <w:uiPriority w:val="0"/>
    <w:pPr>
      <w:widowControl/>
      <w:autoSpaceDE/>
      <w:autoSpaceDN/>
      <w:spacing w:before="100" w:beforeAutospacing="1" w:after="100" w:afterAutospacing="1"/>
    </w:pPr>
    <w:rPr>
      <w:b/>
      <w:bCs/>
      <w:sz w:val="24"/>
      <w:szCs w:val="24"/>
      <w:lang w:val="en-US" w:bidi="ar-SA"/>
    </w:rPr>
  </w:style>
  <w:style w:type="character" w:customStyle="1" w:styleId="97">
    <w:name w:val="font51"/>
    <w:basedOn w:val="25"/>
    <w:qFormat/>
    <w:uiPriority w:val="0"/>
    <w:rPr>
      <w:rFonts w:ascii="Calibri" w:hAnsi="Calibri" w:cs="Calibri"/>
      <w:color w:val="000000"/>
      <w:sz w:val="21"/>
      <w:szCs w:val="21"/>
      <w:u w:val="none"/>
    </w:rPr>
  </w:style>
  <w:style w:type="character" w:customStyle="1" w:styleId="98">
    <w:name w:val="font31"/>
    <w:basedOn w:val="25"/>
    <w:qFormat/>
    <w:uiPriority w:val="0"/>
    <w:rPr>
      <w:rFonts w:hint="eastAsia" w:ascii="宋体" w:hAnsi="宋体" w:eastAsia="宋体" w:cs="宋体"/>
      <w:color w:val="000000"/>
      <w:sz w:val="21"/>
      <w:szCs w:val="21"/>
      <w:u w:val="none"/>
    </w:rPr>
  </w:style>
  <w:style w:type="character" w:customStyle="1" w:styleId="99">
    <w:name w:val="font81"/>
    <w:basedOn w:val="25"/>
    <w:qFormat/>
    <w:uiPriority w:val="0"/>
    <w:rPr>
      <w:rFonts w:hint="eastAsia" w:ascii="宋体" w:hAnsi="宋体" w:eastAsia="宋体" w:cs="宋体"/>
      <w:color w:val="000000"/>
      <w:sz w:val="21"/>
      <w:szCs w:val="21"/>
      <w:u w:val="none"/>
    </w:rPr>
  </w:style>
  <w:style w:type="character" w:customStyle="1" w:styleId="100">
    <w:name w:val="font41"/>
    <w:basedOn w:val="25"/>
    <w:qFormat/>
    <w:uiPriority w:val="0"/>
    <w:rPr>
      <w:rFonts w:hint="eastAsia" w:ascii="宋体" w:hAnsi="宋体" w:eastAsia="宋体" w:cs="宋体"/>
      <w:color w:val="000000"/>
      <w:sz w:val="21"/>
      <w:szCs w:val="21"/>
      <w:u w:val="none"/>
    </w:rPr>
  </w:style>
  <w:style w:type="character" w:customStyle="1" w:styleId="101">
    <w:name w:val="font21"/>
    <w:basedOn w:val="25"/>
    <w:qFormat/>
    <w:uiPriority w:val="0"/>
    <w:rPr>
      <w:rFonts w:hint="eastAsia" w:ascii="宋体" w:hAnsi="宋体" w:eastAsia="宋体" w:cs="宋体"/>
      <w:color w:val="000000"/>
      <w:sz w:val="21"/>
      <w:szCs w:val="21"/>
      <w:u w:val="none"/>
    </w:rPr>
  </w:style>
  <w:style w:type="character" w:customStyle="1" w:styleId="102">
    <w:name w:val="font101"/>
    <w:basedOn w:val="25"/>
    <w:qFormat/>
    <w:uiPriority w:val="0"/>
    <w:rPr>
      <w:rFonts w:ascii="Calibri" w:hAnsi="Calibri" w:cs="Calibri"/>
      <w:color w:val="000000"/>
      <w:sz w:val="21"/>
      <w:szCs w:val="21"/>
      <w:u w:val="none"/>
    </w:rPr>
  </w:style>
  <w:style w:type="character" w:customStyle="1" w:styleId="103">
    <w:name w:val="font91"/>
    <w:basedOn w:val="25"/>
    <w:qFormat/>
    <w:uiPriority w:val="0"/>
    <w:rPr>
      <w:rFonts w:ascii="Calibri" w:hAnsi="Calibri" w:cs="Calibri"/>
      <w:color w:val="000000"/>
      <w:sz w:val="21"/>
      <w:szCs w:val="21"/>
      <w:u w:val="none"/>
    </w:rPr>
  </w:style>
  <w:style w:type="paragraph" w:customStyle="1" w:styleId="104">
    <w:name w:val="标书正文格式"/>
    <w:basedOn w:val="12"/>
    <w:qFormat/>
    <w:uiPriority w:val="0"/>
    <w:pPr>
      <w:spacing w:line="360" w:lineRule="auto"/>
      <w:ind w:firstLine="200" w:firstLineChars="200"/>
    </w:pPr>
    <w:rPr>
      <w:rFonts w:hAnsi="宋体"/>
      <w:color w:val="000000"/>
      <w:sz w:val="24"/>
      <w:szCs w:val="24"/>
    </w:rPr>
  </w:style>
  <w:style w:type="character" w:customStyle="1" w:styleId="105">
    <w:name w:val="font11"/>
    <w:basedOn w:val="25"/>
    <w:qFormat/>
    <w:uiPriority w:val="0"/>
    <w:rPr>
      <w:rFonts w:ascii="Arial" w:hAnsi="Arial" w:cs="Arial"/>
      <w:color w:val="000000"/>
      <w:sz w:val="20"/>
      <w:szCs w:val="20"/>
      <w:u w:val="none"/>
    </w:rPr>
  </w:style>
  <w:style w:type="paragraph" w:customStyle="1" w:styleId="106">
    <w:name w:val="ds-markdown-paragraph"/>
    <w:basedOn w:val="1"/>
    <w:qFormat/>
    <w:uiPriority w:val="0"/>
    <w:pPr>
      <w:widowControl/>
      <w:autoSpaceDE/>
      <w:autoSpaceDN/>
      <w:spacing w:before="100" w:beforeAutospacing="1" w:after="100" w:afterAutospacing="1"/>
    </w:pPr>
    <w:rPr>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10AD8-2EE1-43E3-87C8-B5F055984539}">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43</Pages>
  <Words>6029</Words>
  <Characters>6327</Characters>
  <Lines>221</Lines>
  <Paragraphs>62</Paragraphs>
  <TotalTime>135</TotalTime>
  <ScaleCrop>false</ScaleCrop>
  <LinksUpToDate>false</LinksUpToDate>
  <CharactersWithSpaces>6344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2026-09-12T07:28:00Z</dcterms:created>
  <dc:creator>Miao</dc:creator>
  <cp:lastModifiedBy>王瑄</cp:lastModifiedBy>
  <cp:lastPrinted>2023-09-07T00:08:00Z</cp:lastPrinted>
  <dcterms:modified xsi:type="dcterms:W3CDTF">2026-10-27T05:24:26Z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2052-12.1.0.28505</vt:lpwstr>
  </property>
  <property fmtid="{D5CDD505-2E9C-101B-9397-08002B2CF9AE}" pid="6" name="ICV">
    <vt:lpwstr>EE6ABC40C61F42FD8287879E37E1CB4A_13</vt:lpwstr>
  </property>
  <property fmtid="{D5CDD505-2E9C-101B-9397-08002B2CF9AE}" pid="7" name="KSOTemplateDocerSaveRecord">
    <vt:lpwstr>eyJoZGlkIjoiZWQxZjNmOWI4MjYxMjE3YWYxMWY4NzIzOWZkNTY1ZGEiLCJ1c2VySWQiOiIxNzY1MTE0NzEzIn0=</vt:lpwstr>
  </property>
</Properties>
</file>