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2A3E0D83">
      <w:pPr>
        <w:ind w:right="280"/>
        <w:jc w:val="center"/>
        <w:rPr>
          <w:rFonts w:hint="eastAsia" w:ascii="楷体_GB2312" w:hAnsi="宋体" w:eastAsia="楷体_GB2312"/>
          <w:sz w:val="52"/>
          <w:szCs w:val="52"/>
          <w:highlight w:val="none"/>
        </w:rPr>
      </w:pPr>
      <w:r>
        <w:rPr>
          <w:rFonts w:hint="eastAsia" w:ascii="楷体_GB2312" w:hAnsi="宋体" w:eastAsia="楷体_GB2312"/>
          <w:sz w:val="52"/>
          <w:szCs w:val="52"/>
          <w:highlight w:val="none"/>
        </w:rPr>
        <w:t>中国重汽集团济宁商用车有限公司</w:t>
      </w: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硬盘采购</w:t>
      </w:r>
      <w:r>
        <w:rPr>
          <w:rFonts w:hint="eastAsia" w:ascii="楷体_GB2312" w:hAnsi="宋体" w:eastAsia="楷体_GB2312"/>
          <w:sz w:val="52"/>
          <w:szCs w:val="52"/>
          <w:highlight w:val="none"/>
        </w:rPr>
        <w:t>项目</w:t>
      </w: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ind w:firstLine="2891" w:firstLineChars="900"/>
        <w:jc w:val="both"/>
        <w:rPr>
          <w:rFonts w:hint="default" w:ascii="宋体" w:hAnsi="宋体" w:eastAsia="宋体" w:cs="宋体"/>
          <w:b/>
          <w:bCs/>
          <w:kern w:val="0"/>
          <w:sz w:val="32"/>
          <w:szCs w:val="32"/>
          <w:highlight w:val="none"/>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lang w:val="en-US" w:eastAsia="zh-CN"/>
        </w:rPr>
        <w:t xml:space="preserve"> </w:t>
      </w:r>
      <w:r>
        <w:rPr>
          <w:rFonts w:hint="eastAsia" w:ascii="宋体" w:hAnsi="宋体" w:cs="宋体"/>
          <w:b/>
          <w:bCs/>
          <w:kern w:val="0"/>
          <w:sz w:val="32"/>
          <w:szCs w:val="32"/>
          <w:highlight w:val="none"/>
          <w:u w:val="single"/>
          <w:lang w:val="en-US" w:eastAsia="zh-CN"/>
        </w:rPr>
        <w:t>ZBGL2026090057</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人：中国重汽集团济宁商用车有限公司</w:t>
      </w:r>
    </w:p>
    <w:p w14:paraId="0D8A0D9A">
      <w:pPr>
        <w:jc w:val="center"/>
        <w:rPr>
          <w:rFonts w:ascii="宋体" w:hAnsi="宋体"/>
          <w:sz w:val="28"/>
          <w:szCs w:val="28"/>
        </w:rPr>
      </w:pPr>
    </w:p>
    <w:p w14:paraId="09CB3C92">
      <w:pPr>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w:t>
      </w:r>
      <w:r>
        <w:rPr>
          <w:rFonts w:hint="eastAsia" w:ascii="宋体" w:hAnsi="宋体"/>
          <w:sz w:val="28"/>
          <w:szCs w:val="28"/>
          <w:highlight w:val="none"/>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3718B9B5">
          <w:pPr>
            <w:pStyle w:val="21"/>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 xml:space="preserve">第一部分  </w:t>
          </w:r>
          <w:r>
            <w:rPr>
              <w:rFonts w:hint="eastAsia"/>
              <w:lang w:val="en-US" w:eastAsia="zh-CN"/>
            </w:rPr>
            <w:t>招标公告</w:t>
          </w:r>
          <w:r>
            <w:tab/>
          </w:r>
          <w:r>
            <w:fldChar w:fldCharType="begin"/>
          </w:r>
          <w:r>
            <w:instrText xml:space="preserve"> PAGEREF _Toc7753 \h </w:instrText>
          </w:r>
          <w:r>
            <w:fldChar w:fldCharType="separate"/>
          </w:r>
          <w:r>
            <w:t xml:space="preserve">- </w:t>
          </w:r>
          <w:r>
            <w:rPr>
              <w:rFonts w:hint="eastAsia"/>
              <w:lang w:val="en-US" w:eastAsia="zh-CN"/>
            </w:rPr>
            <w:t>1</w:t>
          </w:r>
          <w:r>
            <w:t xml:space="preserve"> -</w:t>
          </w:r>
          <w:r>
            <w:fldChar w:fldCharType="end"/>
          </w:r>
          <w:r>
            <w:rPr>
              <w:rFonts w:hint="eastAsia" w:ascii="Calibri" w:hAnsi="Calibri" w:eastAsia="宋体" w:cs="Times New Roman"/>
              <w:bCs/>
              <w:kern w:val="44"/>
              <w:szCs w:val="44"/>
            </w:rPr>
            <w:fldChar w:fldCharType="end"/>
          </w:r>
        </w:p>
        <w:p w14:paraId="4D6E9C52">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服务内容及技术要求</w:t>
          </w:r>
          <w:r>
            <w:tab/>
          </w:r>
          <w:r>
            <w:fldChar w:fldCharType="begin"/>
          </w:r>
          <w:r>
            <w:instrText xml:space="preserve"> PAGEREF _Toc1910 \h </w:instrText>
          </w:r>
          <w:r>
            <w:fldChar w:fldCharType="separate"/>
          </w:r>
          <w:r>
            <w:t xml:space="preserve">- </w:t>
          </w:r>
          <w:r>
            <w:rPr>
              <w:rFonts w:hint="eastAsia"/>
              <w:lang w:val="en-US" w:eastAsia="zh-CN"/>
            </w:rPr>
            <w:t>13</w:t>
          </w:r>
          <w:r>
            <w:t xml:space="preserve"> -</w:t>
          </w:r>
          <w:r>
            <w:fldChar w:fldCharType="end"/>
          </w:r>
          <w:r>
            <w:rPr>
              <w:rFonts w:hint="eastAsia" w:ascii="Calibri" w:hAnsi="Calibri" w:eastAsia="宋体" w:cs="Times New Roman"/>
              <w:bCs/>
              <w:kern w:val="44"/>
              <w:szCs w:val="44"/>
            </w:rPr>
            <w:fldChar w:fldCharType="end"/>
          </w:r>
        </w:p>
        <w:p w14:paraId="7691DBF9">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xml:space="preserve">- </w:t>
          </w:r>
          <w:r>
            <w:rPr>
              <w:rFonts w:hint="eastAsia"/>
              <w:lang w:val="en-US" w:eastAsia="zh-CN"/>
            </w:rPr>
            <w:t>22</w:t>
          </w:r>
          <w:r>
            <w:t xml:space="preserve"> -</w:t>
          </w:r>
          <w:r>
            <w:fldChar w:fldCharType="end"/>
          </w:r>
          <w:r>
            <w:rPr>
              <w:rFonts w:hint="eastAsia" w:ascii="Calibri" w:hAnsi="Calibri" w:eastAsia="宋体" w:cs="Times New Roman"/>
              <w:bCs/>
              <w:kern w:val="44"/>
              <w:szCs w:val="44"/>
            </w:rPr>
            <w:fldChar w:fldCharType="end"/>
          </w:r>
        </w:p>
        <w:p w14:paraId="6617A57C">
          <w:pPr>
            <w:pStyle w:val="21"/>
          </w:pPr>
          <w:r>
            <w:rPr>
              <w:rFonts w:hint="eastAsia" w:ascii="Calibri" w:hAnsi="Calibri" w:eastAsia="宋体" w:cs="Times New Roman"/>
              <w:bCs/>
              <w:kern w:val="44"/>
              <w:szCs w:val="44"/>
            </w:rPr>
            <w:fldChar w:fldCharType="end"/>
          </w:r>
        </w:p>
      </w:sdtContent>
    </w:sdt>
    <w:p w14:paraId="582BF911">
      <w:pPr>
        <w:pStyle w:val="15"/>
        <w:tabs>
          <w:tab w:val="left" w:pos="2940"/>
        </w:tabs>
        <w:spacing w:line="360" w:lineRule="auto"/>
      </w:pPr>
      <w:r>
        <w:tab/>
      </w:r>
    </w:p>
    <w:p w14:paraId="29FEE1FC">
      <w:pPr>
        <w:pStyle w:val="15"/>
        <w:spacing w:line="360" w:lineRule="auto"/>
        <w:jc w:val="center"/>
      </w:pPr>
    </w:p>
    <w:p w14:paraId="1A6E7B1A">
      <w:pPr>
        <w:pStyle w:val="15"/>
        <w:spacing w:line="360" w:lineRule="auto"/>
        <w:jc w:val="center"/>
        <w:sectPr>
          <w:footerReference r:id="rId8" w:type="first"/>
          <w:footerReference r:id="rId7" w:type="default"/>
          <w:pgSz w:w="11906" w:h="16838"/>
          <w:pgMar w:top="1701" w:right="1418" w:bottom="1134" w:left="1418" w:header="851" w:footer="992" w:gutter="0"/>
          <w:pgNumType w:fmt="numberInDash" w:start="1"/>
          <w:cols w:space="720" w:num="1"/>
          <w:titlePg/>
          <w:docGrid w:type="lines" w:linePitch="312" w:charSpace="0"/>
        </w:sectPr>
      </w:pPr>
    </w:p>
    <w:p w14:paraId="3D820EEC">
      <w:pPr>
        <w:pStyle w:val="71"/>
      </w:pPr>
      <w:bookmarkStart w:id="0" w:name="_Toc47976595"/>
      <w:bookmarkStart w:id="1" w:name="_Toc7753"/>
      <w:r>
        <w:rPr>
          <w:rFonts w:hint="eastAsia"/>
        </w:rPr>
        <w:t xml:space="preserve">第一部分  </w:t>
      </w:r>
      <w:r>
        <w:rPr>
          <w:rFonts w:hint="eastAsia"/>
          <w:lang w:val="en-US" w:eastAsia="zh-CN"/>
        </w:rPr>
        <w:t>招标公告</w:t>
      </w:r>
      <w:bookmarkEnd w:id="0"/>
      <w:bookmarkEnd w:id="1"/>
    </w:p>
    <w:p w14:paraId="418340FC">
      <w:pPr>
        <w:pStyle w:val="72"/>
        <w:numPr>
          <w:ilvl w:val="0"/>
          <w:numId w:val="10"/>
        </w:numPr>
        <w:ind w:left="420"/>
        <w:jc w:val="left"/>
      </w:pPr>
      <w:bookmarkStart w:id="2" w:name="_Toc47976596"/>
      <w:r>
        <w:rPr>
          <w:rFonts w:hint="eastAsia"/>
        </w:rPr>
        <w:t>项目介绍</w:t>
      </w:r>
      <w:bookmarkEnd w:id="2"/>
    </w:p>
    <w:p w14:paraId="6360E7CD">
      <w:pPr>
        <w:pStyle w:val="76"/>
        <w:numPr>
          <w:ilvl w:val="0"/>
          <w:numId w:val="11"/>
        </w:numPr>
        <w:spacing w:line="240" w:lineRule="auto"/>
        <w:ind w:left="425" w:leftChars="0" w:hanging="425" w:firstLineChars="0"/>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项目名称：中国重汽集团济宁商用车有限公司</w:t>
      </w:r>
      <w:r>
        <w:rPr>
          <w:rFonts w:hint="eastAsia" w:ascii="仿宋_GB2312" w:hAnsi="仿宋_GB2312" w:eastAsia="仿宋_GB2312" w:cs="仿宋_GB2312"/>
          <w:sz w:val="28"/>
          <w:szCs w:val="24"/>
          <w:highlight w:val="none"/>
          <w:lang w:val="en-US" w:eastAsia="zh-CN"/>
        </w:rPr>
        <w:t>硬盘采购</w:t>
      </w:r>
      <w:r>
        <w:rPr>
          <w:rFonts w:hint="eastAsia" w:ascii="仿宋_GB2312" w:hAnsi="仿宋_GB2312" w:eastAsia="仿宋_GB2312" w:cs="仿宋_GB2312"/>
          <w:sz w:val="28"/>
          <w:szCs w:val="24"/>
          <w:highlight w:val="none"/>
        </w:rPr>
        <w:t>项目</w:t>
      </w:r>
    </w:p>
    <w:p w14:paraId="31AD4FC3">
      <w:pPr>
        <w:pStyle w:val="76"/>
        <w:numPr>
          <w:ilvl w:val="0"/>
          <w:numId w:val="11"/>
        </w:numPr>
        <w:spacing w:line="240" w:lineRule="auto"/>
        <w:ind w:left="425" w:leftChars="0" w:hanging="425" w:firstLineChars="0"/>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项目编号：ZBGL2026090057</w:t>
      </w:r>
    </w:p>
    <w:p w14:paraId="5C6CF568">
      <w:pPr>
        <w:pStyle w:val="76"/>
        <w:numPr>
          <w:ilvl w:val="0"/>
          <w:numId w:val="11"/>
        </w:numPr>
        <w:spacing w:line="240" w:lineRule="auto"/>
        <w:ind w:left="425" w:leftChars="0" w:hanging="425" w:firstLineChars="0"/>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招标形式：</w:t>
      </w:r>
      <w:bookmarkStart w:id="3" w:name="_Toc47112482"/>
      <w:r>
        <w:rPr>
          <w:rFonts w:hint="eastAsia" w:ascii="仿宋_GB2312" w:hAnsi="仿宋_GB2312" w:eastAsia="仿宋_GB2312" w:cs="仿宋_GB2312"/>
          <w:sz w:val="28"/>
          <w:szCs w:val="24"/>
          <w:highlight w:val="none"/>
          <w:lang w:val="en-US" w:eastAsia="zh-CN"/>
        </w:rPr>
        <w:t>公开招标</w:t>
      </w:r>
    </w:p>
    <w:p w14:paraId="742B3A80">
      <w:pPr>
        <w:pStyle w:val="76"/>
        <w:numPr>
          <w:ilvl w:val="0"/>
          <w:numId w:val="11"/>
        </w:numPr>
        <w:spacing w:line="240" w:lineRule="auto"/>
        <w:ind w:left="425" w:leftChars="0" w:hanging="425" w:firstLineChars="0"/>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lang w:val="en-US" w:eastAsia="zh-CN"/>
        </w:rPr>
        <w:t>项目建设地点：</w:t>
      </w:r>
      <w:r>
        <w:rPr>
          <w:rFonts w:hint="eastAsia" w:ascii="仿宋_GB2312" w:hAnsi="仿宋_GB2312" w:eastAsia="仿宋_GB2312" w:cs="仿宋_GB2312"/>
          <w:sz w:val="28"/>
          <w:szCs w:val="24"/>
          <w:highlight w:val="none"/>
        </w:rPr>
        <w:t>中国重汽集团济宁商用车有限公司</w:t>
      </w:r>
    </w:p>
    <w:p w14:paraId="79BA8A7C">
      <w:pPr>
        <w:pStyle w:val="76"/>
        <w:numPr>
          <w:ilvl w:val="0"/>
          <w:numId w:val="11"/>
        </w:numPr>
        <w:spacing w:line="240" w:lineRule="auto"/>
        <w:ind w:left="425" w:leftChars="0" w:hanging="425" w:firstLineChars="0"/>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招标内容：详见第二部分服务内容与技术要求</w:t>
      </w:r>
    </w:p>
    <w:tbl>
      <w:tblPr>
        <w:tblStyle w:val="32"/>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973"/>
        <w:gridCol w:w="931"/>
        <w:gridCol w:w="923"/>
        <w:gridCol w:w="849"/>
        <w:gridCol w:w="849"/>
        <w:gridCol w:w="1272"/>
        <w:gridCol w:w="1273"/>
      </w:tblGrid>
      <w:tr w14:paraId="1AA4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689" w:type="dxa"/>
            <w:shd w:val="clear" w:color="auto" w:fill="D7D7D7" w:themeFill="background1" w:themeFillShade="D8"/>
            <w:vAlign w:val="center"/>
          </w:tcPr>
          <w:p w14:paraId="5F99203E">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序号</w:t>
            </w:r>
          </w:p>
        </w:tc>
        <w:tc>
          <w:tcPr>
            <w:tcW w:w="1973" w:type="dxa"/>
            <w:shd w:val="clear" w:color="auto" w:fill="D7D7D7" w:themeFill="background1" w:themeFillShade="D8"/>
            <w:vAlign w:val="center"/>
          </w:tcPr>
          <w:p w14:paraId="1B003A04">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项目名称</w:t>
            </w:r>
          </w:p>
        </w:tc>
        <w:tc>
          <w:tcPr>
            <w:tcW w:w="931" w:type="dxa"/>
            <w:shd w:val="clear" w:color="auto" w:fill="D7D7D7" w:themeFill="background1" w:themeFillShade="D8"/>
            <w:vAlign w:val="center"/>
          </w:tcPr>
          <w:p w14:paraId="6347CEE1">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数量</w:t>
            </w:r>
          </w:p>
        </w:tc>
        <w:tc>
          <w:tcPr>
            <w:tcW w:w="923" w:type="dxa"/>
            <w:shd w:val="clear" w:color="auto" w:fill="D7D7D7" w:themeFill="background1" w:themeFillShade="D8"/>
            <w:vAlign w:val="center"/>
          </w:tcPr>
          <w:p w14:paraId="24D3A822">
            <w:pPr>
              <w:pStyle w:val="11"/>
              <w:jc w:val="center"/>
              <w:rPr>
                <w:rFonts w:hint="eastAsia" w:ascii="黑体" w:hAnsi="黑体" w:eastAsia="黑体" w:cs="黑体"/>
                <w:sz w:val="21"/>
                <w:szCs w:val="21"/>
                <w:vertAlign w:val="baseline"/>
              </w:rPr>
            </w:pPr>
            <w:r>
              <w:rPr>
                <w:rFonts w:hint="eastAsia" w:ascii="黑体" w:hAnsi="黑体" w:eastAsia="黑体" w:cs="黑体"/>
                <w:b/>
                <w:bCs/>
                <w:i w:val="0"/>
                <w:iCs w:val="0"/>
                <w:color w:val="000000"/>
                <w:kern w:val="0"/>
                <w:sz w:val="21"/>
                <w:szCs w:val="21"/>
                <w:u w:val="none"/>
                <w:lang w:val="en-US" w:eastAsia="zh-CN" w:bidi="ar"/>
              </w:rPr>
              <w:t>计量单位</w:t>
            </w:r>
          </w:p>
        </w:tc>
        <w:tc>
          <w:tcPr>
            <w:tcW w:w="849" w:type="dxa"/>
            <w:shd w:val="clear" w:color="auto" w:fill="D7D7D7" w:themeFill="background1" w:themeFillShade="D8"/>
            <w:vAlign w:val="center"/>
          </w:tcPr>
          <w:p w14:paraId="03DBE28A">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未税单价（元）</w:t>
            </w:r>
          </w:p>
        </w:tc>
        <w:tc>
          <w:tcPr>
            <w:tcW w:w="849" w:type="dxa"/>
            <w:shd w:val="clear" w:color="auto" w:fill="D7D7D7" w:themeFill="background1" w:themeFillShade="D8"/>
            <w:vAlign w:val="center"/>
          </w:tcPr>
          <w:p w14:paraId="731DC8FC">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未税总价（元）</w:t>
            </w:r>
          </w:p>
        </w:tc>
        <w:tc>
          <w:tcPr>
            <w:tcW w:w="1272" w:type="dxa"/>
            <w:shd w:val="clear" w:color="auto" w:fill="D7D7D7" w:themeFill="background1" w:themeFillShade="D8"/>
            <w:vAlign w:val="center"/>
          </w:tcPr>
          <w:p w14:paraId="5D11D42E">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含税单价（元.13%）</w:t>
            </w:r>
          </w:p>
        </w:tc>
        <w:tc>
          <w:tcPr>
            <w:tcW w:w="1273" w:type="dxa"/>
            <w:shd w:val="clear" w:color="auto" w:fill="D7D7D7" w:themeFill="background1" w:themeFillShade="D8"/>
            <w:vAlign w:val="center"/>
          </w:tcPr>
          <w:p w14:paraId="4DE678AD">
            <w:pPr>
              <w:pStyle w:val="11"/>
              <w:jc w:val="center"/>
              <w:rPr>
                <w:rFonts w:hint="eastAsia" w:ascii="黑体" w:hAnsi="黑体" w:eastAsia="黑体" w:cs="黑体"/>
                <w:b/>
                <w:bCs/>
                <w:i w:val="0"/>
                <w:iCs w:val="0"/>
                <w:color w:val="000000"/>
                <w:kern w:val="0"/>
                <w:sz w:val="21"/>
                <w:szCs w:val="21"/>
                <w:u w:val="none"/>
                <w:lang w:val="en-US" w:eastAsia="zh-CN" w:bidi="ar"/>
              </w:rPr>
            </w:pPr>
            <w:r>
              <w:rPr>
                <w:rFonts w:hint="eastAsia" w:ascii="黑体" w:hAnsi="黑体" w:eastAsia="黑体" w:cs="黑体"/>
                <w:b/>
                <w:bCs/>
                <w:i w:val="0"/>
                <w:iCs w:val="0"/>
                <w:color w:val="000000"/>
                <w:kern w:val="0"/>
                <w:sz w:val="21"/>
                <w:szCs w:val="21"/>
                <w:u w:val="none"/>
                <w:lang w:val="en-US" w:eastAsia="zh-CN" w:bidi="ar"/>
              </w:rPr>
              <w:t>含税总价（元.13%）</w:t>
            </w:r>
          </w:p>
        </w:tc>
      </w:tr>
      <w:tr w14:paraId="1BE4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89" w:type="dxa"/>
            <w:vAlign w:val="center"/>
          </w:tcPr>
          <w:p w14:paraId="1CD7A818">
            <w:pPr>
              <w:pStyle w:val="11"/>
              <w:jc w:val="center"/>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1</w:t>
            </w:r>
          </w:p>
        </w:tc>
        <w:tc>
          <w:tcPr>
            <w:tcW w:w="1973" w:type="dxa"/>
            <w:vAlign w:val="center"/>
          </w:tcPr>
          <w:p w14:paraId="502D4909">
            <w:pPr>
              <w:pStyle w:val="11"/>
              <w:jc w:val="center"/>
              <w:rPr>
                <w:rFonts w:hint="eastAsia" w:ascii="黑体" w:hAnsi="黑体" w:eastAsia="黑体" w:cs="黑体"/>
                <w:sz w:val="21"/>
                <w:szCs w:val="21"/>
                <w:vertAlign w:val="baseline"/>
              </w:rPr>
            </w:pPr>
            <w:r>
              <w:rPr>
                <w:rFonts w:hint="eastAsia" w:ascii="黑体" w:hAnsi="黑体" w:eastAsia="黑体" w:cs="黑体"/>
                <w:sz w:val="21"/>
                <w:szCs w:val="21"/>
                <w:vertAlign w:val="baseline"/>
              </w:rPr>
              <w:t>12T</w:t>
            </w:r>
            <w:r>
              <w:rPr>
                <w:rFonts w:hint="eastAsia" w:ascii="黑体" w:hAnsi="黑体" w:eastAsia="黑体" w:cs="黑体"/>
                <w:sz w:val="21"/>
                <w:szCs w:val="21"/>
                <w:vertAlign w:val="baseline"/>
                <w:lang w:val="en-US" w:eastAsia="zh-CN"/>
              </w:rPr>
              <w:t>B</w:t>
            </w:r>
            <w:r>
              <w:rPr>
                <w:rFonts w:hint="eastAsia" w:ascii="黑体" w:hAnsi="黑体" w:eastAsia="黑体" w:cs="黑体"/>
                <w:sz w:val="21"/>
                <w:szCs w:val="21"/>
                <w:vertAlign w:val="baseline"/>
              </w:rPr>
              <w:t>企业级专用硬盘</w:t>
            </w:r>
          </w:p>
        </w:tc>
        <w:tc>
          <w:tcPr>
            <w:tcW w:w="931" w:type="dxa"/>
            <w:vAlign w:val="center"/>
          </w:tcPr>
          <w:p w14:paraId="5F067440">
            <w:pPr>
              <w:pStyle w:val="11"/>
              <w:jc w:val="center"/>
              <w:rPr>
                <w:rFonts w:hint="default" w:ascii="黑体" w:hAnsi="黑体" w:eastAsia="黑体" w:cs="黑体"/>
                <w:sz w:val="21"/>
                <w:szCs w:val="21"/>
                <w:vertAlign w:val="baseline"/>
                <w:lang w:val="en-US" w:eastAsia="zh-CN"/>
              </w:rPr>
            </w:pPr>
            <w:r>
              <w:rPr>
                <w:rFonts w:hint="eastAsia" w:ascii="黑体" w:hAnsi="黑体" w:eastAsia="黑体" w:cs="黑体"/>
                <w:sz w:val="21"/>
                <w:szCs w:val="21"/>
                <w:lang w:val="en-US" w:eastAsia="zh-CN"/>
              </w:rPr>
              <w:t>33</w:t>
            </w:r>
          </w:p>
        </w:tc>
        <w:tc>
          <w:tcPr>
            <w:tcW w:w="923" w:type="dxa"/>
            <w:vAlign w:val="center"/>
          </w:tcPr>
          <w:p w14:paraId="5FE1A3B8">
            <w:pPr>
              <w:pStyle w:val="11"/>
              <w:jc w:val="center"/>
              <w:rPr>
                <w:rFonts w:hint="eastAsia" w:ascii="黑体" w:hAnsi="黑体" w:eastAsia="黑体" w:cs="黑体"/>
                <w:sz w:val="21"/>
                <w:szCs w:val="21"/>
                <w:vertAlign w:val="baseline"/>
                <w:lang w:eastAsia="zh-CN"/>
              </w:rPr>
            </w:pPr>
            <w:r>
              <w:rPr>
                <w:rFonts w:hint="eastAsia" w:ascii="黑体" w:hAnsi="黑体" w:eastAsia="黑体" w:cs="黑体"/>
                <w:sz w:val="21"/>
                <w:szCs w:val="21"/>
                <w:lang w:val="en-US" w:eastAsia="zh-CN"/>
              </w:rPr>
              <w:t>块</w:t>
            </w:r>
          </w:p>
        </w:tc>
        <w:tc>
          <w:tcPr>
            <w:tcW w:w="849" w:type="dxa"/>
            <w:vAlign w:val="center"/>
          </w:tcPr>
          <w:p w14:paraId="0254615E">
            <w:pPr>
              <w:pStyle w:val="11"/>
              <w:jc w:val="center"/>
              <w:rPr>
                <w:rFonts w:hint="eastAsia" w:ascii="黑体" w:hAnsi="黑体" w:eastAsia="黑体" w:cs="黑体"/>
                <w:sz w:val="21"/>
                <w:szCs w:val="21"/>
                <w:vertAlign w:val="baseline"/>
              </w:rPr>
            </w:pPr>
          </w:p>
        </w:tc>
        <w:tc>
          <w:tcPr>
            <w:tcW w:w="849" w:type="dxa"/>
            <w:vAlign w:val="center"/>
          </w:tcPr>
          <w:p w14:paraId="5D1E8CA7">
            <w:pPr>
              <w:pStyle w:val="11"/>
              <w:jc w:val="center"/>
              <w:rPr>
                <w:rFonts w:hint="eastAsia" w:ascii="黑体" w:hAnsi="黑体" w:eastAsia="黑体" w:cs="黑体"/>
                <w:sz w:val="21"/>
                <w:szCs w:val="21"/>
                <w:vertAlign w:val="baseline"/>
              </w:rPr>
            </w:pPr>
          </w:p>
        </w:tc>
        <w:tc>
          <w:tcPr>
            <w:tcW w:w="1272" w:type="dxa"/>
            <w:vAlign w:val="center"/>
          </w:tcPr>
          <w:p w14:paraId="18FDCD08">
            <w:pPr>
              <w:pStyle w:val="11"/>
              <w:jc w:val="center"/>
              <w:rPr>
                <w:rFonts w:hint="eastAsia" w:ascii="黑体" w:hAnsi="黑体" w:eastAsia="黑体" w:cs="黑体"/>
                <w:sz w:val="21"/>
                <w:szCs w:val="21"/>
                <w:vertAlign w:val="baseline"/>
              </w:rPr>
            </w:pPr>
          </w:p>
        </w:tc>
        <w:tc>
          <w:tcPr>
            <w:tcW w:w="1273" w:type="dxa"/>
            <w:vAlign w:val="center"/>
          </w:tcPr>
          <w:p w14:paraId="39EEF493">
            <w:pPr>
              <w:pStyle w:val="11"/>
              <w:jc w:val="center"/>
              <w:rPr>
                <w:rFonts w:hint="eastAsia" w:ascii="黑体" w:hAnsi="黑体" w:eastAsia="黑体" w:cs="黑体"/>
                <w:sz w:val="21"/>
                <w:szCs w:val="21"/>
                <w:vertAlign w:val="baseline"/>
              </w:rPr>
            </w:pPr>
          </w:p>
        </w:tc>
      </w:tr>
    </w:tbl>
    <w:p w14:paraId="1E0B9DCB">
      <w:pPr>
        <w:pStyle w:val="76"/>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（1）投标方提供报价清单，包括投标报价汇总表、投标报价明细表。（见第三部分附件）</w:t>
      </w:r>
    </w:p>
    <w:p w14:paraId="12C335B0">
      <w:pPr>
        <w:pStyle w:val="76"/>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（2）中标方负责设备的采购、运输、验收、调试等直至满足招标方各项要求并交付使用。</w:t>
      </w:r>
    </w:p>
    <w:p w14:paraId="54087F80">
      <w:pPr>
        <w:pStyle w:val="76"/>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（3）项目交付期：合同签订之日起10个日历日之内完成设备到货，15个日历日之内完成安装调试。</w:t>
      </w:r>
    </w:p>
    <w:p w14:paraId="1F628FA7">
      <w:pPr>
        <w:pStyle w:val="76"/>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（4）付款方式：银行承兑汇票。</w:t>
      </w:r>
    </w:p>
    <w:p w14:paraId="10BC6F77">
      <w:pPr>
        <w:pStyle w:val="76"/>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val="0"/>
          <w:bCs w:val="0"/>
          <w:color w:val="auto"/>
          <w:sz w:val="28"/>
          <w:szCs w:val="24"/>
          <w:lang w:val="en-US" w:eastAsia="zh-CN"/>
        </w:rPr>
      </w:pPr>
      <w:r>
        <w:rPr>
          <w:rFonts w:hint="eastAsia" w:ascii="仿宋_GB2312" w:hAnsi="仿宋_GB2312" w:eastAsia="仿宋_GB2312" w:cs="仿宋_GB2312"/>
          <w:sz w:val="28"/>
          <w:szCs w:val="24"/>
          <w:lang w:val="en-US" w:eastAsia="zh-CN"/>
        </w:rPr>
        <w:t>报价：</w:t>
      </w:r>
      <w:r>
        <w:rPr>
          <w:rFonts w:hint="eastAsia" w:ascii="仿宋_GB2312" w:hAnsi="仿宋_GB2312" w:eastAsia="仿宋_GB2312" w:cs="仿宋_GB2312"/>
          <w:b w:val="0"/>
          <w:bCs w:val="0"/>
          <w:color w:val="auto"/>
          <w:sz w:val="28"/>
          <w:szCs w:val="24"/>
          <w:lang w:val="en-US" w:eastAsia="zh-CN"/>
        </w:rPr>
        <w:t>项目所有报价均以人民币填报，投标人应分别报出</w:t>
      </w:r>
      <w:r>
        <w:rPr>
          <w:rFonts w:hint="eastAsia" w:ascii="仿宋_GB2312" w:hAnsi="仿宋_GB2312" w:eastAsia="仿宋_GB2312" w:cs="仿宋_GB2312"/>
          <w:b/>
          <w:bCs/>
          <w:color w:val="FF0000"/>
          <w:sz w:val="28"/>
          <w:szCs w:val="24"/>
          <w:lang w:val="en-US" w:eastAsia="zh-CN"/>
        </w:rPr>
        <w:t>不含税金额、税率和价税合计金额</w:t>
      </w:r>
      <w:r>
        <w:rPr>
          <w:rFonts w:hint="eastAsia" w:ascii="仿宋_GB2312" w:hAnsi="仿宋_GB2312" w:eastAsia="仿宋_GB2312" w:cs="仿宋_GB2312"/>
          <w:b w:val="0"/>
          <w:bCs w:val="0"/>
          <w:color w:val="auto"/>
          <w:sz w:val="28"/>
          <w:szCs w:val="24"/>
          <w:lang w:val="en-US" w:eastAsia="zh-CN"/>
        </w:rPr>
        <w:t>；</w:t>
      </w:r>
    </w:p>
    <w:p w14:paraId="2A2F2260">
      <w:pPr>
        <w:pStyle w:val="76"/>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highlight w:val="none"/>
          <w:lang w:val="en-US" w:eastAsia="zh-CN"/>
        </w:rPr>
        <w:t>招标人信息：</w:t>
      </w:r>
    </w:p>
    <w:p w14:paraId="7DD6045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kern w:val="2"/>
          <w:sz w:val="28"/>
          <w:szCs w:val="24"/>
          <w:highlight w:val="none"/>
          <w:lang w:val="en-US" w:eastAsia="zh-CN" w:bidi="ar-SA"/>
        </w:rPr>
      </w:pPr>
      <w:r>
        <w:rPr>
          <w:rFonts w:hint="eastAsia" w:ascii="仿宋_GB2312" w:hAnsi="仿宋_GB2312" w:eastAsia="仿宋_GB2312" w:cs="仿宋_GB2312"/>
          <w:kern w:val="2"/>
          <w:sz w:val="28"/>
          <w:szCs w:val="24"/>
          <w:highlight w:val="none"/>
          <w:lang w:val="en-US" w:eastAsia="zh-CN" w:bidi="ar-SA"/>
        </w:rPr>
        <w:t>招标人名称：中国重汽集团济宁商用车有限公司</w:t>
      </w:r>
    </w:p>
    <w:p w14:paraId="4842B46D">
      <w:pPr>
        <w:pStyle w:val="111"/>
        <w:keepNext/>
        <w:keepLines/>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b w:val="0"/>
          <w:kern w:val="2"/>
          <w:sz w:val="28"/>
          <w:szCs w:val="24"/>
          <w:highlight w:val="none"/>
          <w:lang w:val="en-US" w:eastAsia="zh-CN" w:bidi="ar-SA"/>
        </w:rPr>
      </w:pPr>
      <w:r>
        <w:rPr>
          <w:rFonts w:hint="eastAsia" w:ascii="仿宋_GB2312" w:hAnsi="仿宋_GB2312" w:eastAsia="仿宋_GB2312" w:cs="仿宋_GB2312"/>
          <w:b w:val="0"/>
          <w:kern w:val="2"/>
          <w:sz w:val="28"/>
          <w:szCs w:val="24"/>
          <w:highlight w:val="none"/>
          <w:lang w:val="en-US" w:eastAsia="zh-CN" w:bidi="ar-SA"/>
        </w:rPr>
        <w:t>报名及投标事宜联系人：瞿堂</w:t>
      </w:r>
    </w:p>
    <w:p w14:paraId="71154E1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kern w:val="2"/>
          <w:sz w:val="28"/>
          <w:szCs w:val="24"/>
          <w:highlight w:val="none"/>
          <w:lang w:val="en-US" w:eastAsia="zh-CN" w:bidi="ar-SA"/>
        </w:rPr>
      </w:pPr>
      <w:r>
        <w:rPr>
          <w:rFonts w:hint="eastAsia" w:ascii="仿宋_GB2312" w:hAnsi="仿宋_GB2312" w:eastAsia="仿宋_GB2312" w:cs="仿宋_GB2312"/>
          <w:kern w:val="2"/>
          <w:sz w:val="28"/>
          <w:szCs w:val="24"/>
          <w:highlight w:val="none"/>
          <w:lang w:val="en-US" w:eastAsia="zh-CN" w:bidi="ar-SA"/>
        </w:rPr>
        <w:t>电话：17854153196；邮箱：17854118967@163.com</w:t>
      </w:r>
    </w:p>
    <w:p w14:paraId="514F6622">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b w:val="0"/>
          <w:bCs w:val="0"/>
          <w:kern w:val="2"/>
          <w:sz w:val="28"/>
          <w:szCs w:val="24"/>
          <w:highlight w:val="none"/>
          <w:lang w:val="en-US" w:eastAsia="zh-CN" w:bidi="ar-SA"/>
        </w:rPr>
      </w:pPr>
      <w:r>
        <w:rPr>
          <w:rFonts w:hint="eastAsia" w:ascii="仿宋_GB2312" w:hAnsi="仿宋_GB2312" w:eastAsia="仿宋_GB2312" w:cs="仿宋_GB2312"/>
          <w:b w:val="0"/>
          <w:bCs w:val="0"/>
          <w:kern w:val="2"/>
          <w:sz w:val="28"/>
          <w:szCs w:val="24"/>
          <w:highlight w:val="none"/>
          <w:lang w:val="en-US" w:eastAsia="zh-CN" w:bidi="ar-SA"/>
        </w:rPr>
        <w:t>项目技术事宜联系人：张颖</w:t>
      </w:r>
    </w:p>
    <w:p w14:paraId="7EC88E2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kern w:val="2"/>
          <w:sz w:val="28"/>
          <w:szCs w:val="24"/>
          <w:highlight w:val="none"/>
          <w:lang w:val="en-US" w:eastAsia="zh-CN" w:bidi="ar-SA"/>
        </w:rPr>
        <w:t>电话：15653787686</w:t>
      </w:r>
    </w:p>
    <w:bookmarkEnd w:id="3"/>
    <w:p w14:paraId="50DC6C75">
      <w:pPr>
        <w:pStyle w:val="72"/>
      </w:pPr>
      <w:bookmarkStart w:id="4" w:name="_Toc47976598"/>
      <w:r>
        <w:rPr>
          <w:rFonts w:hint="eastAsia"/>
        </w:rPr>
        <w:t>合格的投标人</w:t>
      </w:r>
      <w:bookmarkEnd w:id="4"/>
    </w:p>
    <w:p w14:paraId="3C8DE851">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投标人须遵守《中华人民共和国招标投标法》</w:t>
      </w:r>
      <w:r>
        <w:rPr>
          <w:rFonts w:hint="eastAsia" w:ascii="仿宋_GB2312" w:hAnsi="仿宋_GB2312" w:eastAsia="仿宋_GB2312" w:cs="仿宋_GB2312"/>
          <w:b w:val="0"/>
          <w:bCs/>
          <w:strike w:val="0"/>
          <w:dstrike w:val="0"/>
          <w:sz w:val="28"/>
          <w:szCs w:val="24"/>
          <w:highlight w:val="none"/>
          <w:lang w:eastAsia="zh-CN"/>
        </w:rPr>
        <w:t>及其他有关</w:t>
      </w:r>
      <w:r>
        <w:rPr>
          <w:rFonts w:hint="eastAsia" w:ascii="仿宋_GB2312" w:hAnsi="仿宋_GB2312" w:eastAsia="仿宋_GB2312" w:cs="仿宋_GB2312"/>
          <w:b w:val="0"/>
          <w:bCs/>
          <w:strike w:val="0"/>
          <w:dstrike w:val="0"/>
          <w:sz w:val="28"/>
          <w:szCs w:val="24"/>
          <w:highlight w:val="none"/>
        </w:rPr>
        <w:t>的法律和法规；为中华人民共和国境内注册的独立法人机构，具有独立承担民事责任能力；</w:t>
      </w:r>
    </w:p>
    <w:p w14:paraId="3A0297C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lang w:eastAsia="zh-CN"/>
        </w:rPr>
        <w:t>投标</w:t>
      </w:r>
      <w:r>
        <w:rPr>
          <w:rFonts w:hint="eastAsia" w:ascii="仿宋_GB2312" w:hAnsi="仿宋_GB2312" w:eastAsia="仿宋_GB2312" w:cs="仿宋_GB2312"/>
          <w:b w:val="0"/>
          <w:bCs/>
          <w:strike w:val="0"/>
          <w:dstrike w:val="0"/>
          <w:sz w:val="28"/>
          <w:szCs w:val="24"/>
          <w:highlight w:val="none"/>
        </w:rPr>
        <w:t>人注册资金不少于</w:t>
      </w:r>
      <w:r>
        <w:rPr>
          <w:rFonts w:hint="eastAsia" w:ascii="仿宋_GB2312" w:hAnsi="仿宋_GB2312" w:eastAsia="仿宋_GB2312" w:cs="仿宋_GB2312"/>
          <w:b w:val="0"/>
          <w:bCs/>
          <w:strike w:val="0"/>
          <w:dstrike w:val="0"/>
          <w:sz w:val="28"/>
          <w:szCs w:val="24"/>
          <w:highlight w:val="none"/>
          <w:u w:val="single"/>
          <w:lang w:val="en-US" w:eastAsia="zh-CN"/>
        </w:rPr>
        <w:t xml:space="preserve"> 100万元</w:t>
      </w:r>
      <w:r>
        <w:rPr>
          <w:rFonts w:hint="eastAsia" w:ascii="仿宋_GB2312" w:hAnsi="仿宋_GB2312" w:eastAsia="仿宋_GB2312" w:cs="仿宋_GB2312"/>
          <w:b w:val="0"/>
          <w:bCs/>
          <w:strike w:val="0"/>
          <w:dstrike w:val="0"/>
          <w:sz w:val="28"/>
          <w:szCs w:val="24"/>
          <w:highlight w:val="none"/>
        </w:rPr>
        <w:t>人民币；公司成立</w:t>
      </w:r>
      <w:r>
        <w:rPr>
          <w:rFonts w:hint="eastAsia" w:ascii="仿宋_GB2312" w:hAnsi="仿宋_GB2312" w:eastAsia="仿宋_GB2312" w:cs="仿宋_GB2312"/>
          <w:b w:val="0"/>
          <w:bCs/>
          <w:strike w:val="0"/>
          <w:dstrike w:val="0"/>
          <w:sz w:val="28"/>
          <w:szCs w:val="24"/>
          <w:highlight w:val="none"/>
          <w:u w:val="single"/>
          <w:lang w:val="en-US" w:eastAsia="zh-CN"/>
        </w:rPr>
        <w:t xml:space="preserve"> 三 </w:t>
      </w:r>
      <w:r>
        <w:rPr>
          <w:rFonts w:hint="eastAsia" w:ascii="仿宋_GB2312" w:hAnsi="仿宋_GB2312" w:eastAsia="仿宋_GB2312" w:cs="仿宋_GB2312"/>
          <w:b w:val="0"/>
          <w:bCs/>
          <w:strike w:val="0"/>
          <w:dstrike w:val="0"/>
          <w:sz w:val="28"/>
          <w:szCs w:val="24"/>
          <w:highlight w:val="none"/>
        </w:rPr>
        <w:t>年以上（以营业执照成立日期到开标当日满</w:t>
      </w:r>
      <w:r>
        <w:rPr>
          <w:rFonts w:hint="eastAsia" w:ascii="仿宋_GB2312" w:hAnsi="仿宋_GB2312" w:eastAsia="仿宋_GB2312" w:cs="仿宋_GB2312"/>
          <w:b w:val="0"/>
          <w:bCs/>
          <w:strike w:val="0"/>
          <w:dstrike w:val="0"/>
          <w:sz w:val="28"/>
          <w:szCs w:val="24"/>
          <w:highlight w:val="none"/>
          <w:lang w:val="en-US" w:eastAsia="zh-CN"/>
        </w:rPr>
        <w:t>三</w:t>
      </w:r>
      <w:r>
        <w:rPr>
          <w:rFonts w:hint="eastAsia" w:ascii="仿宋_GB2312" w:hAnsi="仿宋_GB2312" w:eastAsia="仿宋_GB2312" w:cs="仿宋_GB2312"/>
          <w:b w:val="0"/>
          <w:bCs/>
          <w:strike w:val="0"/>
          <w:dstrike w:val="0"/>
          <w:sz w:val="28"/>
          <w:szCs w:val="24"/>
          <w:highlight w:val="none"/>
        </w:rPr>
        <w:t>年为准），且经营范围满足招标人</w:t>
      </w:r>
      <w:r>
        <w:rPr>
          <w:rFonts w:hint="eastAsia" w:ascii="仿宋_GB2312" w:hAnsi="仿宋_GB2312" w:eastAsia="仿宋_GB2312" w:cs="仿宋_GB2312"/>
          <w:b w:val="0"/>
          <w:bCs/>
          <w:strike w:val="0"/>
          <w:dstrike w:val="0"/>
          <w:sz w:val="28"/>
          <w:szCs w:val="24"/>
          <w:highlight w:val="none"/>
          <w:lang w:val="en-US" w:eastAsia="zh-CN"/>
        </w:rPr>
        <w:t>本项目</w:t>
      </w:r>
      <w:r>
        <w:rPr>
          <w:rFonts w:hint="eastAsia" w:ascii="仿宋_GB2312" w:hAnsi="仿宋_GB2312" w:eastAsia="仿宋_GB2312" w:cs="仿宋_GB2312"/>
          <w:b w:val="0"/>
          <w:bCs/>
          <w:strike w:val="0"/>
          <w:dstrike w:val="0"/>
          <w:sz w:val="28"/>
          <w:szCs w:val="24"/>
          <w:highlight w:val="none"/>
        </w:rPr>
        <w:t>需求；并在人员、设备、资金等方面具有承担本项目的能力；</w:t>
      </w:r>
    </w:p>
    <w:p w14:paraId="2B164D82">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投标人在“信用中国”中未列入联合惩戒失信人名单，</w:t>
      </w:r>
      <w:r>
        <w:rPr>
          <w:rFonts w:hint="eastAsia" w:ascii="仿宋_GB2312" w:hAnsi="仿宋_GB2312" w:eastAsia="仿宋_GB2312" w:cs="仿宋_GB2312"/>
          <w:b w:val="0"/>
          <w:bCs/>
          <w:strike w:val="0"/>
          <w:dstrike w:val="0"/>
          <w:sz w:val="28"/>
          <w:szCs w:val="24"/>
          <w:highlight w:val="none"/>
          <w:lang w:eastAsia="zh-CN"/>
        </w:rPr>
        <w:t>且在</w:t>
      </w:r>
      <w:r>
        <w:rPr>
          <w:rFonts w:hint="eastAsia" w:ascii="仿宋_GB2312" w:hAnsi="仿宋_GB2312" w:eastAsia="仿宋_GB2312" w:cs="仿宋_GB2312"/>
          <w:b w:val="0"/>
          <w:bCs/>
          <w:strike w:val="0"/>
          <w:dstrike w:val="0"/>
          <w:sz w:val="28"/>
          <w:szCs w:val="24"/>
          <w:highlight w:val="none"/>
        </w:rPr>
        <w:t>工商行政管理局的《国家企业信用信息公示系统》中查询不存在不良记录；</w:t>
      </w:r>
    </w:p>
    <w:p w14:paraId="7850D9F4">
      <w:pPr>
        <w:pStyle w:val="73"/>
        <w:numPr>
          <w:ilvl w:val="0"/>
          <w:numId w:val="12"/>
        </w:numPr>
        <w:ind w:left="0" w:firstLine="0"/>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trike w:val="0"/>
          <w:dstrike w:val="0"/>
          <w:sz w:val="28"/>
          <w:szCs w:val="24"/>
          <w:highlight w:val="none"/>
        </w:rPr>
        <w:t>无招标违规、谎报年度报告信息、提供虚假资质资料等行为或其他行政处罚记录；</w:t>
      </w:r>
    </w:p>
    <w:p w14:paraId="0124C8EA">
      <w:pPr>
        <w:pStyle w:val="73"/>
        <w:numPr>
          <w:ilvl w:val="0"/>
          <w:numId w:val="12"/>
        </w:numPr>
        <w:ind w:left="0" w:firstLine="0"/>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z w:val="28"/>
          <w:szCs w:val="24"/>
        </w:rPr>
        <w:t>近三年内在经营活动中无与本项目有关的违法及重大违规情况</w:t>
      </w:r>
      <w:r>
        <w:rPr>
          <w:rFonts w:hint="eastAsia" w:ascii="仿宋_GB2312" w:hAnsi="仿宋_GB2312" w:eastAsia="仿宋_GB2312" w:cs="仿宋_GB2312"/>
          <w:b w:val="0"/>
          <w:bCs/>
          <w:sz w:val="28"/>
          <w:szCs w:val="24"/>
          <w:lang w:eastAsia="zh-CN"/>
        </w:rPr>
        <w:t>；</w:t>
      </w:r>
    </w:p>
    <w:p w14:paraId="7F71A33C">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投标人没有被列入招标人处《黑名单》（《黑名单》指投标人与招标人在以往或正在进行的合作中，存在招标人认为的违反合同约定或违反法律法规等的失信行为）的；</w:t>
      </w:r>
    </w:p>
    <w:p w14:paraId="46FDC1F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投标人须具有履行招标文件所有设备、专业技术等要求的能力；</w:t>
      </w:r>
    </w:p>
    <w:p w14:paraId="10068469">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投标人须有依法缴纳税收和社会保障资金的良好记录；</w:t>
      </w:r>
    </w:p>
    <w:p w14:paraId="651270A8">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具有本次招标货物的供货、售后服务等的相应资质；</w:t>
      </w:r>
    </w:p>
    <w:p w14:paraId="274E20B1">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投标人须负责提供合理的便于运输的包装物，并承担相关费用</w:t>
      </w:r>
      <w:r>
        <w:rPr>
          <w:rFonts w:hint="eastAsia" w:ascii="仿宋_GB2312" w:hAnsi="仿宋_GB2312" w:eastAsia="仿宋_GB2312" w:cs="仿宋_GB2312"/>
          <w:b w:val="0"/>
          <w:bCs/>
          <w:strike w:val="0"/>
          <w:dstrike w:val="0"/>
          <w:sz w:val="28"/>
          <w:szCs w:val="24"/>
          <w:highlight w:val="none"/>
          <w:lang w:eastAsia="zh-CN"/>
        </w:rPr>
        <w:t>；</w:t>
      </w:r>
    </w:p>
    <w:p w14:paraId="7B48E8FC">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投标人须认可招标人的工作指令，包括节、假日能正常开展工作的要求。</w:t>
      </w:r>
    </w:p>
    <w:p w14:paraId="316F538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lang w:val="en-US" w:eastAsia="zh-CN"/>
        </w:rPr>
        <w:t>拟投标人的直接或间接股东、法定代表人、董事、监事、高管非重汽员工及其亲属；</w:t>
      </w:r>
    </w:p>
    <w:p w14:paraId="371EFEB6">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投标人必须是最终投标、签订合同的单位，不得以任何理由将已中标项目以任何形式转包或者分包给其他单位</w:t>
      </w:r>
      <w:r>
        <w:rPr>
          <w:rFonts w:hint="eastAsia" w:ascii="仿宋_GB2312" w:hAnsi="仿宋_GB2312" w:eastAsia="仿宋_GB2312" w:cs="仿宋_GB2312"/>
          <w:b w:val="0"/>
          <w:bCs/>
          <w:strike w:val="0"/>
          <w:dstrike w:val="0"/>
          <w:sz w:val="28"/>
          <w:szCs w:val="24"/>
          <w:highlight w:val="none"/>
          <w:lang w:eastAsia="zh-CN"/>
        </w:rPr>
        <w:t>；</w:t>
      </w:r>
    </w:p>
    <w:p w14:paraId="3B1E6D00">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color w:val="FF0000"/>
          <w:sz w:val="28"/>
          <w:szCs w:val="24"/>
          <w:highlight w:val="none"/>
        </w:rPr>
      </w:pPr>
      <w:r>
        <w:rPr>
          <w:rFonts w:hint="eastAsia" w:ascii="仿宋_GB2312" w:hAnsi="仿宋_GB2312" w:eastAsia="仿宋_GB2312" w:cs="仿宋_GB2312"/>
          <w:b w:val="0"/>
          <w:bCs/>
          <w:strike w:val="0"/>
          <w:dstrike w:val="0"/>
          <w:sz w:val="28"/>
          <w:szCs w:val="24"/>
          <w:highlight w:val="none"/>
        </w:rPr>
        <w:t>本次招标项目</w:t>
      </w:r>
      <w:r>
        <w:rPr>
          <w:rFonts w:hint="eastAsia" w:ascii="仿宋_GB2312" w:hAnsi="仿宋_GB2312" w:eastAsia="仿宋_GB2312" w:cs="仿宋_GB2312"/>
          <w:b w:val="0"/>
          <w:bCs/>
          <w:strike w:val="0"/>
          <w:dstrike w:val="0"/>
          <w:sz w:val="28"/>
          <w:szCs w:val="24"/>
          <w:highlight w:val="none"/>
          <w:u w:val="none"/>
        </w:rPr>
        <w:t>不接受</w:t>
      </w:r>
      <w:r>
        <w:rPr>
          <w:rFonts w:hint="eastAsia" w:ascii="仿宋_GB2312" w:hAnsi="仿宋_GB2312" w:eastAsia="仿宋_GB2312" w:cs="仿宋_GB2312"/>
          <w:b w:val="0"/>
          <w:bCs/>
          <w:strike w:val="0"/>
          <w:dstrike w:val="0"/>
          <w:sz w:val="28"/>
          <w:szCs w:val="24"/>
          <w:highlight w:val="none"/>
        </w:rPr>
        <w:t>联合体投标</w:t>
      </w:r>
      <w:r>
        <w:rPr>
          <w:rFonts w:hint="eastAsia" w:ascii="仿宋_GB2312" w:hAnsi="仿宋_GB2312" w:eastAsia="仿宋_GB2312" w:cs="仿宋_GB2312"/>
          <w:b w:val="0"/>
          <w:bCs/>
          <w:strike w:val="0"/>
          <w:dstrike w:val="0"/>
          <w:sz w:val="28"/>
          <w:szCs w:val="24"/>
          <w:highlight w:val="none"/>
          <w:lang w:eastAsia="zh-CN"/>
        </w:rPr>
        <w:t>；</w:t>
      </w:r>
    </w:p>
    <w:p w14:paraId="3339A7C9">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trike w:val="0"/>
          <w:dstrike w:val="0"/>
          <w:sz w:val="28"/>
          <w:szCs w:val="24"/>
          <w:highlight w:val="none"/>
        </w:rPr>
      </w:pPr>
      <w:r>
        <w:rPr>
          <w:rFonts w:hint="eastAsia" w:ascii="仿宋_GB2312" w:hAnsi="仿宋_GB2312" w:eastAsia="仿宋_GB2312" w:cs="仿宋_GB2312"/>
          <w:b w:val="0"/>
          <w:bCs/>
          <w:strike w:val="0"/>
          <w:dstrike w:val="0"/>
          <w:sz w:val="28"/>
          <w:szCs w:val="24"/>
          <w:highlight w:val="none"/>
        </w:rPr>
        <w:t>法律、行政法规规定的其他条件</w:t>
      </w:r>
      <w:r>
        <w:rPr>
          <w:rFonts w:hint="eastAsia" w:ascii="仿宋_GB2312" w:hAnsi="仿宋_GB2312" w:eastAsia="仿宋_GB2312" w:cs="仿宋_GB2312"/>
          <w:b w:val="0"/>
          <w:bCs/>
          <w:strike w:val="0"/>
          <w:dstrike w:val="0"/>
          <w:sz w:val="28"/>
          <w:szCs w:val="24"/>
          <w:highlight w:val="none"/>
          <w:lang w:eastAsia="zh-CN"/>
        </w:rPr>
        <w:t>。</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3"/>
        </w:numPr>
        <w:ind w:left="425" w:leftChars="0" w:hanging="425" w:firstLineChars="0"/>
        <w:jc w:val="both"/>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项目公告时间：2026年9月8日</w:t>
      </w:r>
    </w:p>
    <w:p w14:paraId="44BC705F">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2.投标报名</w:t>
      </w:r>
    </w:p>
    <w:p w14:paraId="22D0959D">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应标截止时间：</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9</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14</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single"/>
          <w:lang w:val="en-US" w:eastAsia="zh-CN"/>
        </w:rPr>
        <w:t>17:00:00（北京时间）；</w:t>
      </w:r>
    </w:p>
    <w:p w14:paraId="30D267C1">
      <w:pPr>
        <w:pStyle w:val="76"/>
        <w:keepNext w:val="0"/>
        <w:keepLines w:val="0"/>
        <w:pageBreakBefore w:val="0"/>
        <w:widowControl w:val="0"/>
        <w:numPr>
          <w:ilvl w:val="1"/>
          <w:numId w:val="14"/>
        </w:numPr>
        <w:kinsoku/>
        <w:wordWrap/>
        <w:overflowPunct/>
        <w:topLinePunct w:val="0"/>
        <w:autoSpaceDE/>
        <w:autoSpaceDN/>
        <w:bidi w:val="0"/>
        <w:adjustRightInd/>
        <w:snapToGrid/>
        <w:spacing w:line="440" w:lineRule="exact"/>
        <w:ind w:left="0" w:leftChars="0" w:firstLine="420" w:firstLineChars="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报名方式</w:t>
      </w:r>
      <w:r>
        <w:rPr>
          <w:rFonts w:hint="eastAsia" w:ascii="仿宋_GB2312" w:hAnsi="仿宋_GB2312" w:eastAsia="仿宋_GB2312" w:cs="仿宋_GB2312"/>
          <w:b w:val="0"/>
          <w:bCs w:val="0"/>
          <w:sz w:val="28"/>
          <w:szCs w:val="28"/>
          <w:highlight w:val="none"/>
          <w:lang w:val="en-US" w:eastAsia="zh-CN"/>
        </w:rPr>
        <w:t>：</w:t>
      </w:r>
      <w:r>
        <w:rPr>
          <w:rFonts w:hint="eastAsia" w:ascii="仿宋_GB2312" w:hAnsi="仿宋_GB2312" w:eastAsia="仿宋_GB2312" w:cs="仿宋_GB2312"/>
          <w:b w:val="0"/>
          <w:bCs w:val="0"/>
          <w:sz w:val="28"/>
          <w:szCs w:val="28"/>
          <w:highlight w:val="none"/>
        </w:rPr>
        <w:t>拟投标人根据招标人在中国重汽官网</w:t>
      </w:r>
      <w:r>
        <w:rPr>
          <w:rFonts w:hint="eastAsia" w:ascii="仿宋_GB2312" w:hAnsi="仿宋_GB2312" w:eastAsia="仿宋_GB2312" w:cs="仿宋_GB2312"/>
          <w:b w:val="0"/>
          <w:bCs w:val="0"/>
          <w:sz w:val="28"/>
          <w:szCs w:val="28"/>
          <w:highlight w:val="none"/>
          <w:lang w:val="en-US" w:eastAsia="zh-CN"/>
        </w:rPr>
        <w:t>公开媒体</w:t>
      </w:r>
      <w:r>
        <w:rPr>
          <w:rFonts w:hint="eastAsia" w:ascii="仿宋_GB2312" w:hAnsi="仿宋_GB2312" w:eastAsia="仿宋_GB2312" w:cs="仿宋_GB2312"/>
          <w:b w:val="0"/>
          <w:bCs w:val="0"/>
          <w:sz w:val="28"/>
          <w:szCs w:val="28"/>
          <w:highlight w:val="none"/>
        </w:rPr>
        <w:t>上发布的招标信息，</w:t>
      </w:r>
      <w:r>
        <w:rPr>
          <w:rFonts w:hint="eastAsia" w:ascii="仿宋_GB2312" w:hAnsi="仿宋_GB2312" w:eastAsia="仿宋_GB2312" w:cs="仿宋_GB2312"/>
          <w:b w:val="0"/>
          <w:bCs w:val="0"/>
          <w:color w:val="000000"/>
          <w:sz w:val="28"/>
          <w:szCs w:val="28"/>
          <w:highlight w:val="none"/>
          <w:lang w:val="en-US" w:eastAsia="zh-CN"/>
        </w:rPr>
        <w:t>在“中国重汽e采通”平台</w:t>
      </w:r>
      <w:r>
        <w:rPr>
          <w:rFonts w:hint="eastAsia" w:ascii="仿宋_GB2312" w:hAnsi="仿宋_GB2312" w:eastAsia="仿宋_GB2312" w:cs="仿宋_GB2312"/>
          <w:b w:val="0"/>
          <w:bCs w:val="0"/>
          <w:color w:val="000000"/>
          <w:sz w:val="28"/>
          <w:szCs w:val="28"/>
          <w:highlight w:val="none"/>
        </w:rPr>
        <w:t>报名</w:t>
      </w:r>
      <w:r>
        <w:rPr>
          <w:rFonts w:hint="eastAsia" w:ascii="仿宋_GB2312" w:hAnsi="仿宋_GB2312" w:eastAsia="仿宋_GB2312" w:cs="仿宋_GB2312"/>
          <w:b w:val="0"/>
          <w:bCs w:val="0"/>
          <w:sz w:val="28"/>
          <w:szCs w:val="28"/>
          <w:highlight w:val="none"/>
        </w:rPr>
        <w:t>。按照中国重汽e采通“SRM非生产供应商注册手册”（</w:t>
      </w:r>
      <w:r>
        <w:rPr>
          <w:rFonts w:hint="eastAsia" w:ascii="仿宋_GB2312" w:hAnsi="仿宋_GB2312" w:eastAsia="仿宋_GB2312" w:cs="仿宋_GB2312"/>
          <w:b w:val="0"/>
          <w:bCs w:val="0"/>
          <w:sz w:val="28"/>
          <w:szCs w:val="28"/>
          <w:highlight w:val="none"/>
          <w:lang w:val="en-US" w:eastAsia="zh-CN"/>
        </w:rPr>
        <w:t>见</w:t>
      </w:r>
      <w:r>
        <w:rPr>
          <w:rFonts w:hint="eastAsia" w:ascii="仿宋_GB2312" w:hAnsi="仿宋_GB2312" w:eastAsia="仿宋_GB2312" w:cs="仿宋_GB2312"/>
          <w:b w:val="0"/>
          <w:bCs w:val="0"/>
          <w:sz w:val="28"/>
          <w:szCs w:val="28"/>
          <w:highlight w:val="none"/>
        </w:rPr>
        <w:t>附件</w:t>
      </w:r>
      <w:r>
        <w:rPr>
          <w:rFonts w:hint="eastAsia" w:ascii="仿宋_GB2312" w:hAnsi="仿宋_GB2312" w:eastAsia="仿宋_GB2312" w:cs="仿宋_GB2312"/>
          <w:b w:val="0"/>
          <w:bCs w:val="0"/>
          <w:sz w:val="28"/>
          <w:szCs w:val="28"/>
          <w:highlight w:val="none"/>
          <w:lang w:val="en-US" w:eastAsia="zh-CN"/>
        </w:rPr>
        <w:t>8</w:t>
      </w:r>
      <w:r>
        <w:rPr>
          <w:rFonts w:hint="eastAsia" w:ascii="仿宋_GB2312" w:hAnsi="仿宋_GB2312" w:eastAsia="仿宋_GB2312" w:cs="仿宋_GB2312"/>
          <w:b w:val="0"/>
          <w:bCs w:val="0"/>
          <w:sz w:val="28"/>
          <w:szCs w:val="28"/>
          <w:highlight w:val="none"/>
        </w:rPr>
        <w:t>）进行注册，</w:t>
      </w:r>
      <w:r>
        <w:rPr>
          <w:rFonts w:hint="eastAsia" w:ascii="仿宋_GB2312" w:hAnsi="仿宋_GB2312" w:eastAsia="仿宋_GB2312" w:cs="仿宋_GB2312"/>
          <w:b w:val="0"/>
          <w:bCs w:val="0"/>
          <w:color w:val="000000"/>
          <w:sz w:val="28"/>
          <w:szCs w:val="28"/>
          <w:highlight w:val="none"/>
          <w:lang w:val="en-US" w:eastAsia="zh-CN"/>
        </w:rPr>
        <w:t>注册完毕后按照“SRM系统供应商用户手册（见附件9）”，登录重汽e采通平台后进入“供应商应标”，选择对应的项目，点击“应标”后</w:t>
      </w:r>
      <w:r>
        <w:rPr>
          <w:rFonts w:hint="eastAsia" w:ascii="仿宋_GB2312" w:hAnsi="仿宋_GB2312" w:eastAsia="仿宋_GB2312" w:cs="仿宋_GB2312"/>
          <w:b w:val="0"/>
          <w:bCs w:val="0"/>
          <w:color w:val="000000"/>
          <w:sz w:val="28"/>
          <w:szCs w:val="28"/>
          <w:highlight w:val="none"/>
        </w:rPr>
        <w:t>按</w:t>
      </w:r>
      <w:r>
        <w:rPr>
          <w:rFonts w:hint="eastAsia" w:ascii="仿宋_GB2312" w:hAnsi="仿宋_GB2312" w:eastAsia="仿宋_GB2312" w:cs="仿宋_GB2312"/>
          <w:b w:val="0"/>
          <w:bCs w:val="0"/>
          <w:color w:val="000000"/>
          <w:sz w:val="28"/>
          <w:szCs w:val="28"/>
          <w:highlight w:val="none"/>
          <w:lang w:val="en-US" w:eastAsia="zh-CN"/>
        </w:rPr>
        <w:t>本部分第四项“投标文件编制”第</w:t>
      </w:r>
      <w:r>
        <w:rPr>
          <w:rFonts w:hint="eastAsia" w:ascii="仿宋_GB2312" w:hAnsi="仿宋_GB2312" w:eastAsia="仿宋_GB2312" w:cs="仿宋_GB2312"/>
          <w:b w:val="0"/>
          <w:bCs w:val="0"/>
          <w:color w:val="auto"/>
          <w:sz w:val="28"/>
          <w:szCs w:val="28"/>
          <w:highlight w:val="none"/>
          <w:lang w:val="en-US" w:eastAsia="zh-CN"/>
        </w:rPr>
        <w:t>1项资质文件（1）-（13）准备</w:t>
      </w:r>
      <w:r>
        <w:rPr>
          <w:rFonts w:hint="eastAsia" w:ascii="仿宋_GB2312" w:hAnsi="仿宋_GB2312" w:eastAsia="仿宋_GB2312" w:cs="仿宋_GB2312"/>
          <w:b w:val="0"/>
          <w:bCs w:val="0"/>
          <w:color w:val="000000"/>
          <w:sz w:val="28"/>
          <w:szCs w:val="28"/>
          <w:highlight w:val="none"/>
          <w:lang w:val="en-US" w:eastAsia="zh-CN"/>
        </w:rPr>
        <w:t>资料并上传，资质审查通过即为报名成功</w:t>
      </w:r>
      <w:r>
        <w:rPr>
          <w:rFonts w:hint="eastAsia" w:ascii="仿宋_GB2312" w:hAnsi="仿宋_GB2312" w:eastAsia="仿宋_GB2312" w:cs="仿宋_GB2312"/>
          <w:b w:val="0"/>
          <w:bCs w:val="0"/>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rPr>
        <w:t>公示期间请尽快报名</w:t>
      </w:r>
      <w:r>
        <w:rPr>
          <w:rFonts w:hint="eastAsia" w:ascii="仿宋_GB2312" w:hAnsi="仿宋_GB2312" w:eastAsia="仿宋_GB2312" w:cs="仿宋_GB2312"/>
          <w:b w:val="0"/>
          <w:bCs w:val="0"/>
          <w:sz w:val="28"/>
          <w:szCs w:val="28"/>
          <w:highlight w:val="none"/>
        </w:rPr>
        <w:t>。</w:t>
      </w:r>
    </w:p>
    <w:p w14:paraId="447D8BC7">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rPr>
        <w:t>注：请务必在应标截止时间前完成注册及应标操作，</w:t>
      </w:r>
      <w:r>
        <w:rPr>
          <w:rFonts w:hint="eastAsia" w:ascii="仿宋_GB2312" w:hAnsi="仿宋_GB2312" w:eastAsia="仿宋_GB2312" w:cs="仿宋_GB2312"/>
          <w:b w:val="0"/>
          <w:bCs w:val="0"/>
          <w:sz w:val="28"/>
          <w:szCs w:val="28"/>
          <w:highlight w:val="none"/>
          <w:lang w:val="en-US" w:eastAsia="zh-CN"/>
        </w:rPr>
        <w:t>其中</w:t>
      </w:r>
      <w:r>
        <w:rPr>
          <w:rFonts w:hint="eastAsia" w:ascii="仿宋_GB2312" w:hAnsi="仿宋_GB2312" w:eastAsia="仿宋_GB2312" w:cs="仿宋_GB2312"/>
          <w:b w:val="0"/>
          <w:bCs w:val="0"/>
          <w:sz w:val="28"/>
          <w:szCs w:val="28"/>
          <w:highlight w:val="none"/>
        </w:rPr>
        <w:t>注册审核需2-4日，应标截止时间精确到秒，逾期将无法应标。请自行掌握时间，避免无法应标。</w:t>
      </w:r>
    </w:p>
    <w:p w14:paraId="2C8A7A75">
      <w:pPr>
        <w:pStyle w:val="76"/>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outlineLvl w:val="2"/>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3.招标文件获取</w:t>
      </w:r>
    </w:p>
    <w:p w14:paraId="03DE9C64">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获取时间：e采通系统报名成功后；</w:t>
      </w:r>
    </w:p>
    <w:p w14:paraId="2E9312AD">
      <w:pPr>
        <w:pStyle w:val="76"/>
        <w:keepNext w:val="0"/>
        <w:keepLines w:val="0"/>
        <w:pageBreakBefore w:val="0"/>
        <w:widowControl w:val="0"/>
        <w:numPr>
          <w:ilvl w:val="1"/>
          <w:numId w:val="15"/>
        </w:numPr>
        <w:kinsoku/>
        <w:wordWrap/>
        <w:overflowPunct/>
        <w:topLinePunct w:val="0"/>
        <w:autoSpaceDE/>
        <w:autoSpaceDN/>
        <w:bidi w:val="0"/>
        <w:adjustRightInd/>
        <w:snapToGrid/>
        <w:spacing w:line="440" w:lineRule="exact"/>
        <w:ind w:left="0" w:leftChars="0" w:firstLine="420" w:firstLineChars="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获取方式：报名成功后，可登录“中国重汽e采通”平台，在“供应商投标”模块下载招标文件。</w:t>
      </w:r>
    </w:p>
    <w:p w14:paraId="62084E4B">
      <w:pPr>
        <w:pStyle w:val="76"/>
        <w:numPr>
          <w:ilvl w:val="0"/>
          <w:numId w:val="0"/>
        </w:numPr>
        <w:ind w:leftChars="0"/>
        <w:jc w:val="both"/>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4.答疑时间：2026年9月19日前</w:t>
      </w:r>
    </w:p>
    <w:p w14:paraId="02CC10A6">
      <w:pPr>
        <w:pStyle w:val="7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sz w:val="28"/>
          <w:szCs w:val="28"/>
          <w:highlight w:val="none"/>
          <w:lang w:val="en-US" w:eastAsia="zh-CN"/>
        </w:rPr>
        <w:t>（1）提交疑问方式：将答疑问题以word文件格式发送至联系人邮件内，并电话联系工作人员查收，</w:t>
      </w:r>
      <w:r>
        <w:rPr>
          <w:rFonts w:hint="eastAsia" w:ascii="仿宋_GB2312" w:hAnsi="仿宋_GB2312" w:eastAsia="仿宋_GB2312" w:cs="仿宋_GB2312"/>
          <w:b/>
          <w:bCs/>
          <w:sz w:val="28"/>
          <w:szCs w:val="28"/>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（2）领取答疑、澄清和修改文件时间：2026年9月19日前：</w:t>
      </w:r>
    </w:p>
    <w:p w14:paraId="7AB51490">
      <w:pPr>
        <w:pStyle w:val="7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（3）答疑、澄清和修改文件方式：招标人将以电子邮件的方式将招标文件的答疑澄清文件发送至答疑文件提交时登记的电子邮箱。</w:t>
      </w:r>
    </w:p>
    <w:p w14:paraId="0C785EC5">
      <w:pPr>
        <w:pStyle w:val="72"/>
        <w:rPr>
          <w:rFonts w:hint="eastAsia" w:ascii="宋体" w:hAnsi="Courier New" w:eastAsia="宋体" w:cs="Times New Roman"/>
          <w:color w:val="auto"/>
          <w:highlight w:val="none"/>
          <w:lang w:val="en-US" w:eastAsia="zh-CN"/>
        </w:rPr>
      </w:pPr>
      <w:r>
        <w:rPr>
          <w:rFonts w:hint="eastAsia" w:hAnsi="Courier New" w:cs="Times New Roman"/>
          <w:color w:val="auto"/>
          <w:highlight w:val="none"/>
        </w:rPr>
        <w:t>投标文件</w:t>
      </w:r>
      <w:r>
        <w:rPr>
          <w:rFonts w:hint="eastAsia" w:cs="Times New Roman"/>
          <w:color w:val="auto"/>
          <w:highlight w:val="none"/>
          <w:lang w:val="en-US" w:eastAsia="zh-CN"/>
        </w:rPr>
        <w:t>编制</w:t>
      </w:r>
    </w:p>
    <w:p w14:paraId="59493963">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sz w:val="28"/>
          <w:szCs w:val="28"/>
        </w:rPr>
      </w:pPr>
      <w:r>
        <w:rPr>
          <w:rFonts w:hint="eastAsia" w:ascii="仿宋_GB2312" w:hAnsi="仿宋_GB2312" w:eastAsia="仿宋_GB2312" w:cs="仿宋_GB2312"/>
          <w:b w:val="0"/>
          <w:sz w:val="28"/>
          <w:szCs w:val="28"/>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投标人编写的投标文件由《投标文件（资质标）》《投标文件（技术标）》《投标文件（商务标）》（开标一览表）文件组成，三部分分别单独封装，每部分</w:t>
      </w:r>
      <w:r>
        <w:rPr>
          <w:rFonts w:hint="eastAsia" w:ascii="仿宋_GB2312" w:hAnsi="仿宋_GB2312" w:eastAsia="仿宋_GB2312" w:cs="仿宋_GB2312"/>
          <w:b w:val="0"/>
          <w:bCs/>
          <w:sz w:val="28"/>
          <w:szCs w:val="28"/>
          <w:highlight w:val="none"/>
          <w:u w:val="single"/>
          <w:lang w:val="en-US" w:eastAsia="zh-CN"/>
        </w:rPr>
        <w:t>一正二副，</w:t>
      </w:r>
      <w:r>
        <w:rPr>
          <w:rFonts w:hint="eastAsia" w:ascii="仿宋_GB2312" w:hAnsi="仿宋_GB2312" w:eastAsia="仿宋_GB2312" w:cs="仿宋_GB2312"/>
          <w:b w:val="0"/>
          <w:bCs/>
          <w:sz w:val="28"/>
          <w:szCs w:val="28"/>
          <w:highlight w:val="none"/>
          <w:u w:val="none"/>
          <w:lang w:val="en-US" w:eastAsia="zh-CN"/>
        </w:rPr>
        <w:t>开标一览表另单独封存一份</w:t>
      </w:r>
      <w:r>
        <w:rPr>
          <w:rFonts w:hint="eastAsia" w:ascii="仿宋_GB2312" w:hAnsi="仿宋_GB2312" w:eastAsia="仿宋_GB2312" w:cs="仿宋_GB2312"/>
          <w:b w:val="0"/>
          <w:bCs/>
          <w:sz w:val="28"/>
          <w:szCs w:val="28"/>
          <w:highlight w:val="none"/>
          <w:lang w:val="en-US" w:eastAsia="zh-CN"/>
        </w:rPr>
        <w:t>。</w:t>
      </w:r>
    </w:p>
    <w:p w14:paraId="2DD7BA97">
      <w:pPr>
        <w:pStyle w:val="74"/>
        <w:numPr>
          <w:ilvl w:val="0"/>
          <w:numId w:val="17"/>
        </w:numPr>
        <w:ind w:left="425" w:leftChars="0" w:hanging="425" w:firstLineChars="0"/>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z w:val="28"/>
          <w:szCs w:val="28"/>
          <w:highlight w:val="none"/>
        </w:rPr>
        <w:t>资质文件：</w:t>
      </w:r>
    </w:p>
    <w:p w14:paraId="7183FF50">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投标函（格式见附件</w:t>
      </w:r>
      <w:r>
        <w:rPr>
          <w:rFonts w:hint="eastAsia" w:ascii="仿宋_GB2312" w:hAnsi="仿宋_GB2312" w:eastAsia="仿宋_GB2312" w:cs="仿宋_GB2312"/>
          <w:b w:val="0"/>
          <w:bCs/>
          <w:sz w:val="28"/>
          <w:szCs w:val="28"/>
          <w:highlight w:val="none"/>
          <w:lang w:val="en-US" w:eastAsia="zh-CN"/>
        </w:rPr>
        <w:t>1</w:t>
      </w:r>
      <w:r>
        <w:rPr>
          <w:rFonts w:hint="eastAsia" w:ascii="仿宋_GB2312" w:hAnsi="仿宋_GB2312" w:eastAsia="仿宋_GB2312" w:cs="仿宋_GB2312"/>
          <w:b w:val="0"/>
          <w:bCs/>
          <w:sz w:val="28"/>
          <w:szCs w:val="28"/>
          <w:highlight w:val="none"/>
        </w:rPr>
        <w:t>）</w:t>
      </w:r>
    </w:p>
    <w:p w14:paraId="13BAC003">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法定代表人身份证明</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lang w:val="en-US" w:eastAsia="zh-CN"/>
        </w:rPr>
        <w:t>格式见附件2</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rPr>
        <w:t>；</w:t>
      </w:r>
    </w:p>
    <w:p w14:paraId="4DBDF119">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法定代表人授权委托书（授权人需带身份证原件）</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lang w:val="en-US" w:eastAsia="zh-CN"/>
        </w:rPr>
        <w:t>格式见附件3</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rPr>
        <w:t>；</w:t>
      </w:r>
    </w:p>
    <w:p w14:paraId="73FE5F95">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营业执照副本原件</w:t>
      </w:r>
      <w:r>
        <w:rPr>
          <w:rFonts w:hint="eastAsia" w:ascii="仿宋_GB2312" w:hAnsi="仿宋_GB2312" w:eastAsia="仿宋_GB2312" w:cs="仿宋_GB2312"/>
          <w:b w:val="0"/>
          <w:bCs/>
          <w:sz w:val="28"/>
          <w:szCs w:val="28"/>
          <w:highlight w:val="none"/>
          <w:lang w:val="en-US" w:eastAsia="zh-CN"/>
        </w:rPr>
        <w:t>或复印件并加盖公章</w:t>
      </w:r>
      <w:r>
        <w:rPr>
          <w:rFonts w:hint="eastAsia" w:ascii="仿宋_GB2312" w:hAnsi="仿宋_GB2312" w:eastAsia="仿宋_GB2312" w:cs="仿宋_GB2312"/>
          <w:b w:val="0"/>
          <w:bCs/>
          <w:sz w:val="28"/>
          <w:szCs w:val="28"/>
          <w:highlight w:val="none"/>
        </w:rPr>
        <w:t>；</w:t>
      </w:r>
    </w:p>
    <w:p w14:paraId="440F9E5B">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投标人</w:t>
      </w:r>
      <w:r>
        <w:rPr>
          <w:rFonts w:hint="eastAsia" w:ascii="仿宋_GB2312" w:hAnsi="仿宋_GB2312" w:eastAsia="仿宋_GB2312" w:cs="仿宋_GB2312"/>
          <w:b w:val="0"/>
          <w:bCs/>
          <w:sz w:val="28"/>
          <w:szCs w:val="28"/>
          <w:highlight w:val="none"/>
          <w:lang w:val="en-US" w:eastAsia="zh-CN"/>
        </w:rPr>
        <w:t>提供</w:t>
      </w:r>
      <w:r>
        <w:rPr>
          <w:rFonts w:hint="eastAsia" w:ascii="仿宋_GB2312" w:hAnsi="仿宋_GB2312" w:eastAsia="仿宋_GB2312" w:cs="仿宋_GB2312"/>
          <w:b w:val="0"/>
          <w:bCs/>
          <w:sz w:val="28"/>
          <w:szCs w:val="28"/>
          <w:highlight w:val="none"/>
        </w:rPr>
        <w:t>相应生产证明；</w:t>
      </w:r>
    </w:p>
    <w:p w14:paraId="6A7B69C9">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sz w:val="28"/>
          <w:szCs w:val="28"/>
          <w:highlight w:val="none"/>
        </w:rPr>
        <w:t>证明投标人满足投标资料表中列出的业</w:t>
      </w:r>
      <w:r>
        <w:rPr>
          <w:rFonts w:hint="eastAsia" w:ascii="仿宋_GB2312" w:hAnsi="仿宋_GB2312" w:eastAsia="仿宋_GB2312" w:cs="仿宋_GB2312"/>
          <w:b w:val="0"/>
          <w:bCs/>
          <w:color w:val="auto"/>
          <w:sz w:val="28"/>
          <w:szCs w:val="28"/>
          <w:highlight w:val="none"/>
        </w:rPr>
        <w:t>绩要求的文件</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提供近三年类似业绩及合同等证明文件</w:t>
      </w:r>
      <w:r>
        <w:rPr>
          <w:rFonts w:hint="eastAsia" w:ascii="仿宋_GB2312" w:hAnsi="仿宋_GB2312" w:eastAsia="仿宋_GB2312" w:cs="仿宋_GB2312"/>
          <w:b w:val="0"/>
          <w:bCs/>
          <w:color w:val="auto"/>
          <w:sz w:val="28"/>
          <w:szCs w:val="28"/>
          <w:highlight w:val="none"/>
          <w:lang w:eastAsia="zh-CN"/>
        </w:rPr>
        <w:t>）；</w:t>
      </w:r>
    </w:p>
    <w:p w14:paraId="2E43C7FD">
      <w:pPr>
        <w:pStyle w:val="75"/>
        <w:keepNext w:val="0"/>
        <w:keepLines w:val="0"/>
        <w:pageBreakBefore w:val="0"/>
        <w:widowControl w:val="0"/>
        <w:numPr>
          <w:ilvl w:val="0"/>
          <w:numId w:val="18"/>
        </w:numPr>
        <w:kinsoku/>
        <w:wordWrap/>
        <w:overflowPunct/>
        <w:topLinePunct w:val="0"/>
        <w:autoSpaceDE/>
        <w:autoSpaceDN/>
        <w:bidi w:val="0"/>
        <w:adjustRightInd/>
        <w:snapToGrid/>
        <w:ind w:left="425" w:leftChars="0" w:hanging="425" w:firstLineChars="0"/>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企业最近半年完税证明、信用证明材料（征信报告）；</w:t>
      </w:r>
    </w:p>
    <w:p w14:paraId="2F1917FF">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年度纳税信用评价信息（可从电子税务局查询截图，需加盖公章）；</w:t>
      </w:r>
    </w:p>
    <w:p w14:paraId="66CC3FFB">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企业对外担保说明（写明贵单位对外有无对外担保和质押业务，需加盖公章）。</w:t>
      </w:r>
    </w:p>
    <w:p w14:paraId="49857420">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信用中国截图或国家企业信用信息公示系统截图；</w:t>
      </w:r>
    </w:p>
    <w:p w14:paraId="112EA997">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lang w:val="en-US" w:eastAsia="zh-CN"/>
        </w:rPr>
        <w:t>投标保证金缴纳凭证；</w:t>
      </w:r>
    </w:p>
    <w:p w14:paraId="08F8AAFD">
      <w:pPr>
        <w:pStyle w:val="75"/>
        <w:numPr>
          <w:ilvl w:val="0"/>
          <w:numId w:val="18"/>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招标文件中要求的</w:t>
      </w:r>
      <w:r>
        <w:rPr>
          <w:rFonts w:hint="eastAsia" w:ascii="仿宋_GB2312" w:hAnsi="仿宋_GB2312" w:eastAsia="仿宋_GB2312" w:cs="仿宋_GB2312"/>
          <w:b w:val="0"/>
          <w:bCs/>
          <w:sz w:val="28"/>
          <w:szCs w:val="28"/>
          <w:highlight w:val="none"/>
          <w:lang w:eastAsia="zh-CN"/>
        </w:rPr>
        <w:t>其他</w:t>
      </w:r>
      <w:r>
        <w:rPr>
          <w:rFonts w:hint="eastAsia" w:ascii="仿宋_GB2312" w:hAnsi="仿宋_GB2312" w:eastAsia="仿宋_GB2312" w:cs="仿宋_GB2312"/>
          <w:b w:val="0"/>
          <w:bCs/>
          <w:sz w:val="28"/>
          <w:szCs w:val="28"/>
          <w:highlight w:val="none"/>
        </w:rPr>
        <w:t>资格证明文件</w:t>
      </w:r>
      <w:r>
        <w:rPr>
          <w:rFonts w:hint="eastAsia" w:ascii="仿宋_GB2312" w:hAnsi="仿宋_GB2312" w:eastAsia="仿宋_GB2312" w:cs="仿宋_GB2312"/>
          <w:b w:val="0"/>
          <w:bCs/>
          <w:sz w:val="28"/>
          <w:szCs w:val="28"/>
          <w:highlight w:val="none"/>
          <w:lang w:val="en-US" w:eastAsia="zh-CN"/>
        </w:rPr>
        <w:t>及投标人认为对其有利的其他文件</w:t>
      </w:r>
      <w:r>
        <w:rPr>
          <w:rFonts w:hint="eastAsia" w:ascii="仿宋_GB2312" w:hAnsi="仿宋_GB2312" w:eastAsia="仿宋_GB2312" w:cs="仿宋_GB2312"/>
          <w:b w:val="0"/>
          <w:bCs/>
          <w:sz w:val="28"/>
          <w:szCs w:val="28"/>
          <w:highlight w:val="none"/>
        </w:rPr>
        <w:t>。</w:t>
      </w:r>
    </w:p>
    <w:p w14:paraId="0FCAA68A">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对于投标人资质审核不通过的，招标人有权拒绝其投标。</w:t>
      </w:r>
    </w:p>
    <w:p w14:paraId="35D922EF">
      <w:pPr>
        <w:pStyle w:val="74"/>
        <w:numPr>
          <w:ilvl w:val="0"/>
          <w:numId w:val="17"/>
        </w:numPr>
        <w:ind w:left="425" w:leftChars="0" w:hanging="425" w:firstLineChars="0"/>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z w:val="28"/>
          <w:szCs w:val="28"/>
          <w:highlight w:val="none"/>
        </w:rPr>
        <w:t>技术标</w:t>
      </w:r>
      <w:r>
        <w:rPr>
          <w:rFonts w:hint="eastAsia" w:ascii="仿宋_GB2312" w:hAnsi="仿宋_GB2312" w:eastAsia="仿宋_GB2312" w:cs="仿宋_GB2312"/>
          <w:b/>
          <w:bCs w:val="0"/>
          <w:sz w:val="28"/>
          <w:szCs w:val="28"/>
          <w:highlight w:val="none"/>
          <w:lang w:val="en-US" w:eastAsia="zh-CN"/>
        </w:rPr>
        <w:t>文件</w:t>
      </w:r>
      <w:r>
        <w:rPr>
          <w:rFonts w:hint="eastAsia" w:ascii="仿宋_GB2312" w:hAnsi="仿宋_GB2312" w:eastAsia="仿宋_GB2312" w:cs="仿宋_GB2312"/>
          <w:b/>
          <w:bCs w:val="0"/>
          <w:sz w:val="28"/>
          <w:szCs w:val="28"/>
          <w:highlight w:val="none"/>
        </w:rPr>
        <w:t>：</w:t>
      </w:r>
    </w:p>
    <w:p w14:paraId="006A9506">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(1)</w:t>
      </w:r>
      <w:r>
        <w:rPr>
          <w:rFonts w:hint="eastAsia" w:ascii="仿宋_GB2312" w:hAnsi="仿宋_GB2312" w:eastAsia="仿宋_GB2312" w:cs="仿宋_GB2312"/>
          <w:b w:val="0"/>
          <w:bCs/>
          <w:sz w:val="28"/>
          <w:szCs w:val="28"/>
          <w:highlight w:val="none"/>
          <w:lang w:val="en-US" w:eastAsia="zh-CN"/>
        </w:rPr>
        <w:t>硬盘品牌要求：本项目所配硬盘须为同一品牌，且仅限于希捷（Seagate）、西部数据（WD）或海康威视（Hikvision）三者之一。投标人须在投标文件中明确标注所选品牌，且所供批次硬盘品牌须完全一致，不接受混合品牌供货。设备到场后，由本项目中标单位负责免费安装与调试，确保系统运行稳定，监控录像存储功能及容量完全满足本项目的使用需求。</w:t>
      </w:r>
    </w:p>
    <w:p w14:paraId="0595C15A">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(2)</w:t>
      </w:r>
      <w:r>
        <w:rPr>
          <w:rFonts w:hint="eastAsia" w:ascii="仿宋_GB2312" w:hAnsi="仿宋_GB2312" w:eastAsia="仿宋_GB2312" w:cs="仿宋_GB2312"/>
          <w:b w:val="0"/>
          <w:bCs/>
          <w:sz w:val="28"/>
          <w:szCs w:val="28"/>
          <w:highlight w:val="none"/>
          <w:lang w:val="en-US" w:eastAsia="zh-CN"/>
        </w:rPr>
        <w:t>提供</w:t>
      </w:r>
      <w:r>
        <w:rPr>
          <w:rFonts w:hint="eastAsia" w:ascii="仿宋_GB2312" w:hAnsi="仿宋_GB2312" w:eastAsia="仿宋_GB2312" w:cs="仿宋_GB2312"/>
          <w:b w:val="0"/>
          <w:bCs/>
          <w:sz w:val="28"/>
          <w:szCs w:val="28"/>
          <w:highlight w:val="none"/>
        </w:rPr>
        <w:t>主要产品的型号、规格、品牌、主要技术指标和性能的详细说明</w:t>
      </w:r>
      <w:r>
        <w:rPr>
          <w:rFonts w:hint="eastAsia" w:ascii="仿宋_GB2312" w:hAnsi="仿宋_GB2312" w:eastAsia="仿宋_GB2312" w:cs="仿宋_GB2312"/>
          <w:b w:val="0"/>
          <w:bCs/>
          <w:sz w:val="28"/>
          <w:szCs w:val="28"/>
          <w:highlight w:val="none"/>
          <w:lang w:eastAsia="zh-CN"/>
        </w:rPr>
        <w:t>；</w:t>
      </w:r>
    </w:p>
    <w:p w14:paraId="28496ED2">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(3)</w:t>
      </w:r>
      <w:r>
        <w:rPr>
          <w:rFonts w:hint="eastAsia" w:ascii="仿宋_GB2312" w:hAnsi="仿宋_GB2312" w:eastAsia="仿宋_GB2312" w:cs="仿宋_GB2312"/>
          <w:b w:val="0"/>
          <w:bCs/>
          <w:sz w:val="28"/>
          <w:szCs w:val="28"/>
          <w:highlight w:val="none"/>
        </w:rPr>
        <w:t>项目实施方案：</w:t>
      </w:r>
      <w:r>
        <w:rPr>
          <w:rFonts w:hint="eastAsia" w:ascii="仿宋_GB2312" w:hAnsi="仿宋_GB2312" w:eastAsia="仿宋_GB2312" w:cs="仿宋_GB2312"/>
          <w:b w:val="0"/>
          <w:bCs/>
          <w:sz w:val="28"/>
          <w:szCs w:val="28"/>
          <w:highlight w:val="none"/>
          <w:lang w:val="en-US" w:eastAsia="zh-CN"/>
        </w:rPr>
        <w:t>能</w:t>
      </w:r>
      <w:r>
        <w:rPr>
          <w:rFonts w:hint="eastAsia" w:ascii="仿宋_GB2312" w:hAnsi="仿宋_GB2312" w:eastAsia="仿宋_GB2312" w:cs="仿宋_GB2312"/>
          <w:b w:val="0"/>
          <w:bCs/>
          <w:sz w:val="28"/>
          <w:szCs w:val="28"/>
          <w:highlight w:val="none"/>
        </w:rPr>
        <w:t>根据招标方需求提供最佳实施方案，符合本项目实施任务实际情况的说明</w:t>
      </w:r>
      <w:r>
        <w:rPr>
          <w:rFonts w:hint="eastAsia" w:ascii="仿宋_GB2312" w:hAnsi="仿宋_GB2312" w:eastAsia="仿宋_GB2312" w:cs="仿宋_GB2312"/>
          <w:b w:val="0"/>
          <w:bCs/>
          <w:sz w:val="28"/>
          <w:szCs w:val="28"/>
          <w:highlight w:val="none"/>
          <w:lang w:eastAsia="zh-CN"/>
        </w:rPr>
        <w:t>；</w:t>
      </w:r>
    </w:p>
    <w:p w14:paraId="22FBBDEA">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(4)</w:t>
      </w:r>
      <w:r>
        <w:rPr>
          <w:rFonts w:hint="eastAsia" w:ascii="仿宋_GB2312" w:hAnsi="仿宋_GB2312" w:eastAsia="仿宋_GB2312" w:cs="仿宋_GB2312"/>
          <w:b w:val="0"/>
          <w:bCs/>
          <w:sz w:val="28"/>
          <w:szCs w:val="28"/>
          <w:highlight w:val="none"/>
          <w:lang w:val="en-US" w:eastAsia="zh-CN"/>
        </w:rPr>
        <w:t>产品质量及保证措施：保证产品质量、性能稳定可靠；</w:t>
      </w:r>
    </w:p>
    <w:p w14:paraId="7662C6D0">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(5)</w:t>
      </w:r>
      <w:r>
        <w:rPr>
          <w:rFonts w:hint="eastAsia" w:ascii="仿宋_GB2312" w:hAnsi="仿宋_GB2312" w:eastAsia="仿宋_GB2312" w:cs="仿宋_GB2312"/>
          <w:b w:val="0"/>
          <w:bCs/>
          <w:sz w:val="28"/>
          <w:szCs w:val="28"/>
          <w:highlight w:val="none"/>
          <w:lang w:val="en-US" w:eastAsia="zh-CN"/>
        </w:rPr>
        <w:t>生产周期：应提供详细的生产计划，有详细的确保满足工期基本要求或能在保证质量的前提下提前完工措施的说明；</w:t>
      </w:r>
    </w:p>
    <w:p w14:paraId="75213106">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(6)</w:t>
      </w:r>
      <w:r>
        <w:rPr>
          <w:rFonts w:hint="eastAsia" w:ascii="仿宋_GB2312" w:hAnsi="仿宋_GB2312" w:eastAsia="仿宋_GB2312" w:cs="仿宋_GB2312"/>
          <w:b w:val="0"/>
          <w:bCs/>
          <w:sz w:val="28"/>
          <w:szCs w:val="28"/>
          <w:highlight w:val="none"/>
        </w:rPr>
        <w:t>质保期及售后服务：质保期是否响应或优于招标文件要求，售后服务措施得当，体系完整等方面的说明</w:t>
      </w:r>
      <w:r>
        <w:rPr>
          <w:rFonts w:hint="eastAsia" w:ascii="仿宋_GB2312" w:hAnsi="仿宋_GB2312" w:eastAsia="仿宋_GB2312" w:cs="仿宋_GB2312"/>
          <w:b w:val="0"/>
          <w:bCs/>
          <w:sz w:val="28"/>
          <w:szCs w:val="28"/>
          <w:highlight w:val="none"/>
          <w:lang w:eastAsia="zh-CN"/>
        </w:rPr>
        <w:t>；</w:t>
      </w:r>
    </w:p>
    <w:p w14:paraId="76C6DC35">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(7)</w:t>
      </w:r>
      <w:r>
        <w:rPr>
          <w:rFonts w:hint="eastAsia" w:ascii="仿宋_GB2312" w:hAnsi="仿宋_GB2312" w:eastAsia="仿宋_GB2312" w:cs="仿宋_GB2312"/>
          <w:b w:val="0"/>
          <w:bCs/>
          <w:sz w:val="28"/>
          <w:szCs w:val="28"/>
          <w:highlight w:val="none"/>
        </w:rPr>
        <w:t>项目主要物料明细表（格式由投标人自定）</w:t>
      </w:r>
      <w:r>
        <w:rPr>
          <w:rFonts w:hint="eastAsia" w:ascii="仿宋_GB2312" w:hAnsi="仿宋_GB2312" w:eastAsia="仿宋_GB2312" w:cs="仿宋_GB2312"/>
          <w:b w:val="0"/>
          <w:bCs/>
          <w:sz w:val="28"/>
          <w:szCs w:val="28"/>
          <w:highlight w:val="none"/>
          <w:lang w:eastAsia="zh-CN"/>
        </w:rPr>
        <w:t>；</w:t>
      </w:r>
    </w:p>
    <w:p w14:paraId="5B885079">
      <w:pPr>
        <w:pStyle w:val="75"/>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sz w:val="28"/>
          <w:szCs w:val="28"/>
          <w:highlight w:val="none"/>
        </w:rPr>
      </w:pPr>
      <w:r>
        <w:rPr>
          <w:rFonts w:hint="default" w:ascii="仿宋_GB2312" w:hAnsi="仿宋_GB2312" w:eastAsia="仿宋_GB2312" w:cs="仿宋_GB2312"/>
          <w:b w:val="0"/>
          <w:bCs/>
          <w:kern w:val="2"/>
          <w:sz w:val="28"/>
          <w:szCs w:val="28"/>
          <w:lang w:val="en-US" w:eastAsia="zh-CN" w:bidi="ar-SA"/>
        </w:rPr>
        <w:t>(8)</w:t>
      </w:r>
      <w:r>
        <w:rPr>
          <w:rFonts w:hint="eastAsia" w:ascii="仿宋_GB2312" w:hAnsi="仿宋_GB2312" w:eastAsia="仿宋_GB2312" w:cs="仿宋_GB2312"/>
          <w:b w:val="0"/>
          <w:bCs/>
          <w:sz w:val="28"/>
          <w:szCs w:val="28"/>
          <w:highlight w:val="none"/>
        </w:rPr>
        <w:t>投标人</w:t>
      </w:r>
      <w:r>
        <w:rPr>
          <w:rFonts w:hint="eastAsia" w:ascii="仿宋_GB2312" w:hAnsi="仿宋_GB2312" w:eastAsia="仿宋_GB2312" w:cs="仿宋_GB2312"/>
          <w:b w:val="0"/>
          <w:bCs/>
          <w:sz w:val="28"/>
          <w:szCs w:val="28"/>
          <w:highlight w:val="none"/>
          <w:lang w:val="en-US" w:eastAsia="zh-CN"/>
        </w:rPr>
        <w:t>认为</w:t>
      </w:r>
      <w:r>
        <w:rPr>
          <w:rFonts w:hint="eastAsia" w:ascii="仿宋_GB2312" w:hAnsi="仿宋_GB2312" w:eastAsia="仿宋_GB2312" w:cs="仿宋_GB2312"/>
          <w:b w:val="0"/>
          <w:bCs/>
          <w:sz w:val="28"/>
          <w:szCs w:val="28"/>
          <w:highlight w:val="none"/>
        </w:rPr>
        <w:t>需提交的</w:t>
      </w:r>
      <w:r>
        <w:rPr>
          <w:rFonts w:hint="eastAsia" w:ascii="仿宋_GB2312" w:hAnsi="仿宋_GB2312" w:eastAsia="仿宋_GB2312" w:cs="仿宋_GB2312"/>
          <w:b w:val="0"/>
          <w:bCs/>
          <w:sz w:val="28"/>
          <w:szCs w:val="28"/>
          <w:highlight w:val="none"/>
          <w:lang w:eastAsia="zh-CN"/>
        </w:rPr>
        <w:t>其他</w:t>
      </w:r>
      <w:r>
        <w:rPr>
          <w:rFonts w:hint="eastAsia" w:ascii="仿宋_GB2312" w:hAnsi="仿宋_GB2312" w:eastAsia="仿宋_GB2312" w:cs="仿宋_GB2312"/>
          <w:b w:val="0"/>
          <w:bCs/>
          <w:sz w:val="28"/>
          <w:szCs w:val="28"/>
          <w:highlight w:val="none"/>
        </w:rPr>
        <w:t>资料</w:t>
      </w:r>
      <w:r>
        <w:rPr>
          <w:rFonts w:hint="eastAsia" w:ascii="仿宋_GB2312" w:hAnsi="仿宋_GB2312" w:eastAsia="仿宋_GB2312" w:cs="仿宋_GB2312"/>
          <w:b w:val="0"/>
          <w:bCs/>
          <w:sz w:val="28"/>
          <w:szCs w:val="28"/>
          <w:highlight w:val="none"/>
          <w:lang w:eastAsia="zh-CN"/>
        </w:rPr>
        <w:t>。</w:t>
      </w:r>
    </w:p>
    <w:p w14:paraId="47175D6D">
      <w:pPr>
        <w:pStyle w:val="74"/>
        <w:numPr>
          <w:ilvl w:val="0"/>
          <w:numId w:val="17"/>
        </w:numPr>
        <w:ind w:left="425" w:leftChars="0" w:hanging="425" w:firstLineChars="0"/>
        <w:rPr>
          <w:rFonts w:hint="eastAsia" w:ascii="仿宋_GB2312" w:hAnsi="仿宋_GB2312" w:eastAsia="仿宋_GB2312" w:cs="仿宋_GB2312"/>
          <w:b/>
          <w:bCs w:val="0"/>
          <w:sz w:val="28"/>
          <w:szCs w:val="28"/>
          <w:highlight w:val="none"/>
        </w:rPr>
      </w:pPr>
      <w:r>
        <w:rPr>
          <w:rFonts w:hint="eastAsia" w:ascii="仿宋_GB2312" w:hAnsi="仿宋_GB2312" w:eastAsia="仿宋_GB2312" w:cs="仿宋_GB2312"/>
          <w:b/>
          <w:bCs w:val="0"/>
          <w:sz w:val="28"/>
          <w:szCs w:val="28"/>
          <w:highlight w:val="none"/>
        </w:rPr>
        <w:t>商务标</w:t>
      </w:r>
      <w:r>
        <w:rPr>
          <w:rFonts w:hint="eastAsia" w:ascii="仿宋_GB2312" w:hAnsi="仿宋_GB2312" w:eastAsia="仿宋_GB2312" w:cs="仿宋_GB2312"/>
          <w:b/>
          <w:bCs w:val="0"/>
          <w:sz w:val="28"/>
          <w:szCs w:val="28"/>
          <w:highlight w:val="none"/>
          <w:lang w:val="en-US" w:eastAsia="zh-CN"/>
        </w:rPr>
        <w:t>文件</w:t>
      </w:r>
      <w:r>
        <w:rPr>
          <w:rFonts w:hint="eastAsia" w:ascii="仿宋_GB2312" w:hAnsi="仿宋_GB2312" w:eastAsia="仿宋_GB2312" w:cs="仿宋_GB2312"/>
          <w:b/>
          <w:bCs w:val="0"/>
          <w:sz w:val="28"/>
          <w:szCs w:val="28"/>
          <w:highlight w:val="none"/>
        </w:rPr>
        <w:t>：</w:t>
      </w:r>
    </w:p>
    <w:p w14:paraId="1FEC8CF2">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lang w:val="en-US" w:eastAsia="zh-CN"/>
        </w:rPr>
        <w:t>开标一览表（格式见附件4，需单独封存一份以备唱标）</w:t>
      </w:r>
    </w:p>
    <w:p w14:paraId="34B6C3F7">
      <w:pPr>
        <w:pStyle w:val="75"/>
        <w:numPr>
          <w:ilvl w:val="0"/>
          <w:numId w:val="20"/>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rPr>
        <w:t>投标报价</w:t>
      </w:r>
      <w:r>
        <w:rPr>
          <w:rFonts w:hint="eastAsia" w:ascii="仿宋_GB2312" w:hAnsi="仿宋_GB2312" w:eastAsia="仿宋_GB2312" w:cs="仿宋_GB2312"/>
          <w:b w:val="0"/>
          <w:bCs/>
          <w:sz w:val="28"/>
          <w:szCs w:val="28"/>
          <w:highlight w:val="none"/>
          <w:lang w:val="en-US" w:eastAsia="zh-CN"/>
        </w:rPr>
        <w:t>明细</w:t>
      </w:r>
      <w:r>
        <w:rPr>
          <w:rFonts w:hint="eastAsia" w:ascii="仿宋_GB2312" w:hAnsi="仿宋_GB2312" w:eastAsia="仿宋_GB2312" w:cs="仿宋_GB2312"/>
          <w:b w:val="0"/>
          <w:bCs/>
          <w:sz w:val="28"/>
          <w:szCs w:val="28"/>
          <w:highlight w:val="none"/>
        </w:rPr>
        <w:t>表</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lang w:val="en-US" w:eastAsia="zh-CN"/>
        </w:rPr>
        <w:t>格式见附件5</w:t>
      </w:r>
      <w:r>
        <w:rPr>
          <w:rFonts w:hint="eastAsia" w:ascii="仿宋_GB2312" w:hAnsi="仿宋_GB2312" w:eastAsia="仿宋_GB2312" w:cs="仿宋_GB2312"/>
          <w:b w:val="0"/>
          <w:bCs/>
          <w:sz w:val="28"/>
          <w:szCs w:val="28"/>
          <w:highlight w:val="none"/>
          <w:lang w:eastAsia="zh-CN"/>
        </w:rPr>
        <w:t>）</w:t>
      </w:r>
    </w:p>
    <w:p w14:paraId="5C36F232">
      <w:pPr>
        <w:pStyle w:val="75"/>
        <w:numPr>
          <w:ilvl w:val="0"/>
          <w:numId w:val="20"/>
        </w:numPr>
        <w:ind w:left="425" w:leftChars="0" w:hanging="425" w:firstLineChars="0"/>
        <w:rPr>
          <w:rFonts w:hint="eastAsia" w:ascii="仿宋_GB2312" w:hAnsi="仿宋_GB2312" w:eastAsia="仿宋_GB2312" w:cs="仿宋_GB2312"/>
          <w:b w:val="0"/>
          <w:bCs/>
          <w:sz w:val="28"/>
          <w:szCs w:val="28"/>
          <w:highlight w:val="none"/>
        </w:rPr>
      </w:pPr>
      <w:r>
        <w:rPr>
          <w:rFonts w:hint="eastAsia" w:ascii="仿宋_GB2312" w:hAnsi="仿宋_GB2312" w:eastAsia="仿宋_GB2312" w:cs="仿宋_GB2312"/>
          <w:b w:val="0"/>
          <w:bCs/>
          <w:sz w:val="28"/>
          <w:szCs w:val="28"/>
          <w:highlight w:val="none"/>
          <w:lang w:val="en-US" w:eastAsia="zh-CN"/>
        </w:rPr>
        <w:t>相关</w:t>
      </w:r>
      <w:r>
        <w:rPr>
          <w:rFonts w:hint="eastAsia" w:ascii="仿宋_GB2312" w:hAnsi="仿宋_GB2312" w:eastAsia="仿宋_GB2312" w:cs="仿宋_GB2312"/>
          <w:b w:val="0"/>
          <w:bCs/>
          <w:sz w:val="28"/>
          <w:szCs w:val="28"/>
          <w:highlight w:val="none"/>
        </w:rPr>
        <w:t>条款偏离表</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lang w:val="en-US" w:eastAsia="zh-CN"/>
        </w:rPr>
        <w:t>格式见附件6</w:t>
      </w:r>
      <w:r>
        <w:rPr>
          <w:rFonts w:hint="eastAsia" w:ascii="仿宋_GB2312" w:hAnsi="仿宋_GB2312" w:eastAsia="仿宋_GB2312" w:cs="仿宋_GB2312"/>
          <w:b w:val="0"/>
          <w:bCs/>
          <w:sz w:val="28"/>
          <w:szCs w:val="28"/>
          <w:highlight w:val="none"/>
          <w:lang w:eastAsia="zh-CN"/>
        </w:rPr>
        <w:t>）</w:t>
      </w:r>
    </w:p>
    <w:p w14:paraId="2F5299BC">
      <w:pPr>
        <w:pStyle w:val="75"/>
        <w:numPr>
          <w:ilvl w:val="0"/>
          <w:numId w:val="20"/>
        </w:numPr>
        <w:ind w:left="425" w:leftChars="0" w:hanging="425" w:firstLineChars="0"/>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投标保证金退付信息表</w:t>
      </w:r>
      <w:r>
        <w:rPr>
          <w:rFonts w:hint="eastAsia" w:ascii="仿宋_GB2312" w:hAnsi="仿宋_GB2312" w:eastAsia="仿宋_GB2312" w:cs="仿宋_GB2312"/>
          <w:b w:val="0"/>
          <w:bCs/>
          <w:sz w:val="28"/>
          <w:szCs w:val="28"/>
          <w:highlight w:val="none"/>
          <w:lang w:eastAsia="zh-CN"/>
        </w:rPr>
        <w:t>（</w:t>
      </w:r>
      <w:r>
        <w:rPr>
          <w:rFonts w:hint="eastAsia" w:ascii="仿宋_GB2312" w:hAnsi="仿宋_GB2312" w:eastAsia="仿宋_GB2312" w:cs="仿宋_GB2312"/>
          <w:b w:val="0"/>
          <w:bCs/>
          <w:sz w:val="28"/>
          <w:szCs w:val="28"/>
          <w:highlight w:val="none"/>
          <w:lang w:val="en-US" w:eastAsia="zh-CN"/>
        </w:rPr>
        <w:t>格式见附件7</w:t>
      </w:r>
      <w:r>
        <w:rPr>
          <w:rFonts w:hint="eastAsia" w:ascii="仿宋_GB2312" w:hAnsi="仿宋_GB2312" w:eastAsia="仿宋_GB2312" w:cs="仿宋_GB2312"/>
          <w:b w:val="0"/>
          <w:bCs/>
          <w:sz w:val="28"/>
          <w:szCs w:val="28"/>
          <w:highlight w:val="none"/>
          <w:lang w:eastAsia="zh-CN"/>
        </w:rPr>
        <w:t>）</w:t>
      </w:r>
    </w:p>
    <w:p w14:paraId="372CFD58">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招标文件按给定的格式填写，未给定格式的，由投标人自行编制，但需包含以上内容。</w:t>
      </w:r>
    </w:p>
    <w:p w14:paraId="70E2A45F">
      <w:pPr>
        <w:pStyle w:val="73"/>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sz w:val="28"/>
          <w:szCs w:val="28"/>
          <w:lang w:val="en-US" w:eastAsia="zh-CN"/>
        </w:rPr>
      </w:pPr>
      <w:r>
        <w:rPr>
          <w:rFonts w:hint="eastAsia" w:ascii="仿宋_GB2312" w:hAnsi="仿宋_GB2312" w:eastAsia="仿宋_GB2312" w:cs="仿宋_GB2312"/>
          <w:b w:val="0"/>
          <w:sz w:val="28"/>
          <w:szCs w:val="28"/>
          <w:lang w:val="en-US" w:eastAsia="zh-CN"/>
        </w:rPr>
        <w:t>投标文件的投递</w:t>
      </w:r>
    </w:p>
    <w:p w14:paraId="3975FF02">
      <w:pPr>
        <w:pStyle w:val="75"/>
        <w:numPr>
          <w:ilvl w:val="0"/>
          <w:numId w:val="21"/>
        </w:numPr>
        <w:spacing w:line="240" w:lineRule="auto"/>
        <w:ind w:left="425" w:leftChars="0" w:hanging="425" w:firstLineChars="0"/>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投标方式：</w:t>
      </w:r>
    </w:p>
    <w:p w14:paraId="6D5C6481">
      <w:pPr>
        <w:pStyle w:val="75"/>
        <w:numPr>
          <w:ilvl w:val="0"/>
          <w:numId w:val="0"/>
        </w:numPr>
        <w:spacing w:line="240" w:lineRule="auto"/>
        <w:ind w:firstLine="560" w:firstLineChars="200"/>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在中</w:t>
      </w:r>
      <w:r>
        <w:rPr>
          <w:rFonts w:hint="eastAsia" w:ascii="仿宋_GB2312" w:hAnsi="仿宋_GB2312" w:eastAsia="仿宋_GB2312" w:cs="仿宋_GB2312"/>
          <w:b w:val="0"/>
          <w:bCs/>
          <w:color w:val="auto"/>
          <w:sz w:val="28"/>
          <w:szCs w:val="28"/>
          <w:highlight w:val="none"/>
          <w:lang w:val="en-US" w:eastAsia="zh-CN"/>
        </w:rPr>
        <w:t>国重汽e采通平台应标成功后，进入“供应商投标”环节，投递</w:t>
      </w:r>
      <w:r>
        <w:rPr>
          <w:rFonts w:hint="eastAsia" w:ascii="仿宋_GB2312" w:hAnsi="仿宋_GB2312" w:eastAsia="仿宋_GB2312" w:cs="仿宋_GB2312"/>
          <w:b/>
          <w:bCs w:val="0"/>
          <w:color w:val="auto"/>
          <w:sz w:val="28"/>
          <w:szCs w:val="28"/>
          <w:highlight w:val="none"/>
          <w:lang w:val="en-US" w:eastAsia="zh-CN"/>
        </w:rPr>
        <w:t>盖章扫描版电子标书</w:t>
      </w:r>
      <w:r>
        <w:rPr>
          <w:rFonts w:hint="eastAsia" w:ascii="仿宋_GB2312" w:hAnsi="仿宋_GB2312" w:eastAsia="仿宋_GB2312" w:cs="仿宋_GB2312"/>
          <w:b w:val="0"/>
          <w:bCs/>
          <w:color w:val="auto"/>
          <w:sz w:val="28"/>
          <w:szCs w:val="28"/>
          <w:highlight w:val="none"/>
          <w:lang w:val="en-US" w:eastAsia="zh-CN"/>
        </w:rPr>
        <w:t>（包含资质标书、技术标书、商务标书），用“公司名称+文件名称”命名。若逾期未在中国重汽e采通平台上传电子标书，即便递交了纸版投标文件，一律视为无效投标。</w:t>
      </w:r>
    </w:p>
    <w:p w14:paraId="776A71A0">
      <w:pPr>
        <w:pStyle w:val="75"/>
        <w:numPr>
          <w:ilvl w:val="0"/>
          <w:numId w:val="0"/>
        </w:numPr>
        <w:spacing w:line="240" w:lineRule="auto"/>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2.</w:t>
      </w:r>
      <w:r>
        <w:rPr>
          <w:rFonts w:hint="eastAsia" w:ascii="仿宋_GB2312" w:hAnsi="仿宋_GB2312" w:eastAsia="仿宋_GB2312" w:cs="仿宋_GB2312"/>
          <w:b/>
          <w:bCs w:val="0"/>
          <w:color w:val="auto"/>
          <w:sz w:val="28"/>
          <w:szCs w:val="28"/>
          <w:highlight w:val="none"/>
          <w:lang w:val="en-US" w:eastAsia="zh-CN"/>
        </w:rPr>
        <w:t>e采通系统投标文件递交截止时间</w:t>
      </w:r>
      <w:r>
        <w:rPr>
          <w:rFonts w:hint="eastAsia" w:ascii="仿宋_GB2312" w:hAnsi="仿宋_GB2312" w:eastAsia="仿宋_GB2312" w:cs="仿宋_GB2312"/>
          <w:b w:val="0"/>
          <w:bCs/>
          <w:color w:val="auto"/>
          <w:sz w:val="28"/>
          <w:szCs w:val="28"/>
          <w:highlight w:val="none"/>
          <w:lang w:val="en-US" w:eastAsia="zh-CN"/>
        </w:rPr>
        <w:t>：2026年9月19日18:00:00（</w:t>
      </w:r>
      <w:r>
        <w:rPr>
          <w:rFonts w:hint="eastAsia" w:ascii="仿宋_GB2312" w:hAnsi="仿宋_GB2312" w:eastAsia="仿宋_GB2312" w:cs="仿宋_GB2312"/>
          <w:b w:val="0"/>
          <w:bCs/>
          <w:sz w:val="28"/>
          <w:szCs w:val="28"/>
          <w:highlight w:val="none"/>
          <w:lang w:val="en-US" w:eastAsia="zh-CN"/>
        </w:rPr>
        <w:t>北京时间）</w:t>
      </w:r>
    </w:p>
    <w:p w14:paraId="25974AAC">
      <w:pPr>
        <w:pStyle w:val="72"/>
        <w:rPr>
          <w:rFonts w:hint="eastAsia" w:hAnsi="Courier New" w:cs="Times New Roman"/>
          <w:highlight w:val="none"/>
        </w:rPr>
      </w:pPr>
      <w:bookmarkStart w:id="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2"/>
        </w:numPr>
        <w:ind w:leftChars="0"/>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b w:val="0"/>
          <w:bCs w:val="0"/>
          <w:sz w:val="28"/>
          <w:szCs w:val="28"/>
          <w:highlight w:val="none"/>
        </w:rPr>
        <w:t>投标保证金的缴纳</w:t>
      </w:r>
    </w:p>
    <w:p w14:paraId="021ADBC0">
      <w:pPr>
        <w:pStyle w:val="72"/>
        <w:numPr>
          <w:ilvl w:val="0"/>
          <w:numId w:val="23"/>
        </w:numPr>
        <w:ind w:left="425" w:leftChars="0" w:hanging="425" w:firstLineChars="0"/>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b w:val="0"/>
          <w:bCs w:val="0"/>
          <w:sz w:val="28"/>
          <w:szCs w:val="28"/>
          <w:highlight w:val="none"/>
        </w:rPr>
        <w:t>投标保证金</w:t>
      </w:r>
      <w:r>
        <w:rPr>
          <w:rFonts w:hint="eastAsia" w:ascii="仿宋_GB2312" w:hAnsi="仿宋_GB2312" w:eastAsia="仿宋_GB2312" w:cs="仿宋_GB2312"/>
          <w:b w:val="0"/>
          <w:bCs w:val="0"/>
          <w:sz w:val="28"/>
          <w:szCs w:val="28"/>
          <w:highlight w:val="none"/>
          <w:lang w:val="en-US" w:eastAsia="zh-CN"/>
        </w:rPr>
        <w:t>的缴纳</w:t>
      </w:r>
      <w:r>
        <w:rPr>
          <w:rFonts w:hint="eastAsia" w:ascii="仿宋_GB2312" w:hAnsi="仿宋_GB2312" w:eastAsia="仿宋_GB2312" w:cs="仿宋_GB2312"/>
          <w:b w:val="0"/>
          <w:bCs w:val="0"/>
          <w:sz w:val="28"/>
          <w:szCs w:val="28"/>
          <w:highlight w:val="none"/>
        </w:rPr>
        <w:t>形式：</w:t>
      </w:r>
      <w:r>
        <w:rPr>
          <w:rFonts w:hint="eastAsia" w:ascii="仿宋_GB2312" w:hAnsi="仿宋_GB2312" w:eastAsia="仿宋_GB2312" w:cs="仿宋_GB2312"/>
          <w:b w:val="0"/>
          <w:bCs w:val="0"/>
          <w:sz w:val="28"/>
          <w:szCs w:val="28"/>
          <w:highlight w:val="none"/>
          <w:u w:val="single"/>
          <w:lang w:val="en-US" w:eastAsia="zh-CN"/>
        </w:rPr>
        <w:t>提交银行投标保函或从银行基本账户转账</w:t>
      </w:r>
    </w:p>
    <w:p w14:paraId="04CD311F">
      <w:pPr>
        <w:pStyle w:val="72"/>
        <w:numPr>
          <w:ilvl w:val="0"/>
          <w:numId w:val="23"/>
        </w:numPr>
        <w:ind w:left="425" w:leftChars="0" w:hanging="425" w:firstLineChars="0"/>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b w:val="0"/>
          <w:bCs w:val="0"/>
          <w:sz w:val="28"/>
          <w:szCs w:val="28"/>
          <w:highlight w:val="none"/>
        </w:rPr>
        <w:t>投标保证金的金额：人民币</w:t>
      </w:r>
      <w:r>
        <w:rPr>
          <w:rFonts w:hint="eastAsia" w:ascii="仿宋_GB2312" w:hAnsi="仿宋_GB2312" w:eastAsia="仿宋_GB2312" w:cs="仿宋_GB2312"/>
          <w:b w:val="0"/>
          <w:bCs w:val="0"/>
          <w:sz w:val="28"/>
          <w:szCs w:val="28"/>
          <w:highlight w:val="none"/>
          <w:u w:val="single"/>
          <w:lang w:val="en-US" w:eastAsia="zh-CN"/>
        </w:rPr>
        <w:t xml:space="preserve">   5000（伍仟）   </w:t>
      </w:r>
      <w:r>
        <w:rPr>
          <w:rFonts w:hint="eastAsia" w:ascii="仿宋_GB2312" w:hAnsi="仿宋_GB2312" w:eastAsia="仿宋_GB2312" w:cs="仿宋_GB2312"/>
          <w:b w:val="0"/>
          <w:bCs w:val="0"/>
          <w:sz w:val="28"/>
          <w:szCs w:val="28"/>
          <w:highlight w:val="none"/>
        </w:rPr>
        <w:t>元</w:t>
      </w:r>
    </w:p>
    <w:p w14:paraId="628790D5">
      <w:pPr>
        <w:pStyle w:val="72"/>
        <w:numPr>
          <w:ilvl w:val="0"/>
          <w:numId w:val="23"/>
        </w:numPr>
        <w:ind w:left="425" w:leftChars="0" w:hanging="425" w:firstLineChars="0"/>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b w:val="0"/>
          <w:bCs w:val="0"/>
          <w:sz w:val="28"/>
          <w:szCs w:val="28"/>
          <w:highlight w:val="none"/>
        </w:rPr>
        <w:t>开户名称：</w:t>
      </w:r>
      <w:r>
        <w:rPr>
          <w:rFonts w:hint="eastAsia" w:ascii="仿宋_GB2312" w:hAnsi="仿宋_GB2312" w:eastAsia="仿宋_GB2312" w:cs="仿宋_GB2312"/>
          <w:b w:val="0"/>
          <w:bCs w:val="0"/>
          <w:sz w:val="28"/>
          <w:szCs w:val="28"/>
          <w:highlight w:val="none"/>
          <w:u w:val="single"/>
          <w:lang w:val="en-US" w:eastAsia="zh-CN"/>
        </w:rPr>
        <w:t xml:space="preserve">   中国重汽集团济宁商用车有限公司     </w:t>
      </w:r>
    </w:p>
    <w:p w14:paraId="0B0EC273">
      <w:pPr>
        <w:pStyle w:val="72"/>
        <w:numPr>
          <w:ilvl w:val="0"/>
          <w:numId w:val="0"/>
        </w:numPr>
        <w:ind w:left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rPr>
        <w:t>开户银行：</w:t>
      </w:r>
      <w:r>
        <w:rPr>
          <w:rFonts w:hint="eastAsia" w:ascii="仿宋_GB2312" w:hAnsi="仿宋_GB2312" w:eastAsia="仿宋_GB2312" w:cs="仿宋_GB2312"/>
          <w:b w:val="0"/>
          <w:bCs w:val="0"/>
          <w:sz w:val="28"/>
          <w:szCs w:val="28"/>
          <w:highlight w:val="none"/>
          <w:u w:val="single"/>
          <w:lang w:val="en-US" w:eastAsia="zh-CN"/>
        </w:rPr>
        <w:t xml:space="preserve">    中行济宁分行                      </w:t>
      </w:r>
    </w:p>
    <w:p w14:paraId="4074AC10">
      <w:pPr>
        <w:pStyle w:val="72"/>
        <w:numPr>
          <w:ilvl w:val="0"/>
          <w:numId w:val="0"/>
        </w:numPr>
        <w:ind w:leftChars="0"/>
        <w:rPr>
          <w:rFonts w:hint="eastAsia" w:ascii="仿宋_GB2312" w:hAnsi="仿宋_GB2312" w:eastAsia="仿宋_GB2312" w:cs="仿宋_GB2312"/>
          <w:b w:val="0"/>
          <w:bCs w:val="0"/>
          <w:sz w:val="28"/>
          <w:szCs w:val="28"/>
          <w:highlight w:val="none"/>
          <w:u w:val="single"/>
          <w:lang w:val="en-US" w:eastAsia="zh-CN"/>
        </w:rPr>
      </w:pPr>
      <w:r>
        <w:rPr>
          <w:rFonts w:hint="eastAsia" w:ascii="仿宋_GB2312" w:hAnsi="仿宋_GB2312" w:eastAsia="仿宋_GB2312" w:cs="仿宋_GB2312"/>
          <w:b w:val="0"/>
          <w:bCs w:val="0"/>
          <w:sz w:val="28"/>
          <w:szCs w:val="28"/>
          <w:highlight w:val="none"/>
          <w:lang w:eastAsia="zh-CN"/>
        </w:rPr>
        <w:t>银行账号</w:t>
      </w:r>
      <w:r>
        <w:rPr>
          <w:rFonts w:hint="eastAsia" w:ascii="仿宋_GB2312" w:hAnsi="仿宋_GB2312" w:eastAsia="仿宋_GB2312" w:cs="仿宋_GB2312"/>
          <w:b w:val="0"/>
          <w:bCs w:val="0"/>
          <w:sz w:val="28"/>
          <w:szCs w:val="28"/>
          <w:highlight w:val="none"/>
        </w:rPr>
        <w:t>：</w:t>
      </w:r>
      <w:r>
        <w:rPr>
          <w:rFonts w:hint="eastAsia" w:ascii="仿宋_GB2312" w:hAnsi="仿宋_GB2312" w:eastAsia="仿宋_GB2312" w:cs="仿宋_GB2312"/>
          <w:b w:val="0"/>
          <w:bCs w:val="0"/>
          <w:sz w:val="28"/>
          <w:szCs w:val="28"/>
          <w:highlight w:val="none"/>
          <w:u w:val="single"/>
          <w:lang w:val="en-US" w:eastAsia="zh-CN"/>
        </w:rPr>
        <w:t xml:space="preserve">    231202725157                      </w:t>
      </w:r>
    </w:p>
    <w:p w14:paraId="24D83B5F">
      <w:pPr>
        <w:pStyle w:val="75"/>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ascii="仿宋_GB2312" w:hAnsi="仿宋_GB2312" w:eastAsia="仿宋_GB2312" w:cs="仿宋_GB2312"/>
          <w:b w:val="0"/>
          <w:bCs/>
          <w:sz w:val="28"/>
          <w:szCs w:val="28"/>
          <w:highlight w:val="none"/>
          <w:u w:val="single"/>
          <w:lang w:val="en-US" w:eastAsia="zh-CN"/>
        </w:rPr>
      </w:pPr>
      <w:r>
        <w:rPr>
          <w:rFonts w:hint="eastAsia" w:ascii="仿宋_GB2312" w:hAnsi="仿宋_GB2312" w:eastAsia="仿宋_GB2312" w:cs="仿宋_GB2312"/>
          <w:b w:val="0"/>
          <w:bCs w:val="0"/>
          <w:sz w:val="28"/>
          <w:szCs w:val="28"/>
          <w:highlight w:val="none"/>
        </w:rPr>
        <w:t>纳税人识别号：</w:t>
      </w:r>
      <w:r>
        <w:rPr>
          <w:rFonts w:hint="eastAsia" w:ascii="仿宋_GB2312" w:hAnsi="仿宋_GB2312" w:eastAsia="仿宋_GB2312" w:cs="仿宋_GB2312"/>
          <w:b w:val="0"/>
          <w:bCs w:val="0"/>
          <w:sz w:val="28"/>
          <w:szCs w:val="28"/>
          <w:highlight w:val="none"/>
          <w:u w:val="single"/>
          <w:lang w:val="en-US" w:eastAsia="zh-CN"/>
        </w:rPr>
        <w:t xml:space="preserve">  </w:t>
      </w:r>
      <w:r>
        <w:rPr>
          <w:rFonts w:hint="eastAsia" w:ascii="仿宋_GB2312" w:hAnsi="仿宋_GB2312" w:eastAsia="仿宋_GB2312" w:cs="仿宋_GB2312"/>
          <w:b w:val="0"/>
          <w:bCs w:val="0"/>
          <w:sz w:val="28"/>
          <w:szCs w:val="28"/>
          <w:highlight w:val="none"/>
          <w:u w:val="single"/>
        </w:rPr>
        <w:t>91370800771000850L</w:t>
      </w:r>
      <w:r>
        <w:rPr>
          <w:rFonts w:hint="eastAsia" w:ascii="仿宋_GB2312" w:hAnsi="仿宋_GB2312" w:eastAsia="仿宋_GB2312" w:cs="仿宋_GB2312"/>
          <w:b w:val="0"/>
          <w:bCs w:val="0"/>
          <w:sz w:val="28"/>
          <w:szCs w:val="28"/>
          <w:highlight w:val="none"/>
          <w:u w:val="single"/>
          <w:lang w:val="en-US" w:eastAsia="zh-CN"/>
        </w:rPr>
        <w:t xml:space="preserve">                </w:t>
      </w:r>
    </w:p>
    <w:p w14:paraId="1591D62C">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转账附言：公司名称+项目名称+投标保证金。</w:t>
      </w:r>
    </w:p>
    <w:p w14:paraId="5568414C">
      <w:pPr>
        <w:pStyle w:val="72"/>
        <w:numPr>
          <w:ilvl w:val="0"/>
          <w:numId w:val="0"/>
        </w:numPr>
        <w:ind w:left="425" w:leftChars="0" w:hanging="425"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kern w:val="2"/>
          <w:sz w:val="28"/>
          <w:szCs w:val="28"/>
          <w:lang w:val="en-US" w:eastAsia="zh-CN" w:bidi="ar-SA"/>
        </w:rPr>
        <w:t>（4）</w:t>
      </w:r>
      <w:r>
        <w:rPr>
          <w:rFonts w:hint="eastAsia" w:ascii="仿宋_GB2312" w:hAnsi="仿宋_GB2312" w:eastAsia="仿宋_GB2312" w:cs="仿宋_GB2312"/>
          <w:b w:val="0"/>
          <w:bCs w:val="0"/>
          <w:sz w:val="28"/>
          <w:szCs w:val="28"/>
          <w:highlight w:val="none"/>
        </w:rPr>
        <w:t>保证金缴纳截止时间：20</w:t>
      </w:r>
      <w:r>
        <w:rPr>
          <w:rFonts w:hint="eastAsia" w:ascii="仿宋_GB2312" w:hAnsi="仿宋_GB2312" w:eastAsia="仿宋_GB2312" w:cs="仿宋_GB2312"/>
          <w:b w:val="0"/>
          <w:bCs w:val="0"/>
          <w:sz w:val="28"/>
          <w:szCs w:val="28"/>
          <w:highlight w:val="none"/>
          <w:lang w:val="en-US" w:eastAsia="zh-CN"/>
        </w:rPr>
        <w:t>26</w:t>
      </w:r>
      <w:r>
        <w:rPr>
          <w:rFonts w:hint="eastAsia" w:ascii="仿宋_GB2312" w:hAnsi="仿宋_GB2312" w:eastAsia="仿宋_GB2312" w:cs="仿宋_GB2312"/>
          <w:b w:val="0"/>
          <w:bCs w:val="0"/>
          <w:sz w:val="28"/>
          <w:szCs w:val="28"/>
          <w:highlight w:val="none"/>
        </w:rPr>
        <w:t>年</w:t>
      </w:r>
      <w:r>
        <w:rPr>
          <w:rFonts w:hint="eastAsia" w:ascii="仿宋_GB2312" w:hAnsi="仿宋_GB2312" w:eastAsia="仿宋_GB2312" w:cs="仿宋_GB2312"/>
          <w:b w:val="0"/>
          <w:bCs w:val="0"/>
          <w:sz w:val="28"/>
          <w:szCs w:val="28"/>
          <w:highlight w:val="none"/>
          <w:lang w:val="en-US" w:eastAsia="zh-CN"/>
        </w:rPr>
        <w:t>9</w:t>
      </w:r>
      <w:r>
        <w:rPr>
          <w:rFonts w:hint="eastAsia" w:ascii="仿宋_GB2312" w:hAnsi="仿宋_GB2312" w:eastAsia="仿宋_GB2312" w:cs="仿宋_GB2312"/>
          <w:b w:val="0"/>
          <w:bCs w:val="0"/>
          <w:sz w:val="28"/>
          <w:szCs w:val="28"/>
          <w:highlight w:val="none"/>
        </w:rPr>
        <w:t>月</w:t>
      </w:r>
      <w:r>
        <w:rPr>
          <w:rFonts w:hint="eastAsia" w:ascii="仿宋_GB2312" w:hAnsi="仿宋_GB2312" w:eastAsia="仿宋_GB2312" w:cs="仿宋_GB2312"/>
          <w:b w:val="0"/>
          <w:bCs w:val="0"/>
          <w:sz w:val="28"/>
          <w:szCs w:val="28"/>
          <w:highlight w:val="none"/>
          <w:lang w:val="en-US" w:eastAsia="zh-CN"/>
        </w:rPr>
        <w:t>14</w:t>
      </w:r>
      <w:r>
        <w:rPr>
          <w:rFonts w:hint="eastAsia" w:ascii="仿宋_GB2312" w:hAnsi="仿宋_GB2312" w:eastAsia="仿宋_GB2312" w:cs="仿宋_GB2312"/>
          <w:b w:val="0"/>
          <w:bCs w:val="0"/>
          <w:sz w:val="28"/>
          <w:szCs w:val="28"/>
          <w:highlight w:val="none"/>
        </w:rPr>
        <w:t>日</w:t>
      </w:r>
      <w:r>
        <w:rPr>
          <w:rFonts w:hint="eastAsia" w:ascii="仿宋_GB2312" w:hAnsi="仿宋_GB2312" w:eastAsia="仿宋_GB2312" w:cs="仿宋_GB2312"/>
          <w:b w:val="0"/>
          <w:bCs w:val="0"/>
          <w:sz w:val="28"/>
          <w:szCs w:val="28"/>
          <w:highlight w:val="none"/>
          <w:lang w:val="en-US" w:eastAsia="zh-CN"/>
        </w:rPr>
        <w:t>17:00</w:t>
      </w:r>
      <w:r>
        <w:rPr>
          <w:rFonts w:hint="eastAsia" w:ascii="仿宋_GB2312" w:hAnsi="仿宋_GB2312" w:eastAsia="仿宋_GB2312" w:cs="仿宋_GB2312"/>
          <w:b w:val="0"/>
          <w:bCs w:val="0"/>
          <w:sz w:val="28"/>
          <w:szCs w:val="28"/>
          <w:highlight w:val="none"/>
        </w:rPr>
        <w:t>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同应标截止时间</w:t>
      </w:r>
      <w:r>
        <w:rPr>
          <w:rFonts w:hint="eastAsia" w:ascii="仿宋_GB2312" w:hAnsi="仿宋_GB2312" w:eastAsia="仿宋_GB2312" w:cs="仿宋_GB2312"/>
          <w:b w:val="0"/>
          <w:bCs w:val="0"/>
          <w:sz w:val="28"/>
          <w:szCs w:val="28"/>
          <w:highlight w:val="none"/>
          <w:lang w:eastAsia="zh-CN"/>
        </w:rPr>
        <w:t>）</w:t>
      </w:r>
    </w:p>
    <w:p w14:paraId="4C2C93DA">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选择</w:t>
      </w:r>
      <w:r>
        <w:rPr>
          <w:rFonts w:hint="eastAsia" w:ascii="仿宋_GB2312" w:hAnsi="仿宋_GB2312" w:eastAsia="仿宋_GB2312" w:cs="仿宋_GB2312"/>
          <w:b w:val="0"/>
          <w:bCs w:val="0"/>
          <w:sz w:val="28"/>
          <w:szCs w:val="28"/>
          <w:highlight w:val="none"/>
        </w:rPr>
        <w:t>提交银行投标保函的</w:t>
      </w:r>
      <w:r>
        <w:rPr>
          <w:rFonts w:hint="eastAsia" w:ascii="仿宋_GB2312" w:hAnsi="仿宋_GB2312" w:eastAsia="仿宋_GB2312" w:cs="仿宋_GB2312"/>
          <w:b w:val="0"/>
          <w:bCs w:val="0"/>
          <w:sz w:val="28"/>
          <w:szCs w:val="28"/>
          <w:highlight w:val="none"/>
          <w:lang w:val="en-US" w:eastAsia="zh-CN"/>
        </w:rPr>
        <w:t>拟</w:t>
      </w:r>
      <w:r>
        <w:rPr>
          <w:rFonts w:hint="eastAsia" w:ascii="仿宋_GB2312" w:hAnsi="仿宋_GB2312" w:eastAsia="仿宋_GB2312" w:cs="仿宋_GB2312"/>
          <w:b w:val="0"/>
          <w:bCs w:val="0"/>
          <w:sz w:val="28"/>
          <w:szCs w:val="28"/>
          <w:highlight w:val="none"/>
        </w:rPr>
        <w:t>投标人，应在开标时提交投标保函正本，作为《投标文件》的一部分，该投标保函应是不可撤销的“见索即付”保函，保函有效期应满足投标有效期要求，</w:t>
      </w:r>
      <w:r>
        <w:rPr>
          <w:rFonts w:hint="eastAsia" w:ascii="仿宋_GB2312" w:hAnsi="仿宋_GB2312" w:eastAsia="仿宋_GB2312" w:cs="仿宋_GB2312"/>
          <w:b w:val="0"/>
          <w:bCs w:val="0"/>
          <w:sz w:val="28"/>
          <w:szCs w:val="28"/>
          <w:highlight w:val="none"/>
          <w:lang w:val="en-US" w:eastAsia="zh-CN"/>
        </w:rPr>
        <w:t>由招标人</w:t>
      </w:r>
      <w:r>
        <w:rPr>
          <w:rFonts w:hint="eastAsia" w:ascii="仿宋_GB2312" w:hAnsi="仿宋_GB2312" w:eastAsia="仿宋_GB2312" w:cs="仿宋_GB2312"/>
          <w:b w:val="0"/>
          <w:bCs w:val="0"/>
          <w:sz w:val="28"/>
          <w:szCs w:val="28"/>
          <w:highlight w:val="none"/>
        </w:rPr>
        <w:t>留存保函正本</w:t>
      </w:r>
      <w:r>
        <w:rPr>
          <w:rFonts w:hint="eastAsia" w:ascii="仿宋_GB2312" w:hAnsi="仿宋_GB2312" w:eastAsia="仿宋_GB2312" w:cs="仿宋_GB2312"/>
          <w:b w:val="0"/>
          <w:bCs w:val="0"/>
          <w:sz w:val="28"/>
          <w:szCs w:val="28"/>
          <w:highlight w:val="none"/>
          <w:lang w:eastAsia="zh-CN"/>
        </w:rPr>
        <w:t>。</w:t>
      </w:r>
    </w:p>
    <w:p w14:paraId="7486A08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选择从银行基本账户转账</w:t>
      </w:r>
      <w:r>
        <w:rPr>
          <w:rFonts w:hint="eastAsia" w:ascii="仿宋_GB2312" w:hAnsi="仿宋_GB2312" w:eastAsia="仿宋_GB2312" w:cs="仿宋_GB2312"/>
          <w:b w:val="0"/>
          <w:bCs w:val="0"/>
          <w:sz w:val="28"/>
          <w:szCs w:val="28"/>
          <w:highlight w:val="none"/>
        </w:rPr>
        <w:t>的</w:t>
      </w:r>
      <w:r>
        <w:rPr>
          <w:rFonts w:hint="eastAsia" w:ascii="仿宋_GB2312" w:hAnsi="仿宋_GB2312" w:eastAsia="仿宋_GB2312" w:cs="仿宋_GB2312"/>
          <w:b w:val="0"/>
          <w:bCs w:val="0"/>
          <w:sz w:val="28"/>
          <w:szCs w:val="28"/>
          <w:highlight w:val="none"/>
          <w:lang w:val="en-US" w:eastAsia="zh-CN"/>
        </w:rPr>
        <w:t>拟</w:t>
      </w:r>
      <w:r>
        <w:rPr>
          <w:rFonts w:hint="eastAsia" w:ascii="仿宋_GB2312" w:hAnsi="仿宋_GB2312" w:eastAsia="仿宋_GB2312" w:cs="仿宋_GB2312"/>
          <w:b w:val="0"/>
          <w:bCs w:val="0"/>
          <w:sz w:val="28"/>
          <w:szCs w:val="28"/>
          <w:highlight w:val="none"/>
        </w:rPr>
        <w:t>投标人</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须在规定的时间之前</w:t>
      </w:r>
      <w:r>
        <w:rPr>
          <w:rFonts w:hint="eastAsia" w:ascii="仿宋_GB2312" w:hAnsi="仿宋_GB2312" w:eastAsia="仿宋_GB2312" w:cs="仿宋_GB2312"/>
          <w:b w:val="0"/>
          <w:bCs w:val="0"/>
          <w:sz w:val="28"/>
          <w:szCs w:val="28"/>
          <w:highlight w:val="none"/>
        </w:rPr>
        <w:t>将投标保证金从</w:t>
      </w:r>
      <w:r>
        <w:rPr>
          <w:rFonts w:hint="eastAsia" w:ascii="仿宋_GB2312" w:hAnsi="仿宋_GB2312" w:eastAsia="仿宋_GB2312" w:cs="仿宋_GB2312"/>
          <w:b w:val="0"/>
          <w:bCs w:val="0"/>
          <w:sz w:val="28"/>
          <w:szCs w:val="28"/>
          <w:highlight w:val="none"/>
          <w:lang w:val="en-US" w:eastAsia="zh-CN"/>
        </w:rPr>
        <w:t>其</w:t>
      </w:r>
      <w:r>
        <w:rPr>
          <w:rFonts w:hint="eastAsia" w:ascii="仿宋_GB2312" w:hAnsi="仿宋_GB2312" w:eastAsia="仿宋_GB2312" w:cs="仿宋_GB2312"/>
          <w:b w:val="0"/>
          <w:bCs w:val="0"/>
          <w:sz w:val="28"/>
          <w:szCs w:val="28"/>
          <w:highlight w:val="none"/>
        </w:rPr>
        <w:t>单位</w:t>
      </w:r>
      <w:r>
        <w:rPr>
          <w:rFonts w:hint="eastAsia" w:ascii="仿宋_GB2312" w:hAnsi="仿宋_GB2312" w:eastAsia="仿宋_GB2312" w:cs="仿宋_GB2312"/>
          <w:b w:val="0"/>
          <w:bCs w:val="0"/>
          <w:sz w:val="28"/>
          <w:szCs w:val="28"/>
          <w:highlight w:val="none"/>
          <w:lang w:eastAsia="zh-CN"/>
        </w:rPr>
        <w:t>基本账户</w:t>
      </w:r>
      <w:r>
        <w:rPr>
          <w:rFonts w:hint="eastAsia" w:ascii="仿宋_GB2312" w:hAnsi="仿宋_GB2312" w:eastAsia="仿宋_GB2312" w:cs="仿宋_GB2312"/>
          <w:b w:val="0"/>
          <w:bCs w:val="0"/>
          <w:sz w:val="28"/>
          <w:szCs w:val="28"/>
          <w:highlight w:val="none"/>
        </w:rPr>
        <w:t>转出并到账，否则</w:t>
      </w:r>
      <w:r>
        <w:rPr>
          <w:rFonts w:hint="eastAsia" w:ascii="仿宋_GB2312" w:hAnsi="仿宋_GB2312" w:eastAsia="仿宋_GB2312" w:cs="仿宋_GB2312"/>
          <w:b w:val="0"/>
          <w:bCs w:val="0"/>
          <w:sz w:val="28"/>
          <w:szCs w:val="28"/>
          <w:highlight w:val="none"/>
          <w:lang w:val="en-US" w:eastAsia="zh-CN"/>
        </w:rPr>
        <w:t>视为无效投标</w:t>
      </w:r>
      <w:r>
        <w:rPr>
          <w:rFonts w:hint="eastAsia" w:ascii="仿宋_GB2312" w:hAnsi="仿宋_GB2312" w:eastAsia="仿宋_GB2312" w:cs="仿宋_GB2312"/>
          <w:b w:val="0"/>
          <w:bCs w:val="0"/>
          <w:sz w:val="28"/>
          <w:szCs w:val="28"/>
          <w:highlight w:val="none"/>
        </w:rPr>
        <w:t>；未按规定提交保证金的</w:t>
      </w:r>
      <w:r>
        <w:rPr>
          <w:rFonts w:hint="eastAsia" w:ascii="仿宋_GB2312" w:hAnsi="仿宋_GB2312" w:eastAsia="仿宋_GB2312" w:cs="仿宋_GB2312"/>
          <w:b w:val="0"/>
          <w:bCs w:val="0"/>
          <w:sz w:val="28"/>
          <w:szCs w:val="28"/>
          <w:highlight w:val="none"/>
          <w:lang w:val="en-US" w:eastAsia="zh-CN"/>
        </w:rPr>
        <w:t>拟</w:t>
      </w:r>
      <w:r>
        <w:rPr>
          <w:rFonts w:hint="eastAsia" w:ascii="仿宋_GB2312" w:hAnsi="仿宋_GB2312" w:eastAsia="仿宋_GB2312" w:cs="仿宋_GB2312"/>
          <w:b w:val="0"/>
          <w:bCs w:val="0"/>
          <w:sz w:val="28"/>
          <w:szCs w:val="28"/>
          <w:highlight w:val="none"/>
        </w:rPr>
        <w:t>投标人，其投标文件</w:t>
      </w:r>
      <w:r>
        <w:rPr>
          <w:rFonts w:hint="eastAsia" w:ascii="仿宋_GB2312" w:hAnsi="仿宋_GB2312" w:eastAsia="仿宋_GB2312" w:cs="仿宋_GB2312"/>
          <w:b w:val="0"/>
          <w:bCs w:val="0"/>
          <w:sz w:val="28"/>
          <w:szCs w:val="28"/>
          <w:highlight w:val="none"/>
          <w:lang w:val="en-US" w:eastAsia="zh-CN"/>
        </w:rPr>
        <w:t>视为无效投标</w:t>
      </w:r>
      <w:r>
        <w:rPr>
          <w:rFonts w:hint="eastAsia" w:ascii="仿宋_GB2312" w:hAnsi="仿宋_GB2312" w:eastAsia="仿宋_GB2312" w:cs="仿宋_GB2312"/>
          <w:b w:val="0"/>
          <w:bCs w:val="0"/>
          <w:sz w:val="28"/>
          <w:szCs w:val="28"/>
          <w:highlight w:val="none"/>
        </w:rPr>
        <w:t>。</w:t>
      </w:r>
      <w:r>
        <w:rPr>
          <w:rFonts w:hint="eastAsia" w:ascii="仿宋_GB2312" w:hAnsi="仿宋_GB2312" w:eastAsia="仿宋_GB2312" w:cs="仿宋_GB2312"/>
          <w:b w:val="0"/>
          <w:bCs w:val="0"/>
          <w:sz w:val="28"/>
          <w:szCs w:val="28"/>
          <w:highlight w:val="none"/>
          <w:lang w:val="en-US" w:eastAsia="zh-CN"/>
        </w:rPr>
        <w:t>拟投标人</w:t>
      </w:r>
      <w:r>
        <w:rPr>
          <w:rFonts w:hint="eastAsia" w:ascii="仿宋_GB2312" w:hAnsi="仿宋_GB2312" w:eastAsia="仿宋_GB2312" w:cs="仿宋_GB2312"/>
          <w:b w:val="0"/>
          <w:bCs w:val="0"/>
          <w:sz w:val="28"/>
          <w:szCs w:val="28"/>
          <w:highlight w:val="none"/>
        </w:rPr>
        <w:t>应充分考虑银行信息交换时间，由此带来的保证金</w:t>
      </w:r>
      <w:r>
        <w:rPr>
          <w:rFonts w:hint="eastAsia" w:ascii="仿宋_GB2312" w:hAnsi="仿宋_GB2312" w:eastAsia="仿宋_GB2312" w:cs="仿宋_GB2312"/>
          <w:b w:val="0"/>
          <w:bCs w:val="0"/>
          <w:sz w:val="28"/>
          <w:szCs w:val="28"/>
          <w:highlight w:val="none"/>
          <w:lang w:eastAsia="zh-CN"/>
        </w:rPr>
        <w:t>不能按时到账</w:t>
      </w:r>
      <w:r>
        <w:rPr>
          <w:rFonts w:hint="eastAsia" w:ascii="仿宋_GB2312" w:hAnsi="仿宋_GB2312" w:eastAsia="仿宋_GB2312" w:cs="仿宋_GB2312"/>
          <w:b w:val="0"/>
          <w:bCs w:val="0"/>
          <w:sz w:val="28"/>
          <w:szCs w:val="28"/>
          <w:highlight w:val="none"/>
        </w:rPr>
        <w:t>的责任由</w:t>
      </w:r>
      <w:r>
        <w:rPr>
          <w:rFonts w:hint="eastAsia" w:ascii="仿宋_GB2312" w:hAnsi="仿宋_GB2312" w:eastAsia="仿宋_GB2312" w:cs="仿宋_GB2312"/>
          <w:b w:val="0"/>
          <w:bCs w:val="0"/>
          <w:sz w:val="28"/>
          <w:szCs w:val="28"/>
          <w:highlight w:val="none"/>
          <w:lang w:val="en-US" w:eastAsia="zh-CN"/>
        </w:rPr>
        <w:t>拟投标人</w:t>
      </w:r>
      <w:r>
        <w:rPr>
          <w:rFonts w:hint="eastAsia" w:ascii="仿宋_GB2312" w:hAnsi="仿宋_GB2312" w:eastAsia="仿宋_GB2312" w:cs="仿宋_GB2312"/>
          <w:b w:val="0"/>
          <w:bCs w:val="0"/>
          <w:sz w:val="28"/>
          <w:szCs w:val="28"/>
          <w:highlight w:val="none"/>
        </w:rPr>
        <w:t>自行承担。</w:t>
      </w:r>
    </w:p>
    <w:p w14:paraId="5306DE7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rPr>
        <w:t>对于没有中标的</w:t>
      </w:r>
      <w:r>
        <w:rPr>
          <w:rFonts w:hint="eastAsia" w:ascii="仿宋_GB2312" w:hAnsi="仿宋_GB2312" w:eastAsia="仿宋_GB2312" w:cs="仿宋_GB2312"/>
          <w:b w:val="0"/>
          <w:bCs w:val="0"/>
          <w:sz w:val="28"/>
          <w:szCs w:val="28"/>
          <w:highlight w:val="none"/>
          <w:lang w:eastAsia="zh-CN"/>
        </w:rPr>
        <w:t>投标人</w:t>
      </w:r>
      <w:r>
        <w:rPr>
          <w:rFonts w:hint="eastAsia" w:ascii="仿宋_GB2312" w:hAnsi="仿宋_GB2312" w:eastAsia="仿宋_GB2312" w:cs="仿宋_GB2312"/>
          <w:b w:val="0"/>
          <w:bCs w:val="0"/>
          <w:sz w:val="28"/>
          <w:szCs w:val="28"/>
          <w:highlight w:val="none"/>
        </w:rPr>
        <w:t>，投标保证金将于招标人内部完成中标人评审并确认最终中标人后在</w:t>
      </w:r>
      <w:r>
        <w:rPr>
          <w:rFonts w:hint="eastAsia" w:ascii="仿宋_GB2312" w:hAnsi="仿宋_GB2312" w:eastAsia="仿宋_GB2312" w:cs="仿宋_GB2312"/>
          <w:b w:val="0"/>
          <w:bCs w:val="0"/>
          <w:sz w:val="28"/>
          <w:szCs w:val="28"/>
          <w:highlight w:val="none"/>
          <w:u w:val="single"/>
          <w:lang w:val="en-US" w:eastAsia="zh-CN"/>
        </w:rPr>
        <w:t>60</w:t>
      </w:r>
      <w:r>
        <w:rPr>
          <w:rFonts w:hint="eastAsia" w:ascii="仿宋_GB2312" w:hAnsi="仿宋_GB2312" w:eastAsia="仿宋_GB2312" w:cs="仿宋_GB2312"/>
          <w:b w:val="0"/>
          <w:bCs w:val="0"/>
          <w:sz w:val="28"/>
          <w:szCs w:val="28"/>
          <w:highlight w:val="none"/>
        </w:rPr>
        <w:t>工作日内予以原路返还（无息）；对于中标方，</w:t>
      </w:r>
      <w:r>
        <w:rPr>
          <w:rFonts w:hint="eastAsia" w:ascii="仿宋_GB2312" w:hAnsi="仿宋_GB2312" w:eastAsia="仿宋_GB2312" w:cs="仿宋_GB2312"/>
          <w:b w:val="0"/>
          <w:bCs w:val="0"/>
          <w:sz w:val="28"/>
          <w:szCs w:val="28"/>
          <w:highlight w:val="none"/>
          <w:lang w:val="en-US" w:eastAsia="zh-CN"/>
        </w:rPr>
        <w:t>根据合同约定转为履约保证金</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项目完工验收后无息退还。</w:t>
      </w:r>
    </w:p>
    <w:p w14:paraId="271EC8CF">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rPr>
        <w:t>发生以下情况时，有权没收保证金：</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①供应商在提交响应文件截止时间后撤回响应文件的；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②供应商在响应文件中提供虚假材料的；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③除因不可抗力或谈判文件、询价通知书认可的情形以外，成交供应商不与采购人签订合同的；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④供应商与采购人、其他供应商或者采购代理机构恶意串通、围标、陪标的；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⑤供应商有违约违规行为或被投诉、举报的，在调查处理期间，保证金暂不退还，待调查处理结束后按有关规定处理。</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⑥截至开标前3天，投标人无正当理由、未以书面形式向招标人递交说明而在投标截止日不来投标的。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⑦自中标通知书发出之日起30日内，中标人无正当理由投标人无正当签订合同的；</w:t>
      </w:r>
      <w:r>
        <w:rPr>
          <w:rFonts w:hint="eastAsia" w:ascii="仿宋_GB2312" w:hAnsi="仿宋_GB2312" w:eastAsia="仿宋_GB2312" w:cs="仿宋_GB2312"/>
          <w:b w:val="0"/>
          <w:bCs w:val="0"/>
          <w:sz w:val="28"/>
          <w:szCs w:val="28"/>
          <w:highlight w:val="none"/>
        </w:rPr>
        <w:br w:type="textWrapping"/>
      </w:r>
      <w:r>
        <w:rPr>
          <w:rFonts w:hint="eastAsia" w:ascii="仿宋_GB2312" w:hAnsi="仿宋_GB2312" w:eastAsia="仿宋_GB2312" w:cs="仿宋_GB2312"/>
          <w:b w:val="0"/>
          <w:bCs w:val="0"/>
          <w:sz w:val="28"/>
          <w:szCs w:val="28"/>
          <w:highlight w:val="none"/>
        </w:rPr>
        <w:t>⑧采购文件规定的其他情形</w:t>
      </w:r>
      <w:r>
        <w:rPr>
          <w:rFonts w:hint="eastAsia" w:ascii="仿宋_GB2312" w:hAnsi="仿宋_GB2312" w:eastAsia="仿宋_GB2312" w:cs="仿宋_GB2312"/>
          <w:b w:val="0"/>
          <w:bCs w:val="0"/>
          <w:sz w:val="28"/>
          <w:szCs w:val="28"/>
          <w:highlight w:val="none"/>
          <w:lang w:eastAsia="zh-CN"/>
        </w:rPr>
        <w:t>。</w:t>
      </w:r>
    </w:p>
    <w:bookmarkEnd w:id="5"/>
    <w:p w14:paraId="368B6990">
      <w:pPr>
        <w:pStyle w:val="72"/>
      </w:pPr>
      <w:r>
        <w:rPr>
          <w:rFonts w:hint="eastAsia"/>
          <w:lang w:val="en-US" w:eastAsia="zh-CN"/>
        </w:rPr>
        <w:t>开评标</w:t>
      </w:r>
    </w:p>
    <w:p w14:paraId="009655B5">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开标时间：2026年9月21日9:00（如有变动另行通知）</w:t>
      </w:r>
    </w:p>
    <w:p w14:paraId="06F7B67A">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开标地点：中国重汽集团济宁商用车有限公司106会议室（若有变动另行通知）</w:t>
      </w:r>
    </w:p>
    <w:p w14:paraId="420F0E0C">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开标方式：现场开标（商务标报价在e采通系统执行，请投标方自行携带可登录重汽e采通系统的电脑前往开标现场参与开标，提前熟悉e采通使用方式）</w:t>
      </w:r>
    </w:p>
    <w:p w14:paraId="2C652027">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评标</w:t>
      </w:r>
    </w:p>
    <w:p w14:paraId="6136E50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评标方法</w:t>
      </w:r>
    </w:p>
    <w:p w14:paraId="45816947">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评标方法</w:t>
      </w:r>
    </w:p>
    <w:p w14:paraId="2CCC458A">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本次招标采用技术标入围后商务标实行低价中标。</w:t>
      </w:r>
    </w:p>
    <w:p w14:paraId="0B2A8F6D">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应标资格审查：在“中国重汽e采通”应标报名时，按照第</w:t>
      </w:r>
      <w:r>
        <w:rPr>
          <w:rFonts w:hint="eastAsia" w:ascii="仿宋_GB2312" w:hAnsi="仿宋_GB2312" w:eastAsia="仿宋_GB2312" w:cs="仿宋_GB2312"/>
          <w:b w:val="0"/>
          <w:bCs w:val="0"/>
          <w:color w:val="auto"/>
          <w:sz w:val="28"/>
          <w:szCs w:val="28"/>
          <w:highlight w:val="none"/>
          <w:lang w:val="en-US" w:eastAsia="zh-CN"/>
        </w:rPr>
        <w:t>一</w:t>
      </w:r>
      <w:r>
        <w:rPr>
          <w:rFonts w:hint="eastAsia" w:ascii="仿宋_GB2312" w:hAnsi="仿宋_GB2312" w:eastAsia="仿宋_GB2312" w:cs="仿宋_GB2312"/>
          <w:b w:val="0"/>
          <w:bCs w:val="0"/>
          <w:color w:val="auto"/>
          <w:sz w:val="28"/>
          <w:szCs w:val="28"/>
          <w:highlight w:val="none"/>
        </w:rPr>
        <w:t>部分第</w:t>
      </w:r>
      <w:r>
        <w:rPr>
          <w:rFonts w:hint="eastAsia" w:ascii="仿宋_GB2312" w:hAnsi="仿宋_GB2312" w:eastAsia="仿宋_GB2312" w:cs="仿宋_GB2312"/>
          <w:b w:val="0"/>
          <w:bCs w:val="0"/>
          <w:color w:val="auto"/>
          <w:sz w:val="28"/>
          <w:szCs w:val="28"/>
          <w:highlight w:val="none"/>
          <w:lang w:val="en-US" w:eastAsia="zh-CN"/>
        </w:rPr>
        <w:t>四</w:t>
      </w:r>
      <w:r>
        <w:rPr>
          <w:rFonts w:hint="eastAsia" w:ascii="仿宋_GB2312" w:hAnsi="仿宋_GB2312" w:eastAsia="仿宋_GB2312" w:cs="仿宋_GB2312"/>
          <w:b w:val="0"/>
          <w:bCs w:val="0"/>
          <w:color w:val="auto"/>
          <w:sz w:val="28"/>
          <w:szCs w:val="28"/>
          <w:highlight w:val="none"/>
        </w:rPr>
        <w:t>条投标文件</w:t>
      </w:r>
      <w:r>
        <w:rPr>
          <w:rFonts w:hint="eastAsia" w:ascii="仿宋_GB2312" w:hAnsi="仿宋_GB2312" w:eastAsia="仿宋_GB2312" w:cs="仿宋_GB2312"/>
          <w:b w:val="0"/>
          <w:bCs w:val="0"/>
          <w:color w:val="auto"/>
          <w:sz w:val="28"/>
          <w:szCs w:val="28"/>
          <w:highlight w:val="none"/>
          <w:lang w:val="en-US" w:eastAsia="zh-CN"/>
        </w:rPr>
        <w:t>编制</w:t>
      </w:r>
      <w:r>
        <w:rPr>
          <w:rFonts w:hint="eastAsia" w:ascii="仿宋_GB2312" w:hAnsi="仿宋_GB2312" w:eastAsia="仿宋_GB2312" w:cs="仿宋_GB2312"/>
          <w:b w:val="0"/>
          <w:bCs w:val="0"/>
          <w:color w:val="auto"/>
          <w:sz w:val="28"/>
          <w:szCs w:val="28"/>
          <w:highlight w:val="none"/>
        </w:rPr>
        <w:t>资格证明文件中的</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-（12）</w:t>
      </w:r>
      <w:r>
        <w:rPr>
          <w:rFonts w:hint="eastAsia" w:ascii="仿宋_GB2312" w:hAnsi="仿宋_GB2312" w:eastAsia="仿宋_GB2312" w:cs="仿宋_GB2312"/>
          <w:b w:val="0"/>
          <w:bCs w:val="0"/>
          <w:color w:val="auto"/>
          <w:sz w:val="28"/>
          <w:szCs w:val="28"/>
          <w:highlight w:val="none"/>
        </w:rPr>
        <w:t>准备资料，上传完毕后，等待审核；</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仿宋_GB2312" w:hAnsi="仿宋_GB2312" w:eastAsia="仿宋_GB2312" w:cs="仿宋_GB2312"/>
          <w:b w:val="0"/>
          <w:bCs w:val="0"/>
          <w:color w:val="auto"/>
          <w:sz w:val="28"/>
          <w:szCs w:val="28"/>
          <w:highlight w:val="none"/>
          <w:lang w:val="en-US" w:eastAsia="zh-CN"/>
        </w:rPr>
        <w:t>评分详见</w:t>
      </w:r>
      <w:r>
        <w:rPr>
          <w:rFonts w:hint="eastAsia" w:ascii="仿宋_GB2312" w:hAnsi="仿宋_GB2312" w:eastAsia="仿宋_GB2312" w:cs="仿宋_GB2312"/>
          <w:b w:val="0"/>
          <w:bCs w:val="0"/>
          <w:color w:val="auto"/>
          <w:sz w:val="28"/>
          <w:szCs w:val="28"/>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商务标评审：商务条款相应确认→价格澄清→商务标评审</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lang w:val="en-US" w:eastAsia="zh-CN"/>
        </w:rPr>
        <w:t>实行二级商谈，每级商谈均可多轮报价</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；评审期间产生的商务价格澄清均由投标人在重汽e采通平台限时内完成提交；</w:t>
      </w:r>
    </w:p>
    <w:p w14:paraId="4B192B58">
      <w:pPr>
        <w:pStyle w:val="75"/>
        <w:keepNext w:val="0"/>
        <w:keepLines w:val="0"/>
        <w:pageBreakBefore w:val="0"/>
        <w:widowControl w:val="0"/>
        <w:numPr>
          <w:ilvl w:val="0"/>
          <w:numId w:val="19"/>
        </w:numPr>
        <w:kinsoku/>
        <w:wordWrap/>
        <w:overflowPunct/>
        <w:topLinePunct w:val="0"/>
        <w:autoSpaceDE/>
        <w:autoSpaceDN/>
        <w:bidi w:val="0"/>
        <w:adjustRightInd/>
        <w:snapToGrid/>
        <w:ind w:left="10" w:leftChars="0" w:firstLine="0"/>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rPr>
        <w:t>注意：投标人均需要自带笔记本电脑在重汽e采通进</w:t>
      </w:r>
      <w:bookmarkStart w:id="20" w:name="_GoBack"/>
      <w:bookmarkEnd w:id="20"/>
      <w:r>
        <w:rPr>
          <w:rFonts w:hint="eastAsia" w:ascii="仿宋_GB2312" w:hAnsi="仿宋_GB2312" w:eastAsia="仿宋_GB2312" w:cs="仿宋_GB2312"/>
          <w:b w:val="0"/>
          <w:bCs w:val="0"/>
          <w:color w:val="auto"/>
          <w:sz w:val="28"/>
          <w:szCs w:val="28"/>
          <w:highlight w:val="none"/>
        </w:rPr>
        <w:t>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评分标准</w:t>
      </w:r>
    </w:p>
    <w:p w14:paraId="0C3F9C19">
      <w:pPr>
        <w:pStyle w:val="10"/>
        <w:numPr>
          <w:ilvl w:val="0"/>
          <w:numId w:val="0"/>
        </w:numPr>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采用技术标入围后商务标实行低价中标模式，具体评分规则见下表：</w:t>
      </w:r>
    </w:p>
    <w:tbl>
      <w:tblPr>
        <w:tblStyle w:val="31"/>
        <w:tblW w:w="87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037"/>
        <w:gridCol w:w="738"/>
        <w:gridCol w:w="1431"/>
        <w:gridCol w:w="542"/>
        <w:gridCol w:w="5020"/>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7750EDFC">
            <w:pPr>
              <w:spacing w:line="320" w:lineRule="exact"/>
              <w:ind w:right="34" w:rightChars="16"/>
              <w:jc w:val="center"/>
              <w:rPr>
                <w:rFonts w:hint="eastAsia" w:ascii="黑体" w:hAnsi="黑体" w:eastAsia="黑体" w:cs="黑体"/>
                <w:b/>
                <w:sz w:val="21"/>
                <w:szCs w:val="21"/>
              </w:rPr>
            </w:pPr>
            <w:r>
              <w:rPr>
                <w:rFonts w:hint="eastAsia" w:ascii="黑体" w:hAnsi="黑体" w:eastAsia="黑体" w:cs="黑体"/>
                <w:b/>
                <w:sz w:val="21"/>
                <w:szCs w:val="21"/>
              </w:rPr>
              <w:t>评标</w:t>
            </w:r>
          </w:p>
          <w:p w14:paraId="6EDD4FD9">
            <w:pPr>
              <w:spacing w:line="320" w:lineRule="exact"/>
              <w:ind w:right="34" w:rightChars="16"/>
              <w:jc w:val="center"/>
              <w:rPr>
                <w:rFonts w:hint="eastAsia" w:ascii="黑体" w:hAnsi="黑体" w:eastAsia="黑体" w:cs="黑体"/>
                <w:b/>
                <w:sz w:val="21"/>
                <w:szCs w:val="21"/>
              </w:rPr>
            </w:pPr>
            <w:r>
              <w:rPr>
                <w:rFonts w:hint="eastAsia" w:ascii="黑体" w:hAnsi="黑体" w:eastAsia="黑体" w:cs="黑体"/>
                <w:b/>
                <w:sz w:val="21"/>
                <w:szCs w:val="21"/>
              </w:rPr>
              <w:t>因素</w:t>
            </w:r>
          </w:p>
        </w:tc>
        <w:tc>
          <w:tcPr>
            <w:tcW w:w="738"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rFonts w:hint="eastAsia" w:ascii="黑体" w:hAnsi="黑体" w:eastAsia="黑体" w:cs="黑体"/>
                <w:b/>
                <w:sz w:val="21"/>
                <w:szCs w:val="21"/>
              </w:rPr>
            </w:pPr>
            <w:r>
              <w:rPr>
                <w:rFonts w:hint="eastAsia" w:ascii="黑体" w:hAnsi="黑体" w:eastAsia="黑体" w:cs="黑体"/>
                <w:b/>
                <w:sz w:val="21"/>
                <w:szCs w:val="21"/>
              </w:rPr>
              <w:t>总分</w:t>
            </w:r>
          </w:p>
        </w:tc>
        <w:tc>
          <w:tcPr>
            <w:tcW w:w="1431"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ascii="黑体" w:hAnsi="黑体" w:eastAsia="黑体" w:cs="黑体"/>
                <w:b/>
                <w:sz w:val="21"/>
                <w:szCs w:val="21"/>
                <w:lang w:eastAsia="zh-CN"/>
              </w:rPr>
            </w:pPr>
            <w:r>
              <w:rPr>
                <w:rFonts w:hint="eastAsia" w:ascii="黑体" w:hAnsi="黑体" w:eastAsia="黑体" w:cs="黑体"/>
                <w:b/>
                <w:sz w:val="21"/>
                <w:szCs w:val="21"/>
              </w:rPr>
              <w:t>评审内容</w:t>
            </w:r>
          </w:p>
        </w:tc>
        <w:tc>
          <w:tcPr>
            <w:tcW w:w="542" w:type="dxa"/>
            <w:tcBorders>
              <w:top w:val="single" w:color="auto" w:sz="4" w:space="0"/>
              <w:left w:val="single" w:color="auto" w:sz="4" w:space="0"/>
              <w:bottom w:val="single" w:color="auto" w:sz="4" w:space="0"/>
              <w:right w:val="single" w:color="auto" w:sz="4" w:space="0"/>
            </w:tcBorders>
            <w:vAlign w:val="center"/>
          </w:tcPr>
          <w:p w14:paraId="2F3BD2A5">
            <w:pPr>
              <w:spacing w:line="320" w:lineRule="exact"/>
              <w:ind w:right="34" w:rightChars="16"/>
              <w:jc w:val="center"/>
              <w:rPr>
                <w:rFonts w:hint="eastAsia" w:ascii="黑体" w:hAnsi="黑体" w:eastAsia="黑体" w:cs="黑体"/>
                <w:b/>
                <w:sz w:val="21"/>
                <w:szCs w:val="21"/>
              </w:rPr>
            </w:pPr>
            <w:r>
              <w:rPr>
                <w:rFonts w:hint="eastAsia" w:ascii="黑体" w:hAnsi="黑体" w:eastAsia="黑体" w:cs="黑体"/>
                <w:b/>
                <w:sz w:val="21"/>
                <w:szCs w:val="21"/>
              </w:rPr>
              <w:t>最高得分</w:t>
            </w:r>
          </w:p>
        </w:tc>
        <w:tc>
          <w:tcPr>
            <w:tcW w:w="5020"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rFonts w:hint="eastAsia" w:ascii="黑体" w:hAnsi="黑体" w:eastAsia="黑体" w:cs="黑体"/>
                <w:b/>
                <w:sz w:val="21"/>
                <w:szCs w:val="21"/>
              </w:rPr>
            </w:pPr>
            <w:r>
              <w:rPr>
                <w:rFonts w:hint="eastAsia" w:ascii="黑体" w:hAnsi="黑体" w:eastAsia="黑体" w:cs="黑体"/>
                <w:b/>
                <w:sz w:val="21"/>
                <w:szCs w:val="21"/>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68" w:hRule="atLeast"/>
          <w:jc w:val="center"/>
        </w:trPr>
        <w:tc>
          <w:tcPr>
            <w:tcW w:w="1037"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1"/>
                <w:szCs w:val="21"/>
                <w:lang w:eastAsia="zh-CN"/>
              </w:rPr>
            </w:pPr>
            <w:r>
              <w:rPr>
                <w:rFonts w:hint="eastAsia" w:ascii="黑体" w:hAnsi="黑体" w:eastAsia="黑体" w:cs="黑体"/>
                <w:sz w:val="21"/>
                <w:szCs w:val="21"/>
              </w:rPr>
              <w:t>技术标</w:t>
            </w:r>
          </w:p>
        </w:tc>
        <w:tc>
          <w:tcPr>
            <w:tcW w:w="738"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100分</w:t>
            </w:r>
          </w:p>
        </w:tc>
        <w:tc>
          <w:tcPr>
            <w:tcW w:w="1431" w:type="dxa"/>
            <w:tcBorders>
              <w:top w:val="single" w:color="auto" w:sz="4" w:space="0"/>
              <w:left w:val="single" w:color="auto" w:sz="4" w:space="0"/>
              <w:right w:val="single" w:color="auto" w:sz="4" w:space="0"/>
            </w:tcBorders>
            <w:vAlign w:val="center"/>
          </w:tcPr>
          <w:p w14:paraId="5BF07162">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技术及实施方案</w:t>
            </w:r>
          </w:p>
        </w:tc>
        <w:tc>
          <w:tcPr>
            <w:tcW w:w="542"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40</w:t>
            </w:r>
          </w:p>
        </w:tc>
        <w:tc>
          <w:tcPr>
            <w:tcW w:w="5020" w:type="dxa"/>
            <w:tcBorders>
              <w:top w:val="single" w:color="auto" w:sz="4" w:space="0"/>
              <w:left w:val="single" w:color="auto" w:sz="4" w:space="0"/>
              <w:bottom w:val="single" w:color="auto" w:sz="4" w:space="0"/>
              <w:right w:val="single" w:color="auto" w:sz="4" w:space="0"/>
            </w:tcBorders>
            <w:vAlign w:val="center"/>
          </w:tcPr>
          <w:p w14:paraId="1EB6118B">
            <w:pPr>
              <w:tabs>
                <w:tab w:val="left" w:pos="7854"/>
              </w:tabs>
              <w:spacing w:line="280" w:lineRule="exact"/>
              <w:rPr>
                <w:rFonts w:hint="eastAsia" w:ascii="黑体" w:hAnsi="黑体" w:eastAsia="黑体" w:cs="黑体"/>
                <w:sz w:val="21"/>
                <w:szCs w:val="21"/>
                <w:highlight w:val="none"/>
                <w:lang w:eastAsia="zh-CN"/>
              </w:rPr>
            </w:pP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1</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rPr>
              <w:t>对招标</w:t>
            </w:r>
            <w:r>
              <w:rPr>
                <w:rFonts w:hint="eastAsia" w:ascii="黑体" w:hAnsi="黑体" w:eastAsia="黑体" w:cs="黑体"/>
                <w:sz w:val="21"/>
                <w:szCs w:val="21"/>
                <w:highlight w:val="none"/>
                <w:lang w:val="en-US" w:eastAsia="zh-CN"/>
              </w:rPr>
              <w:t>文件</w:t>
            </w:r>
            <w:r>
              <w:rPr>
                <w:rFonts w:hint="eastAsia" w:ascii="黑体" w:hAnsi="黑体" w:eastAsia="黑体" w:cs="黑体"/>
                <w:sz w:val="21"/>
                <w:szCs w:val="21"/>
                <w:highlight w:val="none"/>
              </w:rPr>
              <w:t>技术规格、参数的响应情况</w:t>
            </w:r>
            <w:r>
              <w:rPr>
                <w:rFonts w:hint="eastAsia" w:ascii="黑体" w:hAnsi="黑体" w:eastAsia="黑体" w:cs="黑体"/>
                <w:sz w:val="21"/>
                <w:szCs w:val="21"/>
                <w:highlight w:val="none"/>
                <w:lang w:eastAsia="zh-CN"/>
              </w:rPr>
              <w:t>，关键技术指标描述全面性、准确性、优越性（</w:t>
            </w:r>
            <w:r>
              <w:rPr>
                <w:rFonts w:hint="eastAsia" w:ascii="黑体" w:hAnsi="黑体" w:eastAsia="黑体" w:cs="黑体"/>
                <w:sz w:val="21"/>
                <w:szCs w:val="21"/>
                <w:highlight w:val="none"/>
                <w:lang w:val="en-US" w:eastAsia="zh-CN"/>
              </w:rPr>
              <w:t>10分</w:t>
            </w:r>
            <w:r>
              <w:rPr>
                <w:rFonts w:hint="eastAsia" w:ascii="黑体" w:hAnsi="黑体" w:eastAsia="黑体" w:cs="黑体"/>
                <w:sz w:val="21"/>
                <w:szCs w:val="21"/>
                <w:highlight w:val="none"/>
                <w:lang w:eastAsia="zh-CN"/>
              </w:rPr>
              <w:t>）</w:t>
            </w:r>
          </w:p>
          <w:p w14:paraId="0D3158A6">
            <w:pPr>
              <w:tabs>
                <w:tab w:val="left" w:pos="7854"/>
              </w:tabs>
              <w:spacing w:line="280" w:lineRule="exact"/>
              <w:rPr>
                <w:rFonts w:hint="eastAsia" w:ascii="黑体" w:hAnsi="黑体" w:eastAsia="黑体" w:cs="黑体"/>
                <w:sz w:val="21"/>
                <w:szCs w:val="21"/>
                <w:highlight w:val="none"/>
                <w:lang w:eastAsia="zh-CN"/>
              </w:rPr>
            </w:pP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2</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生产周期：</w:t>
            </w:r>
            <w:r>
              <w:rPr>
                <w:rFonts w:hint="eastAsia" w:ascii="黑体" w:hAnsi="黑体" w:eastAsia="黑体" w:cs="黑体"/>
                <w:sz w:val="21"/>
                <w:szCs w:val="21"/>
                <w:highlight w:val="none"/>
              </w:rPr>
              <w:t>确保满足工期基本要求或能在保证质量的前提下提前完工的生产计划</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确保供货及时的措施</w:t>
            </w: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15分</w:t>
            </w:r>
            <w:r>
              <w:rPr>
                <w:rFonts w:hint="eastAsia" w:ascii="黑体" w:hAnsi="黑体" w:eastAsia="黑体" w:cs="黑体"/>
                <w:sz w:val="21"/>
                <w:szCs w:val="21"/>
                <w:highlight w:val="none"/>
                <w:lang w:eastAsia="zh-CN"/>
              </w:rPr>
              <w:t>）</w:t>
            </w:r>
          </w:p>
          <w:p w14:paraId="37CA515E">
            <w:pPr>
              <w:tabs>
                <w:tab w:val="left" w:pos="7854"/>
              </w:tabs>
              <w:spacing w:line="280" w:lineRule="exact"/>
              <w:rPr>
                <w:rFonts w:hint="eastAsia" w:ascii="黑体" w:hAnsi="黑体" w:eastAsia="黑体" w:cs="黑体"/>
                <w:sz w:val="21"/>
                <w:szCs w:val="21"/>
                <w:highlight w:val="none"/>
              </w:rPr>
            </w:pPr>
            <w:r>
              <w:rPr>
                <w:rFonts w:hint="eastAsia" w:ascii="黑体" w:hAnsi="黑体" w:eastAsia="黑体" w:cs="黑体"/>
                <w:sz w:val="21"/>
                <w:szCs w:val="21"/>
                <w:highlight w:val="none"/>
                <w:lang w:eastAsia="zh-CN"/>
              </w:rPr>
              <w:t>（</w:t>
            </w:r>
            <w:r>
              <w:rPr>
                <w:rFonts w:hint="eastAsia" w:ascii="黑体" w:hAnsi="黑体" w:eastAsia="黑体" w:cs="黑体"/>
                <w:sz w:val="21"/>
                <w:szCs w:val="21"/>
                <w:highlight w:val="none"/>
                <w:lang w:val="en-US" w:eastAsia="zh-CN"/>
              </w:rPr>
              <w:t>3</w:t>
            </w:r>
            <w:r>
              <w:rPr>
                <w:rFonts w:hint="eastAsia" w:ascii="黑体" w:hAnsi="黑体" w:eastAsia="黑体" w:cs="黑体"/>
                <w:sz w:val="21"/>
                <w:szCs w:val="21"/>
                <w:highlight w:val="none"/>
                <w:lang w:eastAsia="zh-CN"/>
              </w:rPr>
              <w:t>）项目实施方案的</w:t>
            </w:r>
            <w:r>
              <w:rPr>
                <w:rFonts w:hint="eastAsia" w:ascii="黑体" w:hAnsi="黑体" w:eastAsia="黑体" w:cs="黑体"/>
                <w:sz w:val="21"/>
                <w:szCs w:val="21"/>
                <w:highlight w:val="none"/>
                <w:lang w:val="en-US" w:eastAsia="zh-CN"/>
              </w:rPr>
              <w:t>科学性、合理性（15分）</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28" w:hRule="atLeast"/>
          <w:jc w:val="center"/>
        </w:trPr>
        <w:tc>
          <w:tcPr>
            <w:tcW w:w="1037" w:type="dxa"/>
            <w:vMerge w:val="continue"/>
            <w:tcBorders>
              <w:left w:val="single" w:color="auto" w:sz="4" w:space="0"/>
              <w:right w:val="single" w:color="auto" w:sz="4" w:space="0"/>
            </w:tcBorders>
            <w:vAlign w:val="center"/>
          </w:tcPr>
          <w:p w14:paraId="420C60BA">
            <w:pPr>
              <w:widowControl/>
              <w:jc w:val="center"/>
              <w:rPr>
                <w:rFonts w:hint="eastAsia" w:ascii="黑体" w:hAnsi="黑体" w:eastAsia="黑体" w:cs="黑体"/>
                <w:sz w:val="21"/>
                <w:szCs w:val="21"/>
              </w:rPr>
            </w:pPr>
          </w:p>
        </w:tc>
        <w:tc>
          <w:tcPr>
            <w:tcW w:w="738" w:type="dxa"/>
            <w:vMerge w:val="continue"/>
            <w:tcBorders>
              <w:left w:val="single" w:color="auto" w:sz="4" w:space="0"/>
              <w:right w:val="single" w:color="auto" w:sz="4" w:space="0"/>
            </w:tcBorders>
            <w:vAlign w:val="center"/>
          </w:tcPr>
          <w:p w14:paraId="6FE7A64B">
            <w:pPr>
              <w:widowControl/>
              <w:jc w:val="center"/>
              <w:rPr>
                <w:rFonts w:hint="eastAsia" w:ascii="黑体" w:hAnsi="黑体" w:eastAsia="黑体" w:cs="黑体"/>
                <w:sz w:val="21"/>
                <w:szCs w:val="21"/>
              </w:rPr>
            </w:pPr>
          </w:p>
        </w:tc>
        <w:tc>
          <w:tcPr>
            <w:tcW w:w="1431" w:type="dxa"/>
            <w:tcBorders>
              <w:top w:val="single" w:color="auto" w:sz="4" w:space="0"/>
              <w:left w:val="single" w:color="auto" w:sz="4" w:space="0"/>
              <w:bottom w:val="single" w:color="auto" w:sz="4" w:space="0"/>
              <w:right w:val="single" w:color="auto" w:sz="4" w:space="0"/>
            </w:tcBorders>
            <w:vAlign w:val="center"/>
          </w:tcPr>
          <w:p w14:paraId="24E38C93">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产品质量及保证措施</w:t>
            </w:r>
          </w:p>
        </w:tc>
        <w:tc>
          <w:tcPr>
            <w:tcW w:w="542"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20</w:t>
            </w:r>
          </w:p>
        </w:tc>
        <w:tc>
          <w:tcPr>
            <w:tcW w:w="5020" w:type="dxa"/>
            <w:tcBorders>
              <w:top w:val="single" w:color="auto" w:sz="4" w:space="0"/>
              <w:left w:val="single" w:color="auto" w:sz="4" w:space="0"/>
              <w:bottom w:val="nil"/>
              <w:right w:val="single" w:color="auto" w:sz="4" w:space="0"/>
            </w:tcBorders>
            <w:vAlign w:val="center"/>
          </w:tcPr>
          <w:p w14:paraId="0A63E546">
            <w:pPr>
              <w:tabs>
                <w:tab w:val="left" w:pos="7854"/>
              </w:tabs>
              <w:spacing w:line="280" w:lineRule="exact"/>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eastAsia="zh-CN"/>
              </w:rPr>
              <w:t>产品技术先进性、成熟度，性能稳定性，</w:t>
            </w:r>
            <w:r>
              <w:rPr>
                <w:rFonts w:hint="eastAsia" w:ascii="黑体" w:hAnsi="黑体" w:eastAsia="黑体" w:cs="黑体"/>
                <w:sz w:val="21"/>
                <w:szCs w:val="21"/>
                <w:highlight w:val="none"/>
                <w:lang w:val="en-US" w:eastAsia="zh-CN"/>
              </w:rPr>
              <w:t>可提供</w:t>
            </w:r>
            <w:r>
              <w:rPr>
                <w:rFonts w:hint="eastAsia" w:ascii="黑体" w:hAnsi="黑体" w:eastAsia="黑体" w:cs="黑体"/>
                <w:sz w:val="21"/>
                <w:szCs w:val="21"/>
                <w:highlight w:val="none"/>
                <w:lang w:eastAsia="zh-CN"/>
              </w:rPr>
              <w:t>重要或权威客户产品认可证明文件，</w:t>
            </w:r>
            <w:r>
              <w:rPr>
                <w:rFonts w:hint="eastAsia" w:ascii="黑体" w:hAnsi="黑体" w:eastAsia="黑体" w:cs="黑体"/>
                <w:sz w:val="21"/>
                <w:szCs w:val="21"/>
                <w:highlight w:val="none"/>
                <w:lang w:val="en-US" w:eastAsia="zh-CN"/>
              </w:rPr>
              <w:t>质量保障措施的完善性。</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93" w:hRule="atLeast"/>
          <w:jc w:val="center"/>
        </w:trPr>
        <w:tc>
          <w:tcPr>
            <w:tcW w:w="1037" w:type="dxa"/>
            <w:vMerge w:val="continue"/>
            <w:tcBorders>
              <w:left w:val="single" w:color="auto" w:sz="4" w:space="0"/>
              <w:right w:val="single" w:color="auto" w:sz="4" w:space="0"/>
            </w:tcBorders>
            <w:vAlign w:val="center"/>
          </w:tcPr>
          <w:p w14:paraId="2519AB87">
            <w:pPr>
              <w:widowControl/>
              <w:jc w:val="center"/>
              <w:rPr>
                <w:rFonts w:hint="eastAsia" w:ascii="黑体" w:hAnsi="黑体" w:eastAsia="黑体" w:cs="黑体"/>
                <w:sz w:val="21"/>
                <w:szCs w:val="21"/>
              </w:rPr>
            </w:pPr>
          </w:p>
        </w:tc>
        <w:tc>
          <w:tcPr>
            <w:tcW w:w="738" w:type="dxa"/>
            <w:vMerge w:val="continue"/>
            <w:tcBorders>
              <w:left w:val="single" w:color="auto" w:sz="4" w:space="0"/>
              <w:right w:val="single" w:color="auto" w:sz="4" w:space="0"/>
            </w:tcBorders>
            <w:vAlign w:val="center"/>
          </w:tcPr>
          <w:p w14:paraId="64D61CCD">
            <w:pPr>
              <w:widowControl/>
              <w:jc w:val="center"/>
              <w:rPr>
                <w:rFonts w:hint="eastAsia" w:ascii="黑体" w:hAnsi="黑体" w:eastAsia="黑体" w:cs="黑体"/>
                <w:sz w:val="21"/>
                <w:szCs w:val="21"/>
              </w:rPr>
            </w:pPr>
          </w:p>
        </w:tc>
        <w:tc>
          <w:tcPr>
            <w:tcW w:w="1431" w:type="dxa"/>
            <w:tcBorders>
              <w:top w:val="single" w:color="auto" w:sz="4" w:space="0"/>
              <w:left w:val="single" w:color="auto" w:sz="4" w:space="0"/>
              <w:bottom w:val="single" w:color="auto" w:sz="4" w:space="0"/>
              <w:right w:val="single" w:color="auto" w:sz="4" w:space="0"/>
            </w:tcBorders>
            <w:vAlign w:val="center"/>
          </w:tcPr>
          <w:p w14:paraId="051BDE9C">
            <w:pPr>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质保及售后服务</w:t>
            </w:r>
          </w:p>
        </w:tc>
        <w:tc>
          <w:tcPr>
            <w:tcW w:w="542" w:type="dxa"/>
            <w:tcBorders>
              <w:top w:val="single" w:color="auto" w:sz="4" w:space="0"/>
              <w:left w:val="single" w:color="auto" w:sz="4" w:space="0"/>
              <w:bottom w:val="nil"/>
              <w:right w:val="single" w:color="auto" w:sz="4" w:space="0"/>
            </w:tcBorders>
            <w:vAlign w:val="center"/>
          </w:tcPr>
          <w:p w14:paraId="1937BCFF">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20</w:t>
            </w:r>
          </w:p>
        </w:tc>
        <w:tc>
          <w:tcPr>
            <w:tcW w:w="5020" w:type="dxa"/>
            <w:tcBorders>
              <w:top w:val="single" w:color="auto" w:sz="4" w:space="0"/>
              <w:left w:val="single" w:color="auto" w:sz="4" w:space="0"/>
              <w:bottom w:val="nil"/>
              <w:right w:val="single" w:color="auto" w:sz="4" w:space="0"/>
            </w:tcBorders>
            <w:vAlign w:val="center"/>
          </w:tcPr>
          <w:p w14:paraId="0A5A5091">
            <w:pPr>
              <w:tabs>
                <w:tab w:val="left" w:pos="7854"/>
              </w:tabs>
              <w:spacing w:line="280" w:lineRule="exact"/>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eastAsia="zh-CN"/>
              </w:rPr>
              <w:t>质保期响应或优于招标文件要求的</w:t>
            </w:r>
            <w:r>
              <w:rPr>
                <w:rFonts w:hint="eastAsia" w:ascii="黑体" w:hAnsi="黑体" w:eastAsia="黑体" w:cs="黑体"/>
                <w:sz w:val="21"/>
                <w:szCs w:val="21"/>
                <w:highlight w:val="none"/>
                <w:lang w:val="en-US" w:eastAsia="zh-CN"/>
              </w:rPr>
              <w:t>情况；</w:t>
            </w:r>
            <w:r>
              <w:rPr>
                <w:rFonts w:hint="eastAsia" w:ascii="黑体" w:hAnsi="黑体" w:eastAsia="黑体" w:cs="黑体"/>
                <w:sz w:val="21"/>
                <w:szCs w:val="21"/>
                <w:highlight w:val="none"/>
                <w:lang w:eastAsia="zh-CN"/>
              </w:rPr>
              <w:t>售后服务体系、</w:t>
            </w:r>
            <w:r>
              <w:rPr>
                <w:rFonts w:hint="eastAsia" w:ascii="黑体" w:hAnsi="黑体" w:eastAsia="黑体" w:cs="黑体"/>
                <w:sz w:val="21"/>
                <w:szCs w:val="21"/>
                <w:highlight w:val="none"/>
                <w:lang w:val="en-US" w:eastAsia="zh-CN"/>
              </w:rPr>
              <w:t>措施的完善性。</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20" w:hRule="atLeast"/>
          <w:jc w:val="center"/>
        </w:trPr>
        <w:tc>
          <w:tcPr>
            <w:tcW w:w="1037" w:type="dxa"/>
            <w:vMerge w:val="continue"/>
            <w:tcBorders>
              <w:left w:val="single" w:color="auto" w:sz="4" w:space="0"/>
              <w:right w:val="single" w:color="auto" w:sz="4" w:space="0"/>
            </w:tcBorders>
            <w:vAlign w:val="center"/>
          </w:tcPr>
          <w:p w14:paraId="1057760D">
            <w:pPr>
              <w:widowControl/>
              <w:jc w:val="center"/>
              <w:rPr>
                <w:rFonts w:hint="eastAsia" w:ascii="黑体" w:hAnsi="黑体" w:eastAsia="黑体" w:cs="黑体"/>
                <w:sz w:val="21"/>
                <w:szCs w:val="21"/>
              </w:rPr>
            </w:pPr>
          </w:p>
        </w:tc>
        <w:tc>
          <w:tcPr>
            <w:tcW w:w="738" w:type="dxa"/>
            <w:vMerge w:val="continue"/>
            <w:tcBorders>
              <w:left w:val="single" w:color="auto" w:sz="4" w:space="0"/>
              <w:right w:val="single" w:color="auto" w:sz="4" w:space="0"/>
            </w:tcBorders>
            <w:vAlign w:val="center"/>
          </w:tcPr>
          <w:p w14:paraId="065889BF">
            <w:pPr>
              <w:widowControl/>
              <w:jc w:val="center"/>
              <w:rPr>
                <w:rFonts w:hint="eastAsia" w:ascii="黑体" w:hAnsi="黑体" w:eastAsia="黑体" w:cs="黑体"/>
                <w:sz w:val="21"/>
                <w:szCs w:val="21"/>
              </w:rPr>
            </w:pPr>
          </w:p>
        </w:tc>
        <w:tc>
          <w:tcPr>
            <w:tcW w:w="1431" w:type="dxa"/>
            <w:tcBorders>
              <w:top w:val="single" w:color="auto" w:sz="4" w:space="0"/>
              <w:left w:val="single" w:color="auto" w:sz="4" w:space="0"/>
              <w:bottom w:val="single" w:color="auto" w:sz="4" w:space="0"/>
              <w:right w:val="single" w:color="auto" w:sz="4" w:space="0"/>
            </w:tcBorders>
            <w:vAlign w:val="center"/>
          </w:tcPr>
          <w:p w14:paraId="02248864">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同类项目</w:t>
            </w:r>
          </w:p>
          <w:p w14:paraId="0DA920A2">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业绩</w:t>
            </w:r>
          </w:p>
        </w:tc>
        <w:tc>
          <w:tcPr>
            <w:tcW w:w="542" w:type="dxa"/>
            <w:tcBorders>
              <w:top w:val="single" w:color="auto" w:sz="4" w:space="0"/>
              <w:left w:val="single" w:color="auto" w:sz="4" w:space="0"/>
              <w:bottom w:val="nil"/>
              <w:right w:val="single" w:color="auto" w:sz="4" w:space="0"/>
            </w:tcBorders>
            <w:vAlign w:val="center"/>
          </w:tcPr>
          <w:p w14:paraId="2C559BD4">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10</w:t>
            </w:r>
          </w:p>
        </w:tc>
        <w:tc>
          <w:tcPr>
            <w:tcW w:w="5020" w:type="dxa"/>
            <w:tcBorders>
              <w:top w:val="single" w:color="auto" w:sz="4" w:space="0"/>
              <w:left w:val="single" w:color="auto" w:sz="4" w:space="0"/>
              <w:bottom w:val="nil"/>
              <w:right w:val="single" w:color="auto" w:sz="4" w:space="0"/>
            </w:tcBorders>
            <w:vAlign w:val="center"/>
          </w:tcPr>
          <w:p w14:paraId="6B47D799">
            <w:pPr>
              <w:pStyle w:val="94"/>
              <w:rPr>
                <w:rFonts w:hint="eastAsia" w:ascii="黑体" w:hAnsi="黑体" w:eastAsia="黑体" w:cs="黑体"/>
                <w:sz w:val="21"/>
                <w:szCs w:val="21"/>
                <w:highlight w:val="none"/>
                <w:lang w:eastAsia="zh-CN"/>
              </w:rPr>
            </w:pPr>
            <w:r>
              <w:rPr>
                <w:rFonts w:hint="eastAsia" w:ascii="黑体" w:hAnsi="黑体" w:eastAsia="黑体" w:cs="黑体"/>
                <w:sz w:val="21"/>
                <w:szCs w:val="21"/>
                <w:highlight w:val="none"/>
                <w:lang w:eastAsia="zh-CN"/>
              </w:rPr>
              <w:t>投标人2023年1月1日至今，提供类似业务</w:t>
            </w:r>
            <w:r>
              <w:rPr>
                <w:rFonts w:hint="eastAsia" w:ascii="黑体" w:hAnsi="黑体" w:eastAsia="黑体" w:cs="黑体"/>
                <w:sz w:val="21"/>
                <w:szCs w:val="21"/>
                <w:highlight w:val="none"/>
                <w:lang w:val="en-US" w:eastAsia="zh-CN"/>
              </w:rPr>
              <w:t>实例</w:t>
            </w:r>
            <w:r>
              <w:rPr>
                <w:rFonts w:hint="eastAsia" w:ascii="黑体" w:hAnsi="黑体" w:eastAsia="黑体" w:cs="黑体"/>
                <w:sz w:val="21"/>
                <w:szCs w:val="21"/>
                <w:highlight w:val="none"/>
                <w:lang w:eastAsia="zh-CN"/>
              </w:rPr>
              <w:t>，并视业绩多少赋5-10分。</w:t>
            </w:r>
          </w:p>
        </w:tc>
      </w:tr>
      <w:tr w14:paraId="773165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20" w:hRule="atLeast"/>
          <w:jc w:val="center"/>
        </w:trPr>
        <w:tc>
          <w:tcPr>
            <w:tcW w:w="1037" w:type="dxa"/>
            <w:vMerge w:val="continue"/>
            <w:tcBorders>
              <w:left w:val="single" w:color="auto" w:sz="4" w:space="0"/>
              <w:right w:val="single" w:color="auto" w:sz="4" w:space="0"/>
            </w:tcBorders>
            <w:vAlign w:val="center"/>
          </w:tcPr>
          <w:p w14:paraId="13A83383">
            <w:pPr>
              <w:widowControl/>
              <w:jc w:val="center"/>
              <w:rPr>
                <w:rFonts w:hint="eastAsia" w:ascii="黑体" w:hAnsi="黑体" w:eastAsia="黑体" w:cs="黑体"/>
                <w:sz w:val="21"/>
                <w:szCs w:val="21"/>
              </w:rPr>
            </w:pPr>
          </w:p>
        </w:tc>
        <w:tc>
          <w:tcPr>
            <w:tcW w:w="738" w:type="dxa"/>
            <w:vMerge w:val="continue"/>
            <w:tcBorders>
              <w:left w:val="single" w:color="auto" w:sz="4" w:space="0"/>
              <w:right w:val="single" w:color="auto" w:sz="4" w:space="0"/>
            </w:tcBorders>
            <w:vAlign w:val="center"/>
          </w:tcPr>
          <w:p w14:paraId="5D50E526">
            <w:pPr>
              <w:widowControl/>
              <w:jc w:val="center"/>
              <w:rPr>
                <w:rFonts w:hint="eastAsia" w:ascii="黑体" w:hAnsi="黑体" w:eastAsia="黑体" w:cs="黑体"/>
                <w:sz w:val="21"/>
                <w:szCs w:val="21"/>
              </w:rPr>
            </w:pPr>
          </w:p>
        </w:tc>
        <w:tc>
          <w:tcPr>
            <w:tcW w:w="1431" w:type="dxa"/>
            <w:tcBorders>
              <w:top w:val="single" w:color="auto" w:sz="4" w:space="0"/>
              <w:left w:val="single" w:color="auto" w:sz="4" w:space="0"/>
              <w:bottom w:val="single" w:color="auto" w:sz="4" w:space="0"/>
              <w:right w:val="single" w:color="auto" w:sz="4" w:space="0"/>
            </w:tcBorders>
            <w:vAlign w:val="center"/>
          </w:tcPr>
          <w:p w14:paraId="4B7558FB">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项目配合施工、验收等现场答疑表现</w:t>
            </w:r>
          </w:p>
        </w:tc>
        <w:tc>
          <w:tcPr>
            <w:tcW w:w="542" w:type="dxa"/>
            <w:tcBorders>
              <w:top w:val="single" w:color="auto" w:sz="4" w:space="0"/>
              <w:left w:val="single" w:color="auto" w:sz="4" w:space="0"/>
              <w:bottom w:val="single" w:color="auto" w:sz="4" w:space="0"/>
              <w:right w:val="single" w:color="auto" w:sz="4" w:space="0"/>
            </w:tcBorders>
            <w:vAlign w:val="center"/>
          </w:tcPr>
          <w:p w14:paraId="21EA9445">
            <w:pPr>
              <w:jc w:val="center"/>
              <w:rPr>
                <w:rFonts w:hint="eastAsia" w:ascii="黑体" w:hAnsi="黑体" w:eastAsia="黑体" w:cs="黑体"/>
                <w:sz w:val="21"/>
                <w:szCs w:val="21"/>
                <w:highlight w:val="none"/>
                <w:lang w:val="en-US" w:eastAsia="zh-CN"/>
              </w:rPr>
            </w:pPr>
            <w:r>
              <w:rPr>
                <w:rFonts w:hint="eastAsia" w:ascii="黑体" w:hAnsi="黑体" w:eastAsia="黑体" w:cs="黑体"/>
                <w:sz w:val="21"/>
                <w:szCs w:val="21"/>
                <w:highlight w:val="none"/>
                <w:lang w:val="en-US" w:eastAsia="zh-CN"/>
              </w:rPr>
              <w:t>10</w:t>
            </w:r>
          </w:p>
        </w:tc>
        <w:tc>
          <w:tcPr>
            <w:tcW w:w="5020" w:type="dxa"/>
            <w:tcBorders>
              <w:top w:val="single" w:color="auto" w:sz="4" w:space="0"/>
              <w:left w:val="single" w:color="auto" w:sz="4" w:space="0"/>
              <w:bottom w:val="single" w:color="auto" w:sz="4" w:space="0"/>
              <w:right w:val="single" w:color="auto" w:sz="4" w:space="0"/>
            </w:tcBorders>
            <w:vAlign w:val="center"/>
          </w:tcPr>
          <w:p w14:paraId="78644D14">
            <w:pPr>
              <w:pStyle w:val="94"/>
              <w:rPr>
                <w:rFonts w:hint="eastAsia" w:ascii="黑体" w:hAnsi="黑体" w:eastAsia="黑体" w:cs="黑体"/>
                <w:sz w:val="21"/>
                <w:szCs w:val="21"/>
                <w:highlight w:val="none"/>
                <w:lang w:eastAsia="zh-CN"/>
              </w:rPr>
            </w:pPr>
            <w:r>
              <w:rPr>
                <w:rFonts w:hint="eastAsia" w:ascii="黑体" w:hAnsi="黑体" w:eastAsia="黑体" w:cs="黑体"/>
                <w:sz w:val="21"/>
                <w:szCs w:val="21"/>
                <w:highlight w:val="none"/>
                <w:lang w:eastAsia="zh-CN"/>
              </w:rPr>
              <w:t>投标人代表对现场安装、调试、验收阶段的配合情况，就项目难点回答评标专家现场提问的情况，0-10分。</w:t>
            </w:r>
          </w:p>
        </w:tc>
      </w:tr>
      <w:tr w14:paraId="2D992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857" w:hRule="atLeast"/>
          <w:jc w:val="center"/>
        </w:trPr>
        <w:tc>
          <w:tcPr>
            <w:tcW w:w="8768" w:type="dxa"/>
            <w:gridSpan w:val="5"/>
            <w:tcBorders>
              <w:top w:val="single" w:color="auto" w:sz="4" w:space="0"/>
              <w:left w:val="single" w:color="auto" w:sz="4" w:space="0"/>
              <w:bottom w:val="single" w:color="auto" w:sz="4" w:space="0"/>
              <w:right w:val="single" w:color="auto" w:sz="4" w:space="0"/>
            </w:tcBorders>
            <w:vAlign w:val="center"/>
          </w:tcPr>
          <w:p w14:paraId="0F70E554">
            <w:pPr>
              <w:rPr>
                <w:rFonts w:hint="eastAsia" w:ascii="黑体" w:hAnsi="黑体" w:eastAsia="黑体" w:cs="黑体"/>
                <w:sz w:val="21"/>
                <w:szCs w:val="21"/>
                <w:lang w:eastAsia="zh-CN"/>
              </w:rPr>
            </w:pPr>
            <w:r>
              <w:rPr>
                <w:rFonts w:hint="eastAsia" w:ascii="黑体" w:hAnsi="黑体" w:eastAsia="黑体" w:cs="黑体"/>
                <w:sz w:val="21"/>
                <w:szCs w:val="21"/>
              </w:rPr>
              <w:t>备注：</w:t>
            </w:r>
          </w:p>
          <w:p w14:paraId="307230A7">
            <w:pPr>
              <w:rPr>
                <w:rFonts w:hint="eastAsia" w:ascii="黑体" w:hAnsi="黑体" w:eastAsia="黑体" w:cs="黑体"/>
                <w:sz w:val="21"/>
                <w:szCs w:val="21"/>
              </w:rPr>
            </w:pPr>
            <w:r>
              <w:rPr>
                <w:rFonts w:hint="eastAsia" w:ascii="黑体" w:hAnsi="黑体" w:eastAsia="黑体" w:cs="黑体"/>
                <w:sz w:val="21"/>
                <w:szCs w:val="21"/>
                <w:lang w:val="en-US" w:eastAsia="zh-CN"/>
              </w:rPr>
              <w:t>1.</w:t>
            </w:r>
            <w:r>
              <w:rPr>
                <w:rFonts w:hint="eastAsia" w:ascii="黑体" w:hAnsi="黑体" w:eastAsia="黑体" w:cs="黑体"/>
                <w:sz w:val="21"/>
                <w:szCs w:val="21"/>
              </w:rPr>
              <w:t>通过初审者为有效投标。</w:t>
            </w:r>
          </w:p>
          <w:p w14:paraId="70DCB6AF">
            <w:pPr>
              <w:rPr>
                <w:rFonts w:hint="eastAsia" w:ascii="黑体" w:hAnsi="黑体" w:eastAsia="黑体" w:cs="黑体"/>
                <w:sz w:val="21"/>
                <w:szCs w:val="21"/>
              </w:rPr>
            </w:pPr>
            <w:r>
              <w:rPr>
                <w:rFonts w:hint="eastAsia" w:ascii="黑体" w:hAnsi="黑体" w:eastAsia="黑体" w:cs="黑体"/>
                <w:sz w:val="21"/>
                <w:szCs w:val="21"/>
                <w:lang w:val="en-US" w:eastAsia="zh-CN"/>
              </w:rPr>
              <w:t>2.</w:t>
            </w:r>
            <w:r>
              <w:rPr>
                <w:rFonts w:hint="eastAsia" w:ascii="黑体" w:hAnsi="黑体" w:eastAsia="黑体" w:cs="黑体"/>
                <w:sz w:val="21"/>
                <w:szCs w:val="21"/>
              </w:rPr>
              <w:t>评委打分超过得分界限或未按本方法赋分时，该评委的打分按废票处理。</w:t>
            </w:r>
          </w:p>
          <w:p w14:paraId="0777C358">
            <w:pP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w:t>
            </w:r>
            <w:r>
              <w:rPr>
                <w:rFonts w:hint="eastAsia" w:ascii="黑体" w:hAnsi="黑体" w:eastAsia="黑体" w:cs="黑体"/>
                <w:sz w:val="21"/>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仿宋_GB2312" w:hAnsi="仿宋_GB2312" w:eastAsia="仿宋_GB2312" w:cs="仿宋_GB2312"/>
          <w:b w:val="0"/>
          <w:bCs w:val="0"/>
          <w:sz w:val="28"/>
          <w:szCs w:val="28"/>
          <w:highlight w:val="none"/>
          <w:lang w:eastAsia="zh-CN"/>
        </w:rPr>
      </w:pPr>
      <w:r>
        <w:rPr>
          <w:rFonts w:hint="eastAsia" w:ascii="仿宋_GB2312" w:hAnsi="仿宋_GB2312" w:eastAsia="仿宋_GB2312" w:cs="仿宋_GB2312"/>
          <w:b w:val="0"/>
          <w:bCs w:val="0"/>
          <w:sz w:val="28"/>
          <w:szCs w:val="28"/>
          <w:highlight w:val="none"/>
        </w:rPr>
        <w:t>本项目只产生</w:t>
      </w:r>
      <w:r>
        <w:rPr>
          <w:rFonts w:hint="eastAsia" w:ascii="仿宋_GB2312" w:hAnsi="仿宋_GB2312" w:eastAsia="仿宋_GB2312" w:cs="仿宋_GB2312"/>
          <w:b w:val="0"/>
          <w:bCs w:val="0"/>
          <w:sz w:val="28"/>
          <w:szCs w:val="28"/>
          <w:highlight w:val="none"/>
          <w:u w:val="single"/>
          <w:lang w:val="en-US" w:eastAsia="zh-CN"/>
        </w:rPr>
        <w:t xml:space="preserve">  1  </w:t>
      </w:r>
      <w:r>
        <w:rPr>
          <w:rFonts w:hint="eastAsia" w:ascii="仿宋_GB2312" w:hAnsi="仿宋_GB2312" w:eastAsia="仿宋_GB2312" w:cs="仿宋_GB2312"/>
          <w:b w:val="0"/>
          <w:bCs w:val="0"/>
          <w:sz w:val="28"/>
          <w:szCs w:val="28"/>
          <w:highlight w:val="none"/>
        </w:rPr>
        <w:t>个中标人。中标人签订合同前须进行最终审查。最终审查的对象</w:t>
      </w:r>
      <w:r>
        <w:rPr>
          <w:rFonts w:hint="eastAsia" w:ascii="仿宋_GB2312" w:hAnsi="仿宋_GB2312" w:eastAsia="仿宋_GB2312" w:cs="仿宋_GB2312"/>
          <w:b w:val="0"/>
          <w:bCs w:val="0"/>
          <w:sz w:val="28"/>
          <w:szCs w:val="28"/>
          <w:highlight w:val="none"/>
          <w:lang w:val="en-US" w:eastAsia="zh-CN"/>
        </w:rPr>
        <w:t>是</w:t>
      </w:r>
      <w:r>
        <w:rPr>
          <w:rFonts w:hint="eastAsia" w:ascii="仿宋_GB2312" w:hAnsi="仿宋_GB2312" w:eastAsia="仿宋_GB2312" w:cs="仿宋_GB2312"/>
          <w:b w:val="0"/>
          <w:bCs w:val="0"/>
          <w:sz w:val="28"/>
          <w:szCs w:val="28"/>
          <w:highlight w:val="none"/>
        </w:rPr>
        <w:t>投标项目的中标候选人。最终审查的内容是对中标候选人的经营状况、服务质量、资格、信誉以及招标人认为有必要了解的其它问题</w:t>
      </w:r>
      <w:r>
        <w:rPr>
          <w:rFonts w:hint="eastAsia" w:ascii="仿宋_GB2312" w:hAnsi="仿宋_GB2312" w:eastAsia="仿宋_GB2312" w:cs="仿宋_GB2312"/>
          <w:b w:val="0"/>
          <w:bCs w:val="0"/>
          <w:sz w:val="28"/>
          <w:szCs w:val="28"/>
          <w:highlight w:val="none"/>
          <w:lang w:eastAsia="zh-CN"/>
        </w:rPr>
        <w:t>做</w:t>
      </w:r>
      <w:r>
        <w:rPr>
          <w:rFonts w:hint="eastAsia" w:ascii="仿宋_GB2312" w:hAnsi="仿宋_GB2312" w:eastAsia="仿宋_GB2312" w:cs="仿宋_GB2312"/>
          <w:b w:val="0"/>
          <w:bCs w:val="0"/>
          <w:sz w:val="28"/>
          <w:szCs w:val="28"/>
          <w:highlight w:val="none"/>
        </w:rPr>
        <w:t>进一步的</w:t>
      </w:r>
      <w:r>
        <w:rPr>
          <w:rFonts w:hint="eastAsia" w:ascii="仿宋_GB2312" w:hAnsi="仿宋_GB2312" w:eastAsia="仿宋_GB2312" w:cs="仿宋_GB2312"/>
          <w:b w:val="0"/>
          <w:bCs w:val="0"/>
          <w:sz w:val="28"/>
          <w:szCs w:val="28"/>
          <w:highlight w:val="none"/>
          <w:lang w:eastAsia="zh-CN"/>
        </w:rPr>
        <w:t>考察</w:t>
      </w:r>
      <w:r>
        <w:rPr>
          <w:rFonts w:hint="eastAsia" w:ascii="仿宋_GB2312" w:hAnsi="仿宋_GB2312" w:eastAsia="仿宋_GB2312" w:cs="仿宋_GB2312"/>
          <w:b w:val="0"/>
          <w:bCs w:val="0"/>
          <w:sz w:val="28"/>
          <w:szCs w:val="28"/>
          <w:highlight w:val="none"/>
        </w:rPr>
        <w:t>及后审。最终审查的方式，根据需要采取问询或实地查证等方式。如审查结果不符合成交条件</w:t>
      </w:r>
      <w:r>
        <w:rPr>
          <w:rFonts w:hint="eastAsia" w:ascii="仿宋_GB2312" w:hAnsi="仿宋_GB2312" w:eastAsia="仿宋_GB2312" w:cs="仿宋_GB2312"/>
          <w:b w:val="0"/>
          <w:bCs w:val="0"/>
          <w:sz w:val="28"/>
          <w:szCs w:val="28"/>
          <w:highlight w:val="none"/>
          <w:lang w:val="en-US" w:eastAsia="zh-CN"/>
        </w:rPr>
        <w:t>的</w:t>
      </w:r>
      <w:r>
        <w:rPr>
          <w:rFonts w:hint="eastAsia" w:ascii="仿宋_GB2312" w:hAnsi="仿宋_GB2312" w:eastAsia="仿宋_GB2312" w:cs="仿宋_GB2312"/>
          <w:b w:val="0"/>
          <w:bCs w:val="0"/>
          <w:sz w:val="28"/>
          <w:szCs w:val="28"/>
          <w:highlight w:val="none"/>
        </w:rPr>
        <w:t>，则本次评标作废</w:t>
      </w:r>
      <w:r>
        <w:rPr>
          <w:rFonts w:hint="eastAsia" w:ascii="仿宋_GB2312" w:hAnsi="仿宋_GB2312" w:eastAsia="仿宋_GB2312" w:cs="仿宋_GB2312"/>
          <w:b w:val="0"/>
          <w:bCs w:val="0"/>
          <w:sz w:val="28"/>
          <w:szCs w:val="28"/>
          <w:highlight w:val="none"/>
          <w:lang w:val="en-US" w:eastAsia="zh-CN"/>
        </w:rPr>
        <w:t>或变更意向中标人</w:t>
      </w:r>
      <w:r>
        <w:rPr>
          <w:rFonts w:hint="eastAsia" w:ascii="仿宋_GB2312" w:hAnsi="仿宋_GB2312" w:eastAsia="仿宋_GB2312" w:cs="仿宋_GB2312"/>
          <w:b w:val="0"/>
          <w:bCs w:val="0"/>
          <w:sz w:val="28"/>
          <w:szCs w:val="28"/>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1.</w:t>
      </w:r>
      <w:r>
        <w:rPr>
          <w:rFonts w:hint="eastAsia" w:ascii="仿宋_GB2312" w:hAnsi="仿宋_GB2312" w:eastAsia="仿宋_GB2312" w:cs="仿宋_GB2312"/>
          <w:color w:val="000000"/>
          <w:sz w:val="28"/>
          <w:szCs w:val="28"/>
          <w:highlight w:val="none"/>
        </w:rPr>
        <w:t>投标人有下列情形之一，其投标将被视为废标，招标人将严格按照《中华人民共和国招标投标法》及相关</w:t>
      </w:r>
      <w:r>
        <w:rPr>
          <w:rFonts w:hint="eastAsia" w:ascii="仿宋_GB2312" w:hAnsi="仿宋_GB2312" w:eastAsia="仿宋_GB2312" w:cs="仿宋_GB2312"/>
          <w:color w:val="000000"/>
          <w:sz w:val="28"/>
          <w:szCs w:val="28"/>
          <w:highlight w:val="none"/>
          <w:lang w:eastAsia="zh-CN"/>
        </w:rPr>
        <w:t>法律法规</w:t>
      </w:r>
      <w:r>
        <w:rPr>
          <w:rFonts w:hint="eastAsia" w:ascii="仿宋_GB2312" w:hAnsi="仿宋_GB2312" w:eastAsia="仿宋_GB2312" w:cs="仿宋_GB2312"/>
          <w:color w:val="000000"/>
          <w:sz w:val="28"/>
          <w:szCs w:val="28"/>
          <w:highlight w:val="none"/>
        </w:rPr>
        <w:t>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（1）</w:t>
      </w:r>
      <w:r>
        <w:rPr>
          <w:rFonts w:hint="eastAsia" w:ascii="仿宋_GB2312" w:hAnsi="仿宋_GB2312" w:eastAsia="仿宋_GB2312" w:cs="仿宋_GB2312"/>
          <w:color w:val="000000"/>
          <w:sz w:val="28"/>
          <w:szCs w:val="28"/>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（2）</w:t>
      </w:r>
      <w:r>
        <w:rPr>
          <w:rFonts w:hint="eastAsia" w:ascii="仿宋_GB2312" w:hAnsi="仿宋_GB2312" w:eastAsia="仿宋_GB2312" w:cs="仿宋_GB2312"/>
          <w:color w:val="000000"/>
          <w:sz w:val="28"/>
          <w:szCs w:val="28"/>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（3）</w:t>
      </w:r>
      <w:r>
        <w:rPr>
          <w:rFonts w:hint="eastAsia" w:ascii="仿宋_GB2312" w:hAnsi="仿宋_GB2312" w:eastAsia="仿宋_GB2312" w:cs="仿宋_GB2312"/>
          <w:color w:val="000000"/>
          <w:sz w:val="28"/>
          <w:szCs w:val="28"/>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kern w:val="2"/>
          <w:sz w:val="28"/>
          <w:szCs w:val="28"/>
          <w:lang w:val="en-US" w:eastAsia="zh-CN" w:bidi="ar-SA"/>
        </w:rPr>
        <w:t>（4）</w:t>
      </w:r>
      <w:r>
        <w:rPr>
          <w:rFonts w:hint="eastAsia" w:ascii="仿宋_GB2312" w:hAnsi="仿宋_GB2312" w:eastAsia="仿宋_GB2312" w:cs="仿宋_GB2312"/>
          <w:color w:val="000000"/>
          <w:sz w:val="28"/>
          <w:szCs w:val="28"/>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（5）</w:t>
      </w:r>
      <w:r>
        <w:rPr>
          <w:rFonts w:hint="eastAsia" w:ascii="仿宋_GB2312" w:hAnsi="仿宋_GB2312" w:eastAsia="仿宋_GB2312" w:cs="仿宋_GB2312"/>
          <w:color w:val="000000"/>
          <w:sz w:val="28"/>
          <w:szCs w:val="28"/>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（6）</w:t>
      </w:r>
      <w:r>
        <w:rPr>
          <w:rFonts w:hint="eastAsia" w:ascii="仿宋_GB2312" w:hAnsi="仿宋_GB2312" w:eastAsia="仿宋_GB2312" w:cs="仿宋_GB2312"/>
          <w:color w:val="000000"/>
          <w:sz w:val="28"/>
          <w:szCs w:val="28"/>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（7）</w:t>
      </w:r>
      <w:r>
        <w:rPr>
          <w:rFonts w:hint="eastAsia" w:ascii="仿宋_GB2312" w:hAnsi="仿宋_GB2312" w:eastAsia="仿宋_GB2312" w:cs="仿宋_GB2312"/>
          <w:color w:val="000000"/>
          <w:sz w:val="28"/>
          <w:szCs w:val="28"/>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（8）</w:t>
      </w:r>
      <w:r>
        <w:rPr>
          <w:rFonts w:hint="eastAsia" w:ascii="仿宋_GB2312" w:hAnsi="仿宋_GB2312" w:eastAsia="仿宋_GB2312" w:cs="仿宋_GB2312"/>
          <w:sz w:val="28"/>
          <w:szCs w:val="28"/>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（9）</w:t>
      </w:r>
      <w:r>
        <w:rPr>
          <w:rFonts w:hint="eastAsia" w:ascii="仿宋_GB2312" w:hAnsi="仿宋_GB2312" w:eastAsia="仿宋_GB2312" w:cs="仿宋_GB2312"/>
          <w:sz w:val="28"/>
          <w:szCs w:val="28"/>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（10）</w:t>
      </w:r>
      <w:r>
        <w:rPr>
          <w:rFonts w:hint="eastAsia" w:ascii="仿宋_GB2312" w:hAnsi="仿宋_GB2312" w:eastAsia="仿宋_GB2312" w:cs="仿宋_GB2312"/>
          <w:sz w:val="28"/>
          <w:szCs w:val="28"/>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（11）</w:t>
      </w:r>
      <w:r>
        <w:rPr>
          <w:rFonts w:hint="eastAsia" w:ascii="仿宋_GB2312" w:hAnsi="仿宋_GB2312" w:eastAsia="仿宋_GB2312" w:cs="仿宋_GB2312"/>
          <w:sz w:val="28"/>
          <w:szCs w:val="28"/>
          <w:highlight w:val="none"/>
        </w:rPr>
        <w:t>投标人报价均超过</w:t>
      </w:r>
      <w:r>
        <w:rPr>
          <w:rFonts w:hint="eastAsia" w:ascii="仿宋_GB2312" w:hAnsi="仿宋_GB2312" w:eastAsia="仿宋_GB2312" w:cs="仿宋_GB2312"/>
          <w:sz w:val="28"/>
          <w:szCs w:val="28"/>
          <w:highlight w:val="none"/>
          <w:lang w:val="en-US" w:eastAsia="zh-CN"/>
        </w:rPr>
        <w:t>最高限价</w:t>
      </w:r>
      <w:r>
        <w:rPr>
          <w:rFonts w:hint="eastAsia" w:ascii="仿宋_GB2312" w:hAnsi="仿宋_GB2312" w:eastAsia="仿宋_GB2312" w:cs="仿宋_GB2312"/>
          <w:sz w:val="28"/>
          <w:szCs w:val="28"/>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（12）</w:t>
      </w:r>
      <w:r>
        <w:rPr>
          <w:rFonts w:hint="eastAsia" w:ascii="仿宋_GB2312" w:hAnsi="仿宋_GB2312" w:eastAsia="仿宋_GB2312" w:cs="仿宋_GB2312"/>
          <w:color w:val="000000"/>
          <w:sz w:val="28"/>
          <w:szCs w:val="28"/>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（13）</w:t>
      </w:r>
      <w:r>
        <w:rPr>
          <w:rFonts w:hint="eastAsia" w:ascii="仿宋_GB2312" w:hAnsi="仿宋_GB2312" w:eastAsia="仿宋_GB2312" w:cs="仿宋_GB2312"/>
          <w:b w:val="0"/>
          <w:bCs w:val="0"/>
          <w:spacing w:val="0"/>
          <w:sz w:val="28"/>
          <w:szCs w:val="28"/>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2"/>
          <w:sz w:val="28"/>
          <w:szCs w:val="28"/>
          <w:lang w:val="en-US" w:eastAsia="zh-CN" w:bidi="ar-SA"/>
        </w:rPr>
        <w:t>（14）法律法规</w:t>
      </w:r>
      <w:r>
        <w:rPr>
          <w:rFonts w:hint="eastAsia" w:ascii="仿宋_GB2312" w:hAnsi="仿宋_GB2312" w:eastAsia="仿宋_GB2312" w:cs="仿宋_GB2312"/>
          <w:color w:val="000000"/>
          <w:sz w:val="28"/>
          <w:szCs w:val="28"/>
          <w:highlight w:val="none"/>
        </w:rPr>
        <w:t>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仿宋_GB2312" w:hAnsi="仿宋_GB2312" w:eastAsia="仿宋_GB2312" w:cs="仿宋_GB2312"/>
          <w:b/>
          <w:bCs/>
          <w:color w:val="FF0000"/>
          <w:sz w:val="28"/>
          <w:szCs w:val="28"/>
          <w:highlight w:val="none"/>
          <w:lang w:eastAsia="zh-CN"/>
        </w:rPr>
      </w:pPr>
      <w:r>
        <w:rPr>
          <w:rFonts w:hint="eastAsia" w:ascii="仿宋_GB2312" w:hAnsi="仿宋_GB2312" w:eastAsia="仿宋_GB2312" w:cs="仿宋_GB2312"/>
          <w:b w:val="0"/>
          <w:bCs w:val="0"/>
          <w:color w:val="auto"/>
          <w:kern w:val="2"/>
          <w:sz w:val="28"/>
          <w:szCs w:val="28"/>
          <w:lang w:val="en-US" w:eastAsia="zh-CN" w:bidi="ar-SA"/>
        </w:rPr>
        <w:t>（1）</w:t>
      </w:r>
      <w:r>
        <w:rPr>
          <w:rFonts w:hint="eastAsia" w:ascii="仿宋_GB2312" w:hAnsi="仿宋_GB2312" w:eastAsia="仿宋_GB2312" w:cs="仿宋_GB2312"/>
          <w:sz w:val="28"/>
          <w:szCs w:val="28"/>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2"/>
          <w:sz w:val="28"/>
          <w:szCs w:val="28"/>
          <w:lang w:val="en-US" w:eastAsia="zh-CN" w:bidi="ar-SA"/>
        </w:rPr>
        <w:t>（2）</w:t>
      </w:r>
      <w:r>
        <w:rPr>
          <w:rFonts w:hint="eastAsia" w:ascii="仿宋_GB2312" w:hAnsi="仿宋_GB2312" w:eastAsia="仿宋_GB2312" w:cs="仿宋_GB2312"/>
          <w:sz w:val="28"/>
          <w:szCs w:val="28"/>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sz w:val="28"/>
          <w:szCs w:val="28"/>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sz w:val="28"/>
          <w:szCs w:val="28"/>
          <w:highlight w:val="none"/>
        </w:rPr>
        <w:t>因重大变故，采购任务取消的</w:t>
      </w:r>
      <w:bookmarkStart w:id="6" w:name="OLE_LINK25"/>
      <w:bookmarkStart w:id="7" w:name="OLE_LINK27"/>
      <w:bookmarkStart w:id="8" w:name="OLE_LINK29"/>
      <w:bookmarkStart w:id="9" w:name="OLE_LINK26"/>
      <w:bookmarkStart w:id="10" w:name="OLE_LINK28"/>
      <w:r>
        <w:rPr>
          <w:rFonts w:hint="eastAsia" w:ascii="仿宋_GB2312" w:hAnsi="仿宋_GB2312" w:eastAsia="仿宋_GB2312" w:cs="仿宋_GB2312"/>
          <w:bCs/>
          <w:sz w:val="28"/>
          <w:szCs w:val="28"/>
          <w:highlight w:val="none"/>
        </w:rPr>
        <w:t>；</w:t>
      </w:r>
      <w:bookmarkEnd w:id="6"/>
      <w:bookmarkEnd w:id="7"/>
      <w:bookmarkEnd w:id="8"/>
      <w:bookmarkEnd w:id="9"/>
      <w:bookmarkEnd w:id="10"/>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sz w:val="28"/>
          <w:szCs w:val="28"/>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color w:val="000000"/>
          <w:sz w:val="28"/>
          <w:szCs w:val="28"/>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5.合同以双方最终签署的版本为准。</w:t>
      </w:r>
    </w:p>
    <w:p w14:paraId="39360C61">
      <w:pPr>
        <w:pStyle w:val="72"/>
        <w:rPr>
          <w:rFonts w:hint="eastAsia"/>
          <w:lang w:val="en-US" w:eastAsia="zh-CN"/>
        </w:rPr>
      </w:pPr>
      <w:r>
        <w:rPr>
          <w:rFonts w:hint="eastAsia"/>
          <w:lang w:val="en-US" w:eastAsia="zh-CN"/>
        </w:rPr>
        <w:t>交货及付款</w:t>
      </w:r>
    </w:p>
    <w:p w14:paraId="44ACF672">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1.付款结算方式：半年期商业汇票，无预付款，挂账后按招标方付款流程付款，承包方提供正规的全额增值税专用发票。</w:t>
      </w:r>
    </w:p>
    <w:p w14:paraId="53F2B0CB">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2.因发票违规给付款方造成的增值税、所得税等损失，由开票方承担相关责任，包括但不限于税款、滞纳金、罚款及其它相关损失。</w:t>
      </w:r>
    </w:p>
    <w:p w14:paraId="6D45257C">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w:t>
      </w:r>
      <w:r>
        <w:rPr>
          <w:rFonts w:hint="default" w:ascii="仿宋_GB2312" w:hAnsi="仿宋_GB2312" w:eastAsia="仿宋_GB2312" w:cs="仿宋_GB2312"/>
          <w:b w:val="0"/>
          <w:bCs w:val="0"/>
          <w:kern w:val="2"/>
          <w:sz w:val="28"/>
          <w:szCs w:val="28"/>
          <w:lang w:val="en-US" w:eastAsia="zh-CN" w:bidi="ar-SA"/>
        </w:rPr>
        <w:t>.</w:t>
      </w:r>
      <w:r>
        <w:rPr>
          <w:rFonts w:hint="eastAsia" w:ascii="仿宋_GB2312" w:hAnsi="仿宋_GB2312" w:eastAsia="仿宋_GB2312" w:cs="仿宋_GB2312"/>
          <w:b w:val="0"/>
          <w:bCs w:val="0"/>
          <w:kern w:val="2"/>
          <w:sz w:val="28"/>
          <w:szCs w:val="28"/>
          <w:lang w:val="en-US" w:eastAsia="zh-CN" w:bidi="ar-SA"/>
        </w:rPr>
        <w:t>付款节点：</w:t>
      </w:r>
    </w:p>
    <w:p w14:paraId="292432BB">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仿宋_GB2312" w:hAnsi="仿宋_GB2312" w:eastAsia="仿宋_GB2312" w:cs="仿宋_GB2312"/>
          <w:b w:val="0"/>
          <w:bCs w:val="0"/>
          <w:kern w:val="2"/>
          <w:sz w:val="28"/>
          <w:szCs w:val="28"/>
          <w:highlight w:val="red"/>
          <w:lang w:val="en-US" w:eastAsia="zh-CN" w:bidi="ar-SA"/>
        </w:rPr>
      </w:pPr>
      <w:r>
        <w:rPr>
          <w:rFonts w:hint="eastAsia" w:ascii="仿宋_GB2312" w:hAnsi="仿宋_GB2312" w:eastAsia="仿宋_GB2312" w:cs="仿宋_GB2312"/>
          <w:b w:val="0"/>
          <w:bCs w:val="0"/>
          <w:kern w:val="2"/>
          <w:sz w:val="28"/>
          <w:szCs w:val="28"/>
          <w:lang w:val="en-US" w:eastAsia="zh-CN" w:bidi="ar-SA"/>
        </w:rPr>
        <w:t>项目验收合格，乙方开具合同价款100%的收据及增值税专用发票，经甲方核对无误后支付，支付90%费用。合同总价款的10%作为本合同约定设备的质量保证金，</w:t>
      </w:r>
      <w:r>
        <w:rPr>
          <w:rFonts w:hint="eastAsia" w:ascii="仿宋" w:hAnsi="Calibri" w:eastAsia="仿宋" w:cs="Times New Roman"/>
          <w:color w:val="000000" w:themeColor="text1"/>
          <w:kern w:val="2"/>
          <w:sz w:val="28"/>
          <w:szCs w:val="28"/>
          <w:highlight w:val="none"/>
          <w:lang w:val="en-US" w:eastAsia="zh-CN" w:bidi="ar-SA"/>
          <w14:textFill>
            <w14:solidFill>
              <w14:schemeClr w14:val="tx1"/>
            </w14:solidFill>
          </w14:textFill>
        </w:rPr>
        <w:t>质量保证金在质量保证期内不计利息</w:t>
      </w:r>
      <w:r>
        <w:rPr>
          <w:rFonts w:hint="eastAsia" w:ascii="仿宋" w:eastAsia="仿宋" w:cs="Times New Roman"/>
          <w:color w:val="000000" w:themeColor="text1"/>
          <w:kern w:val="2"/>
          <w:sz w:val="28"/>
          <w:szCs w:val="28"/>
          <w:highlight w:val="none"/>
          <w:lang w:val="en-US" w:eastAsia="zh-CN" w:bidi="ar-SA"/>
          <w14:textFill>
            <w14:solidFill>
              <w14:schemeClr w14:val="tx1"/>
            </w14:solidFill>
          </w14:textFill>
        </w:rPr>
        <w:t>，</w:t>
      </w:r>
      <w:r>
        <w:rPr>
          <w:rFonts w:hint="eastAsia" w:ascii="仿宋" w:hAnsi="Calibri" w:eastAsia="仿宋" w:cs="Times New Roman"/>
          <w:color w:val="000000" w:themeColor="text1"/>
          <w:kern w:val="2"/>
          <w:sz w:val="28"/>
          <w:szCs w:val="28"/>
          <w:highlight w:val="none"/>
          <w:lang w:val="en-US" w:eastAsia="zh-CN" w:bidi="ar-SA"/>
          <w14:textFill>
            <w14:solidFill>
              <w14:schemeClr w14:val="tx1"/>
            </w14:solidFill>
          </w14:textFill>
        </w:rPr>
        <w:t>质保期届满后支付。</w:t>
      </w:r>
    </w:p>
    <w:p w14:paraId="6E0D7439">
      <w:pPr>
        <w:pStyle w:val="72"/>
        <w:rPr>
          <w:rFonts w:hint="eastAsia"/>
          <w:lang w:val="en-US" w:eastAsia="zh-CN"/>
        </w:rPr>
      </w:pPr>
      <w:r>
        <w:rPr>
          <w:rFonts w:hint="eastAsia"/>
          <w:lang w:val="en-US" w:eastAsia="zh-CN"/>
        </w:rPr>
        <w:t>本次招标最终解释权归中国重汽集团济宁商用车有限公司。</w:t>
      </w:r>
    </w:p>
    <w:p w14:paraId="66BCACD8">
      <w:pPr>
        <w:pStyle w:val="76"/>
      </w:pPr>
    </w:p>
    <w:p w14:paraId="464BF805">
      <w:pPr>
        <w:pStyle w:val="71"/>
        <w:jc w:val="both"/>
        <w:rPr>
          <w:rFonts w:hint="eastAsia"/>
        </w:rPr>
      </w:pPr>
      <w:bookmarkStart w:id="11" w:name="_Toc47976607"/>
      <w:bookmarkStart w:id="12" w:name="_Toc1910"/>
    </w:p>
    <w:p w14:paraId="20243017">
      <w:pPr>
        <w:pStyle w:val="71"/>
        <w:jc w:val="both"/>
        <w:rPr>
          <w:rFonts w:hint="eastAsia"/>
        </w:rPr>
      </w:pPr>
    </w:p>
    <w:p w14:paraId="0C71DAD2">
      <w:pPr>
        <w:pStyle w:val="71"/>
        <w:jc w:val="both"/>
        <w:rPr>
          <w:rFonts w:hint="eastAsia"/>
        </w:rPr>
      </w:pPr>
    </w:p>
    <w:p w14:paraId="45711A2D">
      <w:pPr>
        <w:pStyle w:val="71"/>
        <w:jc w:val="both"/>
        <w:rPr>
          <w:rFonts w:hint="eastAsia"/>
        </w:rPr>
      </w:pPr>
    </w:p>
    <w:p w14:paraId="36E55078">
      <w:pPr>
        <w:pStyle w:val="71"/>
        <w:jc w:val="both"/>
        <w:rPr>
          <w:rFonts w:hint="eastAsia"/>
        </w:rPr>
      </w:pPr>
    </w:p>
    <w:p w14:paraId="6364CECC">
      <w:pPr>
        <w:pStyle w:val="71"/>
        <w:jc w:val="both"/>
        <w:rPr>
          <w:rFonts w:hint="eastAsia"/>
        </w:rPr>
      </w:pPr>
    </w:p>
    <w:p w14:paraId="1FB6CA61">
      <w:pPr>
        <w:pStyle w:val="71"/>
        <w:jc w:val="center"/>
        <w:rPr>
          <w:rFonts w:hint="eastAsia" w:eastAsia="黑体"/>
          <w:lang w:val="en-US" w:eastAsia="zh-CN"/>
        </w:rPr>
      </w:pPr>
      <w:r>
        <w:rPr>
          <w:rFonts w:hint="eastAsia"/>
        </w:rPr>
        <w:t>第二部分　</w:t>
      </w:r>
      <w:bookmarkEnd w:id="11"/>
      <w:bookmarkEnd w:id="12"/>
      <w:r>
        <w:rPr>
          <w:rFonts w:hint="eastAsia"/>
          <w:lang w:val="en-US" w:eastAsia="zh-CN"/>
        </w:rPr>
        <w:t>服务内容及技术要求</w:t>
      </w:r>
    </w:p>
    <w:p w14:paraId="0CAE90FE">
      <w:pPr>
        <w:pStyle w:val="114"/>
        <w:spacing w:line="240" w:lineRule="auto"/>
        <w:ind w:left="0" w:leftChars="0" w:firstLine="0" w:firstLineChars="0"/>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kern w:val="2"/>
          <w:sz w:val="28"/>
          <w:szCs w:val="28"/>
          <w:highlight w:val="none"/>
          <w:lang w:val="en-US" w:eastAsia="zh-CN" w:bidi="ar-SA"/>
        </w:rPr>
        <w:t>1.所投产品要求</w:t>
      </w:r>
    </w:p>
    <w:p w14:paraId="62682C4F">
      <w:pPr>
        <w:pStyle w:val="114"/>
        <w:spacing w:line="240" w:lineRule="auto"/>
        <w:ind w:firstLine="560" w:firstLineChars="20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投标人应保证所供货物是全新、未使用过的，是用一流的工艺和最佳材料制造而成的，并符合质量、规格和性能的要求。在货物最终验收合格后的质量保证期内，投标人应对由于设计、工艺或材料的缺陷而发生的任何不足或故障负责。投标人在收到通知后在规定的时间内应免费维修或更换有缺陷的货物或部件。如果投标人在收到通知后按招标文件规定的时间内没有弥补缺陷，采购人可采取必要的补救措施，但其风险和费用将由投标人承担，采购人根据规定对投标人行使的其他权利不受影响。设备在使用过程中，投标人应对由于设计、工艺或材料的缺陷而产生的意外、故障或质量问题承担相应责任。</w:t>
      </w:r>
    </w:p>
    <w:p w14:paraId="1D0136CA">
      <w:pPr>
        <w:pStyle w:val="114"/>
        <w:spacing w:line="240" w:lineRule="auto"/>
        <w:ind w:left="0" w:leftChars="0" w:firstLine="0" w:firstLineChars="0"/>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kern w:val="2"/>
          <w:sz w:val="28"/>
          <w:szCs w:val="28"/>
          <w:highlight w:val="none"/>
          <w:lang w:val="en-US" w:eastAsia="zh-CN" w:bidi="ar-SA"/>
        </w:rPr>
        <w:t>2.硬盘参数要求</w:t>
      </w:r>
    </w:p>
    <w:tbl>
      <w:tblPr>
        <w:tblStyle w:val="31"/>
        <w:tblW w:w="87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4"/>
        <w:gridCol w:w="1942"/>
        <w:gridCol w:w="935"/>
        <w:gridCol w:w="2248"/>
        <w:gridCol w:w="2973"/>
      </w:tblGrid>
      <w:tr w14:paraId="77EB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D2F4F2"/>
            <w:noWrap/>
            <w:vAlign w:val="center"/>
          </w:tcPr>
          <w:p w14:paraId="18E5A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D2F4F2"/>
            <w:noWrap/>
            <w:vAlign w:val="center"/>
          </w:tcPr>
          <w:p w14:paraId="400288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w:t>
            </w:r>
          </w:p>
        </w:tc>
        <w:tc>
          <w:tcPr>
            <w:tcW w:w="935" w:type="dxa"/>
            <w:tcBorders>
              <w:top w:val="single" w:color="000000" w:sz="4" w:space="0"/>
              <w:left w:val="single" w:color="000000" w:sz="4" w:space="0"/>
              <w:bottom w:val="single" w:color="000000" w:sz="4" w:space="0"/>
              <w:right w:val="single" w:color="000000" w:sz="4" w:space="0"/>
            </w:tcBorders>
            <w:shd w:val="clear" w:color="auto" w:fill="D2F4F2"/>
            <w:noWrap/>
            <w:vAlign w:val="center"/>
          </w:tcPr>
          <w:p w14:paraId="6B339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D2F4F2"/>
            <w:noWrap/>
            <w:vAlign w:val="center"/>
          </w:tcPr>
          <w:p w14:paraId="5E4731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2973" w:type="dxa"/>
            <w:tcBorders>
              <w:top w:val="single" w:color="000000" w:sz="4" w:space="0"/>
              <w:left w:val="single" w:color="000000" w:sz="4" w:space="0"/>
              <w:bottom w:val="single" w:color="000000" w:sz="4" w:space="0"/>
              <w:right w:val="single" w:color="000000" w:sz="4" w:space="0"/>
            </w:tcBorders>
            <w:shd w:val="clear" w:color="auto" w:fill="D2F4F2"/>
            <w:noWrap/>
            <w:vAlign w:val="center"/>
          </w:tcPr>
          <w:p w14:paraId="7AA01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w:t>
            </w:r>
          </w:p>
        </w:tc>
      </w:tr>
      <w:tr w14:paraId="1074D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4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96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12T监控专用硬盘</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AE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33块</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3E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希捷（Seagate）、西部数据（WD）或海康威视（Hikvision）</w:t>
            </w:r>
          </w:p>
        </w:tc>
        <w:tc>
          <w:tcPr>
            <w:tcW w:w="2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53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1.企业级专用硬盘，标称容量：12TB，外形规格：3.5-inch 。硬盘要求无加密，适配各品牌录像机、存储设备。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2.SATA3.0接口，转速：≥7200RPM，缓存：≥512MB；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3.最大读取速度：≥265MB/s，流畅存储视频有效防止丢帧；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4.接口传输速率（最大值）：≥6.0Gb/s，平均读写功率（W）：≥9.1W；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5.加载/卸载周期：≥600,000，MTBF：≥2,500,000，年负荷（TB/年）：≥550TB；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6.空气盘，CMR传统磁记录，高级格式（AF）512e扇区技术，保障硬盘扇区4K对齐；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7.硬盘具备AllFrameAI全帧技术，针对人车分类、目标检索、人脸抓拍、事件检索等AI业务读写逻辑专项优化，满足用户扩展AI视频分析检索体验；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8.支持多路高清视频持续录制+并发AI分析流并行处理，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单盘稳定支持不少于64路高清摄像机实时录像，额外承载32路AI智能分析数据流，保障智能检索任务运行时录像无丢帧、回放卡顿。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9.满足数据严苛的7*24小时运行可靠性、安全性的需求；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10.硬盘原厂固件经过兼容性测试，可完整适配用户目前使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用的NVR及后期升级智能NVR后的软硬件协同稳定性。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11.提供不少于5年原厂质保服务，提供生产厂商加盖公章的授权书及售后服务质保函，供货时需提供加盖生产厂商公章的供货清单；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12.适用海拔范围-305m至3050m，工作状态温度（°C）：0-65℃。</w:t>
            </w:r>
          </w:p>
        </w:tc>
      </w:tr>
    </w:tbl>
    <w:p w14:paraId="4C251FE0">
      <w:pPr>
        <w:pStyle w:val="114"/>
        <w:spacing w:line="240" w:lineRule="auto"/>
        <w:ind w:left="0" w:leftChars="0" w:firstLine="0" w:firstLineChars="0"/>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kern w:val="2"/>
          <w:sz w:val="28"/>
          <w:szCs w:val="28"/>
          <w:highlight w:val="none"/>
          <w:lang w:val="en-US" w:eastAsia="zh-CN" w:bidi="ar-SA"/>
        </w:rPr>
        <w:t>3.质量保证期</w:t>
      </w:r>
    </w:p>
    <w:p w14:paraId="41EA4049">
      <w:pPr>
        <w:pStyle w:val="114"/>
        <w:spacing w:line="240" w:lineRule="auto"/>
        <w:ind w:firstLine="560" w:firstLineChars="20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产品质量满足行业及国家标准，质保期为：自验收合格之日起不少于5年，因货物本身的质量问题或运输、装卸过程中发生损坏的，应由投标人提供相同标准的货物以替换，保证设备正常使用。质保时间从验收合格后开始计算（设备在质保期内出现故障，更换配件的质保时间自修复或更换之日起重新计算质保时间）。质保期内免费上门服务，包括故障处理、操作培训、技术咨询等。发生技术问题时 24 小时内上门服务或在线解决有关问题，并承诺相关方案及保障措施，短期内无法修复时应提供应急备用设备，直至解决问题。在质保期结束后，投标人必须继续提供对货物的售后服务，仍应按照质保期内承诺提供相关服务，只收取相应的材料费、人工费，不收取修理费。</w:t>
      </w:r>
    </w:p>
    <w:p w14:paraId="4A19D1DC">
      <w:pPr>
        <w:pStyle w:val="114"/>
        <w:spacing w:line="240" w:lineRule="auto"/>
        <w:ind w:left="0" w:leftChars="0" w:firstLine="0" w:firstLineChars="0"/>
        <w:rPr>
          <w:rFonts w:hint="eastAsia" w:ascii="仿宋_GB2312" w:hAnsi="仿宋_GB2312" w:eastAsia="仿宋_GB2312" w:cs="仿宋_GB2312"/>
          <w:b/>
          <w:bCs/>
          <w:color w:val="000000"/>
          <w:kern w:val="2"/>
          <w:sz w:val="28"/>
          <w:szCs w:val="28"/>
          <w:highlight w:val="none"/>
          <w:lang w:val="en-US" w:eastAsia="zh-CN" w:bidi="ar-SA"/>
        </w:rPr>
      </w:pPr>
      <w:r>
        <w:rPr>
          <w:rFonts w:hint="eastAsia" w:ascii="仿宋_GB2312" w:hAnsi="仿宋_GB2312" w:eastAsia="仿宋_GB2312" w:cs="仿宋_GB2312"/>
          <w:b/>
          <w:bCs/>
          <w:color w:val="000000"/>
          <w:kern w:val="2"/>
          <w:sz w:val="28"/>
          <w:szCs w:val="28"/>
          <w:highlight w:val="none"/>
          <w:lang w:val="en-US" w:eastAsia="zh-CN" w:bidi="ar-SA"/>
        </w:rPr>
        <w:t>4.服务范围及要求</w:t>
      </w:r>
    </w:p>
    <w:p w14:paraId="28F0E115">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4.1 交付</w:t>
      </w:r>
    </w:p>
    <w:p w14:paraId="2243938E">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投标人应负责将货物运送到用户指定地点交付招标人。</w:t>
      </w:r>
    </w:p>
    <w:p w14:paraId="7892412A">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4.2 验收</w:t>
      </w:r>
    </w:p>
    <w:p w14:paraId="0C80B573">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当产品到达采购人指定的现场后，采购人和投标人依据产品供货清单共同对设备进行开箱检验，并对产品的数量、品质进行逐项检查。验收时发现短缺、破损， 采购人有权要求投标人立即补发和负责更换。投标产品和设备经过双方检验认可，签署验收报告，产品保修期自验收合格之日起算。</w:t>
      </w:r>
    </w:p>
    <w:p w14:paraId="47AF0245">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4.3 技术培训及售后服务</w:t>
      </w:r>
    </w:p>
    <w:p w14:paraId="478CBF63">
      <w:pPr>
        <w:pStyle w:val="114"/>
        <w:spacing w:line="240" w:lineRule="auto"/>
        <w:ind w:left="0" w:leftChars="0" w:firstLine="0" w:firstLineChars="0"/>
        <w:rPr>
          <w:rFonts w:hint="eastAsia" w:ascii="仿宋_GB2312" w:hAnsi="仿宋_GB2312" w:eastAsia="仿宋_GB2312" w:cs="仿宋_GB2312"/>
          <w:color w:val="000000"/>
          <w:kern w:val="2"/>
          <w:sz w:val="28"/>
          <w:szCs w:val="28"/>
          <w:highlight w:val="none"/>
          <w:lang w:val="en-US" w:eastAsia="zh-CN" w:bidi="ar-SA"/>
        </w:rPr>
      </w:pPr>
      <w:r>
        <w:rPr>
          <w:rFonts w:hint="eastAsia" w:ascii="仿宋_GB2312" w:hAnsi="仿宋_GB2312" w:eastAsia="仿宋_GB2312" w:cs="仿宋_GB2312"/>
          <w:color w:val="000000"/>
          <w:kern w:val="2"/>
          <w:sz w:val="28"/>
          <w:szCs w:val="28"/>
          <w:highlight w:val="none"/>
          <w:lang w:val="en-US" w:eastAsia="zh-CN" w:bidi="ar-SA"/>
        </w:rPr>
        <w:t>根据投标设备特点及技术要求，投标人应对招标人的技术、管理及使用人员进行有关设备使用操作、故障排除、维护等方面进行现场技术培训，提供免费培训，直至使受训人员能熟练独立操作。投标人与安装施工单位在设备安装现场对招标人技术、管理及使用人员组织技术培训，以受培训人员可以独立使用采购设备，并完成基础的设备故障排除为最基本要求。</w:t>
      </w:r>
    </w:p>
    <w:p w14:paraId="79A7EC9B">
      <w:pPr>
        <w:pStyle w:val="76"/>
      </w:pPr>
    </w:p>
    <w:p w14:paraId="5E08AD66">
      <w:pPr>
        <w:pStyle w:val="76"/>
      </w:pPr>
    </w:p>
    <w:p w14:paraId="55F693CD">
      <w:pPr>
        <w:pStyle w:val="76"/>
      </w:pPr>
    </w:p>
    <w:p w14:paraId="08EC63DA">
      <w:pPr>
        <w:pStyle w:val="76"/>
      </w:pPr>
    </w:p>
    <w:p w14:paraId="60294DA8">
      <w:pPr>
        <w:pStyle w:val="76"/>
      </w:pPr>
    </w:p>
    <w:p w14:paraId="1CA05B47">
      <w:pPr>
        <w:pStyle w:val="76"/>
      </w:pPr>
    </w:p>
    <w:p w14:paraId="4930878A">
      <w:pPr>
        <w:pStyle w:val="76"/>
      </w:pPr>
    </w:p>
    <w:p w14:paraId="0E90E234">
      <w:pPr>
        <w:pStyle w:val="76"/>
      </w:pPr>
    </w:p>
    <w:p w14:paraId="0EB8BBEB">
      <w:pPr>
        <w:pStyle w:val="71"/>
        <w:rPr>
          <w:rFonts w:hint="default" w:eastAsia="黑体"/>
          <w:lang w:val="en-US" w:eastAsia="zh-CN"/>
        </w:rPr>
      </w:pPr>
      <w:bookmarkStart w:id="13" w:name="_Toc47976615"/>
      <w:bookmarkStart w:id="14" w:name="_Toc5925"/>
      <w:r>
        <w:rPr>
          <w:rFonts w:hint="eastAsia"/>
        </w:rPr>
        <w:t>第</w:t>
      </w:r>
      <w:r>
        <w:rPr>
          <w:rFonts w:hint="eastAsia"/>
          <w:lang w:val="en-US" w:eastAsia="zh-CN"/>
        </w:rPr>
        <w:t>三</w:t>
      </w:r>
      <w:r>
        <w:rPr>
          <w:rFonts w:hint="eastAsia"/>
        </w:rPr>
        <w:t>部分　</w:t>
      </w:r>
      <w:bookmarkEnd w:id="13"/>
      <w:r>
        <w:rPr>
          <w:rFonts w:hint="eastAsia"/>
          <w:lang w:val="en-US" w:eastAsia="zh-CN"/>
        </w:rPr>
        <w:t>投标文件附件</w:t>
      </w:r>
      <w:bookmarkEnd w:id="14"/>
    </w:p>
    <w:p w14:paraId="600DE1DD">
      <w:pPr>
        <w:pStyle w:val="71"/>
        <w:jc w:val="left"/>
        <w:rPr>
          <w:rFonts w:hint="eastAsia" w:ascii="仿宋_GB2312" w:hAnsi="仿宋_GB2312" w:eastAsia="仿宋_GB2312" w:cs="仿宋_GB2312"/>
          <w:sz w:val="28"/>
          <w:szCs w:val="28"/>
          <w:highlight w:val="none"/>
          <w:lang w:eastAsia="zh-CN"/>
        </w:rPr>
      </w:pPr>
      <w:bookmarkStart w:id="15" w:name="_Toc47976616"/>
      <w:bookmarkStart w:id="16" w:name="_Toc4225"/>
      <w:r>
        <w:rPr>
          <w:rFonts w:hint="eastAsia" w:ascii="仿宋_GB2312" w:hAnsi="仿宋_GB2312" w:eastAsia="仿宋_GB2312" w:cs="仿宋_GB2312"/>
          <w:sz w:val="28"/>
          <w:szCs w:val="28"/>
          <w:highlight w:val="none"/>
        </w:rPr>
        <w:t>附件</w:t>
      </w:r>
      <w:bookmarkEnd w:id="15"/>
      <w:bookmarkEnd w:id="16"/>
      <w:r>
        <w:rPr>
          <w:rFonts w:hint="eastAsia" w:ascii="仿宋_GB2312" w:hAnsi="仿宋_GB2312" w:eastAsia="仿宋_GB2312" w:cs="仿宋_GB2312"/>
          <w:sz w:val="28"/>
          <w:szCs w:val="28"/>
          <w:highlight w:val="none"/>
          <w:lang w:val="en-US" w:eastAsia="zh-CN"/>
        </w:rPr>
        <w:t>1</w:t>
      </w:r>
    </w:p>
    <w:p w14:paraId="3D26BC99">
      <w:pPr>
        <w:keepNext/>
        <w:keepLines/>
        <w:pageBreakBefore w:val="0"/>
        <w:widowControl w:val="0"/>
        <w:kinsoku/>
        <w:wordWrap/>
        <w:overflowPunct/>
        <w:topLinePunct w:val="0"/>
        <w:autoSpaceDE/>
        <w:autoSpaceDN/>
        <w:bidi w:val="0"/>
        <w:adjustRightInd w:val="0"/>
        <w:snapToGrid w:val="0"/>
        <w:spacing w:line="240" w:lineRule="auto"/>
        <w:jc w:val="center"/>
        <w:textAlignment w:val="auto"/>
        <w:outlineLvl w:val="2"/>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投标函</w:t>
      </w:r>
    </w:p>
    <w:p w14:paraId="0B39DB81">
      <w:pPr>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致：中国重汽集团</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rPr>
        <w:t>有限公司：</w:t>
      </w:r>
    </w:p>
    <w:p w14:paraId="7F916B14">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根据贵方</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bCs/>
          <w:snapToGrid w:val="0"/>
          <w:color w:val="000000"/>
          <w:kern w:val="0"/>
          <w:sz w:val="28"/>
          <w:szCs w:val="28"/>
        </w:rPr>
        <w:t>招标公告</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b/>
          <w:color w:val="000000"/>
          <w:sz w:val="28"/>
          <w:szCs w:val="28"/>
          <w:u w:val="single"/>
        </w:rPr>
        <w:t xml:space="preserve">            </w:t>
      </w:r>
      <w:r>
        <w:rPr>
          <w:rFonts w:hint="eastAsia" w:ascii="仿宋_GB2312" w:hAnsi="仿宋_GB2312" w:eastAsia="仿宋_GB2312" w:cs="仿宋_GB2312"/>
          <w:color w:val="000000"/>
          <w:sz w:val="28"/>
          <w:szCs w:val="28"/>
        </w:rPr>
        <w:t>投标公司， 法人代表人为</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，正式授权</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提交纸质投标文件：资质证明文件、商务文件和技术文件正本</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rPr>
        <w:t>份、副本</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rPr>
        <w:t>份；电子版投标文件一份。</w:t>
      </w:r>
    </w:p>
    <w:p w14:paraId="26D62944">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据此函，签字代表宣布同意如下：</w:t>
      </w:r>
    </w:p>
    <w:p w14:paraId="71FBB532">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535DAEDA">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2.投标人在投标之前已经与贵方进行了充分的沟通，完全理解并接受招标文件的各项规定和要求，对招标文件的合理性、合法性不再有异议。</w:t>
      </w:r>
    </w:p>
    <w:p w14:paraId="7A6FA392">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3.本投标有效期自开标日起</w:t>
      </w:r>
      <w:r>
        <w:rPr>
          <w:rFonts w:hint="eastAsia" w:ascii="仿宋_GB2312" w:hAnsi="仿宋_GB2312" w:eastAsia="仿宋_GB2312" w:cs="仿宋_GB2312"/>
          <w:bCs/>
          <w:color w:val="000000"/>
          <w:sz w:val="28"/>
          <w:szCs w:val="28"/>
          <w:u w:val="single"/>
        </w:rPr>
        <w:t xml:space="preserve"> </w:t>
      </w:r>
      <w:r>
        <w:rPr>
          <w:rFonts w:hint="eastAsia" w:ascii="仿宋_GB2312" w:hAnsi="仿宋_GB2312" w:eastAsia="仿宋_GB2312" w:cs="仿宋_GB2312"/>
          <w:bCs/>
          <w:color w:val="000000"/>
          <w:sz w:val="28"/>
          <w:szCs w:val="28"/>
          <w:u w:val="single"/>
          <w:lang w:val="en-US" w:eastAsia="zh-CN"/>
        </w:rPr>
        <w:t xml:space="preserve"> </w:t>
      </w:r>
      <w:r>
        <w:rPr>
          <w:rFonts w:hint="eastAsia" w:ascii="仿宋_GB2312" w:hAnsi="仿宋_GB2312" w:eastAsia="仿宋_GB2312" w:cs="仿宋_GB2312"/>
          <w:color w:val="000000"/>
          <w:sz w:val="28"/>
          <w:szCs w:val="28"/>
        </w:rPr>
        <w:t>个日历日。</w:t>
      </w:r>
    </w:p>
    <w:p w14:paraId="459E3F15">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4.如中标，本投标文件至本项目合同履行完毕止均保持有效，本投标人将按“招标文件”及政府采购</w:t>
      </w:r>
      <w:r>
        <w:rPr>
          <w:rFonts w:hint="eastAsia" w:ascii="仿宋_GB2312" w:hAnsi="仿宋_GB2312" w:eastAsia="仿宋_GB2312" w:cs="仿宋_GB2312"/>
          <w:color w:val="000000"/>
          <w:sz w:val="28"/>
          <w:szCs w:val="28"/>
          <w:lang w:eastAsia="zh-CN"/>
        </w:rPr>
        <w:t>法律法规</w:t>
      </w:r>
      <w:r>
        <w:rPr>
          <w:rFonts w:hint="eastAsia" w:ascii="仿宋_GB2312" w:hAnsi="仿宋_GB2312" w:eastAsia="仿宋_GB2312" w:cs="仿宋_GB2312"/>
          <w:color w:val="000000"/>
          <w:sz w:val="28"/>
          <w:szCs w:val="28"/>
        </w:rPr>
        <w:t>的规定履行合同责任和义务。</w:t>
      </w:r>
    </w:p>
    <w:p w14:paraId="77545813">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5.投标人同意按照贵方要求提供与投标有关的一切数据或资料。</w:t>
      </w:r>
    </w:p>
    <w:p w14:paraId="4F02BADB">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6.与本投标有关的一切正式往来信函请寄：</w:t>
      </w:r>
    </w:p>
    <w:p w14:paraId="3404A7CE">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地址：                             </w:t>
      </w:r>
    </w:p>
    <w:p w14:paraId="24E63A16">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邮编：        </w:t>
      </w:r>
    </w:p>
    <w:p w14:paraId="40F28EC1">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电话：        传真：                   </w:t>
      </w:r>
    </w:p>
    <w:p w14:paraId="1D482AFB">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投标人代表姓名：</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职务：          </w:t>
      </w:r>
    </w:p>
    <w:p w14:paraId="43152E46">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开户银行：                   </w:t>
      </w:r>
    </w:p>
    <w:p w14:paraId="2F8C4A40">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银行账号</w:t>
      </w:r>
      <w:r>
        <w:rPr>
          <w:rFonts w:hint="eastAsia" w:ascii="仿宋_GB2312" w:hAnsi="仿宋_GB2312" w:eastAsia="仿宋_GB2312" w:cs="仿宋_GB2312"/>
          <w:color w:val="000000"/>
          <w:sz w:val="28"/>
          <w:szCs w:val="28"/>
        </w:rPr>
        <w:t xml:space="preserve">：                   </w:t>
      </w:r>
    </w:p>
    <w:p w14:paraId="04462310">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投标人名称（</w:t>
      </w:r>
      <w:r>
        <w:rPr>
          <w:rFonts w:hint="eastAsia" w:ascii="仿宋_GB2312" w:hAnsi="仿宋_GB2312" w:eastAsia="仿宋_GB2312" w:cs="仿宋_GB2312"/>
          <w:bCs/>
          <w:color w:val="000000"/>
          <w:sz w:val="28"/>
          <w:szCs w:val="28"/>
        </w:rPr>
        <w:t>盖章）</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color w:val="000000"/>
          <w:sz w:val="28"/>
          <w:szCs w:val="28"/>
        </w:rPr>
        <w:t xml:space="preserve"> </w:t>
      </w:r>
    </w:p>
    <w:p w14:paraId="7045671E">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授权代表签字</w:t>
      </w:r>
      <w:r>
        <w:rPr>
          <w:rFonts w:hint="eastAsia" w:ascii="仿宋_GB2312" w:hAnsi="仿宋_GB2312" w:eastAsia="仿宋_GB2312" w:cs="仿宋_GB2312"/>
          <w:bCs/>
          <w:color w:val="000000"/>
          <w:sz w:val="28"/>
          <w:szCs w:val="28"/>
        </w:rPr>
        <w:t>：</w:t>
      </w:r>
    </w:p>
    <w:p w14:paraId="284F62AD">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日期：     年      月      日</w:t>
      </w:r>
    </w:p>
    <w:p w14:paraId="50D9D845">
      <w:pPr>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000000"/>
          <w:sz w:val="28"/>
          <w:szCs w:val="28"/>
        </w:rPr>
      </w:pPr>
    </w:p>
    <w:p w14:paraId="32681108">
      <w:pPr>
        <w:jc w:val="both"/>
        <w:rPr>
          <w:rFonts w:ascii="宋体"/>
          <w:b/>
          <w:color w:val="000000"/>
          <w:szCs w:val="24"/>
        </w:rPr>
      </w:pPr>
    </w:p>
    <w:p w14:paraId="09DC4175">
      <w:pPr>
        <w:jc w:val="both"/>
        <w:rPr>
          <w:rFonts w:ascii="宋体"/>
          <w:b/>
          <w:color w:val="000000"/>
          <w:szCs w:val="24"/>
        </w:rPr>
      </w:pPr>
    </w:p>
    <w:p w14:paraId="7545A644">
      <w:pPr>
        <w:jc w:val="both"/>
        <w:rPr>
          <w:rFonts w:ascii="宋体"/>
          <w:b/>
          <w:color w:val="000000"/>
          <w:szCs w:val="24"/>
        </w:rPr>
      </w:pPr>
    </w:p>
    <w:p w14:paraId="485ABBD2">
      <w:pPr>
        <w:jc w:val="both"/>
        <w:rPr>
          <w:rFonts w:ascii="宋体"/>
          <w:b/>
          <w:color w:val="000000"/>
          <w:szCs w:val="24"/>
        </w:rPr>
      </w:pPr>
    </w:p>
    <w:p w14:paraId="744E73C2">
      <w:pPr>
        <w:jc w:val="both"/>
        <w:rPr>
          <w:rFonts w:ascii="宋体"/>
          <w:b/>
          <w:color w:val="000000"/>
          <w:szCs w:val="24"/>
        </w:rPr>
      </w:pPr>
    </w:p>
    <w:p w14:paraId="1C5EEDE5">
      <w:pPr>
        <w:jc w:val="both"/>
        <w:rPr>
          <w:rFonts w:ascii="宋体"/>
          <w:b/>
          <w:color w:val="000000"/>
          <w:szCs w:val="24"/>
        </w:rPr>
      </w:pPr>
    </w:p>
    <w:p w14:paraId="37444E03">
      <w:pPr>
        <w:jc w:val="both"/>
        <w:rPr>
          <w:rFonts w:ascii="宋体"/>
          <w:b/>
          <w:color w:val="000000"/>
          <w:szCs w:val="24"/>
        </w:rPr>
      </w:pPr>
    </w:p>
    <w:p w14:paraId="57006D89">
      <w:pPr>
        <w:pStyle w:val="71"/>
        <w:jc w:val="left"/>
        <w:rPr>
          <w:rFonts w:hint="eastAsia" w:ascii="仿宋_GB2312" w:hAnsi="仿宋_GB2312" w:eastAsia="仿宋_GB2312" w:cs="仿宋_GB2312"/>
          <w:sz w:val="28"/>
          <w:szCs w:val="28"/>
          <w:highlight w:val="none"/>
          <w:lang w:val="en-US" w:eastAsia="zh-CN"/>
        </w:rPr>
      </w:pPr>
      <w:bookmarkStart w:id="17" w:name="_Toc47976618"/>
      <w:bookmarkStart w:id="18" w:name="_Toc29366869"/>
      <w:bookmarkStart w:id="19" w:name="_Toc29366865"/>
      <w:r>
        <w:rPr>
          <w:rFonts w:hint="eastAsia" w:ascii="仿宋_GB2312" w:hAnsi="仿宋_GB2312" w:eastAsia="仿宋_GB2312" w:cs="仿宋_GB2312"/>
          <w:sz w:val="28"/>
          <w:szCs w:val="28"/>
          <w:highlight w:val="none"/>
          <w:lang w:val="en-US" w:eastAsia="zh-CN"/>
        </w:rPr>
        <w:t>附件2</w:t>
      </w:r>
    </w:p>
    <w:p w14:paraId="066C1EA8">
      <w:pPr>
        <w:spacing w:line="480" w:lineRule="auto"/>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法定代表人身份证明</w:t>
      </w:r>
    </w:p>
    <w:p w14:paraId="141897A9">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 标 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75620581">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单位性质：</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4544006E">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    址：</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0E238DCE">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成立时间：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日</w:t>
      </w:r>
    </w:p>
    <w:p w14:paraId="2B4C69A7">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经营期限：</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45F83DE4">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性        别：</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3F9DF54F">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年    龄：</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职        务：</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p>
    <w:p w14:paraId="1B57850C">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系</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（投标人名称）的法定代表人。</w:t>
      </w:r>
    </w:p>
    <w:p w14:paraId="727DABD7">
      <w:pPr>
        <w:spacing w:line="48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特此证明。</w:t>
      </w:r>
    </w:p>
    <w:p w14:paraId="1F07534E">
      <w:pPr>
        <w:spacing w:line="480" w:lineRule="auto"/>
        <w:jc w:val="right"/>
        <w:rPr>
          <w:rFonts w:hint="eastAsia" w:ascii="仿宋_GB2312" w:hAnsi="仿宋_GB2312" w:eastAsia="仿宋_GB2312" w:cs="仿宋_GB2312"/>
          <w:sz w:val="28"/>
          <w:szCs w:val="28"/>
          <w:highlight w:val="none"/>
        </w:rPr>
      </w:pPr>
    </w:p>
    <w:p w14:paraId="3452F62A">
      <w:pPr>
        <w:spacing w:line="480" w:lineRule="auto"/>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（盖单位章）</w:t>
      </w:r>
    </w:p>
    <w:p w14:paraId="21453033">
      <w:pPr>
        <w:spacing w:line="480" w:lineRule="auto"/>
        <w:jc w:val="right"/>
        <w:rPr>
          <w:highlight w:val="none"/>
        </w:rPr>
      </w:pP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日  </w:t>
      </w:r>
      <w:r>
        <w:rPr>
          <w:rFonts w:hint="eastAsia" w:ascii="宋体" w:hAnsi="宋体" w:cs="宋体"/>
          <w:highlight w:val="none"/>
        </w:rPr>
        <w:t xml:space="preserve">        </w:t>
      </w:r>
    </w:p>
    <w:p w14:paraId="76D2F4B9">
      <w:pPr>
        <w:jc w:val="center"/>
        <w:rPr>
          <w:rFonts w:ascii="Times New Roman" w:hAnsi="Times New Roman"/>
          <w:highlight w:val="none"/>
        </w:rPr>
      </w:pPr>
    </w:p>
    <w:p w14:paraId="2A64805D">
      <w:pPr>
        <w:pStyle w:val="72"/>
        <w:numPr>
          <w:ilvl w:val="0"/>
          <w:numId w:val="0"/>
        </w:numPr>
        <w:ind w:leftChars="0"/>
        <w:rPr>
          <w:rFonts w:hint="eastAsia" w:ascii="宋体" w:hAnsi="宋体" w:eastAsia="宋体" w:cs="宋体"/>
          <w:sz w:val="32"/>
          <w:szCs w:val="32"/>
          <w:highlight w:val="yellow"/>
          <w:lang w:val="en-US" w:eastAsia="zh-CN"/>
        </w:rPr>
      </w:pPr>
    </w:p>
    <w:p w14:paraId="35D6AB85">
      <w:pPr>
        <w:pStyle w:val="72"/>
        <w:numPr>
          <w:ilvl w:val="0"/>
          <w:numId w:val="0"/>
        </w:numPr>
        <w:ind w:leftChars="0"/>
        <w:rPr>
          <w:rFonts w:hint="eastAsia" w:ascii="宋体" w:hAnsi="宋体" w:eastAsia="宋体" w:cs="宋体"/>
          <w:sz w:val="32"/>
          <w:szCs w:val="32"/>
          <w:highlight w:val="yellow"/>
          <w:lang w:val="en-US" w:eastAsia="zh-CN"/>
        </w:rPr>
      </w:pPr>
    </w:p>
    <w:p w14:paraId="5DCB97CE">
      <w:pPr>
        <w:pStyle w:val="72"/>
        <w:numPr>
          <w:ilvl w:val="0"/>
          <w:numId w:val="0"/>
        </w:numPr>
        <w:ind w:leftChars="0"/>
        <w:rPr>
          <w:rFonts w:hint="eastAsia" w:ascii="宋体" w:hAnsi="宋体" w:eastAsia="宋体" w:cs="宋体"/>
          <w:sz w:val="32"/>
          <w:szCs w:val="32"/>
          <w:highlight w:val="yellow"/>
          <w:lang w:val="en-US" w:eastAsia="zh-CN"/>
        </w:rPr>
      </w:pPr>
    </w:p>
    <w:p w14:paraId="50B79DA5">
      <w:pPr>
        <w:pStyle w:val="72"/>
        <w:numPr>
          <w:ilvl w:val="0"/>
          <w:numId w:val="0"/>
        </w:numPr>
        <w:ind w:leftChars="0"/>
        <w:rPr>
          <w:rFonts w:hint="eastAsia" w:ascii="宋体" w:hAnsi="宋体" w:eastAsia="宋体" w:cs="宋体"/>
          <w:sz w:val="32"/>
          <w:szCs w:val="32"/>
          <w:highlight w:val="yellow"/>
          <w:lang w:val="en-US" w:eastAsia="zh-CN"/>
        </w:rPr>
      </w:pPr>
    </w:p>
    <w:p w14:paraId="29D6A4FF">
      <w:pPr>
        <w:pStyle w:val="72"/>
        <w:numPr>
          <w:ilvl w:val="0"/>
          <w:numId w:val="0"/>
        </w:numPr>
        <w:ind w:leftChars="0"/>
        <w:rPr>
          <w:rFonts w:hint="eastAsia" w:ascii="宋体" w:hAnsi="宋体" w:eastAsia="宋体" w:cs="宋体"/>
          <w:sz w:val="32"/>
          <w:szCs w:val="32"/>
          <w:highlight w:val="yellow"/>
          <w:lang w:val="en-US" w:eastAsia="zh-CN"/>
        </w:rPr>
      </w:pPr>
    </w:p>
    <w:p w14:paraId="7910A945">
      <w:pPr>
        <w:pStyle w:val="72"/>
        <w:numPr>
          <w:ilvl w:val="0"/>
          <w:numId w:val="0"/>
        </w:numPr>
        <w:ind w:leftChars="0"/>
        <w:rPr>
          <w:rFonts w:hint="eastAsia" w:ascii="宋体" w:hAnsi="宋体" w:eastAsia="宋体" w:cs="宋体"/>
          <w:sz w:val="32"/>
          <w:szCs w:val="32"/>
          <w:highlight w:val="yellow"/>
          <w:lang w:val="en-US" w:eastAsia="zh-CN"/>
        </w:rPr>
      </w:pPr>
    </w:p>
    <w:p w14:paraId="651DBFDB">
      <w:pPr>
        <w:pStyle w:val="72"/>
        <w:numPr>
          <w:ilvl w:val="0"/>
          <w:numId w:val="0"/>
        </w:numPr>
        <w:ind w:leftChars="0"/>
        <w:rPr>
          <w:rFonts w:hint="eastAsia" w:ascii="宋体" w:hAnsi="宋体" w:eastAsia="宋体" w:cs="宋体"/>
          <w:sz w:val="32"/>
          <w:szCs w:val="32"/>
          <w:highlight w:val="yellow"/>
          <w:lang w:val="en-US" w:eastAsia="zh-CN"/>
        </w:rPr>
      </w:pPr>
    </w:p>
    <w:bookmarkEnd w:id="17"/>
    <w:p w14:paraId="664CB039">
      <w:pPr>
        <w:pStyle w:val="71"/>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附件3</w:t>
      </w:r>
    </w:p>
    <w:p w14:paraId="0179E87D">
      <w:pPr>
        <w:spacing w:line="36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b/>
          <w:bCs/>
          <w:color w:val="000000"/>
          <w:sz w:val="28"/>
          <w:szCs w:val="28"/>
        </w:rPr>
        <w:t>法定代表人授权委托书</w:t>
      </w:r>
    </w:p>
    <w:p w14:paraId="19A97CD6">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本授权委托书声明：我＿＿＿＿＿＿＿（姓名）系＿＿＿＿＿＿＿＿＿＿＿＿＿＿＿＿＿＿＿＿＿＿＿＿（投标人全称）的法定代表人，就</w:t>
      </w:r>
      <w:r>
        <w:rPr>
          <w:rFonts w:hint="eastAsia" w:ascii="仿宋_GB2312" w:hAnsi="仿宋_GB2312" w:eastAsia="仿宋_GB2312" w:cs="仿宋_GB2312"/>
          <w:b/>
          <w:bCs/>
          <w:color w:val="000000"/>
          <w:sz w:val="28"/>
          <w:szCs w:val="28"/>
          <w:u w:val="single"/>
        </w:rPr>
        <w:t xml:space="preserve"> </w:t>
      </w:r>
      <w:r>
        <w:rPr>
          <w:rFonts w:hint="eastAsia" w:ascii="仿宋_GB2312" w:hAnsi="仿宋_GB2312" w:eastAsia="仿宋_GB2312" w:cs="仿宋_GB2312"/>
          <w:b/>
          <w:bCs/>
          <w:color w:val="000000"/>
          <w:sz w:val="28"/>
          <w:szCs w:val="28"/>
          <w:u w:val="single"/>
          <w:lang w:val="en-US" w:eastAsia="zh-CN"/>
        </w:rPr>
        <w:t xml:space="preserve">                      </w:t>
      </w:r>
      <w:r>
        <w:rPr>
          <w:rFonts w:hint="eastAsia" w:ascii="仿宋_GB2312" w:hAnsi="仿宋_GB2312" w:eastAsia="仿宋_GB2312" w:cs="仿宋_GB2312"/>
          <w:color w:val="000000"/>
          <w:sz w:val="28"/>
          <w:szCs w:val="28"/>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全权代表无转委权。特此委托。</w:t>
      </w:r>
    </w:p>
    <w:tbl>
      <w:tblPr>
        <w:tblStyle w:val="3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3"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rPr>
              <w:t>附法人身份证明复印件</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color w:val="000000" w:themeColor="text1"/>
                <w:sz w:val="28"/>
                <w:szCs w:val="28"/>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附授权代理人身份证明复印件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正反面</w:t>
            </w:r>
            <w:r>
              <w:rPr>
                <w:rFonts w:hint="eastAsia" w:ascii="仿宋_GB2312" w:hAnsi="仿宋_GB2312" w:eastAsia="仿宋_GB2312" w:cs="仿宋_GB2312"/>
                <w:sz w:val="28"/>
                <w:szCs w:val="28"/>
                <w:lang w:eastAsia="zh-CN"/>
              </w:rPr>
              <w:t>）</w:t>
            </w:r>
          </w:p>
        </w:tc>
      </w:tr>
    </w:tbl>
    <w:p w14:paraId="37BFA8A8">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全权代表姓名：            性别：          年龄：</w:t>
      </w:r>
    </w:p>
    <w:p w14:paraId="3B6DD363">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                    部门：          职务：</w:t>
      </w:r>
    </w:p>
    <w:p w14:paraId="0F64A2A6">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法定代表人签字或盖章                          </w:t>
      </w:r>
    </w:p>
    <w:p w14:paraId="100F211A">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被授权人签字  </w:t>
      </w:r>
    </w:p>
    <w:p w14:paraId="7B47F762">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被授权人电话：   </w:t>
      </w:r>
    </w:p>
    <w:p w14:paraId="6B9DBB7C">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投标人名称（公章）                       </w:t>
      </w:r>
    </w:p>
    <w:p w14:paraId="152336F1">
      <w:pPr>
        <w:spacing w:line="460" w:lineRule="exact"/>
        <w:ind w:firstLine="5600" w:firstLineChars="20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bookmarkEnd w:id="18"/>
    <w:bookmarkEnd w:id="19"/>
    <w:p w14:paraId="71905C77">
      <w:pPr>
        <w:pStyle w:val="71"/>
        <w:jc w:val="left"/>
        <w:rPr>
          <w:rFonts w:hint="eastAsia" w:ascii="仿宋_GB2312" w:hAnsi="仿宋_GB2312" w:eastAsia="仿宋_GB2312" w:cs="仿宋_GB2312"/>
          <w:sz w:val="28"/>
          <w:szCs w:val="28"/>
          <w:highlight w:val="none"/>
          <w:lang w:val="en-US" w:eastAsia="zh-CN"/>
        </w:rPr>
      </w:pPr>
    </w:p>
    <w:p w14:paraId="53E6B306">
      <w:pPr>
        <w:pStyle w:val="71"/>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附件4</w:t>
      </w:r>
    </w:p>
    <w:p w14:paraId="769BF465">
      <w:pPr>
        <w:pStyle w:val="72"/>
        <w:numPr>
          <w:ilvl w:val="0"/>
          <w:numId w:val="0"/>
        </w:numPr>
        <w:ind w:leftChars="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开标一览表</w:t>
      </w:r>
    </w:p>
    <w:tbl>
      <w:tblPr>
        <w:tblStyle w:val="31"/>
        <w:tblpPr w:leftFromText="180" w:rightFromText="180" w:vertAnchor="text" w:horzAnchor="page" w:tblpX="1542" w:tblpY="352"/>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34"/>
        <w:gridCol w:w="5938"/>
      </w:tblGrid>
      <w:tr w14:paraId="45CA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3095" w:type="dxa"/>
            <w:gridSpan w:val="2"/>
            <w:noWrap w:val="0"/>
            <w:vAlign w:val="center"/>
          </w:tcPr>
          <w:p w14:paraId="2D11C80D">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项目名称</w:t>
            </w:r>
          </w:p>
        </w:tc>
        <w:tc>
          <w:tcPr>
            <w:tcW w:w="5938" w:type="dxa"/>
            <w:noWrap w:val="0"/>
            <w:vAlign w:val="center"/>
          </w:tcPr>
          <w:p w14:paraId="05D58CF1">
            <w:pPr>
              <w:pStyle w:val="15"/>
              <w:rPr>
                <w:rFonts w:hint="eastAsia" w:ascii="仿宋_GB2312" w:hAnsi="仿宋_GB2312" w:eastAsia="仿宋_GB2312" w:cs="仿宋_GB2312"/>
                <w:bCs/>
                <w:sz w:val="28"/>
                <w:szCs w:val="28"/>
              </w:rPr>
            </w:pPr>
          </w:p>
        </w:tc>
      </w:tr>
      <w:tr w14:paraId="42AA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3095" w:type="dxa"/>
            <w:gridSpan w:val="2"/>
            <w:noWrap w:val="0"/>
            <w:vAlign w:val="center"/>
          </w:tcPr>
          <w:p w14:paraId="70CE648E">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投标单位名称</w:t>
            </w:r>
          </w:p>
        </w:tc>
        <w:tc>
          <w:tcPr>
            <w:tcW w:w="5938" w:type="dxa"/>
            <w:noWrap w:val="0"/>
            <w:vAlign w:val="center"/>
          </w:tcPr>
          <w:p w14:paraId="1BDC2B91">
            <w:pPr>
              <w:pStyle w:val="15"/>
              <w:rPr>
                <w:rFonts w:hint="eastAsia" w:ascii="仿宋_GB2312" w:hAnsi="仿宋_GB2312" w:eastAsia="仿宋_GB2312" w:cs="仿宋_GB2312"/>
                <w:bCs/>
                <w:sz w:val="28"/>
                <w:szCs w:val="28"/>
              </w:rPr>
            </w:pPr>
          </w:p>
        </w:tc>
      </w:tr>
      <w:tr w14:paraId="064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1" w:hRule="atLeast"/>
        </w:trPr>
        <w:tc>
          <w:tcPr>
            <w:tcW w:w="2461" w:type="dxa"/>
            <w:noWrap w:val="0"/>
            <w:vAlign w:val="center"/>
          </w:tcPr>
          <w:p w14:paraId="44E5A15C">
            <w:pPr>
              <w:pStyle w:val="15"/>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项目含税总报价</w:t>
            </w:r>
          </w:p>
        </w:tc>
        <w:tc>
          <w:tcPr>
            <w:tcW w:w="634" w:type="dxa"/>
            <w:noWrap w:val="0"/>
            <w:vAlign w:val="center"/>
          </w:tcPr>
          <w:p w14:paraId="64A18411">
            <w:pPr>
              <w:pStyle w:val="15"/>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元</w:t>
            </w:r>
          </w:p>
        </w:tc>
        <w:tc>
          <w:tcPr>
            <w:tcW w:w="5938" w:type="dxa"/>
            <w:noWrap w:val="0"/>
            <w:vAlign w:val="center"/>
          </w:tcPr>
          <w:p w14:paraId="29B85D36">
            <w:pPr>
              <w:pStyle w:val="15"/>
              <w:jc w:val="both"/>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小写：</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lang w:val="en-US" w:eastAsia="zh-CN"/>
              </w:rPr>
              <w:t>元</w:t>
            </w:r>
            <w:r>
              <w:rPr>
                <w:rFonts w:hint="eastAsia" w:ascii="仿宋_GB2312" w:hAnsi="仿宋_GB2312" w:eastAsia="仿宋_GB2312" w:cs="仿宋_GB2312"/>
                <w:bCs/>
                <w:sz w:val="28"/>
                <w:szCs w:val="28"/>
                <w:lang w:val="en-US" w:eastAsia="zh-CN"/>
              </w:rPr>
              <w:t>；大写：</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lang w:val="en-US" w:eastAsia="zh-CN"/>
              </w:rPr>
              <w:t>元</w:t>
            </w:r>
          </w:p>
        </w:tc>
      </w:tr>
      <w:tr w14:paraId="2D89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461" w:type="dxa"/>
            <w:noWrap w:val="0"/>
            <w:vAlign w:val="center"/>
          </w:tcPr>
          <w:p w14:paraId="2EDFA038">
            <w:pPr>
              <w:pStyle w:val="15"/>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项目未税总报价</w:t>
            </w:r>
          </w:p>
        </w:tc>
        <w:tc>
          <w:tcPr>
            <w:tcW w:w="634" w:type="dxa"/>
            <w:noWrap w:val="0"/>
            <w:vAlign w:val="center"/>
          </w:tcPr>
          <w:p w14:paraId="6B332FEC">
            <w:pPr>
              <w:pStyle w:val="15"/>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元</w:t>
            </w:r>
          </w:p>
        </w:tc>
        <w:tc>
          <w:tcPr>
            <w:tcW w:w="5938" w:type="dxa"/>
            <w:noWrap w:val="0"/>
            <w:vAlign w:val="center"/>
          </w:tcPr>
          <w:p w14:paraId="127DE621">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小写：</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lang w:val="en-US" w:eastAsia="zh-CN"/>
              </w:rPr>
              <w:t>元</w:t>
            </w:r>
            <w:r>
              <w:rPr>
                <w:rFonts w:hint="eastAsia" w:ascii="仿宋_GB2312" w:hAnsi="仿宋_GB2312" w:eastAsia="仿宋_GB2312" w:cs="仿宋_GB2312"/>
                <w:bCs/>
                <w:sz w:val="28"/>
                <w:szCs w:val="28"/>
                <w:lang w:val="en-US" w:eastAsia="zh-CN"/>
              </w:rPr>
              <w:t>；大写：</w:t>
            </w:r>
            <w:r>
              <w:rPr>
                <w:rFonts w:hint="eastAsia" w:ascii="仿宋_GB2312" w:hAnsi="仿宋_GB2312" w:eastAsia="仿宋_GB2312" w:cs="仿宋_GB2312"/>
                <w:bCs/>
                <w:sz w:val="28"/>
                <w:szCs w:val="28"/>
                <w:u w:val="single"/>
                <w:lang w:val="en-US" w:eastAsia="zh-CN"/>
              </w:rPr>
              <w:t xml:space="preserve">               </w:t>
            </w:r>
            <w:r>
              <w:rPr>
                <w:rFonts w:hint="eastAsia" w:ascii="仿宋_GB2312" w:hAnsi="仿宋_GB2312" w:eastAsia="仿宋_GB2312" w:cs="仿宋_GB2312"/>
                <w:bCs/>
                <w:sz w:val="28"/>
                <w:szCs w:val="28"/>
                <w:u w:val="none"/>
                <w:lang w:val="en-US" w:eastAsia="zh-CN"/>
              </w:rPr>
              <w:t>元</w:t>
            </w:r>
          </w:p>
        </w:tc>
      </w:tr>
      <w:tr w14:paraId="4D99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2461" w:type="dxa"/>
            <w:noWrap w:val="0"/>
            <w:vAlign w:val="center"/>
          </w:tcPr>
          <w:p w14:paraId="7A921DF5">
            <w:pPr>
              <w:pStyle w:val="15"/>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税率</w:t>
            </w:r>
          </w:p>
        </w:tc>
        <w:tc>
          <w:tcPr>
            <w:tcW w:w="634" w:type="dxa"/>
            <w:noWrap w:val="0"/>
            <w:vAlign w:val="center"/>
          </w:tcPr>
          <w:p w14:paraId="65305DCB">
            <w:pPr>
              <w:pStyle w:val="15"/>
              <w:jc w:val="center"/>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w:t>
            </w:r>
          </w:p>
        </w:tc>
        <w:tc>
          <w:tcPr>
            <w:tcW w:w="5938" w:type="dxa"/>
            <w:noWrap w:val="0"/>
            <w:vAlign w:val="center"/>
          </w:tcPr>
          <w:p w14:paraId="003D3318">
            <w:pPr>
              <w:pStyle w:val="15"/>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13</w:t>
            </w:r>
          </w:p>
        </w:tc>
      </w:tr>
      <w:tr w14:paraId="1AA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3095" w:type="dxa"/>
            <w:gridSpan w:val="2"/>
            <w:noWrap w:val="0"/>
            <w:vAlign w:val="center"/>
          </w:tcPr>
          <w:p w14:paraId="0C0FDC9C">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质量目标</w:t>
            </w:r>
          </w:p>
        </w:tc>
        <w:tc>
          <w:tcPr>
            <w:tcW w:w="5938" w:type="dxa"/>
            <w:noWrap w:val="0"/>
            <w:vAlign w:val="center"/>
          </w:tcPr>
          <w:p w14:paraId="53F8BFBE">
            <w:pPr>
              <w:pStyle w:val="15"/>
              <w:rPr>
                <w:rFonts w:hint="eastAsia" w:ascii="仿宋_GB2312" w:hAnsi="仿宋_GB2312" w:eastAsia="仿宋_GB2312" w:cs="仿宋_GB2312"/>
                <w:bCs/>
                <w:sz w:val="28"/>
                <w:szCs w:val="28"/>
              </w:rPr>
            </w:pPr>
          </w:p>
        </w:tc>
      </w:tr>
      <w:tr w14:paraId="4C8B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9033" w:type="dxa"/>
            <w:gridSpan w:val="3"/>
            <w:noWrap w:val="0"/>
            <w:vAlign w:val="top"/>
          </w:tcPr>
          <w:p w14:paraId="5626F3D6">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特殊说明：</w:t>
            </w:r>
          </w:p>
        </w:tc>
      </w:tr>
      <w:tr w14:paraId="5C3F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trPr>
        <w:tc>
          <w:tcPr>
            <w:tcW w:w="9033" w:type="dxa"/>
            <w:gridSpan w:val="3"/>
            <w:noWrap w:val="0"/>
            <w:vAlign w:val="top"/>
          </w:tcPr>
          <w:p w14:paraId="016DA3DF">
            <w:pPr>
              <w:pStyle w:val="15"/>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本投标人完全认同招标文件的各项条款要求</w:t>
            </w:r>
          </w:p>
          <w:p w14:paraId="35A6E230">
            <w:pPr>
              <w:pStyle w:val="15"/>
              <w:rPr>
                <w:rFonts w:hint="eastAsia" w:ascii="仿宋_GB2312" w:hAnsi="仿宋_GB2312" w:eastAsia="仿宋_GB2312" w:cs="仿宋_GB2312"/>
                <w:bCs/>
                <w:sz w:val="28"/>
                <w:szCs w:val="28"/>
              </w:rPr>
            </w:pPr>
          </w:p>
        </w:tc>
      </w:tr>
    </w:tbl>
    <w:p w14:paraId="6DEECDFA">
      <w:pPr>
        <w:spacing w:line="360" w:lineRule="auto"/>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w:t>
      </w:r>
    </w:p>
    <w:p w14:paraId="440943D3">
      <w:pPr>
        <w:spacing w:line="360" w:lineRule="auto"/>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1.此表中的报价必须与相应的报价明细表中的报价一致。</w:t>
      </w:r>
    </w:p>
    <w:p w14:paraId="4A5EE63D">
      <w:pPr>
        <w:spacing w:line="300" w:lineRule="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val="en-US" w:eastAsia="zh-CN"/>
        </w:rPr>
        <w:t>2</w:t>
      </w:r>
      <w:r>
        <w:rPr>
          <w:rFonts w:hint="eastAsia" w:ascii="仿宋_GB2312" w:hAnsi="仿宋_GB2312" w:eastAsia="仿宋_GB2312" w:cs="仿宋_GB2312"/>
          <w:b w:val="0"/>
          <w:bCs w:val="0"/>
          <w:sz w:val="28"/>
          <w:szCs w:val="28"/>
        </w:rPr>
        <w:t>.需写明含税</w:t>
      </w:r>
      <w:r>
        <w:rPr>
          <w:rFonts w:hint="eastAsia" w:ascii="仿宋_GB2312" w:hAnsi="仿宋_GB2312" w:eastAsia="仿宋_GB2312" w:cs="仿宋_GB2312"/>
          <w:b w:val="0"/>
          <w:bCs w:val="0"/>
          <w:sz w:val="28"/>
          <w:szCs w:val="28"/>
          <w:lang w:eastAsia="zh-CN"/>
        </w:rPr>
        <w:t>价格</w:t>
      </w:r>
      <w:r>
        <w:rPr>
          <w:rFonts w:hint="eastAsia" w:ascii="仿宋_GB2312" w:hAnsi="仿宋_GB2312" w:eastAsia="仿宋_GB2312" w:cs="仿宋_GB2312"/>
          <w:b w:val="0"/>
          <w:bCs w:val="0"/>
          <w:sz w:val="28"/>
          <w:szCs w:val="28"/>
        </w:rPr>
        <w:t>、不含税价格、税率。</w:t>
      </w:r>
    </w:p>
    <w:p w14:paraId="716860CE">
      <w:pPr>
        <w:pStyle w:val="15"/>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3</w:t>
      </w:r>
      <w:r>
        <w:rPr>
          <w:rFonts w:hint="eastAsia" w:ascii="仿宋_GB2312" w:hAnsi="仿宋_GB2312" w:eastAsia="仿宋_GB2312" w:cs="仿宋_GB2312"/>
          <w:b w:val="0"/>
          <w:bCs w:val="0"/>
          <w:sz w:val="28"/>
          <w:szCs w:val="28"/>
          <w:highlight w:val="none"/>
        </w:rPr>
        <w:t>.投标总价包括</w:t>
      </w:r>
      <w:r>
        <w:rPr>
          <w:rFonts w:hint="eastAsia" w:ascii="仿宋_GB2312" w:hAnsi="仿宋_GB2312" w:eastAsia="仿宋_GB2312" w:cs="仿宋_GB2312"/>
          <w:b w:val="0"/>
          <w:bCs w:val="0"/>
          <w:sz w:val="28"/>
          <w:szCs w:val="28"/>
          <w:highlight w:val="none"/>
          <w:lang w:val="en-US" w:eastAsia="zh-CN"/>
        </w:rPr>
        <w:t>材料、维保、运输、安装等</w:t>
      </w:r>
      <w:r>
        <w:rPr>
          <w:rFonts w:hint="eastAsia" w:ascii="仿宋_GB2312" w:hAnsi="仿宋_GB2312" w:eastAsia="仿宋_GB2312" w:cs="仿宋_GB2312"/>
          <w:b w:val="0"/>
          <w:bCs w:val="0"/>
          <w:sz w:val="28"/>
          <w:szCs w:val="28"/>
          <w:highlight w:val="none"/>
          <w:u w:val="none"/>
          <w:lang w:val="en-US" w:eastAsia="zh-CN"/>
        </w:rPr>
        <w:t>全部费用</w:t>
      </w:r>
      <w:r>
        <w:rPr>
          <w:rFonts w:hint="eastAsia" w:ascii="仿宋_GB2312" w:hAnsi="仿宋_GB2312" w:eastAsia="仿宋_GB2312" w:cs="仿宋_GB2312"/>
          <w:b w:val="0"/>
          <w:bCs w:val="0"/>
          <w:sz w:val="28"/>
          <w:szCs w:val="28"/>
          <w:highlight w:val="none"/>
        </w:rPr>
        <w:t>。</w:t>
      </w:r>
    </w:p>
    <w:p w14:paraId="7CA9A866">
      <w:pPr>
        <w:pStyle w:val="15"/>
        <w:rPr>
          <w:rFonts w:hint="eastAsia" w:ascii="仿宋_GB2312" w:hAnsi="仿宋_GB2312" w:eastAsia="仿宋_GB2312" w:cs="仿宋_GB2312"/>
          <w:b/>
          <w:bCs/>
          <w:sz w:val="28"/>
          <w:szCs w:val="28"/>
          <w:highlight w:val="yellow"/>
        </w:rPr>
      </w:pPr>
    </w:p>
    <w:p w14:paraId="31061A95">
      <w:pPr>
        <w:pStyle w:val="15"/>
        <w:rPr>
          <w:rFonts w:hint="eastAsia" w:ascii="仿宋_GB2312" w:hAnsi="仿宋_GB2312" w:eastAsia="仿宋_GB2312" w:cs="仿宋_GB2312"/>
          <w:b/>
          <w:bCs/>
          <w:sz w:val="28"/>
          <w:szCs w:val="28"/>
          <w:highlight w:val="yellow"/>
        </w:rPr>
      </w:pPr>
    </w:p>
    <w:p w14:paraId="5A2F2EC2">
      <w:pPr>
        <w:spacing w:line="6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投标人：（盖章）</w:t>
      </w:r>
    </w:p>
    <w:p w14:paraId="3B316BD5">
      <w:pPr>
        <w:spacing w:line="6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法定代表人（委托代理人）：（签字）</w:t>
      </w:r>
    </w:p>
    <w:p w14:paraId="5E5A5D5F">
      <w:pPr>
        <w:spacing w:line="6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  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14:paraId="23E75332">
      <w:pPr>
        <w:pStyle w:val="76"/>
        <w:rPr>
          <w:rFonts w:hint="default" w:ascii="宋体" w:hAnsi="宋体" w:eastAsia="宋体" w:cs="宋体"/>
          <w:b/>
          <w:bCs/>
          <w:kern w:val="2"/>
          <w:sz w:val="32"/>
          <w:szCs w:val="32"/>
          <w:lang w:val="en-US" w:eastAsia="zh-CN" w:bidi="ar-SA"/>
        </w:rPr>
      </w:pPr>
      <w:r>
        <w:t xml:space="preserve"> </w:t>
      </w:r>
      <w:r>
        <w:rPr>
          <w:rFonts w:hint="eastAsia" w:ascii="仿宋_GB2312" w:hAnsi="仿宋_GB2312" w:eastAsia="仿宋_GB2312" w:cs="仿宋_GB2312"/>
          <w:b/>
          <w:bCs/>
          <w:kern w:val="2"/>
          <w:sz w:val="28"/>
          <w:szCs w:val="28"/>
          <w:highlight w:val="none"/>
          <w:lang w:val="en-US" w:eastAsia="zh-CN" w:bidi="ar-SA"/>
        </w:rPr>
        <w:t>附件5</w:t>
      </w:r>
      <w:r>
        <w:rPr>
          <w:rFonts w:hint="eastAsia" w:hAnsi="宋体" w:cs="宋体"/>
          <w:b/>
          <w:bCs/>
          <w:kern w:val="2"/>
          <w:sz w:val="32"/>
          <w:szCs w:val="32"/>
          <w:lang w:val="en-US" w:eastAsia="zh-CN" w:bidi="ar-SA"/>
        </w:rPr>
        <w:t xml:space="preserve">  </w:t>
      </w:r>
      <w:r>
        <w:rPr>
          <w:rFonts w:hint="default" w:ascii="仿宋_GB2312" w:hAnsi="仿宋_GB2312" w:eastAsia="仿宋_GB2312" w:cs="仿宋_GB2312"/>
          <w:b/>
          <w:bCs/>
          <w:kern w:val="2"/>
          <w:sz w:val="28"/>
          <w:szCs w:val="28"/>
          <w:highlight w:val="none"/>
          <w:lang w:val="en-US" w:eastAsia="zh-CN" w:bidi="ar-SA"/>
        </w:rPr>
        <w:t>投标报价明细表</w:t>
      </w:r>
    </w:p>
    <w:tbl>
      <w:tblPr>
        <w:tblStyle w:val="31"/>
        <w:tblW w:w="87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2"/>
        <w:gridCol w:w="1496"/>
        <w:gridCol w:w="623"/>
        <w:gridCol w:w="623"/>
        <w:gridCol w:w="1204"/>
        <w:gridCol w:w="1204"/>
        <w:gridCol w:w="1495"/>
        <w:gridCol w:w="1495"/>
      </w:tblGrid>
      <w:tr w14:paraId="710B6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8" w:space="0"/>
              <w:left w:val="single" w:color="000000" w:sz="8" w:space="0"/>
              <w:bottom w:val="single" w:color="000000" w:sz="8" w:space="0"/>
              <w:right w:val="single" w:color="000000" w:sz="8" w:space="0"/>
            </w:tcBorders>
            <w:shd w:val="clear" w:color="auto" w:fill="D7D7D7"/>
            <w:vAlign w:val="center"/>
          </w:tcPr>
          <w:p w14:paraId="5047B2D6">
            <w:pPr>
              <w:keepNext w:val="0"/>
              <w:keepLines w:val="0"/>
              <w:widowControl/>
              <w:suppressLineNumbers w:val="0"/>
              <w:snapToGrid w:val="0"/>
              <w:ind w:left="0" w:leftChars="0" w:right="0" w:rightChars="0" w:firstLine="0" w:firstLineChars="0"/>
              <w:jc w:val="center"/>
              <w:textAlignment w:val="center"/>
              <w:rPr>
                <w:rFonts w:ascii="黑体" w:hAnsi="宋体" w:eastAsia="黑体" w:cs="黑体"/>
                <w:b/>
                <w:bCs/>
                <w:i w:val="0"/>
                <w:iCs w:val="0"/>
                <w:color w:val="000000"/>
                <w:sz w:val="21"/>
                <w:szCs w:val="20"/>
                <w:u w:val="none"/>
              </w:rPr>
            </w:pPr>
            <w:r>
              <w:rPr>
                <w:rFonts w:hint="eastAsia" w:ascii="黑体" w:hAnsi="宋体" w:eastAsia="黑体" w:cs="黑体"/>
                <w:b/>
                <w:bCs/>
                <w:i w:val="0"/>
                <w:iCs w:val="0"/>
                <w:color w:val="000000"/>
                <w:kern w:val="0"/>
                <w:sz w:val="21"/>
                <w:szCs w:val="20"/>
                <w:u w:val="none"/>
                <w:lang w:val="en-US" w:eastAsia="zh-CN" w:bidi="ar"/>
              </w:rPr>
              <w:t>序号</w:t>
            </w:r>
          </w:p>
        </w:tc>
        <w:tc>
          <w:tcPr>
            <w:tcW w:w="1496" w:type="dxa"/>
            <w:tcBorders>
              <w:top w:val="single" w:color="000000" w:sz="8" w:space="0"/>
              <w:left w:val="single" w:color="000000" w:sz="8" w:space="0"/>
              <w:bottom w:val="single" w:color="000000" w:sz="8" w:space="0"/>
              <w:right w:val="single" w:color="000000" w:sz="8" w:space="0"/>
            </w:tcBorders>
            <w:shd w:val="clear" w:color="auto" w:fill="D7D7D7"/>
            <w:vAlign w:val="center"/>
          </w:tcPr>
          <w:p w14:paraId="6808D84D">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0"/>
                <w:u w:val="none"/>
              </w:rPr>
            </w:pPr>
            <w:r>
              <w:rPr>
                <w:rFonts w:hint="eastAsia" w:ascii="黑体" w:hAnsi="宋体" w:eastAsia="黑体" w:cs="黑体"/>
                <w:b/>
                <w:bCs/>
                <w:i w:val="0"/>
                <w:iCs w:val="0"/>
                <w:color w:val="000000"/>
                <w:kern w:val="0"/>
                <w:sz w:val="21"/>
                <w:szCs w:val="20"/>
                <w:u w:val="none"/>
                <w:lang w:val="en-US" w:eastAsia="zh-CN" w:bidi="ar"/>
              </w:rPr>
              <w:t>项目名称</w:t>
            </w:r>
          </w:p>
        </w:tc>
        <w:tc>
          <w:tcPr>
            <w:tcW w:w="0" w:type="auto"/>
            <w:tcBorders>
              <w:top w:val="single" w:color="000000" w:sz="8" w:space="0"/>
              <w:left w:val="single" w:color="000000" w:sz="8" w:space="0"/>
              <w:bottom w:val="single" w:color="000000" w:sz="8" w:space="0"/>
              <w:right w:val="single" w:color="000000" w:sz="8" w:space="0"/>
            </w:tcBorders>
            <w:shd w:val="clear" w:color="auto" w:fill="D7D7D7"/>
            <w:vAlign w:val="center"/>
          </w:tcPr>
          <w:p w14:paraId="4BA65505">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0"/>
                <w:u w:val="none"/>
              </w:rPr>
            </w:pPr>
            <w:r>
              <w:rPr>
                <w:rFonts w:hint="eastAsia" w:ascii="黑体" w:hAnsi="宋体" w:eastAsia="黑体" w:cs="黑体"/>
                <w:b/>
                <w:bCs/>
                <w:i w:val="0"/>
                <w:iCs w:val="0"/>
                <w:color w:val="000000"/>
                <w:kern w:val="0"/>
                <w:sz w:val="21"/>
                <w:szCs w:val="20"/>
                <w:u w:val="none"/>
                <w:lang w:val="en-US" w:eastAsia="zh-CN" w:bidi="ar"/>
              </w:rPr>
              <w:t>数量</w:t>
            </w:r>
          </w:p>
        </w:tc>
        <w:tc>
          <w:tcPr>
            <w:tcW w:w="0" w:type="auto"/>
            <w:tcBorders>
              <w:top w:val="single" w:color="000000" w:sz="8" w:space="0"/>
              <w:left w:val="single" w:color="000000" w:sz="8" w:space="0"/>
              <w:bottom w:val="single" w:color="000000" w:sz="8" w:space="0"/>
              <w:right w:val="single" w:color="000000" w:sz="8" w:space="0"/>
            </w:tcBorders>
            <w:shd w:val="clear" w:color="auto" w:fill="D7D7D7"/>
            <w:vAlign w:val="center"/>
          </w:tcPr>
          <w:p w14:paraId="064101DA">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0"/>
                <w:u w:val="none"/>
              </w:rPr>
            </w:pPr>
            <w:r>
              <w:rPr>
                <w:rFonts w:hint="eastAsia" w:ascii="黑体" w:hAnsi="宋体" w:eastAsia="黑体" w:cs="黑体"/>
                <w:b/>
                <w:bCs/>
                <w:i w:val="0"/>
                <w:iCs w:val="0"/>
                <w:color w:val="000000"/>
                <w:kern w:val="0"/>
                <w:sz w:val="21"/>
                <w:szCs w:val="20"/>
                <w:u w:val="none"/>
                <w:lang w:val="en-US" w:eastAsia="zh-CN" w:bidi="ar"/>
              </w:rPr>
              <w:t>单位</w:t>
            </w:r>
          </w:p>
        </w:tc>
        <w:tc>
          <w:tcPr>
            <w:tcW w:w="1204" w:type="dxa"/>
            <w:tcBorders>
              <w:top w:val="single" w:color="000000" w:sz="8" w:space="0"/>
              <w:left w:val="single" w:color="000000" w:sz="8" w:space="0"/>
              <w:bottom w:val="single" w:color="000000" w:sz="8" w:space="0"/>
              <w:right w:val="single" w:color="000000" w:sz="8" w:space="0"/>
            </w:tcBorders>
            <w:shd w:val="clear" w:color="auto" w:fill="D7D7D7"/>
            <w:vAlign w:val="center"/>
          </w:tcPr>
          <w:p w14:paraId="310C2ADE">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kern w:val="0"/>
                <w:sz w:val="21"/>
                <w:szCs w:val="21"/>
                <w:u w:val="none"/>
                <w:lang w:val="en-US" w:eastAsia="zh-CN" w:bidi="ar"/>
              </w:rPr>
            </w:pPr>
            <w:r>
              <w:rPr>
                <w:rFonts w:hint="eastAsia" w:ascii="黑体" w:hAnsi="宋体" w:eastAsia="黑体" w:cs="黑体"/>
                <w:b/>
                <w:bCs/>
                <w:i w:val="0"/>
                <w:iCs w:val="0"/>
                <w:color w:val="000000"/>
                <w:kern w:val="0"/>
                <w:sz w:val="21"/>
                <w:szCs w:val="21"/>
                <w:u w:val="none"/>
                <w:lang w:val="en-US" w:eastAsia="zh-CN" w:bidi="ar"/>
              </w:rPr>
              <w:t>未税单价</w:t>
            </w:r>
          </w:p>
          <w:p w14:paraId="5DCCACB3">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（元）</w:t>
            </w:r>
          </w:p>
        </w:tc>
        <w:tc>
          <w:tcPr>
            <w:tcW w:w="1204" w:type="dxa"/>
            <w:tcBorders>
              <w:top w:val="single" w:color="000000" w:sz="8" w:space="0"/>
              <w:left w:val="single" w:color="000000" w:sz="8" w:space="0"/>
              <w:bottom w:val="single" w:color="000000" w:sz="8" w:space="0"/>
              <w:right w:val="single" w:color="000000" w:sz="8" w:space="0"/>
            </w:tcBorders>
            <w:shd w:val="clear" w:color="auto" w:fill="D7D7D7"/>
            <w:vAlign w:val="center"/>
          </w:tcPr>
          <w:p w14:paraId="2FFC64D9">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kern w:val="0"/>
                <w:sz w:val="21"/>
                <w:szCs w:val="21"/>
                <w:u w:val="none"/>
                <w:lang w:val="en-US" w:eastAsia="zh-CN" w:bidi="ar"/>
              </w:rPr>
            </w:pPr>
            <w:r>
              <w:rPr>
                <w:rFonts w:hint="eastAsia" w:ascii="黑体" w:hAnsi="宋体" w:eastAsia="黑体" w:cs="黑体"/>
                <w:b/>
                <w:bCs/>
                <w:i w:val="0"/>
                <w:iCs w:val="0"/>
                <w:color w:val="000000"/>
                <w:kern w:val="0"/>
                <w:sz w:val="21"/>
                <w:szCs w:val="21"/>
                <w:u w:val="none"/>
                <w:lang w:val="en-US" w:eastAsia="zh-CN" w:bidi="ar"/>
              </w:rPr>
              <w:t>未税总价</w:t>
            </w:r>
          </w:p>
          <w:p w14:paraId="617D30AA">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（元）</w:t>
            </w:r>
          </w:p>
        </w:tc>
        <w:tc>
          <w:tcPr>
            <w:tcW w:w="1495" w:type="dxa"/>
            <w:tcBorders>
              <w:top w:val="single" w:color="000000" w:sz="8" w:space="0"/>
              <w:left w:val="single" w:color="000000" w:sz="8" w:space="0"/>
              <w:bottom w:val="single" w:color="000000" w:sz="8" w:space="0"/>
              <w:right w:val="single" w:color="000000" w:sz="8" w:space="0"/>
            </w:tcBorders>
            <w:shd w:val="clear" w:color="auto" w:fill="D7D7D7"/>
            <w:vAlign w:val="center"/>
          </w:tcPr>
          <w:p w14:paraId="5DDB0126">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kern w:val="0"/>
                <w:sz w:val="21"/>
                <w:szCs w:val="21"/>
                <w:u w:val="none"/>
                <w:lang w:val="en-US" w:eastAsia="zh-CN" w:bidi="ar"/>
              </w:rPr>
            </w:pPr>
            <w:r>
              <w:rPr>
                <w:rFonts w:hint="eastAsia" w:ascii="黑体" w:hAnsi="宋体" w:eastAsia="黑体" w:cs="黑体"/>
                <w:b/>
                <w:bCs/>
                <w:i w:val="0"/>
                <w:iCs w:val="0"/>
                <w:color w:val="000000"/>
                <w:kern w:val="0"/>
                <w:sz w:val="21"/>
                <w:szCs w:val="21"/>
                <w:u w:val="none"/>
                <w:lang w:val="en-US" w:eastAsia="zh-CN" w:bidi="ar"/>
              </w:rPr>
              <w:t>含税单价</w:t>
            </w:r>
          </w:p>
          <w:p w14:paraId="6E196408">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（元.13%）</w:t>
            </w:r>
          </w:p>
        </w:tc>
        <w:tc>
          <w:tcPr>
            <w:tcW w:w="1495" w:type="dxa"/>
            <w:tcBorders>
              <w:top w:val="single" w:color="000000" w:sz="8" w:space="0"/>
              <w:left w:val="single" w:color="000000" w:sz="8" w:space="0"/>
              <w:bottom w:val="single" w:color="000000" w:sz="8" w:space="0"/>
              <w:right w:val="single" w:color="000000" w:sz="8" w:space="0"/>
            </w:tcBorders>
            <w:shd w:val="clear" w:color="auto" w:fill="D7D7D7"/>
            <w:vAlign w:val="center"/>
          </w:tcPr>
          <w:p w14:paraId="7FEE7CEE">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kern w:val="0"/>
                <w:sz w:val="21"/>
                <w:szCs w:val="21"/>
                <w:u w:val="none"/>
                <w:lang w:val="en-US" w:eastAsia="zh-CN" w:bidi="ar"/>
              </w:rPr>
            </w:pPr>
            <w:r>
              <w:rPr>
                <w:rFonts w:hint="eastAsia" w:ascii="黑体" w:hAnsi="宋体" w:eastAsia="黑体" w:cs="黑体"/>
                <w:b/>
                <w:bCs/>
                <w:i w:val="0"/>
                <w:iCs w:val="0"/>
                <w:color w:val="000000"/>
                <w:kern w:val="0"/>
                <w:sz w:val="21"/>
                <w:szCs w:val="21"/>
                <w:u w:val="none"/>
                <w:lang w:val="en-US" w:eastAsia="zh-CN" w:bidi="ar"/>
              </w:rPr>
              <w:t>含税总价</w:t>
            </w:r>
          </w:p>
          <w:p w14:paraId="42B02BCB">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（元.13%）</w:t>
            </w:r>
          </w:p>
        </w:tc>
      </w:tr>
      <w:tr w14:paraId="6229B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jc w:val="center"/>
        </w:trPr>
        <w:tc>
          <w:tcPr>
            <w:tcW w:w="0" w:type="auto"/>
            <w:tcBorders>
              <w:top w:val="nil"/>
              <w:left w:val="single" w:color="000000" w:sz="8" w:space="0"/>
              <w:bottom w:val="single" w:color="000000" w:sz="8" w:space="0"/>
              <w:right w:val="single" w:color="000000" w:sz="8" w:space="0"/>
            </w:tcBorders>
            <w:shd w:val="clear" w:color="auto" w:fill="auto"/>
            <w:vAlign w:val="center"/>
          </w:tcPr>
          <w:p w14:paraId="55F2F3CD">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1"/>
                <w:szCs w:val="22"/>
                <w:u w:val="none"/>
              </w:rPr>
            </w:pPr>
            <w:r>
              <w:rPr>
                <w:rFonts w:hint="eastAsia" w:ascii="黑体" w:hAnsi="宋体" w:eastAsia="黑体" w:cs="黑体"/>
                <w:i w:val="0"/>
                <w:iCs w:val="0"/>
                <w:color w:val="000000"/>
                <w:kern w:val="0"/>
                <w:sz w:val="21"/>
                <w:szCs w:val="22"/>
                <w:u w:val="none"/>
                <w:lang w:val="en-US" w:eastAsia="zh-CN" w:bidi="ar"/>
              </w:rPr>
              <w:t>1</w:t>
            </w:r>
          </w:p>
        </w:tc>
        <w:tc>
          <w:tcPr>
            <w:tcW w:w="1496" w:type="dxa"/>
            <w:tcBorders>
              <w:top w:val="nil"/>
              <w:left w:val="single" w:color="000000" w:sz="8" w:space="0"/>
              <w:bottom w:val="single" w:color="000000" w:sz="8" w:space="0"/>
              <w:right w:val="single" w:color="000000" w:sz="8" w:space="0"/>
            </w:tcBorders>
            <w:shd w:val="clear" w:color="auto" w:fill="auto"/>
            <w:vAlign w:val="center"/>
          </w:tcPr>
          <w:p w14:paraId="702DB10F">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12TB企业级专用硬盘</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409BDA0">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1"/>
                <w:szCs w:val="22"/>
                <w:u w:val="none"/>
              </w:rPr>
            </w:pPr>
            <w:r>
              <w:rPr>
                <w:rFonts w:hint="eastAsia" w:ascii="黑体" w:hAnsi="宋体" w:eastAsia="黑体" w:cs="黑体"/>
                <w:i w:val="0"/>
                <w:iCs w:val="0"/>
                <w:color w:val="000000"/>
                <w:kern w:val="0"/>
                <w:sz w:val="21"/>
                <w:szCs w:val="22"/>
                <w:u w:val="none"/>
                <w:lang w:val="en-US" w:eastAsia="zh-CN" w:bidi="ar"/>
              </w:rPr>
              <w:t>33</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F44DF49">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i w:val="0"/>
                <w:iCs w:val="0"/>
                <w:color w:val="000000"/>
                <w:sz w:val="21"/>
                <w:szCs w:val="22"/>
                <w:u w:val="none"/>
              </w:rPr>
            </w:pPr>
            <w:r>
              <w:rPr>
                <w:rFonts w:hint="eastAsia" w:ascii="黑体" w:hAnsi="宋体" w:eastAsia="黑体" w:cs="黑体"/>
                <w:i w:val="0"/>
                <w:iCs w:val="0"/>
                <w:color w:val="000000"/>
                <w:kern w:val="0"/>
                <w:sz w:val="21"/>
                <w:szCs w:val="22"/>
                <w:u w:val="none"/>
                <w:lang w:val="en-US" w:eastAsia="zh-CN" w:bidi="ar"/>
              </w:rPr>
              <w:t>块</w:t>
            </w:r>
          </w:p>
        </w:tc>
        <w:tc>
          <w:tcPr>
            <w:tcW w:w="1204" w:type="dxa"/>
            <w:tcBorders>
              <w:top w:val="nil"/>
              <w:left w:val="single" w:color="000000" w:sz="8" w:space="0"/>
              <w:bottom w:val="single" w:color="000000" w:sz="8" w:space="0"/>
              <w:right w:val="single" w:color="000000" w:sz="8" w:space="0"/>
            </w:tcBorders>
            <w:shd w:val="clear" w:color="auto" w:fill="auto"/>
            <w:vAlign w:val="center"/>
          </w:tcPr>
          <w:p w14:paraId="38045172">
            <w:pPr>
              <w:snapToGrid w:val="0"/>
              <w:ind w:left="0" w:leftChars="0" w:right="0" w:rightChars="0" w:firstLine="0" w:firstLineChars="0"/>
              <w:jc w:val="right"/>
              <w:rPr>
                <w:rFonts w:hint="eastAsia" w:ascii="黑体" w:hAnsi="宋体" w:eastAsia="黑体" w:cs="黑体"/>
                <w:i w:val="0"/>
                <w:iCs w:val="0"/>
                <w:color w:val="000000"/>
                <w:sz w:val="21"/>
                <w:szCs w:val="22"/>
                <w:u w:val="none"/>
              </w:rPr>
            </w:pPr>
          </w:p>
        </w:tc>
        <w:tc>
          <w:tcPr>
            <w:tcW w:w="1204" w:type="dxa"/>
            <w:tcBorders>
              <w:top w:val="nil"/>
              <w:left w:val="single" w:color="000000" w:sz="8" w:space="0"/>
              <w:bottom w:val="single" w:color="000000" w:sz="8" w:space="0"/>
              <w:right w:val="single" w:color="000000" w:sz="8" w:space="0"/>
            </w:tcBorders>
            <w:shd w:val="clear" w:color="auto" w:fill="auto"/>
            <w:vAlign w:val="center"/>
          </w:tcPr>
          <w:p w14:paraId="7B3C4AC6">
            <w:pPr>
              <w:snapToGrid w:val="0"/>
              <w:ind w:left="0" w:leftChars="0" w:right="0" w:rightChars="0" w:firstLine="0" w:firstLineChars="0"/>
              <w:jc w:val="right"/>
              <w:rPr>
                <w:rFonts w:hint="eastAsia" w:ascii="黑体" w:hAnsi="宋体" w:eastAsia="黑体" w:cs="黑体"/>
                <w:i w:val="0"/>
                <w:iCs w:val="0"/>
                <w:color w:val="000000"/>
                <w:sz w:val="21"/>
                <w:szCs w:val="22"/>
                <w:u w:val="none"/>
              </w:rPr>
            </w:pPr>
          </w:p>
        </w:tc>
        <w:tc>
          <w:tcPr>
            <w:tcW w:w="1495" w:type="dxa"/>
            <w:tcBorders>
              <w:top w:val="nil"/>
              <w:left w:val="single" w:color="000000" w:sz="8" w:space="0"/>
              <w:bottom w:val="single" w:color="000000" w:sz="8" w:space="0"/>
              <w:right w:val="single" w:color="000000" w:sz="8" w:space="0"/>
            </w:tcBorders>
            <w:shd w:val="clear" w:color="auto" w:fill="auto"/>
            <w:vAlign w:val="center"/>
          </w:tcPr>
          <w:p w14:paraId="25BF824D">
            <w:pPr>
              <w:snapToGrid w:val="0"/>
              <w:ind w:left="0" w:leftChars="0" w:right="0" w:rightChars="0" w:firstLine="0" w:firstLineChars="0"/>
              <w:jc w:val="right"/>
              <w:rPr>
                <w:rFonts w:hint="eastAsia" w:ascii="黑体" w:hAnsi="宋体" w:eastAsia="黑体" w:cs="黑体"/>
                <w:i w:val="0"/>
                <w:iCs w:val="0"/>
                <w:color w:val="000000"/>
                <w:sz w:val="21"/>
                <w:szCs w:val="22"/>
                <w:u w:val="none"/>
              </w:rPr>
            </w:pPr>
          </w:p>
        </w:tc>
        <w:tc>
          <w:tcPr>
            <w:tcW w:w="1495" w:type="dxa"/>
            <w:tcBorders>
              <w:top w:val="nil"/>
              <w:left w:val="single" w:color="000000" w:sz="8" w:space="0"/>
              <w:bottom w:val="single" w:color="000000" w:sz="8" w:space="0"/>
              <w:right w:val="single" w:color="000000" w:sz="8" w:space="0"/>
            </w:tcBorders>
            <w:shd w:val="clear" w:color="auto" w:fill="auto"/>
            <w:vAlign w:val="center"/>
          </w:tcPr>
          <w:p w14:paraId="0F2BEB44">
            <w:pPr>
              <w:snapToGrid w:val="0"/>
              <w:ind w:left="0" w:leftChars="0" w:right="0" w:rightChars="0" w:firstLine="0" w:firstLineChars="0"/>
              <w:jc w:val="right"/>
              <w:rPr>
                <w:rFonts w:hint="eastAsia" w:ascii="黑体" w:hAnsi="宋体" w:eastAsia="黑体" w:cs="黑体"/>
                <w:i w:val="0"/>
                <w:iCs w:val="0"/>
                <w:color w:val="000000"/>
                <w:sz w:val="21"/>
                <w:szCs w:val="22"/>
                <w:u w:val="none"/>
              </w:rPr>
            </w:pPr>
          </w:p>
        </w:tc>
      </w:tr>
      <w:tr w14:paraId="24E15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1496" w:type="dxa"/>
            <w:gridSpan w:val="4"/>
            <w:tcBorders>
              <w:top w:val="nil"/>
              <w:left w:val="single" w:color="000000" w:sz="8" w:space="0"/>
              <w:bottom w:val="single" w:color="000000" w:sz="8" w:space="0"/>
              <w:right w:val="single" w:color="000000" w:sz="8" w:space="0"/>
            </w:tcBorders>
            <w:shd w:val="clear" w:color="auto" w:fill="auto"/>
            <w:vAlign w:val="center"/>
          </w:tcPr>
          <w:p w14:paraId="59C904E2">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i w:val="0"/>
                <w:iCs w:val="0"/>
                <w:color w:val="000000"/>
                <w:sz w:val="21"/>
                <w:szCs w:val="22"/>
                <w:u w:val="none"/>
              </w:rPr>
            </w:pPr>
            <w:r>
              <w:rPr>
                <w:rFonts w:hint="eastAsia" w:ascii="黑体" w:hAnsi="宋体" w:eastAsia="黑体" w:cs="黑体"/>
                <w:b/>
                <w:i w:val="0"/>
                <w:iCs w:val="0"/>
                <w:color w:val="000000"/>
                <w:kern w:val="0"/>
                <w:sz w:val="21"/>
                <w:szCs w:val="22"/>
                <w:u w:val="none"/>
                <w:lang w:val="en-US" w:eastAsia="zh-CN" w:bidi="ar"/>
              </w:rPr>
              <w:t>总计</w:t>
            </w:r>
          </w:p>
        </w:tc>
        <w:tc>
          <w:tcPr>
            <w:tcW w:w="1204" w:type="dxa"/>
            <w:tcBorders>
              <w:top w:val="nil"/>
              <w:left w:val="single" w:color="000000" w:sz="8" w:space="0"/>
              <w:bottom w:val="single" w:color="000000" w:sz="8" w:space="0"/>
              <w:right w:val="single" w:color="000000" w:sz="8" w:space="0"/>
            </w:tcBorders>
            <w:shd w:val="clear" w:color="auto" w:fill="auto"/>
            <w:vAlign w:val="center"/>
          </w:tcPr>
          <w:p w14:paraId="79D46A86">
            <w:pPr>
              <w:snapToGrid w:val="0"/>
              <w:ind w:left="0" w:leftChars="0" w:right="0" w:rightChars="0" w:firstLine="0" w:firstLineChars="0"/>
              <w:jc w:val="center"/>
              <w:rPr>
                <w:rFonts w:hint="eastAsia" w:ascii="黑体" w:hAnsi="宋体" w:eastAsia="黑体" w:cs="黑体"/>
                <w:b/>
                <w:i w:val="0"/>
                <w:iCs w:val="0"/>
                <w:color w:val="000000"/>
                <w:sz w:val="21"/>
                <w:szCs w:val="22"/>
                <w:u w:val="none"/>
              </w:rPr>
            </w:pPr>
          </w:p>
        </w:tc>
        <w:tc>
          <w:tcPr>
            <w:tcW w:w="1204" w:type="dxa"/>
            <w:tcBorders>
              <w:top w:val="nil"/>
              <w:left w:val="single" w:color="000000" w:sz="8" w:space="0"/>
              <w:bottom w:val="single" w:color="000000" w:sz="8" w:space="0"/>
              <w:right w:val="single" w:color="000000" w:sz="8" w:space="0"/>
            </w:tcBorders>
            <w:shd w:val="clear" w:color="auto" w:fill="auto"/>
            <w:vAlign w:val="center"/>
          </w:tcPr>
          <w:p w14:paraId="1018073D">
            <w:pPr>
              <w:snapToGrid w:val="0"/>
              <w:ind w:left="0" w:leftChars="0" w:right="0" w:rightChars="0" w:firstLine="0" w:firstLineChars="0"/>
              <w:jc w:val="center"/>
              <w:rPr>
                <w:rFonts w:hint="eastAsia" w:ascii="黑体" w:hAnsi="宋体" w:eastAsia="黑体" w:cs="黑体"/>
                <w:b/>
                <w:i w:val="0"/>
                <w:iCs w:val="0"/>
                <w:color w:val="000000"/>
                <w:sz w:val="21"/>
                <w:szCs w:val="22"/>
                <w:u w:val="none"/>
              </w:rPr>
            </w:pPr>
          </w:p>
        </w:tc>
        <w:tc>
          <w:tcPr>
            <w:tcW w:w="1495" w:type="dxa"/>
            <w:tcBorders>
              <w:top w:val="nil"/>
              <w:left w:val="single" w:color="000000" w:sz="8" w:space="0"/>
              <w:bottom w:val="single" w:color="000000" w:sz="8" w:space="0"/>
              <w:right w:val="single" w:color="000000" w:sz="8" w:space="0"/>
            </w:tcBorders>
            <w:shd w:val="clear" w:color="auto" w:fill="auto"/>
            <w:vAlign w:val="center"/>
          </w:tcPr>
          <w:p w14:paraId="1C021D02">
            <w:pPr>
              <w:snapToGrid w:val="0"/>
              <w:ind w:left="0" w:leftChars="0" w:right="0" w:rightChars="0" w:firstLine="0" w:firstLineChars="0"/>
              <w:jc w:val="center"/>
              <w:rPr>
                <w:rFonts w:hint="eastAsia" w:ascii="黑体" w:hAnsi="宋体" w:eastAsia="黑体" w:cs="黑体"/>
                <w:b/>
                <w:i w:val="0"/>
                <w:iCs w:val="0"/>
                <w:color w:val="000000"/>
                <w:sz w:val="21"/>
                <w:szCs w:val="22"/>
                <w:u w:val="none"/>
              </w:rPr>
            </w:pPr>
          </w:p>
        </w:tc>
        <w:tc>
          <w:tcPr>
            <w:tcW w:w="1495" w:type="dxa"/>
            <w:tcBorders>
              <w:top w:val="nil"/>
              <w:left w:val="single" w:color="000000" w:sz="8" w:space="0"/>
              <w:bottom w:val="single" w:color="000000" w:sz="8" w:space="0"/>
              <w:right w:val="single" w:color="000000" w:sz="8" w:space="0"/>
            </w:tcBorders>
            <w:shd w:val="clear" w:color="auto" w:fill="auto"/>
            <w:noWrap/>
            <w:vAlign w:val="center"/>
          </w:tcPr>
          <w:p w14:paraId="63DEFAFF">
            <w:pPr>
              <w:snapToGrid w:val="0"/>
              <w:ind w:left="0" w:leftChars="0" w:right="0" w:rightChars="0" w:firstLine="0" w:firstLineChars="0"/>
              <w:jc w:val="right"/>
              <w:rPr>
                <w:rFonts w:hint="eastAsia" w:ascii="黑体" w:hAnsi="宋体" w:eastAsia="黑体" w:cs="宋体"/>
                <w:b/>
                <w:i w:val="0"/>
                <w:iCs w:val="0"/>
                <w:color w:val="000000"/>
                <w:sz w:val="21"/>
                <w:szCs w:val="22"/>
                <w:u w:val="none"/>
              </w:rPr>
            </w:pPr>
          </w:p>
        </w:tc>
      </w:tr>
    </w:tbl>
    <w:p w14:paraId="039D5D5D">
      <w:pPr>
        <w:rPr>
          <w:rFonts w:hint="eastAsia" w:ascii="黑体" w:hAnsi="黑体" w:eastAsia="黑体" w:cs="黑体"/>
          <w:sz w:val="22"/>
          <w:szCs w:val="22"/>
          <w:highlight w:val="none"/>
          <w:lang w:val="en-US" w:eastAsia="zh-CN"/>
        </w:rPr>
      </w:pPr>
    </w:p>
    <w:p w14:paraId="3E8AD125">
      <w:pPr>
        <w:ind w:firstLine="562" w:firstLineChars="200"/>
        <w:jc w:val="both"/>
        <w:rPr>
          <w:rFonts w:hint="eastAsia" w:ascii="仿宋" w:hAnsi="仿宋" w:eastAsia="仿宋" w:cs="仿宋"/>
          <w:b/>
          <w:bCs/>
          <w:sz w:val="28"/>
          <w:szCs w:val="28"/>
        </w:rPr>
      </w:pPr>
    </w:p>
    <w:p w14:paraId="66284E89">
      <w:pPr>
        <w:ind w:firstLine="562" w:firstLineChars="200"/>
        <w:jc w:val="both"/>
        <w:rPr>
          <w:rFonts w:hint="eastAsia" w:ascii="仿宋" w:hAnsi="仿宋" w:eastAsia="仿宋" w:cs="仿宋"/>
          <w:b/>
          <w:bCs/>
          <w:sz w:val="28"/>
          <w:szCs w:val="28"/>
        </w:rPr>
      </w:pPr>
    </w:p>
    <w:p w14:paraId="69C2238D">
      <w:pPr>
        <w:ind w:firstLine="562" w:firstLineChars="200"/>
        <w:jc w:val="both"/>
        <w:rPr>
          <w:rFonts w:hint="eastAsia" w:ascii="仿宋" w:hAnsi="仿宋" w:eastAsia="仿宋" w:cs="仿宋"/>
          <w:b/>
          <w:bCs/>
          <w:sz w:val="28"/>
          <w:szCs w:val="28"/>
        </w:rPr>
      </w:pPr>
    </w:p>
    <w:p w14:paraId="29AC3740">
      <w:pPr>
        <w:ind w:firstLine="562" w:firstLineChars="200"/>
        <w:jc w:val="both"/>
        <w:rPr>
          <w:rFonts w:hint="eastAsia" w:ascii="仿宋" w:hAnsi="仿宋" w:eastAsia="仿宋" w:cs="仿宋"/>
          <w:b/>
          <w:bCs/>
          <w:sz w:val="28"/>
          <w:szCs w:val="28"/>
        </w:rPr>
      </w:pPr>
    </w:p>
    <w:p w14:paraId="1ADAAB80">
      <w:pPr>
        <w:ind w:firstLine="562" w:firstLineChars="200"/>
        <w:jc w:val="both"/>
        <w:rPr>
          <w:rFonts w:hint="eastAsia" w:ascii="仿宋" w:hAnsi="仿宋" w:eastAsia="仿宋" w:cs="仿宋"/>
          <w:b/>
          <w:bCs/>
          <w:sz w:val="28"/>
          <w:szCs w:val="28"/>
        </w:rPr>
      </w:pPr>
    </w:p>
    <w:p w14:paraId="6597DACD">
      <w:pPr>
        <w:ind w:firstLine="562" w:firstLineChars="200"/>
        <w:jc w:val="both"/>
        <w:rPr>
          <w:rFonts w:hint="eastAsia" w:ascii="仿宋" w:hAnsi="仿宋" w:eastAsia="仿宋" w:cs="仿宋"/>
          <w:b/>
          <w:bCs/>
          <w:sz w:val="28"/>
          <w:szCs w:val="28"/>
        </w:rPr>
      </w:pPr>
    </w:p>
    <w:p w14:paraId="220BDC48">
      <w:pPr>
        <w:ind w:firstLine="562" w:firstLineChars="200"/>
        <w:jc w:val="both"/>
        <w:rPr>
          <w:rFonts w:hint="eastAsia" w:ascii="仿宋" w:hAnsi="仿宋" w:eastAsia="仿宋" w:cs="仿宋"/>
          <w:b/>
          <w:bCs/>
          <w:sz w:val="28"/>
          <w:szCs w:val="28"/>
        </w:rPr>
      </w:pPr>
    </w:p>
    <w:p w14:paraId="17D87FFD">
      <w:pPr>
        <w:ind w:firstLine="562" w:firstLineChars="200"/>
        <w:jc w:val="both"/>
        <w:rPr>
          <w:rFonts w:hint="eastAsia" w:ascii="仿宋" w:hAnsi="仿宋" w:eastAsia="仿宋" w:cs="仿宋"/>
          <w:b/>
          <w:bCs/>
          <w:sz w:val="28"/>
          <w:szCs w:val="28"/>
        </w:rPr>
      </w:pPr>
    </w:p>
    <w:p w14:paraId="5E807185">
      <w:pPr>
        <w:ind w:firstLine="562" w:firstLineChars="200"/>
        <w:jc w:val="both"/>
        <w:rPr>
          <w:rFonts w:hint="eastAsia" w:ascii="仿宋" w:hAnsi="仿宋" w:eastAsia="仿宋" w:cs="仿宋"/>
          <w:b/>
          <w:bCs/>
          <w:sz w:val="28"/>
          <w:szCs w:val="28"/>
        </w:rPr>
      </w:pPr>
    </w:p>
    <w:p w14:paraId="36EA7402">
      <w:pPr>
        <w:jc w:val="both"/>
        <w:rPr>
          <w:rFonts w:hint="eastAsia" w:ascii="仿宋" w:hAnsi="仿宋" w:eastAsia="仿宋" w:cs="仿宋"/>
          <w:b/>
          <w:bCs/>
          <w:sz w:val="28"/>
          <w:szCs w:val="28"/>
        </w:rPr>
      </w:pPr>
    </w:p>
    <w:p w14:paraId="248C1FE8">
      <w:pPr>
        <w:jc w:val="both"/>
        <w:rPr>
          <w:rFonts w:hint="eastAsia" w:ascii="仿宋" w:hAnsi="仿宋" w:eastAsia="仿宋" w:cs="仿宋"/>
          <w:b/>
          <w:bCs/>
          <w:sz w:val="28"/>
          <w:szCs w:val="28"/>
        </w:rPr>
      </w:pPr>
    </w:p>
    <w:p w14:paraId="5C1A02FF">
      <w:pPr>
        <w:jc w:val="both"/>
        <w:rPr>
          <w:rFonts w:hint="eastAsia" w:ascii="仿宋" w:hAnsi="仿宋" w:eastAsia="仿宋" w:cs="仿宋"/>
          <w:b/>
          <w:bCs/>
          <w:sz w:val="28"/>
          <w:szCs w:val="28"/>
        </w:rPr>
      </w:pPr>
    </w:p>
    <w:p w14:paraId="38AFCF3F">
      <w:pPr>
        <w:jc w:val="both"/>
        <w:rPr>
          <w:rFonts w:hint="eastAsia" w:ascii="仿宋" w:hAnsi="仿宋" w:eastAsia="仿宋" w:cs="仿宋"/>
          <w:b/>
          <w:bCs/>
          <w:sz w:val="28"/>
          <w:szCs w:val="28"/>
        </w:rPr>
      </w:pPr>
    </w:p>
    <w:p w14:paraId="74890323">
      <w:pPr>
        <w:jc w:val="both"/>
        <w:rPr>
          <w:rFonts w:hint="eastAsia" w:ascii="仿宋" w:hAnsi="仿宋" w:eastAsia="仿宋" w:cs="仿宋"/>
          <w:b/>
          <w:bCs/>
          <w:sz w:val="28"/>
          <w:szCs w:val="28"/>
        </w:rPr>
      </w:pPr>
    </w:p>
    <w:p w14:paraId="78819286">
      <w:pPr>
        <w:jc w:val="both"/>
        <w:rPr>
          <w:rFonts w:hint="eastAsia" w:ascii="仿宋" w:hAnsi="仿宋" w:eastAsia="仿宋" w:cs="仿宋"/>
          <w:b/>
          <w:bCs/>
          <w:sz w:val="28"/>
          <w:szCs w:val="28"/>
        </w:rPr>
      </w:pPr>
    </w:p>
    <w:p w14:paraId="2A26EDA8">
      <w:pPr>
        <w:pStyle w:val="71"/>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附件6</w:t>
      </w:r>
    </w:p>
    <w:p w14:paraId="755F36C4">
      <w:pPr>
        <w:jc w:val="center"/>
        <w:rPr>
          <w:rFonts w:eastAsia="黑体"/>
          <w:b/>
          <w:bCs/>
          <w:sz w:val="28"/>
          <w:highlight w:val="none"/>
        </w:rPr>
      </w:pPr>
      <w:r>
        <w:rPr>
          <w:rFonts w:hint="eastAsia" w:eastAsia="黑体"/>
          <w:b/>
          <w:bCs/>
          <w:sz w:val="28"/>
          <w:highlight w:val="none"/>
          <w:lang w:val="en-US" w:eastAsia="zh-CN"/>
        </w:rPr>
        <w:t>相关</w:t>
      </w:r>
      <w:r>
        <w:rPr>
          <w:rFonts w:hint="eastAsia" w:eastAsia="黑体"/>
          <w:b/>
          <w:bCs/>
          <w:sz w:val="28"/>
          <w:highlight w:val="none"/>
        </w:rPr>
        <w:t>条款偏离表</w:t>
      </w:r>
    </w:p>
    <w:tbl>
      <w:tblPr>
        <w:tblStyle w:val="31"/>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1"/>
        <w:gridCol w:w="2725"/>
        <w:gridCol w:w="2127"/>
        <w:gridCol w:w="2403"/>
      </w:tblGrid>
      <w:tr w14:paraId="66A31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1EAA7D60">
            <w:pPr>
              <w:jc w:val="center"/>
              <w:rPr>
                <w:rFonts w:hint="eastAsia" w:ascii="仿宋_GB2312" w:hAnsi="仿宋_GB2312" w:eastAsia="仿宋_GB2312" w:cs="仿宋_GB2312"/>
                <w:b w:val="0"/>
                <w:bCs/>
                <w:sz w:val="28"/>
                <w:szCs w:val="24"/>
                <w:lang w:val="en-US"/>
              </w:rPr>
            </w:pPr>
          </w:p>
        </w:tc>
        <w:tc>
          <w:tcPr>
            <w:tcW w:w="2725" w:type="dxa"/>
            <w:tcBorders>
              <w:top w:val="single" w:color="auto" w:sz="4" w:space="0"/>
              <w:left w:val="single" w:color="auto" w:sz="4" w:space="0"/>
              <w:bottom w:val="single" w:color="auto" w:sz="4" w:space="0"/>
              <w:right w:val="single" w:color="auto" w:sz="4" w:space="0"/>
            </w:tcBorders>
            <w:vAlign w:val="center"/>
          </w:tcPr>
          <w:p w14:paraId="11CC7152">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招标文件要求</w:t>
            </w:r>
          </w:p>
        </w:tc>
        <w:tc>
          <w:tcPr>
            <w:tcW w:w="2127" w:type="dxa"/>
            <w:tcBorders>
              <w:top w:val="single" w:color="auto" w:sz="4" w:space="0"/>
              <w:left w:val="single" w:color="auto" w:sz="4" w:space="0"/>
              <w:bottom w:val="single" w:color="auto" w:sz="4" w:space="0"/>
              <w:right w:val="single" w:color="auto" w:sz="4" w:space="0"/>
            </w:tcBorders>
            <w:vAlign w:val="center"/>
          </w:tcPr>
          <w:p w14:paraId="1938DE94">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响应规格</w:t>
            </w:r>
          </w:p>
        </w:tc>
        <w:tc>
          <w:tcPr>
            <w:tcW w:w="2403" w:type="dxa"/>
            <w:tcBorders>
              <w:top w:val="single" w:color="auto" w:sz="4" w:space="0"/>
              <w:left w:val="single" w:color="auto" w:sz="4" w:space="0"/>
              <w:bottom w:val="single" w:color="auto" w:sz="4" w:space="0"/>
            </w:tcBorders>
            <w:vAlign w:val="center"/>
          </w:tcPr>
          <w:p w14:paraId="2EA137BC">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是否偏离</w:t>
            </w:r>
          </w:p>
          <w:p w14:paraId="695C9B64">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（提供说明）</w:t>
            </w:r>
          </w:p>
        </w:tc>
      </w:tr>
      <w:tr w14:paraId="5D3B8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563008E0">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质保期</w:t>
            </w:r>
          </w:p>
        </w:tc>
        <w:tc>
          <w:tcPr>
            <w:tcW w:w="2725" w:type="dxa"/>
            <w:tcBorders>
              <w:top w:val="single" w:color="auto" w:sz="4" w:space="0"/>
              <w:left w:val="single" w:color="auto" w:sz="4" w:space="0"/>
              <w:bottom w:val="single" w:color="auto" w:sz="4" w:space="0"/>
              <w:right w:val="single" w:color="auto" w:sz="4" w:space="0"/>
            </w:tcBorders>
            <w:vAlign w:val="center"/>
          </w:tcPr>
          <w:p w14:paraId="51AB607E">
            <w:pPr>
              <w:jc w:val="center"/>
              <w:rPr>
                <w:rFonts w:hint="eastAsia" w:ascii="仿宋_GB2312" w:hAnsi="仿宋_GB2312" w:eastAsia="仿宋_GB2312" w:cs="仿宋_GB2312"/>
                <w:b w:val="0"/>
                <w:bCs/>
                <w:sz w:val="28"/>
                <w:szCs w:val="28"/>
              </w:rPr>
            </w:pPr>
          </w:p>
        </w:tc>
        <w:tc>
          <w:tcPr>
            <w:tcW w:w="2127" w:type="dxa"/>
            <w:tcBorders>
              <w:top w:val="single" w:color="auto" w:sz="4" w:space="0"/>
              <w:left w:val="single" w:color="auto" w:sz="4" w:space="0"/>
              <w:bottom w:val="single" w:color="auto" w:sz="4" w:space="0"/>
              <w:right w:val="single" w:color="auto" w:sz="4" w:space="0"/>
            </w:tcBorders>
            <w:vAlign w:val="center"/>
          </w:tcPr>
          <w:p w14:paraId="3479390B">
            <w:pPr>
              <w:jc w:val="center"/>
              <w:rPr>
                <w:rFonts w:hint="eastAsia" w:ascii="仿宋_GB2312" w:hAnsi="仿宋_GB2312" w:eastAsia="仿宋_GB2312" w:cs="仿宋_GB2312"/>
                <w:b w:val="0"/>
                <w:bCs/>
                <w:sz w:val="28"/>
                <w:szCs w:val="28"/>
              </w:rPr>
            </w:pPr>
          </w:p>
        </w:tc>
        <w:tc>
          <w:tcPr>
            <w:tcW w:w="2403" w:type="dxa"/>
            <w:tcBorders>
              <w:top w:val="single" w:color="auto" w:sz="4" w:space="0"/>
              <w:left w:val="single" w:color="auto" w:sz="4" w:space="0"/>
              <w:bottom w:val="single" w:color="auto" w:sz="4" w:space="0"/>
            </w:tcBorders>
            <w:vAlign w:val="center"/>
          </w:tcPr>
          <w:p w14:paraId="284F2FF5">
            <w:pPr>
              <w:jc w:val="center"/>
              <w:rPr>
                <w:rFonts w:hint="eastAsia" w:ascii="仿宋_GB2312" w:hAnsi="仿宋_GB2312" w:eastAsia="仿宋_GB2312" w:cs="仿宋_GB2312"/>
                <w:b w:val="0"/>
                <w:bCs/>
                <w:sz w:val="28"/>
                <w:szCs w:val="24"/>
              </w:rPr>
            </w:pPr>
          </w:p>
        </w:tc>
      </w:tr>
      <w:tr w14:paraId="0E4AF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7D873810">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交货时间及地点</w:t>
            </w:r>
          </w:p>
        </w:tc>
        <w:tc>
          <w:tcPr>
            <w:tcW w:w="2725" w:type="dxa"/>
            <w:tcBorders>
              <w:top w:val="single" w:color="auto" w:sz="4" w:space="0"/>
              <w:left w:val="single" w:color="auto" w:sz="4" w:space="0"/>
              <w:bottom w:val="single" w:color="auto" w:sz="4" w:space="0"/>
              <w:right w:val="single" w:color="auto" w:sz="4" w:space="0"/>
            </w:tcBorders>
            <w:vAlign w:val="center"/>
          </w:tcPr>
          <w:p w14:paraId="6C8F3FAA">
            <w:pPr>
              <w:jc w:val="center"/>
              <w:rPr>
                <w:rFonts w:hint="eastAsia" w:ascii="仿宋_GB2312" w:hAnsi="仿宋_GB2312" w:eastAsia="仿宋_GB2312" w:cs="仿宋_GB2312"/>
                <w:b w:val="0"/>
                <w:bCs/>
                <w:sz w:val="28"/>
                <w:szCs w:val="28"/>
              </w:rPr>
            </w:pPr>
          </w:p>
        </w:tc>
        <w:tc>
          <w:tcPr>
            <w:tcW w:w="2127" w:type="dxa"/>
            <w:tcBorders>
              <w:top w:val="single" w:color="auto" w:sz="4" w:space="0"/>
              <w:left w:val="single" w:color="auto" w:sz="4" w:space="0"/>
              <w:bottom w:val="single" w:color="auto" w:sz="4" w:space="0"/>
              <w:right w:val="single" w:color="auto" w:sz="4" w:space="0"/>
            </w:tcBorders>
            <w:vAlign w:val="center"/>
          </w:tcPr>
          <w:p w14:paraId="372EB4DF">
            <w:pPr>
              <w:jc w:val="center"/>
              <w:rPr>
                <w:rFonts w:hint="eastAsia" w:ascii="仿宋_GB2312" w:hAnsi="仿宋_GB2312" w:eastAsia="仿宋_GB2312" w:cs="仿宋_GB2312"/>
                <w:b w:val="0"/>
                <w:bCs/>
                <w:sz w:val="28"/>
                <w:szCs w:val="28"/>
              </w:rPr>
            </w:pPr>
          </w:p>
        </w:tc>
        <w:tc>
          <w:tcPr>
            <w:tcW w:w="2403" w:type="dxa"/>
            <w:tcBorders>
              <w:top w:val="single" w:color="auto" w:sz="4" w:space="0"/>
              <w:left w:val="single" w:color="auto" w:sz="4" w:space="0"/>
              <w:bottom w:val="single" w:color="auto" w:sz="4" w:space="0"/>
            </w:tcBorders>
            <w:vAlign w:val="center"/>
          </w:tcPr>
          <w:p w14:paraId="1084D158">
            <w:pPr>
              <w:jc w:val="center"/>
              <w:rPr>
                <w:rFonts w:hint="eastAsia" w:ascii="仿宋_GB2312" w:hAnsi="仿宋_GB2312" w:eastAsia="仿宋_GB2312" w:cs="仿宋_GB2312"/>
                <w:b w:val="0"/>
                <w:bCs/>
                <w:sz w:val="28"/>
                <w:szCs w:val="28"/>
              </w:rPr>
            </w:pPr>
          </w:p>
        </w:tc>
      </w:tr>
      <w:tr w14:paraId="5C0B8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01" w:type="dxa"/>
            <w:tcBorders>
              <w:top w:val="single" w:color="auto" w:sz="4" w:space="0"/>
              <w:bottom w:val="single" w:color="auto" w:sz="4" w:space="0"/>
              <w:right w:val="single" w:color="auto" w:sz="4" w:space="0"/>
            </w:tcBorders>
            <w:vAlign w:val="center"/>
          </w:tcPr>
          <w:p w14:paraId="69D4069E">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付款条件</w:t>
            </w:r>
          </w:p>
        </w:tc>
        <w:tc>
          <w:tcPr>
            <w:tcW w:w="2725" w:type="dxa"/>
            <w:tcBorders>
              <w:top w:val="single" w:color="auto" w:sz="4" w:space="0"/>
              <w:left w:val="single" w:color="auto" w:sz="4" w:space="0"/>
              <w:bottom w:val="single" w:color="auto" w:sz="4" w:space="0"/>
              <w:right w:val="single" w:color="auto" w:sz="4" w:space="0"/>
            </w:tcBorders>
          </w:tcPr>
          <w:p w14:paraId="4964D6D4">
            <w:pPr>
              <w:jc w:val="center"/>
              <w:rPr>
                <w:rFonts w:hint="eastAsia" w:ascii="仿宋_GB2312" w:hAnsi="仿宋_GB2312" w:eastAsia="仿宋_GB2312" w:cs="仿宋_GB2312"/>
                <w:b w:val="0"/>
                <w:bCs/>
                <w:sz w:val="28"/>
                <w:szCs w:val="28"/>
              </w:rPr>
            </w:pPr>
          </w:p>
        </w:tc>
        <w:tc>
          <w:tcPr>
            <w:tcW w:w="2127" w:type="dxa"/>
            <w:tcBorders>
              <w:top w:val="single" w:color="auto" w:sz="4" w:space="0"/>
              <w:left w:val="single" w:color="auto" w:sz="4" w:space="0"/>
              <w:bottom w:val="single" w:color="auto" w:sz="4" w:space="0"/>
              <w:right w:val="single" w:color="auto" w:sz="4" w:space="0"/>
            </w:tcBorders>
          </w:tcPr>
          <w:p w14:paraId="0CC919F8">
            <w:pPr>
              <w:jc w:val="center"/>
              <w:rPr>
                <w:rFonts w:hint="eastAsia" w:ascii="仿宋_GB2312" w:hAnsi="仿宋_GB2312" w:eastAsia="仿宋_GB2312" w:cs="仿宋_GB2312"/>
                <w:b w:val="0"/>
                <w:bCs/>
                <w:sz w:val="28"/>
                <w:szCs w:val="28"/>
              </w:rPr>
            </w:pPr>
          </w:p>
        </w:tc>
        <w:tc>
          <w:tcPr>
            <w:tcW w:w="2403" w:type="dxa"/>
            <w:tcBorders>
              <w:top w:val="single" w:color="auto" w:sz="4" w:space="0"/>
              <w:left w:val="single" w:color="auto" w:sz="4" w:space="0"/>
              <w:bottom w:val="single" w:color="auto" w:sz="4" w:space="0"/>
            </w:tcBorders>
            <w:vAlign w:val="center"/>
          </w:tcPr>
          <w:p w14:paraId="61DA3E96">
            <w:pPr>
              <w:jc w:val="center"/>
              <w:rPr>
                <w:rFonts w:hint="eastAsia" w:ascii="仿宋_GB2312" w:hAnsi="仿宋_GB2312" w:eastAsia="仿宋_GB2312" w:cs="仿宋_GB2312"/>
                <w:b w:val="0"/>
                <w:bCs/>
                <w:sz w:val="28"/>
                <w:szCs w:val="24"/>
              </w:rPr>
            </w:pPr>
          </w:p>
        </w:tc>
      </w:tr>
      <w:tr w14:paraId="2D16E8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3" w:hRule="atLeast"/>
        </w:trPr>
        <w:tc>
          <w:tcPr>
            <w:tcW w:w="1801" w:type="dxa"/>
            <w:tcBorders>
              <w:top w:val="single" w:color="auto" w:sz="4" w:space="0"/>
              <w:bottom w:val="single" w:color="auto" w:sz="4" w:space="0"/>
              <w:right w:val="single" w:color="auto" w:sz="4" w:space="0"/>
            </w:tcBorders>
            <w:vAlign w:val="center"/>
          </w:tcPr>
          <w:p w14:paraId="5C29E70E">
            <w:pPr>
              <w:jc w:val="center"/>
              <w:rPr>
                <w:rFonts w:hint="eastAsia" w:ascii="仿宋_GB2312" w:hAnsi="仿宋_GB2312" w:eastAsia="仿宋_GB2312" w:cs="仿宋_GB2312"/>
                <w:b w:val="0"/>
                <w:bCs/>
                <w:sz w:val="28"/>
                <w:szCs w:val="24"/>
                <w:lang w:val="en-US" w:eastAsia="zh-CN"/>
              </w:rPr>
            </w:pPr>
            <w:r>
              <w:rPr>
                <w:rFonts w:hint="eastAsia" w:ascii="仿宋_GB2312" w:hAnsi="仿宋_GB2312" w:eastAsia="仿宋_GB2312" w:cs="仿宋_GB2312"/>
                <w:b w:val="0"/>
                <w:bCs/>
                <w:sz w:val="28"/>
                <w:szCs w:val="24"/>
              </w:rPr>
              <w:t>技术</w:t>
            </w:r>
            <w:r>
              <w:rPr>
                <w:rFonts w:hint="eastAsia" w:ascii="仿宋_GB2312" w:hAnsi="仿宋_GB2312" w:eastAsia="仿宋_GB2312" w:cs="仿宋_GB2312"/>
                <w:b w:val="0"/>
                <w:bCs/>
                <w:sz w:val="28"/>
                <w:szCs w:val="24"/>
                <w:lang w:val="en-US" w:eastAsia="zh-CN"/>
              </w:rPr>
              <w:t>及售后</w:t>
            </w:r>
          </w:p>
          <w:p w14:paraId="13D5B77B">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服务要求</w:t>
            </w:r>
          </w:p>
        </w:tc>
        <w:tc>
          <w:tcPr>
            <w:tcW w:w="2725" w:type="dxa"/>
            <w:tcBorders>
              <w:top w:val="single" w:color="auto" w:sz="4" w:space="0"/>
              <w:left w:val="single" w:color="auto" w:sz="4" w:space="0"/>
              <w:bottom w:val="single" w:color="auto" w:sz="4" w:space="0"/>
              <w:right w:val="single" w:color="auto" w:sz="4" w:space="0"/>
            </w:tcBorders>
            <w:vAlign w:val="center"/>
          </w:tcPr>
          <w:p w14:paraId="099352AA">
            <w:pPr>
              <w:jc w:val="both"/>
              <w:rPr>
                <w:rFonts w:hint="eastAsia" w:ascii="仿宋_GB2312" w:hAnsi="仿宋_GB2312" w:eastAsia="仿宋_GB2312" w:cs="仿宋_GB2312"/>
                <w:b w:val="0"/>
                <w:bCs/>
                <w:sz w:val="28"/>
                <w:szCs w:val="28"/>
              </w:rPr>
            </w:pPr>
          </w:p>
        </w:tc>
        <w:tc>
          <w:tcPr>
            <w:tcW w:w="2127" w:type="dxa"/>
            <w:tcBorders>
              <w:top w:val="single" w:color="auto" w:sz="4" w:space="0"/>
              <w:left w:val="single" w:color="auto" w:sz="4" w:space="0"/>
              <w:bottom w:val="single" w:color="auto" w:sz="4" w:space="0"/>
              <w:right w:val="single" w:color="auto" w:sz="4" w:space="0"/>
            </w:tcBorders>
            <w:vAlign w:val="center"/>
          </w:tcPr>
          <w:p w14:paraId="7FFCFD26">
            <w:pPr>
              <w:jc w:val="both"/>
              <w:rPr>
                <w:rFonts w:hint="eastAsia" w:ascii="仿宋_GB2312" w:hAnsi="仿宋_GB2312" w:eastAsia="仿宋_GB2312" w:cs="仿宋_GB2312"/>
                <w:b w:val="0"/>
                <w:bCs/>
                <w:sz w:val="28"/>
                <w:szCs w:val="28"/>
              </w:rPr>
            </w:pPr>
          </w:p>
        </w:tc>
        <w:tc>
          <w:tcPr>
            <w:tcW w:w="2403" w:type="dxa"/>
            <w:tcBorders>
              <w:top w:val="single" w:color="auto" w:sz="4" w:space="0"/>
              <w:left w:val="single" w:color="auto" w:sz="4" w:space="0"/>
              <w:bottom w:val="single" w:color="auto" w:sz="4" w:space="0"/>
            </w:tcBorders>
            <w:vAlign w:val="center"/>
          </w:tcPr>
          <w:p w14:paraId="1C6A0C58">
            <w:pPr>
              <w:jc w:val="both"/>
              <w:rPr>
                <w:rFonts w:hint="eastAsia" w:ascii="仿宋_GB2312" w:hAnsi="仿宋_GB2312" w:eastAsia="仿宋_GB2312" w:cs="仿宋_GB2312"/>
                <w:b w:val="0"/>
                <w:bCs/>
                <w:sz w:val="28"/>
                <w:szCs w:val="24"/>
              </w:rPr>
            </w:pPr>
          </w:p>
        </w:tc>
      </w:tr>
      <w:tr w14:paraId="026C4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01" w:type="dxa"/>
            <w:tcBorders>
              <w:top w:val="single" w:color="auto" w:sz="4" w:space="0"/>
              <w:bottom w:val="single" w:color="auto" w:sz="4" w:space="0"/>
              <w:right w:val="single" w:color="auto" w:sz="4" w:space="0"/>
            </w:tcBorders>
            <w:vAlign w:val="center"/>
          </w:tcPr>
          <w:p w14:paraId="3568D7A9">
            <w:pPr>
              <w:jc w:val="center"/>
              <w:rPr>
                <w:rFonts w:hint="eastAsia" w:ascii="仿宋_GB2312" w:hAnsi="仿宋_GB2312" w:eastAsia="仿宋_GB2312" w:cs="仿宋_GB2312"/>
                <w:b w:val="0"/>
                <w:bCs/>
                <w:sz w:val="28"/>
                <w:szCs w:val="24"/>
              </w:rPr>
            </w:pPr>
            <w:r>
              <w:rPr>
                <w:rFonts w:hint="eastAsia" w:ascii="仿宋_GB2312" w:hAnsi="仿宋_GB2312" w:eastAsia="仿宋_GB2312" w:cs="仿宋_GB2312"/>
                <w:b w:val="0"/>
                <w:bCs/>
                <w:sz w:val="28"/>
                <w:szCs w:val="24"/>
              </w:rPr>
              <w:t>备品备件及耗材等要求</w:t>
            </w:r>
          </w:p>
        </w:tc>
        <w:tc>
          <w:tcPr>
            <w:tcW w:w="2725" w:type="dxa"/>
            <w:tcBorders>
              <w:top w:val="single" w:color="auto" w:sz="4" w:space="0"/>
              <w:left w:val="single" w:color="auto" w:sz="4" w:space="0"/>
              <w:bottom w:val="single" w:color="auto" w:sz="4" w:space="0"/>
              <w:right w:val="single" w:color="auto" w:sz="4" w:space="0"/>
            </w:tcBorders>
            <w:vAlign w:val="center"/>
          </w:tcPr>
          <w:p w14:paraId="6D9879D6">
            <w:pPr>
              <w:jc w:val="center"/>
              <w:rPr>
                <w:rFonts w:hint="eastAsia" w:ascii="仿宋_GB2312" w:hAnsi="仿宋_GB2312" w:eastAsia="仿宋_GB2312" w:cs="仿宋_GB2312"/>
                <w:b w:val="0"/>
                <w:bCs/>
                <w:sz w:val="28"/>
                <w:szCs w:val="24"/>
              </w:rPr>
            </w:pPr>
          </w:p>
        </w:tc>
        <w:tc>
          <w:tcPr>
            <w:tcW w:w="2127" w:type="dxa"/>
            <w:tcBorders>
              <w:top w:val="single" w:color="auto" w:sz="4" w:space="0"/>
              <w:left w:val="single" w:color="auto" w:sz="4" w:space="0"/>
              <w:bottom w:val="single" w:color="auto" w:sz="4" w:space="0"/>
              <w:right w:val="single" w:color="auto" w:sz="4" w:space="0"/>
            </w:tcBorders>
            <w:vAlign w:val="center"/>
          </w:tcPr>
          <w:p w14:paraId="69E4C958">
            <w:pPr>
              <w:jc w:val="center"/>
              <w:rPr>
                <w:rFonts w:hint="eastAsia" w:ascii="仿宋_GB2312" w:hAnsi="仿宋_GB2312" w:eastAsia="仿宋_GB2312" w:cs="仿宋_GB2312"/>
                <w:b w:val="0"/>
                <w:bCs/>
                <w:sz w:val="28"/>
                <w:szCs w:val="24"/>
              </w:rPr>
            </w:pPr>
          </w:p>
        </w:tc>
        <w:tc>
          <w:tcPr>
            <w:tcW w:w="2403" w:type="dxa"/>
            <w:tcBorders>
              <w:top w:val="single" w:color="auto" w:sz="4" w:space="0"/>
              <w:left w:val="single" w:color="auto" w:sz="4" w:space="0"/>
              <w:bottom w:val="single" w:color="auto" w:sz="4" w:space="0"/>
            </w:tcBorders>
            <w:vAlign w:val="center"/>
          </w:tcPr>
          <w:p w14:paraId="66DF1D53">
            <w:pPr>
              <w:jc w:val="center"/>
              <w:rPr>
                <w:rFonts w:hint="eastAsia" w:ascii="仿宋_GB2312" w:hAnsi="仿宋_GB2312" w:eastAsia="仿宋_GB2312" w:cs="仿宋_GB2312"/>
                <w:b w:val="0"/>
                <w:bCs/>
                <w:sz w:val="28"/>
                <w:szCs w:val="24"/>
              </w:rPr>
            </w:pPr>
          </w:p>
        </w:tc>
      </w:tr>
    </w:tbl>
    <w:p w14:paraId="293330F0">
      <w:pPr>
        <w:rPr>
          <w:rFonts w:ascii="宋体" w:hAnsi="宋体"/>
          <w:sz w:val="24"/>
          <w:highlight w:val="none"/>
        </w:rPr>
      </w:pPr>
    </w:p>
    <w:p w14:paraId="35932947">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3F9AD3C">
      <w:pPr>
        <w:rPr>
          <w:rFonts w:ascii="宋体" w:hAnsi="宋体"/>
          <w:sz w:val="24"/>
          <w:highlight w:val="none"/>
        </w:rPr>
      </w:pPr>
    </w:p>
    <w:p w14:paraId="3AA07086">
      <w:pPr>
        <w:rPr>
          <w:rFonts w:ascii="宋体" w:hAnsi="宋体"/>
          <w:sz w:val="24"/>
          <w:highlight w:val="none"/>
        </w:rPr>
      </w:pPr>
    </w:p>
    <w:p w14:paraId="78D60D00">
      <w:pPr>
        <w:pStyle w:val="76"/>
        <w:rPr>
          <w:rFonts w:hint="eastAsia" w:ascii="仿宋_GB2312" w:hAnsi="仿宋_GB2312" w:eastAsia="仿宋_GB2312" w:cs="仿宋_GB2312"/>
          <w:sz w:val="28"/>
          <w:szCs w:val="21"/>
          <w:highlight w:val="none"/>
        </w:rPr>
      </w:pPr>
      <w:r>
        <w:rPr>
          <w:rFonts w:hint="eastAsia" w:ascii="仿宋_GB2312" w:hAnsi="仿宋_GB2312" w:eastAsia="仿宋_GB2312" w:cs="仿宋_GB2312"/>
          <w:b/>
          <w:sz w:val="28"/>
          <w:szCs w:val="21"/>
          <w:highlight w:val="none"/>
        </w:rPr>
        <w:t>注：</w:t>
      </w:r>
      <w:r>
        <w:rPr>
          <w:rFonts w:hint="eastAsia" w:ascii="仿宋_GB2312" w:hAnsi="仿宋_GB2312" w:eastAsia="仿宋_GB2312" w:cs="仿宋_GB2312"/>
          <w:sz w:val="28"/>
          <w:szCs w:val="21"/>
          <w:highlight w:val="none"/>
        </w:rPr>
        <w:t>为避免歧义，无偏离也</w:t>
      </w:r>
      <w:r>
        <w:rPr>
          <w:rFonts w:hint="eastAsia" w:ascii="仿宋_GB2312" w:hAnsi="仿宋_GB2312" w:eastAsia="仿宋_GB2312" w:cs="仿宋_GB2312"/>
          <w:sz w:val="28"/>
          <w:szCs w:val="21"/>
          <w:highlight w:val="none"/>
          <w:lang w:eastAsia="zh-CN"/>
        </w:rPr>
        <w:t>应</w:t>
      </w:r>
      <w:r>
        <w:rPr>
          <w:rFonts w:hint="eastAsia" w:ascii="仿宋_GB2312" w:hAnsi="仿宋_GB2312" w:eastAsia="仿宋_GB2312" w:cs="仿宋_GB2312"/>
          <w:sz w:val="28"/>
          <w:szCs w:val="21"/>
          <w:highlight w:val="none"/>
        </w:rPr>
        <w:t>提报该表，并注明“无”字。如无该表则即使在</w:t>
      </w:r>
      <w:r>
        <w:rPr>
          <w:rFonts w:hint="eastAsia" w:ascii="仿宋_GB2312" w:hAnsi="仿宋_GB2312" w:eastAsia="仿宋_GB2312" w:cs="仿宋_GB2312"/>
          <w:sz w:val="28"/>
          <w:szCs w:val="21"/>
          <w:highlight w:val="none"/>
          <w:lang w:eastAsia="zh-CN"/>
        </w:rPr>
        <w:t>其他部分</w:t>
      </w:r>
      <w:r>
        <w:rPr>
          <w:rFonts w:hint="eastAsia" w:ascii="仿宋_GB2312" w:hAnsi="仿宋_GB2312" w:eastAsia="仿宋_GB2312" w:cs="仿宋_GB2312"/>
          <w:sz w:val="28"/>
          <w:szCs w:val="21"/>
          <w:highlight w:val="none"/>
        </w:rPr>
        <w:t>已反映，将被视为“无偏离”。</w:t>
      </w:r>
    </w:p>
    <w:p w14:paraId="348E068B">
      <w:pPr>
        <w:pStyle w:val="71"/>
        <w:jc w:val="left"/>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附件7</w:t>
      </w:r>
    </w:p>
    <w:p w14:paraId="4FDF9C7F">
      <w:pPr>
        <w:ind w:firstLine="562" w:firstLineChars="200"/>
        <w:jc w:val="center"/>
        <w:rPr>
          <w:rFonts w:hint="eastAsia" w:ascii="仿宋" w:hAnsi="仿宋" w:eastAsia="仿宋" w:cs="仿宋"/>
          <w:b/>
          <w:bCs/>
          <w:sz w:val="28"/>
          <w:szCs w:val="28"/>
        </w:rPr>
      </w:pPr>
    </w:p>
    <w:p w14:paraId="664BF080">
      <w:pPr>
        <w:ind w:firstLine="562" w:firstLineChars="20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投标保证金退付</w:t>
      </w:r>
      <w:r>
        <w:rPr>
          <w:rFonts w:hint="eastAsia" w:ascii="仿宋_GB2312" w:hAnsi="仿宋_GB2312" w:eastAsia="仿宋_GB2312" w:cs="仿宋_GB2312"/>
          <w:b/>
          <w:bCs/>
          <w:sz w:val="28"/>
          <w:szCs w:val="28"/>
          <w:lang w:val="en-US" w:eastAsia="zh-CN"/>
        </w:rPr>
        <w:t>信息</w:t>
      </w:r>
      <w:r>
        <w:rPr>
          <w:rFonts w:hint="eastAsia" w:ascii="仿宋_GB2312" w:hAnsi="仿宋_GB2312" w:eastAsia="仿宋_GB2312" w:cs="仿宋_GB2312"/>
          <w:b/>
          <w:bCs/>
          <w:sz w:val="28"/>
          <w:szCs w:val="28"/>
        </w:rPr>
        <w:t>表</w:t>
      </w:r>
    </w:p>
    <w:tbl>
      <w:tblPr>
        <w:tblStyle w:val="3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B9B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37CE334">
            <w:pPr>
              <w:pStyle w:val="15"/>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投标人单位（开户）名称：</w:t>
            </w:r>
          </w:p>
        </w:tc>
      </w:tr>
      <w:tr w14:paraId="3959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773FB9F8">
            <w:pPr>
              <w:pStyle w:val="15"/>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开户银行：</w:t>
            </w:r>
          </w:p>
        </w:tc>
      </w:tr>
      <w:tr w14:paraId="449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1611692">
            <w:pPr>
              <w:pStyle w:val="15"/>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账号：</w:t>
            </w:r>
          </w:p>
        </w:tc>
      </w:tr>
      <w:tr w14:paraId="0CB3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D7E0D43">
            <w:pPr>
              <w:pStyle w:val="15"/>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联行号：</w:t>
            </w:r>
          </w:p>
        </w:tc>
      </w:tr>
      <w:tr w14:paraId="3DCA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0BBD8D40">
            <w:pPr>
              <w:pStyle w:val="15"/>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纳税人识别号：</w:t>
            </w:r>
          </w:p>
        </w:tc>
      </w:tr>
    </w:tbl>
    <w:p w14:paraId="58F1D41E">
      <w:pPr>
        <w:pStyle w:val="15"/>
        <w:spacing w:line="360" w:lineRule="auto"/>
        <w:ind w:firstLine="280" w:firstLineChars="100"/>
        <w:rPr>
          <w:rFonts w:hint="eastAsia" w:ascii="仿宋_GB2312" w:hAnsi="仿宋_GB2312" w:eastAsia="仿宋_GB2312" w:cs="仿宋_GB2312"/>
          <w:sz w:val="28"/>
          <w:szCs w:val="28"/>
        </w:rPr>
      </w:pPr>
    </w:p>
    <w:p w14:paraId="0220F33D">
      <w:pPr>
        <w:pStyle w:val="15"/>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投标人名称（盖章）：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法定代表人或授权代表签字：</w:t>
      </w:r>
    </w:p>
    <w:p w14:paraId="6F1730D7">
      <w:pPr>
        <w:pStyle w:val="15"/>
        <w:spacing w:line="360" w:lineRule="auto"/>
        <w:ind w:firstLine="560" w:firstLineChars="200"/>
        <w:rPr>
          <w:rFonts w:hint="eastAsia" w:ascii="仿宋" w:hAnsi="仿宋" w:eastAsia="仿宋" w:cs="仿宋"/>
          <w:sz w:val="28"/>
          <w:szCs w:val="28"/>
        </w:rPr>
      </w:pPr>
    </w:p>
    <w:p w14:paraId="22B78F36">
      <w:pPr>
        <w:pStyle w:val="15"/>
        <w:spacing w:line="360" w:lineRule="auto"/>
        <w:ind w:firstLine="560" w:firstLineChars="200"/>
        <w:rPr>
          <w:rFonts w:hint="eastAsia" w:ascii="仿宋" w:hAnsi="仿宋" w:eastAsia="仿宋" w:cs="仿宋"/>
          <w:sz w:val="28"/>
          <w:szCs w:val="28"/>
        </w:rPr>
      </w:pPr>
    </w:p>
    <w:p w14:paraId="27BF9E3E">
      <w:pPr>
        <w:pStyle w:val="15"/>
        <w:spacing w:line="360" w:lineRule="auto"/>
        <w:rPr>
          <w:rFonts w:hint="default" w:ascii="仿宋_GB2312" w:hAnsi="仿宋_GB2312" w:eastAsia="仿宋_GB2312" w:cs="仿宋_GB2312"/>
          <w:sz w:val="28"/>
          <w:szCs w:val="28"/>
          <w:lang w:val="en-US" w:eastAsia="zh-CN"/>
        </w:rPr>
        <w:sectPr>
          <w:footerReference r:id="rId9" w:type="default"/>
          <w:pgSz w:w="11906" w:h="16838"/>
          <w:pgMar w:top="1440" w:right="1800" w:bottom="1440" w:left="1560" w:header="851" w:footer="992" w:gutter="0"/>
          <w:pgNumType w:start="1"/>
          <w:cols w:space="720" w:num="1"/>
          <w:docGrid w:type="lines" w:linePitch="312" w:charSpace="0"/>
        </w:sectPr>
      </w:pPr>
      <w:r>
        <w:rPr>
          <w:rFonts w:hint="eastAsia" w:ascii="仿宋_GB2312" w:hAnsi="仿宋_GB2312" w:eastAsia="仿宋_GB2312" w:cs="仿宋_GB2312"/>
          <w:sz w:val="28"/>
          <w:szCs w:val="28"/>
          <w:lang w:val="en-US" w:eastAsia="zh-CN"/>
        </w:rPr>
        <w:t>备注：以上信息用于退还投标保证金，缺少信息将无法退还投标保证金</w:t>
      </w:r>
    </w:p>
    <w:p w14:paraId="67D636CA">
      <w:pPr>
        <w:pStyle w:val="71"/>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附件8 </w:t>
      </w:r>
      <w:r>
        <w:rPr>
          <w:rFonts w:hint="eastAsia" w:ascii="仿宋_GB2312" w:hAnsi="仿宋_GB2312" w:eastAsia="仿宋_GB2312" w:cs="仿宋_GB2312"/>
          <w:sz w:val="28"/>
          <w:szCs w:val="28"/>
          <w:highlight w:val="none"/>
        </w:rPr>
        <w:t>SRM非生产供应商注册操作手册</w:t>
      </w:r>
    </w:p>
    <w:p w14:paraId="4C751C65">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浏览器中输入地址</w:t>
      </w:r>
      <w:r>
        <w:rPr>
          <w:rFonts w:hint="eastAsia" w:ascii="仿宋_GB2312" w:hAnsi="仿宋_GB2312" w:eastAsia="仿宋_GB2312" w:cs="仿宋_GB2312"/>
          <w:sz w:val="28"/>
          <w:szCs w:val="28"/>
          <w:lang w:eastAsia="zh-CN"/>
        </w:rPr>
        <w:t>；</w:t>
      </w:r>
    </w:p>
    <w:p w14:paraId="155F3A53">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"http://ecaitong.sinotruk.com:8012/" \l "/login" \t "dlt"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https://ecaitong.sinotruk.com:8012/#/login</w:t>
      </w:r>
      <w:r>
        <w:rPr>
          <w:rFonts w:hint="eastAsia" w:ascii="仿宋_GB2312" w:hAnsi="仿宋_GB2312" w:eastAsia="仿宋_GB2312" w:cs="仿宋_GB2312"/>
          <w:sz w:val="28"/>
          <w:szCs w:val="28"/>
        </w:rPr>
        <w:fldChar w:fldCharType="end"/>
      </w:r>
    </w:p>
    <w:p w14:paraId="31393A3D">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1.点击立即注册</w:t>
      </w:r>
    </w:p>
    <w:p w14:paraId="379C58D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5"/>
                    <a:stretch>
                      <a:fillRect/>
                    </a:stretch>
                  </pic:blipFill>
                  <pic:spPr>
                    <a:xfrm>
                      <a:off x="0" y="0"/>
                      <a:ext cx="5760085" cy="2933377"/>
                    </a:xfrm>
                    <a:prstGeom prst="rect">
                      <a:avLst/>
                    </a:prstGeom>
                  </pic:spPr>
                </pic:pic>
              </a:graphicData>
            </a:graphic>
          </wp:inline>
        </w:drawing>
      </w:r>
    </w:p>
    <w:p w14:paraId="4A3EEC4A">
      <w:pPr>
        <w:spacing w:line="360" w:lineRule="auto"/>
        <w:rPr>
          <w:rFonts w:hint="eastAsia" w:ascii="仿宋_GB2312" w:hAnsi="仿宋_GB2312" w:eastAsia="仿宋_GB2312" w:cs="仿宋_GB2312"/>
          <w:sz w:val="28"/>
          <w:szCs w:val="32"/>
        </w:rPr>
      </w:pPr>
      <w:r>
        <w:rPr>
          <w:rFonts w:hint="eastAsia" w:ascii="仿宋_GB2312" w:hAnsi="仿宋_GB2312" w:eastAsia="仿宋_GB2312" w:cs="仿宋_GB2312"/>
          <w:color w:val="000000"/>
          <w:sz w:val="28"/>
          <w:szCs w:val="32"/>
        </w:rPr>
        <w:t>2.填写手机号码（没有注册过的）</w:t>
      </w:r>
    </w:p>
    <w:p w14:paraId="1C59798A">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6"/>
                    <a:stretch>
                      <a:fillRect/>
                    </a:stretch>
                  </pic:blipFill>
                  <pic:spPr>
                    <a:xfrm>
                      <a:off x="0" y="0"/>
                      <a:ext cx="5760085" cy="2766707"/>
                    </a:xfrm>
                    <a:prstGeom prst="rect">
                      <a:avLst/>
                    </a:prstGeom>
                  </pic:spPr>
                </pic:pic>
              </a:graphicData>
            </a:graphic>
          </wp:inline>
        </w:drawing>
      </w:r>
    </w:p>
    <w:p w14:paraId="03F60BFA">
      <w:pPr>
        <w:spacing w:line="360" w:lineRule="auto"/>
        <w:rPr>
          <w:rFonts w:hint="eastAsia" w:ascii="仿宋_GB2312" w:hAnsi="仿宋_GB2312" w:eastAsia="仿宋_GB2312" w:cs="仿宋_GB2312"/>
          <w:sz w:val="28"/>
          <w:szCs w:val="32"/>
        </w:rPr>
      </w:pPr>
      <w:r>
        <w:rPr>
          <w:rFonts w:hint="eastAsia" w:ascii="仿宋_GB2312" w:hAnsi="仿宋_GB2312" w:eastAsia="仿宋_GB2312" w:cs="仿宋_GB2312"/>
          <w:color w:val="000000"/>
          <w:sz w:val="28"/>
          <w:szCs w:val="32"/>
        </w:rPr>
        <w:t>3.注册成功登录这个手机号码的账号进入系统，点击供应商注册</w:t>
      </w:r>
    </w:p>
    <w:p w14:paraId="1363632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7"/>
                    <a:stretch>
                      <a:fillRect/>
                    </a:stretch>
                  </pic:blipFill>
                  <pic:spPr>
                    <a:xfrm>
                      <a:off x="0" y="0"/>
                      <a:ext cx="5760085" cy="2870054"/>
                    </a:xfrm>
                    <a:prstGeom prst="rect">
                      <a:avLst/>
                    </a:prstGeom>
                  </pic:spPr>
                </pic:pic>
              </a:graphicData>
            </a:graphic>
          </wp:inline>
        </w:drawing>
      </w:r>
    </w:p>
    <w:p w14:paraId="2757235E">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4.点击新增</w:t>
      </w:r>
    </w:p>
    <w:p w14:paraId="0872E144">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8"/>
                    <a:stretch>
                      <a:fillRect/>
                    </a:stretch>
                  </pic:blipFill>
                  <pic:spPr>
                    <a:xfrm>
                      <a:off x="0" y="0"/>
                      <a:ext cx="5760085" cy="2853375"/>
                    </a:xfrm>
                    <a:prstGeom prst="rect">
                      <a:avLst/>
                    </a:prstGeom>
                  </pic:spPr>
                </pic:pic>
              </a:graphicData>
            </a:graphic>
          </wp:inline>
        </w:drawing>
      </w:r>
    </w:p>
    <w:p w14:paraId="1EFF5702">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5.按要求填写所有信息，注意非生产类要填写合作单位，最后提交审批</w:t>
      </w:r>
    </w:p>
    <w:p w14:paraId="3250C9B0">
      <w:pPr>
        <w:pStyle w:val="15"/>
      </w:pPr>
    </w:p>
    <w:p w14:paraId="5BE86B67">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9"/>
                    <a:stretch>
                      <a:fillRect/>
                    </a:stretch>
                  </pic:blipFill>
                  <pic:spPr>
                    <a:xfrm>
                      <a:off x="0" y="0"/>
                      <a:ext cx="5760085" cy="2810122"/>
                    </a:xfrm>
                    <a:prstGeom prst="rect">
                      <a:avLst/>
                    </a:prstGeom>
                  </pic:spPr>
                </pic:pic>
              </a:graphicData>
            </a:graphic>
          </wp:inline>
        </w:drawing>
      </w:r>
    </w:p>
    <w:p w14:paraId="541805A6">
      <w:pPr>
        <w:pStyle w:val="15"/>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0"/>
                    <a:stretch>
                      <a:fillRect/>
                    </a:stretch>
                  </pic:blipFill>
                  <pic:spPr>
                    <a:xfrm>
                      <a:off x="0" y="0"/>
                      <a:ext cx="5760085" cy="2820042"/>
                    </a:xfrm>
                    <a:prstGeom prst="rect">
                      <a:avLst/>
                    </a:prstGeom>
                  </pic:spPr>
                </pic:pic>
              </a:graphicData>
            </a:graphic>
          </wp:inline>
        </w:drawing>
      </w:r>
    </w:p>
    <w:p w14:paraId="06B039D6">
      <w:pPr>
        <w:pStyle w:val="15"/>
      </w:pPr>
    </w:p>
    <w:p w14:paraId="20EF45D4">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注：</w:t>
      </w:r>
    </w:p>
    <w:p w14:paraId="501EF25C">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1.“项目名称</w:t>
      </w:r>
      <w:r>
        <w:rPr>
          <w:rFonts w:hint="eastAsia" w:ascii="仿宋_GB2312" w:hAnsi="仿宋_GB2312" w:eastAsia="仿宋_GB2312" w:cs="仿宋_GB2312"/>
          <w:color w:val="000000"/>
          <w:sz w:val="28"/>
          <w:szCs w:val="32"/>
          <w:lang w:eastAsia="zh-CN"/>
        </w:rPr>
        <w:t>”“</w:t>
      </w:r>
      <w:r>
        <w:rPr>
          <w:rFonts w:hint="eastAsia" w:ascii="仿宋_GB2312" w:hAnsi="仿宋_GB2312" w:eastAsia="仿宋_GB2312" w:cs="仿宋_GB2312"/>
          <w:color w:val="000000"/>
          <w:sz w:val="28"/>
          <w:szCs w:val="32"/>
        </w:rPr>
        <w:t>采购形式编号”见</w:t>
      </w:r>
      <w:r>
        <w:rPr>
          <w:rFonts w:hint="eastAsia" w:ascii="仿宋_GB2312" w:hAnsi="仿宋_GB2312" w:eastAsia="仿宋_GB2312" w:cs="仿宋_GB2312"/>
          <w:color w:val="000000"/>
          <w:sz w:val="28"/>
          <w:szCs w:val="32"/>
          <w:lang w:val="en-US" w:eastAsia="zh-CN"/>
        </w:rPr>
        <w:t>招标公告</w:t>
      </w:r>
      <w:r>
        <w:rPr>
          <w:rFonts w:hint="eastAsia" w:ascii="仿宋_GB2312" w:hAnsi="仿宋_GB2312" w:eastAsia="仿宋_GB2312" w:cs="仿宋_GB2312"/>
          <w:color w:val="000000"/>
          <w:sz w:val="28"/>
          <w:szCs w:val="32"/>
        </w:rPr>
        <w:t>；</w:t>
      </w:r>
    </w:p>
    <w:p w14:paraId="520D20D8">
      <w:pPr>
        <w:spacing w:line="360" w:lineRule="auto"/>
        <w:rPr>
          <w:rFonts w:ascii="宋体" w:hAnsi="宋体" w:cs="宋体"/>
          <w:b/>
          <w:bCs/>
          <w:color w:val="000000"/>
          <w:sz w:val="24"/>
          <w:szCs w:val="24"/>
        </w:rPr>
      </w:pPr>
      <w:r>
        <w:rPr>
          <w:rFonts w:hint="eastAsia" w:ascii="仿宋_GB2312" w:hAnsi="仿宋_GB2312" w:eastAsia="仿宋_GB2312" w:cs="仿宋_GB2312"/>
          <w:color w:val="000000"/>
          <w:sz w:val="28"/>
          <w:szCs w:val="32"/>
        </w:rPr>
        <w:t xml:space="preserve">2.配套能力“供货类别”选“直管单位非生产招标 / </w:t>
      </w:r>
      <w:r>
        <w:rPr>
          <w:rFonts w:hint="eastAsia" w:ascii="仿宋_GB2312" w:hAnsi="仿宋_GB2312" w:eastAsia="仿宋_GB2312" w:cs="仿宋_GB2312"/>
          <w:color w:val="000000"/>
          <w:sz w:val="28"/>
          <w:szCs w:val="32"/>
          <w:lang w:val="en-US" w:eastAsia="zh-CN"/>
        </w:rPr>
        <w:t>货物</w:t>
      </w:r>
      <w:r>
        <w:rPr>
          <w:rFonts w:hint="eastAsia" w:ascii="仿宋_GB2312" w:hAnsi="仿宋_GB2312" w:eastAsia="仿宋_GB2312" w:cs="仿宋_GB2312"/>
          <w:color w:val="000000"/>
          <w:sz w:val="28"/>
          <w:szCs w:val="32"/>
        </w:rPr>
        <w:t xml:space="preserve"> / </w:t>
      </w:r>
      <w:r>
        <w:rPr>
          <w:rFonts w:hint="eastAsia" w:ascii="仿宋_GB2312" w:hAnsi="仿宋_GB2312" w:eastAsia="仿宋_GB2312" w:cs="仿宋_GB2312"/>
          <w:color w:val="000000"/>
          <w:sz w:val="28"/>
          <w:szCs w:val="32"/>
          <w:lang w:val="en-US" w:eastAsia="zh-CN"/>
        </w:rPr>
        <w:t xml:space="preserve">信息化-硬件  </w:t>
      </w:r>
      <w:r>
        <w:rPr>
          <w:rFonts w:hint="eastAsia" w:ascii="仿宋_GB2312" w:hAnsi="仿宋_GB2312" w:eastAsia="仿宋_GB2312" w:cs="仿宋_GB2312"/>
          <w:color w:val="000000"/>
          <w:sz w:val="28"/>
          <w:szCs w:val="32"/>
        </w:rPr>
        <w:t>”，业务主管部门为“数智化转型发展部”。</w:t>
      </w:r>
      <w:r>
        <w:rPr>
          <w:rFonts w:hint="eastAsia" w:ascii="宋体" w:hAnsi="宋体" w:cs="宋体"/>
          <w:b/>
          <w:bCs/>
          <w:color w:val="000000"/>
          <w:sz w:val="24"/>
          <w:szCs w:val="24"/>
        </w:rPr>
        <w:br w:type="page"/>
      </w:r>
    </w:p>
    <w:p w14:paraId="26C0194C">
      <w:pPr>
        <w:pStyle w:val="71"/>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附件9  </w:t>
      </w:r>
      <w:r>
        <w:rPr>
          <w:rFonts w:hint="eastAsia" w:ascii="仿宋_GB2312" w:hAnsi="仿宋_GB2312" w:eastAsia="仿宋_GB2312" w:cs="仿宋_GB2312"/>
          <w:sz w:val="28"/>
          <w:szCs w:val="28"/>
          <w:highlight w:val="none"/>
        </w:rPr>
        <w:t>SRM系统供应商用户手册</w:t>
      </w:r>
    </w:p>
    <w:p w14:paraId="6DDE1B8F">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系统网址：</w:t>
      </w:r>
      <w:r>
        <w:rPr>
          <w:rFonts w:hint="eastAsia" w:ascii="仿宋_GB2312" w:hAnsi="仿宋_GB2312" w:eastAsia="仿宋_GB2312" w:cs="仿宋_GB2312"/>
          <w:color w:val="000000"/>
          <w:sz w:val="28"/>
          <w:szCs w:val="32"/>
        </w:rPr>
        <w:fldChar w:fldCharType="begin"/>
      </w:r>
      <w:r>
        <w:rPr>
          <w:rFonts w:hint="eastAsia" w:ascii="仿宋_GB2312" w:hAnsi="仿宋_GB2312" w:eastAsia="仿宋_GB2312" w:cs="仿宋_GB2312"/>
          <w:color w:val="000000"/>
          <w:sz w:val="28"/>
          <w:szCs w:val="32"/>
        </w:rPr>
        <w:instrText xml:space="preserve"> HYPERLINK "http://ecaitong.sinotruk.com:8012/" \t "dlt" </w:instrText>
      </w:r>
      <w:r>
        <w:rPr>
          <w:rFonts w:hint="eastAsia" w:ascii="仿宋_GB2312" w:hAnsi="仿宋_GB2312" w:eastAsia="仿宋_GB2312" w:cs="仿宋_GB2312"/>
          <w:color w:val="000000"/>
          <w:sz w:val="28"/>
          <w:szCs w:val="32"/>
        </w:rPr>
        <w:fldChar w:fldCharType="separate"/>
      </w:r>
      <w:r>
        <w:rPr>
          <w:rFonts w:hint="eastAsia" w:ascii="仿宋_GB2312" w:hAnsi="仿宋_GB2312" w:eastAsia="仿宋_GB2312" w:cs="仿宋_GB2312"/>
          <w:color w:val="000000"/>
          <w:sz w:val="28"/>
          <w:szCs w:val="32"/>
        </w:rPr>
        <w:t>https://ecaitong.sinotruk.com:8012/</w:t>
      </w:r>
      <w:r>
        <w:rPr>
          <w:rFonts w:hint="eastAsia" w:ascii="仿宋_GB2312" w:hAnsi="仿宋_GB2312" w:eastAsia="仿宋_GB2312" w:cs="仿宋_GB2312"/>
          <w:color w:val="000000"/>
          <w:sz w:val="28"/>
          <w:szCs w:val="32"/>
        </w:rPr>
        <w:fldChar w:fldCharType="end"/>
      </w:r>
    </w:p>
    <w:p w14:paraId="4CB8492D">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用 户 名：gys+供应商代码（注意：注册完毕后，用户名不要用手机号登录）</w:t>
      </w:r>
    </w:p>
    <w:p w14:paraId="59F9DC27">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初始密码：scm@2022</w:t>
      </w:r>
    </w:p>
    <w:p w14:paraId="301EC868">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1.供应商应标</w:t>
      </w:r>
    </w:p>
    <w:p w14:paraId="24543C36">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路径：招投标中心-非生产类招投标-供应商应标</w:t>
      </w:r>
    </w:p>
    <w:p w14:paraId="0477AE89">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点击应标，上传文件之后点击提交。</w:t>
      </w:r>
    </w:p>
    <w:p w14:paraId="17CA1796">
      <w:r>
        <w:drawing>
          <wp:inline distT="0" distB="0" distL="0" distR="0">
            <wp:extent cx="5760085" cy="2269490"/>
            <wp:effectExtent l="0" t="0" r="5715" b="381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1"/>
                    <a:stretch>
                      <a:fillRect/>
                    </a:stretch>
                  </pic:blipFill>
                  <pic:spPr>
                    <a:xfrm>
                      <a:off x="0" y="0"/>
                      <a:ext cx="5760085" cy="2269864"/>
                    </a:xfrm>
                    <a:prstGeom prst="rect">
                      <a:avLst/>
                    </a:prstGeom>
                  </pic:spPr>
                </pic:pic>
              </a:graphicData>
            </a:graphic>
          </wp:inline>
        </w:drawing>
      </w:r>
    </w:p>
    <w:p w14:paraId="121ACB2F"/>
    <w:p w14:paraId="287C98CA">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2.供应商投标</w:t>
      </w:r>
    </w:p>
    <w:p w14:paraId="37A57B54">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路径：招投标中心-非生产类招投标-供应商投标</w:t>
      </w:r>
    </w:p>
    <w:p w14:paraId="164378E0">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2"/>
                    <a:stretch>
                      <a:fillRect/>
                    </a:stretch>
                  </pic:blipFill>
                  <pic:spPr>
                    <a:xfrm>
                      <a:off x="0" y="0"/>
                      <a:ext cx="5760085" cy="2125673"/>
                    </a:xfrm>
                    <a:prstGeom prst="rect">
                      <a:avLst/>
                    </a:prstGeom>
                  </pic:spPr>
                </pic:pic>
              </a:graphicData>
            </a:graphic>
          </wp:inline>
        </w:drawing>
      </w:r>
    </w:p>
    <w:p w14:paraId="6CA4A819">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点击投标按钮，进入详情页，输入投标报价并上传相应的附件。</w:t>
      </w:r>
    </w:p>
    <w:p w14:paraId="57281AF3">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注意：系统内的投标报价单位为“万元”，如开标现场发现填错报价，即直接淘汰。</w:t>
      </w:r>
    </w:p>
    <w:p w14:paraId="6C966276">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3"/>
                    <a:stretch>
                      <a:fillRect/>
                    </a:stretch>
                  </pic:blipFill>
                  <pic:spPr>
                    <a:xfrm>
                      <a:off x="0" y="0"/>
                      <a:ext cx="5490210" cy="2669498"/>
                    </a:xfrm>
                    <a:prstGeom prst="rect">
                      <a:avLst/>
                    </a:prstGeom>
                  </pic:spPr>
                </pic:pic>
              </a:graphicData>
            </a:graphic>
          </wp:inline>
        </w:drawing>
      </w:r>
    </w:p>
    <w:p w14:paraId="1077B87D">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3.供应商技术标澄清函</w:t>
      </w:r>
    </w:p>
    <w:p w14:paraId="217D0719">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路径：招投标中心-非生产类招投标-供应商技术标澄清函</w:t>
      </w:r>
    </w:p>
    <w:p w14:paraId="225B362C">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点击编辑按钮进入系统，上传技术标澄清函。</w:t>
      </w:r>
    </w:p>
    <w:p w14:paraId="6436B3DF">
      <w:pPr>
        <w:spacing w:line="360" w:lineRule="auto"/>
        <w:rPr>
          <w:rFonts w:ascii="Arial" w:hAnsi="Arial" w:eastAsia="Arial" w:cs="Arial"/>
          <w:color w:val="000000"/>
          <w:sz w:val="28"/>
        </w:rPr>
      </w:pPr>
      <w:r>
        <w:rPr>
          <w:rFonts w:hint="eastAsia" w:ascii="仿宋_GB2312" w:hAnsi="仿宋_GB2312" w:eastAsia="仿宋_GB2312" w:cs="仿宋_GB2312"/>
          <w:color w:val="000000"/>
          <w:sz w:val="28"/>
          <w:szCs w:val="32"/>
        </w:rPr>
        <w:t>开标之后所有投标的供应商都可编辑提交，技术标入围之后 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4"/>
                    <a:stretch>
                      <a:fillRect/>
                    </a:stretch>
                  </pic:blipFill>
                  <pic:spPr>
                    <a:xfrm>
                      <a:off x="0" y="0"/>
                      <a:ext cx="5490210" cy="1992743"/>
                    </a:xfrm>
                    <a:prstGeom prst="rect">
                      <a:avLst/>
                    </a:prstGeom>
                  </pic:spPr>
                </pic:pic>
              </a:graphicData>
            </a:graphic>
          </wp:inline>
        </w:drawing>
      </w:r>
    </w:p>
    <w:p w14:paraId="1EBD7835">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4.供应商报价</w:t>
      </w:r>
    </w:p>
    <w:p w14:paraId="46A5669E">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路径：招投标中心-非生产类招投标-供应商报价</w:t>
      </w:r>
    </w:p>
    <w:p w14:paraId="7D88C0A3">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点击报价按钮进入报价详情界面，请在此轮报价起止时间内报价，否则无法报价。</w:t>
      </w:r>
    </w:p>
    <w:p w14:paraId="69FEF0A7">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5.供应商澄清报价</w:t>
      </w:r>
    </w:p>
    <w:p w14:paraId="37DF39EB">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路径：招投标中心-非生产类招投标-供应商澄清报价</w:t>
      </w:r>
    </w:p>
    <w:p w14:paraId="10F5431E">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招标发起人接收建议价的同时会给供应商发送澄清报价，供应商在此界面进行澄清报价，点击编辑按钮进入澄清报价详细界面，输入价格并上传澄清函，之后点击提交。</w:t>
      </w:r>
    </w:p>
    <w:p w14:paraId="18436C91">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5"/>
                    <a:stretch>
                      <a:fillRect/>
                    </a:stretch>
                  </pic:blipFill>
                  <pic:spPr>
                    <a:xfrm>
                      <a:off x="0" y="0"/>
                      <a:ext cx="5490210" cy="2544669"/>
                    </a:xfrm>
                    <a:prstGeom prst="rect">
                      <a:avLst/>
                    </a:prstGeom>
                  </pic:spPr>
                </pic:pic>
              </a:graphicData>
            </a:graphic>
          </wp:inline>
        </w:drawing>
      </w:r>
    </w:p>
    <w:p w14:paraId="0254B546">
      <w:pPr>
        <w:spacing w:line="360" w:lineRule="auto"/>
        <w:rPr>
          <w:rFonts w:hint="eastAsia" w:ascii="仿宋_GB2312" w:hAnsi="仿宋_GB2312" w:eastAsia="仿宋_GB2312" w:cs="仿宋_GB2312"/>
          <w:b/>
          <w:bCs/>
          <w:color w:val="000000"/>
          <w:sz w:val="28"/>
          <w:szCs w:val="32"/>
        </w:rPr>
      </w:pPr>
      <w:r>
        <w:rPr>
          <w:rFonts w:hint="eastAsia" w:ascii="仿宋_GB2312" w:hAnsi="仿宋_GB2312" w:eastAsia="仿宋_GB2312" w:cs="仿宋_GB2312"/>
          <w:b/>
          <w:bCs/>
          <w:color w:val="000000"/>
          <w:sz w:val="28"/>
          <w:szCs w:val="32"/>
        </w:rPr>
        <w:t>6.供应商查看中标通知</w:t>
      </w:r>
    </w:p>
    <w:p w14:paraId="1154143A">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路径：招投标中心-非生产类招投标-中标项目</w:t>
      </w:r>
    </w:p>
    <w:p w14:paraId="501E5CAB">
      <w:pPr>
        <w:spacing w:line="360" w:lineRule="auto"/>
        <w:rPr>
          <w:rFonts w:hint="eastAsia" w:ascii="仿宋_GB2312" w:hAnsi="仿宋_GB2312" w:eastAsia="仿宋_GB2312" w:cs="仿宋_GB2312"/>
          <w:color w:val="000000"/>
          <w:sz w:val="28"/>
          <w:szCs w:val="32"/>
        </w:rPr>
      </w:pPr>
      <w:r>
        <w:rPr>
          <w:rFonts w:hint="eastAsia" w:ascii="仿宋_GB2312" w:hAnsi="仿宋_GB2312" w:eastAsia="仿宋_GB2312" w:cs="仿宋_GB2312"/>
          <w:color w:val="000000"/>
          <w:sz w:val="28"/>
          <w:szCs w:val="32"/>
        </w:rPr>
        <w:t>点击查看进入查看中标项目详情</w:t>
      </w:r>
    </w:p>
    <w:p w14:paraId="0E9FCFD1">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6"/>
                    <a:stretch>
                      <a:fillRect/>
                    </a:stretch>
                  </pic:blipFill>
                  <pic:spPr>
                    <a:xfrm>
                      <a:off x="0" y="0"/>
                      <a:ext cx="5760085" cy="1956600"/>
                    </a:xfrm>
                    <a:prstGeom prst="rect">
                      <a:avLst/>
                    </a:prstGeom>
                  </pic:spPr>
                </pic:pic>
              </a:graphicData>
            </a:graphic>
          </wp:inline>
        </w:drawing>
      </w:r>
    </w:p>
    <w:p w14:paraId="310450D8">
      <w:pPr>
        <w:pStyle w:val="76"/>
        <w:rPr>
          <w:rFonts w:hint="default" w:ascii="宋体" w:hAnsi="宋体"/>
          <w:sz w:val="24"/>
          <w:highlight w:val="none"/>
          <w:lang w:val="en-US"/>
        </w:rPr>
      </w:pPr>
    </w:p>
    <w:p w14:paraId="29BE2F0B">
      <w:pPr>
        <w:pStyle w:val="76"/>
        <w:rPr>
          <w:rFonts w:hint="default" w:ascii="宋体" w:hAnsi="宋体" w:eastAsia="宋体" w:cs="宋体"/>
          <w:b/>
          <w:bCs/>
          <w:kern w:val="2"/>
          <w:sz w:val="32"/>
          <w:szCs w:val="32"/>
          <w:lang w:val="en-US" w:eastAsia="zh-CN" w:bidi="ar-SA"/>
        </w:rPr>
      </w:pPr>
    </w:p>
    <w:p w14:paraId="1D9B440F">
      <w:pPr>
        <w:pStyle w:val="15"/>
        <w:rPr>
          <w:rFonts w:hint="eastAsia" w:hAnsi="宋体"/>
          <w:b/>
          <w:sz w:val="24"/>
          <w:szCs w:val="24"/>
        </w:rPr>
      </w:pPr>
    </w:p>
    <w:p w14:paraId="20BC48E8">
      <w:pPr>
        <w:pStyle w:val="76"/>
        <w:rPr>
          <w:rFonts w:hint="default" w:ascii="宋体" w:hAnsi="宋体" w:eastAsia="宋体" w:cs="宋体"/>
          <w:b/>
          <w:bCs/>
          <w:kern w:val="2"/>
          <w:sz w:val="32"/>
          <w:szCs w:val="32"/>
          <w:lang w:val="en-US" w:eastAsia="zh-CN" w:bidi="ar-SA"/>
        </w:rPr>
      </w:pPr>
    </w:p>
    <w:sectPr>
      <w:footerReference r:id="rId13" w:type="first"/>
      <w:headerReference r:id="rId10" w:type="default"/>
      <w:footerReference r:id="rId11" w:type="default"/>
      <w:footerReference r:id="rId12" w:type="even"/>
      <w:pgSz w:w="11906" w:h="16838"/>
      <w:pgMar w:top="1701" w:right="1418" w:bottom="1134" w:left="1418" w:header="851" w:footer="992" w:gutter="0"/>
      <w:pgNumType w:chapStyle="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4B243">
    <w:pPr>
      <w:pStyle w:val="19"/>
      <w:jc w:val="center"/>
      <w:rPr>
        <w:sz w:val="21"/>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5"/>
      </w:rPr>
    </w:pPr>
    <w:r>
      <w:fldChar w:fldCharType="begin"/>
    </w:r>
    <w:r>
      <w:rPr>
        <w:rStyle w:val="35"/>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152D">
    <w:pPr>
      <w:pStyle w:val="19"/>
      <w:jc w:val="center"/>
      <w:rPr>
        <w:sz w:val="21"/>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23B22">
    <w:pPr>
      <w:pStyle w:val="19"/>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542E9">
    <w:pPr>
      <w:pStyle w:val="1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1E839">
                          <w:pPr>
                            <w:pStyle w:val="1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61E839">
                    <w:pPr>
                      <w:pStyle w:val="1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D8298">
    <w:pPr>
      <w:pStyle w:val="19"/>
      <w:tabs>
        <w:tab w:val="left" w:pos="831"/>
        <w:tab w:val="center" w:pos="4535"/>
        <w:tab w:val="clear" w:pos="4153"/>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E127A">
                          <w:pPr>
                            <w:pStyle w:val="19"/>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D4E127A">
                    <w:pPr>
                      <w:pStyle w:val="19"/>
                    </w:pPr>
                    <w:r>
                      <w:fldChar w:fldCharType="begin"/>
                    </w:r>
                    <w:r>
                      <w:instrText xml:space="preserve"> PAGE  \* MERGEFORMAT </w:instrText>
                    </w:r>
                    <w:r>
                      <w:fldChar w:fldCharType="separate"/>
                    </w:r>
                    <w:r>
                      <w:t>- 27 -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11E02">
    <w:pPr>
      <w:pStyle w:val="19"/>
      <w:jc w:val="center"/>
    </w:pPr>
    <w:r>
      <w:rPr>
        <w:rFonts w:hint="eastAsia"/>
      </w:rPr>
      <w:t>5</w:t>
    </w:r>
    <w: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D40BF">
    <w:pPr>
      <w:pStyle w:val="19"/>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68DF3">
                          <w:pPr>
                            <w:pStyle w:val="19"/>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C368DF3">
                    <w:pPr>
                      <w:pStyle w:val="19"/>
                    </w:pPr>
                    <w:r>
                      <w:fldChar w:fldCharType="begin"/>
                    </w:r>
                    <w:r>
                      <w:instrText xml:space="preserve"> PAGE  \* MERGEFORMAT </w:instrText>
                    </w:r>
                    <w:r>
                      <w:fldChar w:fldCharType="separate"/>
                    </w:r>
                    <w:r>
                      <w:t>- 26 -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rPr>
        <w:rFonts w:hint="default"/>
        <w:lang w:val="en-US"/>
      </w:rPr>
    </w:pPr>
    <w:r>
      <w:rPr>
        <w:rFonts w:hint="eastAsia"/>
      </w:rPr>
      <w:t>中国</w:t>
    </w:r>
    <w:r>
      <w:rPr>
        <w:rFonts w:hint="eastAsia"/>
        <w:lang w:val="en-US" w:eastAsia="zh-CN"/>
      </w:rPr>
      <w:t>重汽集团济宁商用车有限公司硬盘采购项目招标文件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2BA3E">
    <w:pPr>
      <w:pStyle w:val="20"/>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sz w:val="28"/>
        <w:szCs w:val="28"/>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sz w:val="28"/>
        <w:szCs w:val="28"/>
      </w:rPr>
    </w:lvl>
  </w:abstractNum>
  <w:abstractNum w:abstractNumId="3">
    <w:nsid w:val="99C26F51"/>
    <w:multiLevelType w:val="singleLevel"/>
    <w:tmpl w:val="99C26F51"/>
    <w:lvl w:ilvl="0" w:tentative="0">
      <w:start w:val="1"/>
      <w:numFmt w:val="decimal"/>
      <w:lvlText w:val="(%1)"/>
      <w:lvlJc w:val="left"/>
      <w:pPr>
        <w:ind w:left="425" w:hanging="425"/>
      </w:pPr>
      <w:rPr>
        <w:rFonts w:hint="default"/>
        <w:sz w:val="28"/>
        <w:szCs w:val="28"/>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仿宋_GB2312" w:hAnsi="仿宋_GB2312" w:eastAsia="仿宋_GB2312" w:cs="仿宋_GB2312"/>
        <w:sz w:val="28"/>
        <w:szCs w:val="28"/>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sz w:val="28"/>
        <w:szCs w:val="28"/>
      </w:rPr>
    </w:lvl>
  </w:abstractNum>
  <w:abstractNum w:abstractNumId="8">
    <w:nsid w:val="CA70C5AE"/>
    <w:multiLevelType w:val="singleLevel"/>
    <w:tmpl w:val="CA70C5AE"/>
    <w:lvl w:ilvl="0" w:tentative="0">
      <w:start w:val="1"/>
      <w:numFmt w:val="decimal"/>
      <w:lvlText w:val="%1."/>
      <w:lvlJc w:val="left"/>
      <w:pPr>
        <w:ind w:left="425" w:hanging="425"/>
      </w:pPr>
      <w:rPr>
        <w:rFonts w:hint="default"/>
        <w:sz w:val="28"/>
        <w:szCs w:val="28"/>
      </w:rPr>
    </w:lvl>
  </w:abstractNum>
  <w:abstractNum w:abstractNumId="9">
    <w:nsid w:val="D9A4530E"/>
    <w:multiLevelType w:val="singleLevel"/>
    <w:tmpl w:val="D9A4530E"/>
    <w:lvl w:ilvl="0" w:tentative="0">
      <w:start w:val="1"/>
      <w:numFmt w:val="decimal"/>
      <w:lvlText w:val="(%1)"/>
      <w:lvlJc w:val="left"/>
      <w:pPr>
        <w:ind w:left="425" w:hanging="425"/>
      </w:pPr>
      <w:rPr>
        <w:rFonts w:hint="default"/>
        <w:sz w:val="28"/>
        <w:szCs w:val="28"/>
      </w:rPr>
    </w:lvl>
  </w:abstractNum>
  <w:abstractNum w:abstractNumId="10">
    <w:nsid w:val="DC3F8C8B"/>
    <w:multiLevelType w:val="singleLevel"/>
    <w:tmpl w:val="DC3F8C8B"/>
    <w:lvl w:ilvl="0" w:tentative="0">
      <w:start w:val="1"/>
      <w:numFmt w:val="decimal"/>
      <w:lvlText w:val="%1."/>
      <w:lvlJc w:val="left"/>
      <w:pPr>
        <w:ind w:left="425" w:hanging="425"/>
      </w:pPr>
      <w:rPr>
        <w:rFonts w:hint="default"/>
        <w:sz w:val="28"/>
        <w:szCs w:val="28"/>
      </w:rPr>
    </w:lvl>
  </w:abstractNum>
  <w:abstractNum w:abstractNumId="11">
    <w:nsid w:val="E8A8D5DF"/>
    <w:multiLevelType w:val="multilevel"/>
    <w:tmpl w:val="E8A8D5DF"/>
    <w:lvl w:ilvl="0" w:tentative="0">
      <w:start w:val="1"/>
      <w:numFmt w:val="decimal"/>
      <w:suff w:val="nothing"/>
      <w:lvlText w:val="%1."/>
      <w:lvlJc w:val="left"/>
      <w:pPr>
        <w:ind w:left="0" w:leftChars="0" w:firstLine="0" w:firstLineChars="0"/>
      </w:pPr>
      <w:rPr>
        <w:rFonts w:hint="default"/>
      </w:rPr>
    </w:lvl>
    <w:lvl w:ilvl="1" w:tentative="0">
      <w:start w:val="1"/>
      <w:numFmt w:val="decimal"/>
      <w:suff w:val="space"/>
      <w:lvlText w:val="(%2)"/>
      <w:lvlJc w:val="left"/>
      <w:pPr>
        <w:ind w:left="0" w:leftChars="0" w:firstLine="420" w:firstLineChars="0"/>
      </w:pPr>
      <w:rPr>
        <w:rFonts w:hint="default"/>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2">
    <w:nsid w:val="00000008"/>
    <w:multiLevelType w:val="multilevel"/>
    <w:tmpl w:val="00000008"/>
    <w:lvl w:ilvl="0" w:tentative="0">
      <w:start w:val="1"/>
      <w:numFmt w:val="decimal"/>
      <w:pStyle w:val="115"/>
      <w:lvlText w:val="%1)"/>
      <w:lvlJc w:val="left"/>
      <w:pPr>
        <w:ind w:left="846" w:hanging="420"/>
      </w:pPr>
    </w:lvl>
    <w:lvl w:ilvl="1" w:tentative="0">
      <w:start w:val="1"/>
      <w:numFmt w:val="decimal"/>
      <w:lvlText w:val="%2)"/>
      <w:lvlJc w:val="left"/>
      <w:pPr>
        <w:tabs>
          <w:tab w:val="left" w:pos="1113"/>
        </w:tabs>
        <w:ind w:left="1113" w:hanging="420"/>
      </w:pPr>
      <w:rPr>
        <w:rFonts w:hint="eastAsia"/>
      </w:rPr>
    </w:lvl>
    <w:lvl w:ilvl="2" w:tentative="0">
      <w:start w:val="1"/>
      <w:numFmt w:val="lowerRoman"/>
      <w:lvlText w:val="%3."/>
      <w:lvlJc w:val="right"/>
      <w:pPr>
        <w:ind w:left="1533" w:hanging="420"/>
      </w:pPr>
    </w:lvl>
    <w:lvl w:ilvl="3" w:tentative="0">
      <w:start w:val="1"/>
      <w:numFmt w:val="decimal"/>
      <w:lvlText w:val="%4."/>
      <w:lvlJc w:val="left"/>
      <w:pPr>
        <w:ind w:left="1953" w:hanging="420"/>
      </w:pPr>
    </w:lvl>
    <w:lvl w:ilvl="4" w:tentative="0">
      <w:start w:val="1"/>
      <w:numFmt w:val="lowerLetter"/>
      <w:lvlText w:val="%5)"/>
      <w:lvlJc w:val="left"/>
      <w:pPr>
        <w:ind w:left="2373" w:hanging="420"/>
      </w:pPr>
    </w:lvl>
    <w:lvl w:ilvl="5" w:tentative="0">
      <w:start w:val="1"/>
      <w:numFmt w:val="lowerRoman"/>
      <w:lvlText w:val="%6."/>
      <w:lvlJc w:val="right"/>
      <w:pPr>
        <w:ind w:left="2793" w:hanging="420"/>
      </w:pPr>
    </w:lvl>
    <w:lvl w:ilvl="6" w:tentative="0">
      <w:start w:val="1"/>
      <w:numFmt w:val="decimal"/>
      <w:lvlText w:val="%7."/>
      <w:lvlJc w:val="left"/>
      <w:pPr>
        <w:ind w:left="3213" w:hanging="420"/>
      </w:pPr>
    </w:lvl>
    <w:lvl w:ilvl="7" w:tentative="0">
      <w:start w:val="1"/>
      <w:numFmt w:val="lowerLetter"/>
      <w:lvlText w:val="%8)"/>
      <w:lvlJc w:val="left"/>
      <w:pPr>
        <w:ind w:left="3633" w:hanging="420"/>
      </w:pPr>
    </w:lvl>
    <w:lvl w:ilvl="8" w:tentative="0">
      <w:start w:val="1"/>
      <w:numFmt w:val="lowerRoman"/>
      <w:lvlText w:val="%9."/>
      <w:lvlJc w:val="right"/>
      <w:pPr>
        <w:ind w:left="4053" w:hanging="420"/>
      </w:p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sz w:val="28"/>
        <w:szCs w:val="28"/>
      </w:r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8"/>
  </w:num>
  <w:num w:numId="2">
    <w:abstractNumId w:val="22"/>
  </w:num>
  <w:num w:numId="3">
    <w:abstractNumId w:val="21"/>
  </w:num>
  <w:num w:numId="4">
    <w:abstractNumId w:val="19"/>
  </w:num>
  <w:num w:numId="5">
    <w:abstractNumId w:val="13"/>
  </w:num>
  <w:num w:numId="6">
    <w:abstractNumId w:val="14"/>
  </w:num>
  <w:num w:numId="7">
    <w:abstractNumId w:val="15"/>
  </w:num>
  <w:num w:numId="8">
    <w:abstractNumId w:val="20"/>
  </w:num>
  <w:num w:numId="9">
    <w:abstractNumId w:val="1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6"/>
  </w:num>
  <w:num w:numId="13">
    <w:abstractNumId w:val="5"/>
  </w:num>
  <w:num w:numId="14">
    <w:abstractNumId w:val="11"/>
  </w:num>
  <w:num w:numId="15">
    <w:abstractNumId w:val="23"/>
  </w:num>
  <w:num w:numId="16">
    <w:abstractNumId w:val="0"/>
  </w:num>
  <w:num w:numId="17">
    <w:abstractNumId w:val="2"/>
  </w:num>
  <w:num w:numId="18">
    <w:abstractNumId w:val="3"/>
  </w:num>
  <w:num w:numId="19">
    <w:abstractNumId w:val="24"/>
  </w:num>
  <w:num w:numId="20">
    <w:abstractNumId w:val="9"/>
  </w:num>
  <w:num w:numId="21">
    <w:abstractNumId w:val="8"/>
  </w:num>
  <w:num w:numId="22">
    <w:abstractNumId w:val="4"/>
  </w:num>
  <w:num w:numId="23">
    <w:abstractNumId w:val="1"/>
  </w:num>
  <w:num w:numId="24">
    <w:abstractNumId w:val="6"/>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4C1B"/>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6EE0"/>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19CB"/>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011432"/>
    <w:rsid w:val="0284231A"/>
    <w:rsid w:val="029417FA"/>
    <w:rsid w:val="02CC3DCA"/>
    <w:rsid w:val="02FE76EF"/>
    <w:rsid w:val="031F3DF1"/>
    <w:rsid w:val="03F033B0"/>
    <w:rsid w:val="04036634"/>
    <w:rsid w:val="04FC6FE7"/>
    <w:rsid w:val="050F1CB3"/>
    <w:rsid w:val="057C1D39"/>
    <w:rsid w:val="05891259"/>
    <w:rsid w:val="06F71255"/>
    <w:rsid w:val="08381BDD"/>
    <w:rsid w:val="08633479"/>
    <w:rsid w:val="08E64065"/>
    <w:rsid w:val="09773D0A"/>
    <w:rsid w:val="09CB082F"/>
    <w:rsid w:val="0BD04822"/>
    <w:rsid w:val="0C236700"/>
    <w:rsid w:val="0C965124"/>
    <w:rsid w:val="0CB51572"/>
    <w:rsid w:val="0CE07114"/>
    <w:rsid w:val="0E4D31E3"/>
    <w:rsid w:val="0F615EBD"/>
    <w:rsid w:val="0FB6788B"/>
    <w:rsid w:val="0FD20B69"/>
    <w:rsid w:val="10733652"/>
    <w:rsid w:val="10DC2AA3"/>
    <w:rsid w:val="10E43F61"/>
    <w:rsid w:val="10FA7C8C"/>
    <w:rsid w:val="1122342A"/>
    <w:rsid w:val="11C73FD2"/>
    <w:rsid w:val="12371157"/>
    <w:rsid w:val="12FB2185"/>
    <w:rsid w:val="130B198F"/>
    <w:rsid w:val="1356385F"/>
    <w:rsid w:val="1398489E"/>
    <w:rsid w:val="13A4281C"/>
    <w:rsid w:val="145F4995"/>
    <w:rsid w:val="14F43330"/>
    <w:rsid w:val="14FE55F7"/>
    <w:rsid w:val="15C24FA2"/>
    <w:rsid w:val="16640041"/>
    <w:rsid w:val="16A918E4"/>
    <w:rsid w:val="16C84A74"/>
    <w:rsid w:val="176A78D9"/>
    <w:rsid w:val="17D966D6"/>
    <w:rsid w:val="18055854"/>
    <w:rsid w:val="18291542"/>
    <w:rsid w:val="183323C1"/>
    <w:rsid w:val="186D27DF"/>
    <w:rsid w:val="18D53478"/>
    <w:rsid w:val="18F83704"/>
    <w:rsid w:val="196C5B8A"/>
    <w:rsid w:val="199E7D0E"/>
    <w:rsid w:val="19CB35DF"/>
    <w:rsid w:val="1A5A3C35"/>
    <w:rsid w:val="1AF220BF"/>
    <w:rsid w:val="1BC71D3B"/>
    <w:rsid w:val="1C59115B"/>
    <w:rsid w:val="1C9339F0"/>
    <w:rsid w:val="1CBA4E5F"/>
    <w:rsid w:val="1D5E3A3C"/>
    <w:rsid w:val="1DF75C3F"/>
    <w:rsid w:val="1E7B59FA"/>
    <w:rsid w:val="1E984264"/>
    <w:rsid w:val="1EAD7E8F"/>
    <w:rsid w:val="1EF11E1F"/>
    <w:rsid w:val="1F357B7F"/>
    <w:rsid w:val="1F503858"/>
    <w:rsid w:val="1F6B019B"/>
    <w:rsid w:val="1FB23E60"/>
    <w:rsid w:val="1FD06057"/>
    <w:rsid w:val="202076CF"/>
    <w:rsid w:val="20EE3329"/>
    <w:rsid w:val="217952E8"/>
    <w:rsid w:val="219C0FD7"/>
    <w:rsid w:val="21DC6806"/>
    <w:rsid w:val="221F7C23"/>
    <w:rsid w:val="22603DB2"/>
    <w:rsid w:val="22C5630B"/>
    <w:rsid w:val="233A0AA7"/>
    <w:rsid w:val="233E151E"/>
    <w:rsid w:val="23C71C0F"/>
    <w:rsid w:val="23EC0BA6"/>
    <w:rsid w:val="242D23BA"/>
    <w:rsid w:val="24701A48"/>
    <w:rsid w:val="247753E3"/>
    <w:rsid w:val="25A42208"/>
    <w:rsid w:val="25CE3729"/>
    <w:rsid w:val="25D573A1"/>
    <w:rsid w:val="25D7082F"/>
    <w:rsid w:val="25DE1BBE"/>
    <w:rsid w:val="268B0052"/>
    <w:rsid w:val="26C74A6B"/>
    <w:rsid w:val="26F35C52"/>
    <w:rsid w:val="272E26D1"/>
    <w:rsid w:val="27743C90"/>
    <w:rsid w:val="27FC457D"/>
    <w:rsid w:val="280451E0"/>
    <w:rsid w:val="28151D4B"/>
    <w:rsid w:val="282B6C11"/>
    <w:rsid w:val="284E0B51"/>
    <w:rsid w:val="28F03B0B"/>
    <w:rsid w:val="28F214DC"/>
    <w:rsid w:val="29755A2A"/>
    <w:rsid w:val="29CA2459"/>
    <w:rsid w:val="2B271A58"/>
    <w:rsid w:val="2B6304A7"/>
    <w:rsid w:val="2BA967CA"/>
    <w:rsid w:val="2BE21CDC"/>
    <w:rsid w:val="2C610E53"/>
    <w:rsid w:val="2C824E57"/>
    <w:rsid w:val="2C9D5C03"/>
    <w:rsid w:val="2CF6734C"/>
    <w:rsid w:val="2D663463"/>
    <w:rsid w:val="2DC06796"/>
    <w:rsid w:val="2E7B3D22"/>
    <w:rsid w:val="2E8928E3"/>
    <w:rsid w:val="2ECB4CA9"/>
    <w:rsid w:val="2EE6563F"/>
    <w:rsid w:val="2EF96EE4"/>
    <w:rsid w:val="2EFE255D"/>
    <w:rsid w:val="2F1C68A4"/>
    <w:rsid w:val="2F3960B7"/>
    <w:rsid w:val="3083610D"/>
    <w:rsid w:val="30913CD1"/>
    <w:rsid w:val="310E0E7D"/>
    <w:rsid w:val="320329AC"/>
    <w:rsid w:val="33182487"/>
    <w:rsid w:val="33694A91"/>
    <w:rsid w:val="339729FC"/>
    <w:rsid w:val="33D04B10"/>
    <w:rsid w:val="34376A7D"/>
    <w:rsid w:val="35126AE5"/>
    <w:rsid w:val="355E6877"/>
    <w:rsid w:val="356D1732"/>
    <w:rsid w:val="35C80F95"/>
    <w:rsid w:val="360848D4"/>
    <w:rsid w:val="361E39B7"/>
    <w:rsid w:val="36254FE4"/>
    <w:rsid w:val="364F4412"/>
    <w:rsid w:val="367D2D2D"/>
    <w:rsid w:val="36B424C7"/>
    <w:rsid w:val="36F079A3"/>
    <w:rsid w:val="372F61E0"/>
    <w:rsid w:val="392D4562"/>
    <w:rsid w:val="39322FCA"/>
    <w:rsid w:val="3A0346C0"/>
    <w:rsid w:val="3A092B2A"/>
    <w:rsid w:val="3A606BEE"/>
    <w:rsid w:val="3AB47673"/>
    <w:rsid w:val="3AB90991"/>
    <w:rsid w:val="3B7010B2"/>
    <w:rsid w:val="3B706131"/>
    <w:rsid w:val="3C357C06"/>
    <w:rsid w:val="3C706E90"/>
    <w:rsid w:val="3C7544A7"/>
    <w:rsid w:val="3D4C3459"/>
    <w:rsid w:val="3DBA6615"/>
    <w:rsid w:val="3DF37D79"/>
    <w:rsid w:val="3E6F041E"/>
    <w:rsid w:val="3FEE2B31"/>
    <w:rsid w:val="40506869"/>
    <w:rsid w:val="405F16F6"/>
    <w:rsid w:val="413B5CBF"/>
    <w:rsid w:val="414032D5"/>
    <w:rsid w:val="41766CF7"/>
    <w:rsid w:val="4275481E"/>
    <w:rsid w:val="428B617A"/>
    <w:rsid w:val="42915C58"/>
    <w:rsid w:val="42B37AD7"/>
    <w:rsid w:val="433D7BDC"/>
    <w:rsid w:val="437E1813"/>
    <w:rsid w:val="438859F4"/>
    <w:rsid w:val="43A538C3"/>
    <w:rsid w:val="43F809F6"/>
    <w:rsid w:val="448B0A34"/>
    <w:rsid w:val="44EB1F4C"/>
    <w:rsid w:val="45717F01"/>
    <w:rsid w:val="45795008"/>
    <w:rsid w:val="45A91659"/>
    <w:rsid w:val="45BD47FC"/>
    <w:rsid w:val="45CC5FB2"/>
    <w:rsid w:val="46052913"/>
    <w:rsid w:val="46B75BA8"/>
    <w:rsid w:val="474A2150"/>
    <w:rsid w:val="47590F03"/>
    <w:rsid w:val="47613FA5"/>
    <w:rsid w:val="47953C4F"/>
    <w:rsid w:val="48C97955"/>
    <w:rsid w:val="48E5353B"/>
    <w:rsid w:val="49880C8F"/>
    <w:rsid w:val="4A4D0811"/>
    <w:rsid w:val="4A541B9F"/>
    <w:rsid w:val="4A8835F7"/>
    <w:rsid w:val="4B592E71"/>
    <w:rsid w:val="4B6F38E7"/>
    <w:rsid w:val="4B800B15"/>
    <w:rsid w:val="4C1B0BC7"/>
    <w:rsid w:val="4C404189"/>
    <w:rsid w:val="4C5916EF"/>
    <w:rsid w:val="4C683B50"/>
    <w:rsid w:val="4CB7539F"/>
    <w:rsid w:val="4CDF7E46"/>
    <w:rsid w:val="4CF454AD"/>
    <w:rsid w:val="4D091ACB"/>
    <w:rsid w:val="4D5D6FBD"/>
    <w:rsid w:val="4D677E3B"/>
    <w:rsid w:val="4E006E6B"/>
    <w:rsid w:val="4E424672"/>
    <w:rsid w:val="4FE13ED5"/>
    <w:rsid w:val="507C3BFE"/>
    <w:rsid w:val="514E559A"/>
    <w:rsid w:val="51FB2FAB"/>
    <w:rsid w:val="5253221D"/>
    <w:rsid w:val="52896517"/>
    <w:rsid w:val="52B9239A"/>
    <w:rsid w:val="52DE64AA"/>
    <w:rsid w:val="5307330D"/>
    <w:rsid w:val="536B3512"/>
    <w:rsid w:val="538A2DB3"/>
    <w:rsid w:val="53D31D87"/>
    <w:rsid w:val="545D5AF4"/>
    <w:rsid w:val="54BD78FD"/>
    <w:rsid w:val="54ED50CA"/>
    <w:rsid w:val="55023C97"/>
    <w:rsid w:val="554F18E1"/>
    <w:rsid w:val="55A97243"/>
    <w:rsid w:val="55F52488"/>
    <w:rsid w:val="56244B1C"/>
    <w:rsid w:val="5661367A"/>
    <w:rsid w:val="567F78DC"/>
    <w:rsid w:val="56A25A40"/>
    <w:rsid w:val="56D54068"/>
    <w:rsid w:val="56F47210"/>
    <w:rsid w:val="572479AD"/>
    <w:rsid w:val="5753390A"/>
    <w:rsid w:val="575900AA"/>
    <w:rsid w:val="578B74CF"/>
    <w:rsid w:val="57AB792D"/>
    <w:rsid w:val="58405511"/>
    <w:rsid w:val="5897524F"/>
    <w:rsid w:val="58A86DDE"/>
    <w:rsid w:val="59154AD7"/>
    <w:rsid w:val="5A0C1B4F"/>
    <w:rsid w:val="5A902780"/>
    <w:rsid w:val="5ADF548D"/>
    <w:rsid w:val="5B6A1223"/>
    <w:rsid w:val="5BD668B8"/>
    <w:rsid w:val="5C0E6052"/>
    <w:rsid w:val="5C337866"/>
    <w:rsid w:val="5C5F7860"/>
    <w:rsid w:val="5C66241B"/>
    <w:rsid w:val="5CF35D36"/>
    <w:rsid w:val="5D200FFC"/>
    <w:rsid w:val="5D5C60B4"/>
    <w:rsid w:val="5F27742B"/>
    <w:rsid w:val="5F9A5E4E"/>
    <w:rsid w:val="5FFB5811"/>
    <w:rsid w:val="607214D7"/>
    <w:rsid w:val="61047A23"/>
    <w:rsid w:val="61246603"/>
    <w:rsid w:val="615A5895"/>
    <w:rsid w:val="615D0EE2"/>
    <w:rsid w:val="61665FE8"/>
    <w:rsid w:val="620E404E"/>
    <w:rsid w:val="62791D4B"/>
    <w:rsid w:val="632048BD"/>
    <w:rsid w:val="63F04A69"/>
    <w:rsid w:val="64041AE8"/>
    <w:rsid w:val="641A364F"/>
    <w:rsid w:val="64580A70"/>
    <w:rsid w:val="64721148"/>
    <w:rsid w:val="64D20964"/>
    <w:rsid w:val="658E5B0E"/>
    <w:rsid w:val="65D92F2F"/>
    <w:rsid w:val="66261512"/>
    <w:rsid w:val="662D5327"/>
    <w:rsid w:val="665001F7"/>
    <w:rsid w:val="66A50B1E"/>
    <w:rsid w:val="67B2063C"/>
    <w:rsid w:val="67C27CF0"/>
    <w:rsid w:val="67C97AC3"/>
    <w:rsid w:val="67E30EC1"/>
    <w:rsid w:val="681C6A7C"/>
    <w:rsid w:val="686139AD"/>
    <w:rsid w:val="687C2595"/>
    <w:rsid w:val="69414F43"/>
    <w:rsid w:val="6A4E3B2B"/>
    <w:rsid w:val="6AF6662F"/>
    <w:rsid w:val="6B337415"/>
    <w:rsid w:val="6B481C3B"/>
    <w:rsid w:val="6B4A697B"/>
    <w:rsid w:val="6B5E1AD6"/>
    <w:rsid w:val="6BBD539F"/>
    <w:rsid w:val="6C1331A3"/>
    <w:rsid w:val="6C5A0E3F"/>
    <w:rsid w:val="6CA84BC1"/>
    <w:rsid w:val="6CB21DE1"/>
    <w:rsid w:val="6CF52916"/>
    <w:rsid w:val="6D19684D"/>
    <w:rsid w:val="6D282CEC"/>
    <w:rsid w:val="6D3E4756"/>
    <w:rsid w:val="6D463172"/>
    <w:rsid w:val="6D936818"/>
    <w:rsid w:val="6F8306AD"/>
    <w:rsid w:val="6FC523EB"/>
    <w:rsid w:val="709F32C5"/>
    <w:rsid w:val="70F512BC"/>
    <w:rsid w:val="71494FDF"/>
    <w:rsid w:val="71A40FEB"/>
    <w:rsid w:val="71B211A1"/>
    <w:rsid w:val="71D40D4C"/>
    <w:rsid w:val="7239480A"/>
    <w:rsid w:val="725A3947"/>
    <w:rsid w:val="72895F2E"/>
    <w:rsid w:val="72C02EBE"/>
    <w:rsid w:val="72C507AD"/>
    <w:rsid w:val="72D028D8"/>
    <w:rsid w:val="732A584E"/>
    <w:rsid w:val="733E6DC5"/>
    <w:rsid w:val="745D47C3"/>
    <w:rsid w:val="74A0585D"/>
    <w:rsid w:val="74C622AA"/>
    <w:rsid w:val="74DB6895"/>
    <w:rsid w:val="74F160B9"/>
    <w:rsid w:val="75105FD1"/>
    <w:rsid w:val="751853F4"/>
    <w:rsid w:val="75A82C1C"/>
    <w:rsid w:val="75AF3FAA"/>
    <w:rsid w:val="76544B51"/>
    <w:rsid w:val="76AC3757"/>
    <w:rsid w:val="7782124A"/>
    <w:rsid w:val="77C06F53"/>
    <w:rsid w:val="77C655DB"/>
    <w:rsid w:val="78A032A9"/>
    <w:rsid w:val="797057FE"/>
    <w:rsid w:val="799D236B"/>
    <w:rsid w:val="7AA17C39"/>
    <w:rsid w:val="7AA401A7"/>
    <w:rsid w:val="7AA634A2"/>
    <w:rsid w:val="7C2C4136"/>
    <w:rsid w:val="7CB93F8E"/>
    <w:rsid w:val="7CF66B46"/>
    <w:rsid w:val="7DBD28BA"/>
    <w:rsid w:val="7E123328"/>
    <w:rsid w:val="7E292420"/>
    <w:rsid w:val="7E2968C4"/>
    <w:rsid w:val="7EB937A4"/>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next w:val="12"/>
    <w:link w:val="42"/>
    <w:semiHidden/>
    <w:qFormat/>
    <w:uiPriority w:val="98"/>
    <w:rPr>
      <w:rFonts w:ascii="仿宋_GB2312" w:eastAsia="仿宋_GB2312"/>
      <w:sz w:val="32"/>
    </w:rPr>
  </w:style>
  <w:style w:type="paragraph" w:customStyle="1" w:styleId="1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3">
    <w:name w:val="Body Text Indent"/>
    <w:basedOn w:val="1"/>
    <w:next w:val="1"/>
    <w:link w:val="49"/>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1"/>
    <w:qFormat/>
    <w:uiPriority w:val="0"/>
    <w:rPr>
      <w:rFonts w:ascii="宋体" w:hAnsi="Courier New"/>
    </w:rPr>
  </w:style>
  <w:style w:type="paragraph" w:styleId="16">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8"/>
    <w:semiHidden/>
    <w:qFormat/>
    <w:uiPriority w:val="0"/>
    <w:rPr>
      <w:sz w:val="18"/>
      <w:szCs w:val="18"/>
    </w:rPr>
  </w:style>
  <w:style w:type="paragraph" w:styleId="19">
    <w:name w:val="footer"/>
    <w:basedOn w:val="1"/>
    <w:link w:val="43"/>
    <w:semiHidden/>
    <w:qFormat/>
    <w:uiPriority w:val="0"/>
    <w:pPr>
      <w:tabs>
        <w:tab w:val="center" w:pos="4153"/>
        <w:tab w:val="right" w:pos="8306"/>
      </w:tabs>
      <w:snapToGrid w:val="0"/>
      <w:jc w:val="left"/>
    </w:pPr>
    <w:rPr>
      <w:sz w:val="18"/>
      <w:szCs w:val="18"/>
    </w:rPr>
  </w:style>
  <w:style w:type="paragraph" w:styleId="20">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4"/>
    <w:semiHidden/>
    <w:qFormat/>
    <w:uiPriority w:val="98"/>
    <w:rPr>
      <w:b/>
      <w:bCs/>
    </w:rPr>
  </w:style>
  <w:style w:type="paragraph" w:styleId="30">
    <w:name w:val="Body Text First Indent 2"/>
    <w:basedOn w:val="13"/>
    <w:next w:val="25"/>
    <w:qFormat/>
    <w:uiPriority w:val="0"/>
    <w:pPr>
      <w:spacing w:line="276" w:lineRule="auto"/>
      <w:ind w:left="200" w:firstLine="200" w:firstLineChars="200"/>
      <w:jc w:val="left"/>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semiHidden/>
    <w:qFormat/>
    <w:uiPriority w:val="98"/>
    <w:rPr>
      <w:b/>
    </w:rPr>
  </w:style>
  <w:style w:type="character" w:styleId="35">
    <w:name w:val="page number"/>
    <w:basedOn w:val="33"/>
    <w:semiHidden/>
    <w:qFormat/>
    <w:uiPriority w:val="0"/>
  </w:style>
  <w:style w:type="character" w:styleId="36">
    <w:name w:val="FollowedHyperlink"/>
    <w:semiHidden/>
    <w:qFormat/>
    <w:uiPriority w:val="98"/>
    <w:rPr>
      <w:color w:val="800080"/>
      <w:u w:val="single"/>
    </w:rPr>
  </w:style>
  <w:style w:type="character" w:styleId="37">
    <w:name w:val="Emphasis"/>
    <w:semiHidden/>
    <w:qFormat/>
    <w:uiPriority w:val="98"/>
    <w:rPr>
      <w:i/>
      <w:iCs/>
    </w:rPr>
  </w:style>
  <w:style w:type="character" w:styleId="38">
    <w:name w:val="Hyperlink"/>
    <w:qFormat/>
    <w:uiPriority w:val="99"/>
    <w:rPr>
      <w:rFonts w:cs="Times New Roman"/>
      <w:color w:val="1F4F88"/>
      <w:u w:val="none"/>
    </w:rPr>
  </w:style>
  <w:style w:type="character" w:styleId="39">
    <w:name w:val="annotation reference"/>
    <w:semiHidden/>
    <w:qFormat/>
    <w:uiPriority w:val="98"/>
    <w:rPr>
      <w:sz w:val="21"/>
      <w:szCs w:val="21"/>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9"/>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3"/>
    <w:semiHidden/>
    <w:qFormat/>
    <w:uiPriority w:val="98"/>
  </w:style>
  <w:style w:type="character" w:customStyle="1" w:styleId="48">
    <w:name w:val="批注框文本 字符"/>
    <w:link w:val="18"/>
    <w:semiHidden/>
    <w:qFormat/>
    <w:uiPriority w:val="98"/>
    <w:rPr>
      <w:kern w:val="2"/>
      <w:sz w:val="18"/>
      <w:szCs w:val="18"/>
    </w:rPr>
  </w:style>
  <w:style w:type="character" w:customStyle="1" w:styleId="49">
    <w:name w:val="正文文本缩进 字符"/>
    <w:link w:val="13"/>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5"/>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20"/>
    <w:semiHidden/>
    <w:qFormat/>
    <w:uiPriority w:val="0"/>
    <w:rPr>
      <w:kern w:val="2"/>
      <w:sz w:val="18"/>
      <w:szCs w:val="18"/>
    </w:rPr>
  </w:style>
  <w:style w:type="character" w:customStyle="1" w:styleId="54">
    <w:name w:val="批注主题 字符"/>
    <w:link w:val="29"/>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3"/>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3"/>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3"/>
    <w:link w:val="28"/>
    <w:semiHidden/>
    <w:qFormat/>
    <w:uiPriority w:val="0"/>
    <w:rPr>
      <w:rFonts w:eastAsia="黑体" w:asciiTheme="majorHAnsi" w:hAnsiTheme="majorHAnsi" w:cstheme="majorBidi"/>
      <w:b/>
      <w:bCs/>
      <w:kern w:val="2"/>
      <w:sz w:val="36"/>
      <w:szCs w:val="32"/>
    </w:rPr>
  </w:style>
  <w:style w:type="paragraph" w:customStyle="1" w:styleId="71">
    <w:name w:val="章节"/>
    <w:basedOn w:val="15"/>
    <w:qFormat/>
    <w:uiPriority w:val="0"/>
    <w:pPr>
      <w:spacing w:line="360" w:lineRule="auto"/>
      <w:jc w:val="center"/>
      <w:outlineLvl w:val="0"/>
    </w:pPr>
    <w:rPr>
      <w:rFonts w:ascii="黑体" w:eastAsia="黑体"/>
      <w:b/>
      <w:bCs/>
      <w:sz w:val="36"/>
      <w:szCs w:val="36"/>
    </w:rPr>
  </w:style>
  <w:style w:type="paragraph" w:customStyle="1" w:styleId="72">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5"/>
    <w:qFormat/>
    <w:uiPriority w:val="2"/>
    <w:pPr>
      <w:numPr>
        <w:ilvl w:val="0"/>
        <w:numId w:val="3"/>
      </w:numPr>
      <w:spacing w:line="360" w:lineRule="auto"/>
      <w:outlineLvl w:val="2"/>
    </w:pPr>
    <w:rPr>
      <w:b/>
    </w:rPr>
  </w:style>
  <w:style w:type="paragraph" w:customStyle="1" w:styleId="74">
    <w:name w:val="3级标题"/>
    <w:basedOn w:val="15"/>
    <w:link w:val="102"/>
    <w:qFormat/>
    <w:uiPriority w:val="3"/>
    <w:pPr>
      <w:numPr>
        <w:ilvl w:val="0"/>
        <w:numId w:val="4"/>
      </w:numPr>
      <w:spacing w:line="360" w:lineRule="auto"/>
      <w:outlineLvl w:val="3"/>
    </w:pPr>
    <w:rPr>
      <w:b/>
    </w:rPr>
  </w:style>
  <w:style w:type="paragraph" w:customStyle="1" w:styleId="75">
    <w:name w:val="（4）级标题"/>
    <w:basedOn w:val="15"/>
    <w:qFormat/>
    <w:uiPriority w:val="8"/>
    <w:pPr>
      <w:numPr>
        <w:ilvl w:val="0"/>
        <w:numId w:val="5"/>
      </w:numPr>
      <w:spacing w:line="360" w:lineRule="auto"/>
      <w:outlineLvl w:val="4"/>
    </w:pPr>
  </w:style>
  <w:style w:type="paragraph" w:customStyle="1" w:styleId="76">
    <w:name w:val="标书正文"/>
    <w:basedOn w:val="15"/>
    <w:link w:val="97"/>
    <w:qFormat/>
    <w:uiPriority w:val="9"/>
    <w:pPr>
      <w:spacing w:line="360" w:lineRule="auto"/>
      <w:jc w:val="left"/>
    </w:pPr>
  </w:style>
  <w:style w:type="character" w:customStyle="1" w:styleId="77">
    <w:name w:val="标题 4 字符"/>
    <w:basedOn w:val="33"/>
    <w:link w:val="5"/>
    <w:semiHidden/>
    <w:qFormat/>
    <w:uiPriority w:val="0"/>
    <w:rPr>
      <w:rFonts w:ascii="Arial" w:hAnsi="Arial"/>
      <w:b/>
      <w:bCs/>
      <w:kern w:val="2"/>
      <w:sz w:val="21"/>
      <w:szCs w:val="28"/>
    </w:rPr>
  </w:style>
  <w:style w:type="character" w:customStyle="1" w:styleId="78">
    <w:name w:val="标题 5 字符"/>
    <w:basedOn w:val="33"/>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3"/>
    <w:link w:val="23"/>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3"/>
    <w:link w:val="17"/>
    <w:semiHidden/>
    <w:qFormat/>
    <w:uiPriority w:val="0"/>
    <w:rPr>
      <w:sz w:val="24"/>
    </w:rPr>
  </w:style>
  <w:style w:type="character" w:customStyle="1" w:styleId="87">
    <w:name w:val="日期 字符"/>
    <w:basedOn w:val="33"/>
    <w:link w:val="16"/>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3"/>
    <w:semiHidden/>
    <w:qFormat/>
    <w:uiPriority w:val="98"/>
    <w:rPr>
      <w:rFonts w:ascii="Microsoft YaHei UI" w:eastAsia="Microsoft YaHei UI"/>
      <w:kern w:val="2"/>
      <w:sz w:val="18"/>
      <w:szCs w:val="18"/>
    </w:rPr>
  </w:style>
  <w:style w:type="character" w:customStyle="1" w:styleId="93">
    <w:name w:val="文档结构图 字符1"/>
    <w:basedOn w:val="33"/>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3"/>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3"/>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3"/>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3"/>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character" w:customStyle="1" w:styleId="112">
    <w:name w:val="font112"/>
    <w:basedOn w:val="33"/>
    <w:qFormat/>
    <w:uiPriority w:val="0"/>
    <w:rPr>
      <w:rFonts w:ascii="Arial" w:hAnsi="Arial" w:cs="Arial"/>
      <w:color w:val="000000"/>
      <w:sz w:val="22"/>
      <w:szCs w:val="22"/>
      <w:u w:val="none"/>
    </w:rPr>
  </w:style>
  <w:style w:type="character" w:customStyle="1" w:styleId="113">
    <w:name w:val="font41"/>
    <w:basedOn w:val="33"/>
    <w:qFormat/>
    <w:uiPriority w:val="0"/>
    <w:rPr>
      <w:rFonts w:hint="eastAsia" w:ascii="宋体" w:hAnsi="宋体" w:eastAsia="宋体" w:cs="宋体"/>
      <w:color w:val="000000"/>
      <w:sz w:val="22"/>
      <w:szCs w:val="22"/>
      <w:u w:val="none"/>
    </w:rPr>
  </w:style>
  <w:style w:type="paragraph" w:customStyle="1" w:styleId="114">
    <w:name w:val="标书正文格式"/>
    <w:basedOn w:val="15"/>
    <w:autoRedefine/>
    <w:qFormat/>
    <w:uiPriority w:val="0"/>
    <w:pPr>
      <w:spacing w:line="360" w:lineRule="auto"/>
      <w:ind w:firstLine="200" w:firstLineChars="200"/>
    </w:pPr>
    <w:rPr>
      <w:rFonts w:hAnsi="宋体" w:eastAsiaTheme="minorEastAsia"/>
      <w:color w:val="000000"/>
      <w:sz w:val="24"/>
      <w:szCs w:val="24"/>
    </w:rPr>
  </w:style>
  <w:style w:type="paragraph" w:customStyle="1" w:styleId="115">
    <w:name w:val="潍柴文档正文一级标题"/>
    <w:basedOn w:val="116"/>
    <w:autoRedefine/>
    <w:qFormat/>
    <w:uiPriority w:val="0"/>
    <w:pPr>
      <w:numPr>
        <w:ilvl w:val="0"/>
        <w:numId w:val="9"/>
      </w:numPr>
    </w:pPr>
    <w:rPr>
      <w:rFonts w:ascii="Times New Roman" w:hAnsi="Times New Roman" w:eastAsia="宋体" w:cs="Times New Roman"/>
    </w:rPr>
  </w:style>
  <w:style w:type="paragraph" w:customStyle="1" w:styleId="116">
    <w:name w:val="潍柴文档正文"/>
    <w:basedOn w:val="1"/>
    <w:autoRedefine/>
    <w:qFormat/>
    <w:uiPriority w:val="0"/>
    <w:pPr>
      <w:spacing w:line="360" w:lineRule="auto"/>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3.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e4b975ad-a958-4ee2-ac5f-cdcc9e4c4d74</errorID>
      <errorWord>.</errorWord>
      <group>L1_Format</group>
      <groupName>格式问题</groupName>
      <ability>L2_HalfPunc</ability>
      <abilityName>全半角检查</abilityName>
      <candidateList>
        <item>。</item>
      </candidateList>
      <explain>文本全半角错误。</explain>
      <paraID>5D11D42E</paraID>
      <start>6</start>
      <end>7</end>
      <status>ignored</status>
      <modifiedWord/>
      <trackRevisions>false</trackRevisions>
    </reviewItem>
    <reviewItem>
      <errorID>f48574f4-d61e-470d-80e4-d390f10d449f</errorID>
      <errorWord>.</errorWord>
      <group>L1_Format</group>
      <groupName>格式问题</groupName>
      <ability>L2_HalfPunc</ability>
      <abilityName>全半角检查</abilityName>
      <candidateList>
        <item>。</item>
      </candidateList>
      <explain>文本全半角错误。</explain>
      <paraID>4DE678AD</paraID>
      <start>6</start>
      <end>7</end>
      <status>ignored</status>
      <modifiedWord/>
      <trackRevisions>false</trackRevisions>
    </reviewItem>
    <reviewItem>
      <errorID>78541f2d-4229-4534-9753-a0ef0a845b0a</errorID>
      <errorWord>-</errorWord>
      <group>L1_Format</group>
      <groupName>格式问题</groupName>
      <ability>L2_HalfPunc</ability>
      <abilityName>全半角检查</abilityName>
      <candidateList>
        <item>－</item>
      </candidateList>
      <explain>文本全半角错误。</explain>
      <paraID>30D267C1</paraID>
      <start>172</start>
      <end>173</end>
      <status>ignored</status>
      <modifiedWord/>
      <trackRevisions>false</trackRevisions>
    </reviewItem>
    <reviewItem>
      <errorID>cb72bdb2-fbbe-4c64-bf66-af862212f0e0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447D8BC7</paraID>
      <start>31</start>
      <end>32</end>
      <status>ignored</status>
      <modifiedWord/>
      <trackRevisions>false</trackRevisions>
    </reviewItem>
    <reviewItem>
      <errorID>61e0018e-f14b-45fe-b7ac-80779a2b2a3b</errorID>
      <errorWord>-</errorWord>
      <group>L1_Format</group>
      <groupName>格式问题</groupName>
      <ability>L2_HalfPunc</ability>
      <abilityName>全半角检查</abilityName>
      <candidateList>
        <item>－</item>
      </candidateList>
      <explain>文本全半角错误。</explain>
      <paraID> 8C47440</paraID>
      <start>49</start>
      <end>50</end>
      <status>ignored</status>
      <modifiedWord/>
      <trackRevisions>false</trackRevisions>
    </reviewItem>
    <reviewItem>
      <errorID>e2aa5b51-bb73-46a9-8137-cde30d4c1784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6B47D799</paraID>
      <start>32</start>
      <end>33</end>
      <status>ignored</status>
      <modifiedWord/>
      <trackRevisions>false</trackRevisions>
    </reviewItem>
    <reviewItem>
      <errorID>506a1d34-4a11-4c75-9ce4-104682d5049d</errorID>
      <errorWord>考查</errorWord>
      <group>L1_Word</group>
      <groupName>字词问题</groupName>
      <ability>L2_Typo</ability>
      <abilityName>字词错误</abilityName>
      <candidateList>
        <item>考察</item>
      </candidateList>
      <explain>〈动〉❶实地观察调查：他们到各地～水利工程。❷细致深刻地观察：进行科学研究，必须勤于～和思索，才能有成就。</explain>
      <paraID>6B705137</paraID>
      <start>103</start>
      <end>105</end>
      <status>modified</status>
      <modifiedWord>考察</modifiedWord>
      <trackRevisions>false</trackRevisions>
    </reviewItem>
    <reviewItem>
      <errorID>5ed0b6ba-09cb-4d73-b67d-d8c98bd1ea3d</errorID>
      <errorWord>）</errorWord>
      <group>L1_Format</group>
      <groupName>格式问题</groupName>
      <ability>L2_HalfPunc</ability>
      <abilityName>全半角检查</abilityName>
      <candidateList>
        <item>)</item>
      </candidateList>
      <explain>文本全半角错误。</explain>
      <paraID> 4C3F318</paraID>
      <start>783</start>
      <end>784</end>
      <status>modified</status>
      <modifiedWord>)</modifiedWord>
      <trackRevisions>false</trackRevisions>
    </reviewItem>
    <reviewItem>
      <errorID>6ef511e4-f045-411b-bbe5-abb023a5c04a</errorID>
      <errorWord>-</errorWord>
      <group>L1_Format</group>
      <groupName>格式问题</groupName>
      <ability>L2_HalfPunc</ability>
      <abilityName>全半角检查</abilityName>
      <candidateList>
        <item>－</item>
      </candidateList>
      <explain>文本全半角错误。</explain>
      <paraID>24543C36</paraID>
      <start>8</start>
      <end>9</end>
      <status>ignored</status>
      <modifiedWord/>
      <trackRevisions>false</trackRevisions>
    </reviewItem>
    <reviewItem>
      <errorID>63a175ea-2893-4235-96c0-8cd87cbfe450</errorID>
      <errorWord>-</errorWord>
      <group>L1_Format</group>
      <groupName>格式问题</groupName>
      <ability>L2_HalfPunc</ability>
      <abilityName>全半角检查</abilityName>
      <candidateList>
        <item>－</item>
      </candidateList>
      <explain>文本全半角错误。</explain>
      <paraID>24543C36</paraID>
      <start>16</start>
      <end>17</end>
      <status>ignored</status>
      <modifiedWord/>
      <trackRevisions>false</trackRevisions>
    </reviewItem>
    <reviewItem>
      <errorID>a4715cb2-0db7-4d49-bb03-cbc1b0ead07a</errorID>
      <errorWord>-</errorWord>
      <group>L1_Format</group>
      <groupName>格式问题</groupName>
      <ability>L2_HalfPunc</ability>
      <abilityName>全半角检查</abilityName>
      <candidateList>
        <item>－</item>
      </candidateList>
      <explain>文本全半角错误。</explain>
      <paraID>37A57B54</paraID>
      <start>8</start>
      <end>9</end>
      <status>ignored</status>
      <modifiedWord/>
      <trackRevisions>false</trackRevisions>
    </reviewItem>
    <reviewItem>
      <errorID>9bdf04e9-0972-4074-95d5-80d3916378d4</errorID>
      <errorWord>-</errorWord>
      <group>L1_Format</group>
      <groupName>格式问题</groupName>
      <ability>L2_HalfPunc</ability>
      <abilityName>全半角检查</abilityName>
      <candidateList>
        <item>－</item>
      </candidateList>
      <explain>文本全半角错误。</explain>
      <paraID>37A57B54</paraID>
      <start>16</start>
      <end>17</end>
      <status>ignored</status>
      <modifiedWord/>
      <trackRevisions>false</trackRevisions>
    </reviewItem>
    <reviewItem>
      <errorID>5359deaa-edc2-4cd1-a6e4-d1c64aa799d8</errorID>
      <errorWord>-</errorWord>
      <group>L1_Format</group>
      <groupName>格式问题</groupName>
      <ability>L2_HalfPunc</ability>
      <abilityName>全半角检查</abilityName>
      <candidateList>
        <item>－</item>
      </candidateList>
      <explain>文本全半角错误。</explain>
      <paraID>217D0719</paraID>
      <start>8</start>
      <end>9</end>
      <status>ignored</status>
      <modifiedWord/>
      <trackRevisions>false</trackRevisions>
    </reviewItem>
    <reviewItem>
      <errorID>2cae4133-12c4-4c0e-86ec-b8270a44f8fd</errorID>
      <errorWord>-</errorWord>
      <group>L1_Format</group>
      <groupName>格式问题</groupName>
      <ability>L2_HalfPunc</ability>
      <abilityName>全半角检查</abilityName>
      <candidateList>
        <item>－</item>
      </candidateList>
      <explain>文本全半角错误。</explain>
      <paraID>217D0719</paraID>
      <start>16</start>
      <end>17</end>
      <status>ignored</status>
      <modifiedWord/>
      <trackRevisions>false</trackRevisions>
    </reviewItem>
    <reviewItem>
      <errorID>14f16fe6-a7b4-408c-8196-bf2adfcca22e</errorID>
      <errorWord>-</errorWord>
      <group>L1_Format</group>
      <groupName>格式问题</groupName>
      <ability>L2_HalfPunc</ability>
      <abilityName>全半角检查</abilityName>
      <candidateList>
        <item>－</item>
      </candidateList>
      <explain>文本全半角错误。</explain>
      <paraID>46A5669E</paraID>
      <start>8</start>
      <end>9</end>
      <status>ignored</status>
      <modifiedWord/>
      <trackRevisions>false</trackRevisions>
    </reviewItem>
    <reviewItem>
      <errorID>6d80f787-cba2-42be-a329-6a5ab1f2ecf2</errorID>
      <errorWord>-</errorWord>
      <group>L1_Format</group>
      <groupName>格式问题</groupName>
      <ability>L2_HalfPunc</ability>
      <abilityName>全半角检查</abilityName>
      <candidateList>
        <item>－</item>
      </candidateList>
      <explain>文本全半角错误。</explain>
      <paraID>46A5669E</paraID>
      <start>16</start>
      <end>17</end>
      <status>ignored</status>
      <modifiedWord/>
      <trackRevisions>false</trackRevisions>
    </reviewItem>
    <reviewItem>
      <errorID>10d84720-fff9-4a45-8715-f3fe49be4e89</errorID>
      <errorWord>-</errorWord>
      <group>L1_Format</group>
      <groupName>格式问题</groupName>
      <ability>L2_HalfPunc</ability>
      <abilityName>全半角检查</abilityName>
      <candidateList>
        <item>－</item>
      </candidateList>
      <explain>文本全半角错误。</explain>
      <paraID>37DF39EB</paraID>
      <start>8</start>
      <end>9</end>
      <status>ignored</status>
      <modifiedWord/>
      <trackRevisions>false</trackRevisions>
    </reviewItem>
    <reviewItem>
      <errorID>26494756-2c7b-4268-aa8f-571d0ab912a6</errorID>
      <errorWord>-</errorWord>
      <group>L1_Format</group>
      <groupName>格式问题</groupName>
      <ability>L2_HalfPunc</ability>
      <abilityName>全半角检查</abilityName>
      <candidateList>
        <item>－</item>
      </candidateList>
      <explain>文本全半角错误。</explain>
      <paraID>37DF39EB</paraID>
      <start>16</start>
      <end>17</end>
      <status>ignored</status>
      <modifiedWord/>
      <trackRevisions>false</trackRevisions>
    </reviewItem>
    <reviewItem>
      <errorID>e729e1b2-984b-4fb1-bbef-d7b059187f19</errorID>
      <errorWord>-</errorWord>
      <group>L1_Format</group>
      <groupName>格式问题</groupName>
      <ability>L2_HalfPunc</ability>
      <abilityName>全半角检查</abilityName>
      <candidateList>
        <item>－</item>
      </candidateList>
      <explain>文本全半角错误。</explain>
      <paraID>1154143A</paraID>
      <start>8</start>
      <end>9</end>
      <status>ignored</status>
      <modifiedWord/>
      <trackRevisions>false</trackRevisions>
    </reviewItem>
    <reviewItem>
      <errorID>e60dd7ad-bbda-460e-9f98-6d2dbd93fded</errorID>
      <errorWord>-</errorWord>
      <group>L1_Format</group>
      <groupName>格式问题</groupName>
      <ability>L2_HalfPunc</ability>
      <abilityName>全半角检查</abilityName>
      <candidateList>
        <item>－</item>
      </candidateList>
      <explain>文本全半角错误。</explain>
      <paraID>1154143A</paraID>
      <start>16</start>
      <end>17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customXml/itemProps3.xml><?xml version="1.0" encoding="utf-8"?>
<ds:datastoreItem xmlns:ds="http://schemas.openxmlformats.org/officeDocument/2006/customXml" ds:itemID="{efe3fd48-ca8e-4135-babe-a78aca6d9b4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15038</Words>
  <Characters>16950</Characters>
  <Lines>127</Lines>
  <Paragraphs>35</Paragraphs>
  <TotalTime>10</TotalTime>
  <ScaleCrop>false</ScaleCrop>
  <LinksUpToDate>false</LinksUpToDate>
  <CharactersWithSpaces>18079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瞿堂</cp:lastModifiedBy>
  <cp:lastPrinted>2020-06-28T02:28:00Z</cp:lastPrinted>
  <dcterms:modified xsi:type="dcterms:W3CDTF">2026-09-07T00:39:54Z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C4E667CF26604F52AD561790FE42A8A8_13</vt:lpwstr>
  </property>
  <property fmtid="{D5CDD505-2E9C-101B-9397-08002B2CF9AE}" pid="4" name="KSOTemplateDocerSaveRecord">
    <vt:lpwstr>eyJoZGlkIjoiMGY4ZTIxNDNlNjliMDczNzFhMmI0YWIwMzUzMGE5MTgiLCJ1c2VySWQiOiI0MTM4NjM0ODQifQ==</vt:lpwstr>
  </property>
</Properties>
</file>