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5"/>
        <w:rPr>
          <w:highlight w:val="none"/>
        </w:rPr>
      </w:pPr>
      <w:r>
        <w:rPr>
          <w:sz w:val="48"/>
          <w:szCs w:val="48"/>
          <w:highlight w:val="none"/>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pPr>
        <w:ind w:right="280"/>
        <w:jc w:val="center"/>
        <w:rPr>
          <w:rFonts w:ascii="宋体" w:hAnsi="宋体"/>
          <w:sz w:val="48"/>
          <w:szCs w:val="48"/>
          <w:highlight w:val="none"/>
        </w:rPr>
      </w:pPr>
    </w:p>
    <w:p>
      <w:pPr>
        <w:ind w:right="280"/>
        <w:jc w:val="center"/>
        <w:rPr>
          <w:rFonts w:ascii="宋体" w:hAnsi="宋体"/>
          <w:sz w:val="48"/>
          <w:szCs w:val="48"/>
          <w:highlight w:val="none"/>
        </w:rPr>
      </w:pPr>
    </w:p>
    <w:p>
      <w:pPr>
        <w:ind w:right="280"/>
        <w:jc w:val="center"/>
        <w:rPr>
          <w:rFonts w:ascii="宋体" w:hAnsi="宋体"/>
          <w:sz w:val="48"/>
          <w:szCs w:val="48"/>
          <w:highlight w:val="none"/>
        </w:rPr>
      </w:pPr>
    </w:p>
    <w:p>
      <w:pPr>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中国重汽集团济南轻卡制造公司光伏发电系统增加“四可”装置项目</w:t>
      </w:r>
    </w:p>
    <w:p>
      <w:pPr>
        <w:pStyle w:val="39"/>
        <w:rPr>
          <w:rFonts w:hint="eastAsia" w:ascii="楷体_GB2312" w:hAnsi="宋体" w:eastAsia="楷体_GB2312"/>
          <w:sz w:val="52"/>
          <w:szCs w:val="52"/>
          <w:highlight w:val="none"/>
          <w:lang w:val="en-US" w:eastAsia="zh-CN"/>
        </w:rPr>
      </w:pPr>
    </w:p>
    <w:p>
      <w:pPr>
        <w:jc w:val="center"/>
        <w:rPr>
          <w:rFonts w:ascii="宋体" w:hAnsi="宋体" w:cs="宋体"/>
          <w:sz w:val="72"/>
          <w:szCs w:val="72"/>
          <w:highlight w:val="none"/>
        </w:rPr>
      </w:pPr>
      <w:r>
        <w:rPr>
          <w:rFonts w:hint="eastAsia" w:ascii="宋体" w:hAnsi="宋体" w:cs="宋体"/>
          <w:sz w:val="72"/>
          <w:szCs w:val="72"/>
          <w:highlight w:val="none"/>
        </w:rPr>
        <w:t>招标文件</w:t>
      </w:r>
    </w:p>
    <w:p>
      <w:pPr>
        <w:jc w:val="center"/>
        <w:rPr>
          <w:rFonts w:ascii="宋体" w:hAnsi="宋体"/>
          <w:sz w:val="48"/>
          <w:szCs w:val="48"/>
          <w:highlight w:val="none"/>
        </w:rPr>
      </w:pPr>
    </w:p>
    <w:p>
      <w:pPr>
        <w:jc w:val="center"/>
        <w:rPr>
          <w:rFonts w:ascii="宋体" w:hAnsi="宋体"/>
          <w:sz w:val="48"/>
          <w:szCs w:val="48"/>
          <w:highlight w:val="none"/>
        </w:rPr>
      </w:pPr>
    </w:p>
    <w:p>
      <w:pPr>
        <w:pStyle w:val="74"/>
        <w:numPr>
          <w:ilvl w:val="0"/>
          <w:numId w:val="0"/>
        </w:numPr>
        <w:jc w:val="center"/>
        <w:rPr>
          <w:rFonts w:hint="eastAsia"/>
          <w:b w:val="0"/>
          <w:bCs w:val="0"/>
          <w:color w:val="auto"/>
          <w:sz w:val="32"/>
          <w:szCs w:val="32"/>
          <w:highlight w:val="none"/>
          <w:u w:val="single"/>
          <w:lang w:val="en-US" w:eastAsia="zh-CN"/>
        </w:rPr>
      </w:pPr>
      <w:r>
        <w:rPr>
          <w:rFonts w:hint="eastAsia" w:ascii="宋体" w:hAnsi="宋体" w:cs="宋体"/>
          <w:b/>
          <w:bCs/>
          <w:kern w:val="0"/>
          <w:sz w:val="32"/>
          <w:szCs w:val="32"/>
          <w:highlight w:val="none"/>
        </w:rPr>
        <w:t>项目编号：</w:t>
      </w:r>
      <w:r>
        <w:rPr>
          <w:rFonts w:hint="eastAsia"/>
          <w:b w:val="0"/>
          <w:bCs w:val="0"/>
          <w:color w:val="auto"/>
          <w:sz w:val="32"/>
          <w:szCs w:val="32"/>
          <w:highlight w:val="none"/>
          <w:u w:val="single"/>
          <w:lang w:val="en-US" w:eastAsia="zh-CN"/>
        </w:rPr>
        <w:t>ZBGL2026090120</w:t>
      </w:r>
    </w:p>
    <w:p>
      <w:pPr>
        <w:widowControl/>
        <w:spacing w:line="360" w:lineRule="auto"/>
        <w:jc w:val="center"/>
        <w:rPr>
          <w:rFonts w:hint="default" w:ascii="宋体" w:hAnsi="宋体" w:eastAsia="宋体" w:cs="宋体"/>
          <w:b/>
          <w:bCs/>
          <w:color w:val="auto"/>
          <w:kern w:val="0"/>
          <w:sz w:val="32"/>
          <w:szCs w:val="32"/>
          <w:highlight w:val="none"/>
          <w:u w:val="none"/>
          <w:lang w:val="en-US" w:eastAsia="zh-CN"/>
        </w:rPr>
      </w:pPr>
    </w:p>
    <w:p>
      <w:pPr>
        <w:jc w:val="center"/>
        <w:rPr>
          <w:rFonts w:ascii="宋体" w:hAnsi="宋体"/>
          <w:sz w:val="48"/>
          <w:szCs w:val="48"/>
          <w:highlight w:val="none"/>
        </w:rPr>
      </w:pPr>
    </w:p>
    <w:p>
      <w:pPr>
        <w:jc w:val="center"/>
        <w:rPr>
          <w:rFonts w:ascii="宋体" w:hAnsi="宋体"/>
          <w:sz w:val="48"/>
          <w:szCs w:val="48"/>
          <w:highlight w:val="none"/>
        </w:rPr>
      </w:pPr>
    </w:p>
    <w:p>
      <w:pPr>
        <w:jc w:val="center"/>
        <w:rPr>
          <w:rFonts w:ascii="宋体" w:hAnsi="宋体"/>
          <w:sz w:val="28"/>
          <w:szCs w:val="28"/>
          <w:highlight w:val="none"/>
        </w:rPr>
      </w:pPr>
    </w:p>
    <w:p>
      <w:pPr>
        <w:jc w:val="center"/>
        <w:rPr>
          <w:rFonts w:ascii="宋体" w:hAnsi="宋体"/>
          <w:sz w:val="28"/>
          <w:szCs w:val="28"/>
          <w:highlight w:val="none"/>
        </w:rPr>
      </w:pPr>
    </w:p>
    <w:p>
      <w:pPr>
        <w:jc w:val="center"/>
        <w:rPr>
          <w:rFonts w:ascii="宋体" w:hAnsi="宋体"/>
          <w:color w:val="FF0000"/>
          <w:sz w:val="28"/>
          <w:szCs w:val="28"/>
          <w:highlight w:val="none"/>
        </w:rPr>
      </w:pPr>
      <w:r>
        <w:rPr>
          <w:rFonts w:hint="eastAsia" w:ascii="宋体" w:hAnsi="宋体"/>
          <w:sz w:val="28"/>
          <w:szCs w:val="28"/>
          <w:highlight w:val="none"/>
        </w:rPr>
        <w:t>招 标 人：</w:t>
      </w:r>
      <w:r>
        <w:rPr>
          <w:rFonts w:hint="eastAsia" w:ascii="宋体" w:hAnsi="宋体"/>
          <w:sz w:val="28"/>
          <w:szCs w:val="28"/>
          <w:highlight w:val="none"/>
          <w:lang w:val="en-US" w:eastAsia="zh-CN"/>
        </w:rPr>
        <w:t>中</w:t>
      </w:r>
      <w:r>
        <w:rPr>
          <w:rFonts w:hint="eastAsia" w:ascii="宋体" w:hAnsi="宋体"/>
          <w:sz w:val="28"/>
          <w:szCs w:val="28"/>
          <w:highlight w:val="none"/>
        </w:rPr>
        <w:t>国重汽集团济南商用车有限公司</w:t>
      </w:r>
    </w:p>
    <w:p>
      <w:pPr>
        <w:jc w:val="center"/>
        <w:rPr>
          <w:rFonts w:ascii="宋体" w:hAnsi="宋体"/>
          <w:sz w:val="28"/>
          <w:szCs w:val="28"/>
          <w:highlight w:val="none"/>
          <w:u w:val="singl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9</w:t>
      </w:r>
      <w:r>
        <w:rPr>
          <w:rFonts w:hint="eastAsia" w:ascii="宋体" w:hAnsi="宋体"/>
          <w:sz w:val="28"/>
          <w:szCs w:val="28"/>
          <w:highlight w:val="none"/>
          <w:u w:val="single"/>
        </w:rPr>
        <w:t>月</w:t>
      </w:r>
    </w:p>
    <w:p>
      <w:pPr>
        <w:spacing w:line="480" w:lineRule="auto"/>
        <w:jc w:val="center"/>
        <w:rPr>
          <w:rFonts w:ascii="宋体" w:hAnsi="宋体"/>
          <w:b/>
          <w:bCs/>
          <w:sz w:val="48"/>
          <w:szCs w:val="48"/>
          <w:highlight w:val="none"/>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pPr>
            <w:pStyle w:val="69"/>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pPr>
            <w:pStyle w:val="20"/>
            <w:tabs>
              <w:tab w:val="right" w:leader="dot" w:pos="9070"/>
              <w:tab w:val="clear" w:pos="8729"/>
            </w:tabs>
            <w:rPr>
              <w:highlight w:val="none"/>
            </w:rPr>
          </w:pPr>
          <w:r>
            <w:fldChar w:fldCharType="begin"/>
          </w:r>
          <w:r>
            <w:instrText xml:space="preserve"> HYPERLINK \l "_Toc1260" </w:instrText>
          </w:r>
          <w:r>
            <w:fldChar w:fldCharType="separate"/>
          </w:r>
          <w:r>
            <w:rPr>
              <w:rStyle w:val="115"/>
              <w:rFonts w:hint="eastAsia"/>
              <w:b/>
              <w:caps/>
            </w:rPr>
            <w:t>招标公告</w:t>
          </w:r>
          <w:r>
            <w:rPr>
              <w:rStyle w:val="115"/>
              <w:rFonts w:hint="eastAsia"/>
              <w:b/>
              <w:bCs w:val="0"/>
              <w:i w:val="0"/>
              <w:iCs w:val="0"/>
              <w:caps/>
              <w:lang w:val="en-US" w:eastAsia="zh-CN"/>
            </w:rPr>
            <w:t>...................................................-</w:t>
          </w:r>
          <w:r>
            <w:fldChar w:fldCharType="end"/>
          </w:r>
          <w:r>
            <w:rPr>
              <w:rFonts w:hint="eastAsia"/>
              <w:lang w:val="en-US" w:eastAsia="zh-CN"/>
            </w:rPr>
            <w:t xml:space="preserve"> 1 -</w:t>
          </w: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p>
        <w:p>
          <w:pPr>
            <w:pStyle w:val="20"/>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第一部分  投标人须知</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 xml:space="preserve">- </w:t>
          </w:r>
          <w:r>
            <w:rPr>
              <w:rFonts w:hint="eastAsia"/>
              <w:highlight w:val="none"/>
              <w:lang w:val="en-US" w:eastAsia="zh-CN"/>
            </w:rPr>
            <w:t>5</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pPr>
            <w:pStyle w:val="20"/>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_Toc1910 </w:instrText>
          </w:r>
          <w:r>
            <w:rPr>
              <w:rFonts w:hint="eastAsia" w:ascii="Calibri" w:hAnsi="Calibri" w:eastAsia="宋体" w:cs="Times New Roman"/>
              <w:bCs/>
              <w:kern w:val="44"/>
              <w:szCs w:val="44"/>
              <w:highlight w:val="none"/>
            </w:rPr>
            <w:fldChar w:fldCharType="separate"/>
          </w:r>
          <w:r>
            <w:rPr>
              <w:rFonts w:hint="eastAsia"/>
              <w:highlight w:val="none"/>
            </w:rPr>
            <w:t>第二部分　</w:t>
          </w:r>
          <w:r>
            <w:rPr>
              <w:rFonts w:hint="eastAsia"/>
              <w:highlight w:val="none"/>
              <w:lang w:val="en-US" w:eastAsia="zh-CN"/>
            </w:rPr>
            <w:t>技术标书</w:t>
          </w:r>
          <w:r>
            <w:rPr>
              <w:highlight w:val="none"/>
            </w:rPr>
            <w:tab/>
          </w:r>
          <w:r>
            <w:rPr>
              <w:highlight w:val="none"/>
            </w:rPr>
            <w:fldChar w:fldCharType="begin"/>
          </w:r>
          <w:r>
            <w:rPr>
              <w:highlight w:val="none"/>
            </w:rPr>
            <w:instrText xml:space="preserve"> PAGEREF _Toc1910 \h </w:instrText>
          </w:r>
          <w:r>
            <w:rPr>
              <w:highlight w:val="none"/>
            </w:rPr>
            <w:fldChar w:fldCharType="separate"/>
          </w:r>
          <w:r>
            <w:rPr>
              <w:highlight w:val="none"/>
            </w:rPr>
            <w:t xml:space="preserve">- </w:t>
          </w:r>
          <w:r>
            <w:rPr>
              <w:rFonts w:hint="eastAsia"/>
              <w:highlight w:val="none"/>
              <w:lang w:val="en-US" w:eastAsia="zh-CN"/>
            </w:rPr>
            <w:t>15</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pPr>
            <w:pStyle w:val="20"/>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第三部分　合同主要条款</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 xml:space="preserve">- </w:t>
          </w:r>
          <w:r>
            <w:rPr>
              <w:rFonts w:hint="eastAsia"/>
              <w:highlight w:val="none"/>
              <w:lang w:val="en-US" w:eastAsia="zh-CN"/>
            </w:rPr>
            <w:t>19</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pPr>
            <w:pStyle w:val="20"/>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第四部分　</w:t>
          </w:r>
          <w:r>
            <w:rPr>
              <w:rFonts w:hint="eastAsia"/>
              <w:highlight w:val="none"/>
              <w:lang w:val="en-US" w:eastAsia="zh-CN"/>
            </w:rPr>
            <w:t>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 xml:space="preserve">- </w:t>
          </w:r>
          <w:r>
            <w:rPr>
              <w:rFonts w:hint="eastAsia"/>
              <w:highlight w:val="none"/>
              <w:lang w:val="en-US" w:eastAsia="zh-CN"/>
            </w:rPr>
            <w:t>20</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pPr>
            <w:pStyle w:val="20"/>
            <w:rPr>
              <w:highlight w:val="none"/>
            </w:rPr>
          </w:pPr>
          <w:r>
            <w:rPr>
              <w:rFonts w:hint="eastAsia" w:ascii="Calibri" w:hAnsi="Calibri" w:eastAsia="宋体" w:cs="Times New Roman"/>
              <w:bCs/>
              <w:kern w:val="44"/>
              <w:szCs w:val="44"/>
              <w:highlight w:val="none"/>
            </w:rPr>
            <w:fldChar w:fldCharType="end"/>
          </w:r>
        </w:p>
      </w:sdtContent>
    </w:sdt>
    <w:p>
      <w:pPr>
        <w:pStyle w:val="14"/>
        <w:tabs>
          <w:tab w:val="left" w:pos="2940"/>
        </w:tabs>
        <w:spacing w:line="360" w:lineRule="auto"/>
        <w:rPr>
          <w:highlight w:val="none"/>
        </w:rPr>
        <w:sectPr>
          <w:pgSz w:w="11906" w:h="16838"/>
          <w:pgMar w:top="1701" w:right="1418" w:bottom="1134" w:left="1418" w:header="851" w:footer="992" w:gutter="0"/>
          <w:pgNumType w:fmt="numberInDash" w:start="1"/>
          <w:cols w:space="720" w:num="1"/>
          <w:titlePg/>
          <w:docGrid w:type="lines" w:linePitch="312" w:charSpace="0"/>
        </w:sectPr>
      </w:pPr>
      <w:r>
        <w:rPr>
          <w:highlight w:val="none"/>
        </w:rPr>
        <w:tab/>
      </w:r>
    </w:p>
    <w:p>
      <w:pPr>
        <w:pStyle w:val="77"/>
        <w:numPr>
          <w:ilvl w:val="0"/>
          <w:numId w:val="0"/>
        </w:numPr>
        <w:ind w:leftChars="0"/>
      </w:pPr>
      <w:bookmarkStart w:id="0" w:name="_Toc47976595"/>
      <w:bookmarkStart w:id="1" w:name="_Toc7753"/>
    </w:p>
    <w:p>
      <w:pPr>
        <w:pStyle w:val="72"/>
        <w:rPr>
          <w:sz w:val="28"/>
        </w:rPr>
      </w:pPr>
      <w:bookmarkStart w:id="2" w:name="_Toc32474"/>
      <w:bookmarkStart w:id="3" w:name="_Toc6410"/>
      <w:bookmarkStart w:id="4" w:name="_Toc15164"/>
      <w:bookmarkStart w:id="5" w:name="_Toc18859"/>
      <w:r>
        <w:rPr>
          <w:rFonts w:hint="eastAsia"/>
          <w:sz w:val="28"/>
        </w:rPr>
        <w:t>中国重汽集团济南商用车有限公司</w:t>
      </w:r>
    </w:p>
    <w:bookmarkEnd w:id="2"/>
    <w:bookmarkEnd w:id="3"/>
    <w:bookmarkEnd w:id="4"/>
    <w:bookmarkEnd w:id="5"/>
    <w:p>
      <w:pPr>
        <w:ind w:right="280"/>
        <w:jc w:val="center"/>
        <w:rPr>
          <w:rFonts w:hint="eastAsia" w:ascii="黑体" w:hAnsi="Courier New" w:eastAsia="黑体" w:cs="Times New Roman"/>
          <w:b/>
          <w:bCs/>
          <w:kern w:val="2"/>
          <w:sz w:val="28"/>
          <w:szCs w:val="36"/>
          <w:lang w:val="en-US" w:eastAsia="zh-CN" w:bidi="ar-SA"/>
        </w:rPr>
      </w:pPr>
      <w:bookmarkStart w:id="6" w:name="_Toc47976588"/>
      <w:r>
        <w:rPr>
          <w:rFonts w:hint="eastAsia" w:ascii="黑体" w:hAnsi="Courier New" w:eastAsia="黑体" w:cs="Times New Roman"/>
          <w:b/>
          <w:bCs/>
          <w:kern w:val="2"/>
          <w:sz w:val="28"/>
          <w:szCs w:val="36"/>
          <w:lang w:val="en-US" w:eastAsia="zh-CN" w:bidi="ar-SA"/>
        </w:rPr>
        <w:t>济南轻卡制造公司</w:t>
      </w:r>
      <w:r>
        <w:rPr>
          <w:rFonts w:hint="eastAsia" w:ascii="宋体" w:hAnsi="宋体" w:eastAsia="宋体" w:cs="宋体"/>
          <w:b/>
          <w:bCs/>
          <w:sz w:val="28"/>
          <w:szCs w:val="28"/>
          <w:highlight w:val="none"/>
          <w:lang w:val="en-US" w:eastAsia="zh-CN"/>
        </w:rPr>
        <w:t>光伏发电</w:t>
      </w:r>
      <w:r>
        <w:rPr>
          <w:rFonts w:hint="eastAsia" w:ascii="宋体" w:hAnsi="宋体" w:cs="宋体"/>
          <w:b/>
          <w:bCs/>
          <w:sz w:val="28"/>
          <w:szCs w:val="28"/>
          <w:highlight w:val="none"/>
          <w:lang w:val="en-US" w:eastAsia="zh-CN"/>
        </w:rPr>
        <w:t>系统</w:t>
      </w:r>
      <w:r>
        <w:rPr>
          <w:rFonts w:hint="eastAsia" w:ascii="宋体" w:hAnsi="宋体" w:eastAsia="宋体" w:cs="宋体"/>
          <w:b/>
          <w:bCs/>
          <w:sz w:val="28"/>
          <w:szCs w:val="28"/>
          <w:highlight w:val="none"/>
          <w:lang w:val="en-US" w:eastAsia="zh-CN"/>
        </w:rPr>
        <w:t>目增加“四可”装置项目</w:t>
      </w:r>
    </w:p>
    <w:p>
      <w:pPr>
        <w:pStyle w:val="73"/>
      </w:pPr>
      <w:r>
        <w:rPr>
          <w:rFonts w:hint="eastAsia"/>
        </w:rPr>
        <w:t>项目名称及项目编号</w:t>
      </w:r>
      <w:bookmarkEnd w:id="6"/>
    </w:p>
    <w:p>
      <w:pPr>
        <w:ind w:right="280" w:firstLine="1205" w:firstLineChars="500"/>
        <w:jc w:val="both"/>
        <w:rPr>
          <w:rFonts w:hint="eastAsia" w:ascii="宋体" w:hAnsi="宋体" w:eastAsia="宋体" w:cs="宋体"/>
          <w:sz w:val="24"/>
          <w:szCs w:val="24"/>
          <w:u w:val="single"/>
          <w:lang w:eastAsia="zh-CN"/>
        </w:rPr>
      </w:pPr>
      <w:r>
        <w:rPr>
          <w:rFonts w:hint="eastAsia"/>
          <w:b/>
          <w:bCs/>
          <w:sz w:val="24"/>
          <w:szCs w:val="24"/>
        </w:rPr>
        <w:t>项目名称</w:t>
      </w:r>
      <w:r>
        <w:rPr>
          <w:rFonts w:hint="eastAsia" w:eastAsia="宋体"/>
          <w:sz w:val="24"/>
          <w:szCs w:val="24"/>
        </w:rPr>
        <w:t>：</w:t>
      </w:r>
      <w:r>
        <w:rPr>
          <w:rFonts w:hint="eastAsia" w:ascii="宋体" w:hAnsi="宋体" w:eastAsia="宋体" w:cs="宋体"/>
          <w:sz w:val="24"/>
          <w:szCs w:val="24"/>
          <w:highlight w:val="none"/>
          <w:lang w:val="en-US" w:eastAsia="zh-CN"/>
        </w:rPr>
        <w:t>中国重汽集团济南轻卡制造公司光伏发电系统增加“四可”装置项目</w:t>
      </w:r>
    </w:p>
    <w:p>
      <w:pPr>
        <w:pStyle w:val="74"/>
        <w:rPr>
          <w:rFonts w:hint="eastAsia"/>
          <w:b/>
          <w:bCs/>
          <w:color w:val="auto"/>
          <w:sz w:val="24"/>
          <w:szCs w:val="24"/>
          <w:highlight w:val="none"/>
          <w:u w:val="single"/>
          <w:lang w:val="en-US" w:eastAsia="zh-CN"/>
        </w:rPr>
      </w:pPr>
      <w:r>
        <w:rPr>
          <w:rFonts w:hint="eastAsia"/>
          <w:sz w:val="24"/>
          <w:szCs w:val="24"/>
        </w:rPr>
        <w:t>项目编号：</w:t>
      </w:r>
      <w:r>
        <w:rPr>
          <w:rFonts w:hint="eastAsia"/>
          <w:b/>
          <w:bCs/>
          <w:color w:val="auto"/>
          <w:highlight w:val="none"/>
          <w:u w:val="single"/>
          <w:lang w:val="en-US" w:eastAsia="zh-CN"/>
        </w:rPr>
        <w:t>ZBGL2026090120</w:t>
      </w:r>
    </w:p>
    <w:p>
      <w:pPr>
        <w:pStyle w:val="73"/>
      </w:pPr>
      <w:bookmarkStart w:id="7" w:name="_Toc47976589"/>
      <w:r>
        <w:rPr>
          <w:rFonts w:hint="eastAsia"/>
        </w:rPr>
        <w:t>项目概况及招标形式</w:t>
      </w:r>
      <w:bookmarkEnd w:id="7"/>
    </w:p>
    <w:p>
      <w:pPr>
        <w:pStyle w:val="74"/>
        <w:numPr>
          <w:ilvl w:val="0"/>
          <w:numId w:val="9"/>
        </w:numPr>
        <w:rPr>
          <w:b w:val="0"/>
          <w:bCs/>
          <w:sz w:val="24"/>
          <w:szCs w:val="24"/>
          <w:u w:val="single"/>
        </w:rPr>
      </w:pPr>
      <w:r>
        <w:rPr>
          <w:rFonts w:hint="eastAsia"/>
          <w:sz w:val="24"/>
          <w:szCs w:val="24"/>
        </w:rPr>
        <w:t>招标内容：</w:t>
      </w:r>
      <w:r>
        <w:rPr>
          <w:rFonts w:hint="eastAsia" w:hAnsi="宋体" w:cs="宋体"/>
          <w:b w:val="0"/>
          <w:bCs/>
          <w:sz w:val="24"/>
          <w:szCs w:val="24"/>
          <w:highlight w:val="none"/>
          <w:u w:val="single"/>
          <w:lang w:val="en-US" w:eastAsia="zh-CN"/>
        </w:rPr>
        <w:t>光伏发电系统增加“四可”装置</w:t>
      </w:r>
    </w:p>
    <w:p>
      <w:pPr>
        <w:pStyle w:val="74"/>
        <w:rPr>
          <w:sz w:val="24"/>
          <w:szCs w:val="24"/>
        </w:rPr>
      </w:pPr>
      <w:r>
        <w:rPr>
          <w:rFonts w:hint="eastAsia"/>
          <w:sz w:val="24"/>
          <w:szCs w:val="24"/>
        </w:rPr>
        <w:t>招标形式：</w:t>
      </w:r>
      <w:r>
        <w:rPr>
          <w:rFonts w:hint="eastAsia"/>
          <w:sz w:val="24"/>
          <w:szCs w:val="24"/>
          <w:highlight w:val="yellow"/>
          <w:lang w:val="en-US" w:eastAsia="zh-CN"/>
        </w:rPr>
        <w:t>公开招标</w:t>
      </w:r>
    </w:p>
    <w:p>
      <w:pPr>
        <w:pStyle w:val="73"/>
      </w:pPr>
      <w:bookmarkStart w:id="8" w:name="_Toc47976590"/>
      <w:r>
        <w:rPr>
          <w:rFonts w:hint="eastAsia"/>
        </w:rPr>
        <w:t>投标人资格要求</w:t>
      </w:r>
      <w:bookmarkEnd w:id="8"/>
      <w:r>
        <w:rPr>
          <w:rFonts w:hint="eastAsia"/>
        </w:rPr>
        <w:t>：</w:t>
      </w:r>
    </w:p>
    <w:p>
      <w:pPr>
        <w:pStyle w:val="74"/>
        <w:numPr>
          <w:ilvl w:val="0"/>
          <w:numId w:val="10"/>
        </w:numPr>
        <w:ind w:left="0" w:firstLine="0"/>
        <w:rPr>
          <w:b w:val="0"/>
          <w:bCs/>
          <w:sz w:val="24"/>
          <w:szCs w:val="24"/>
        </w:rPr>
      </w:pPr>
      <w:bookmarkStart w:id="9" w:name="_Toc47976591"/>
      <w:r>
        <w:rPr>
          <w:rFonts w:hint="eastAsia"/>
          <w:b w:val="0"/>
          <w:bCs/>
          <w:sz w:val="24"/>
          <w:szCs w:val="24"/>
        </w:rPr>
        <w:t>投标人须遵守《中华人民共和国招标投标法》及其它有关的法律和法规；为中华人民共和国境内注册的独立法人机构，具有独立承担民事责任能力；</w:t>
      </w:r>
    </w:p>
    <w:p>
      <w:pPr>
        <w:pStyle w:val="74"/>
        <w:numPr>
          <w:ilvl w:val="0"/>
          <w:numId w:val="10"/>
        </w:numPr>
        <w:ind w:left="0" w:firstLine="0"/>
        <w:rPr>
          <w:b w:val="0"/>
          <w:bCs/>
          <w:sz w:val="24"/>
          <w:szCs w:val="24"/>
        </w:rPr>
      </w:pPr>
      <w:r>
        <w:rPr>
          <w:rFonts w:hint="eastAsia"/>
          <w:b w:val="0"/>
          <w:bCs/>
          <w:sz w:val="24"/>
          <w:szCs w:val="24"/>
        </w:rPr>
        <w:t>拟标投人必须是在中华人民共和国境内注册的独立法人机构，具有独立承担民事责任能力；注册资金不少</w:t>
      </w:r>
      <w:r>
        <w:rPr>
          <w:rFonts w:hint="eastAsia"/>
          <w:b w:val="0"/>
          <w:bCs/>
          <w:color w:val="auto"/>
          <w:sz w:val="24"/>
          <w:szCs w:val="24"/>
        </w:rPr>
        <w:t>于</w:t>
      </w:r>
      <w:r>
        <w:rPr>
          <w:rFonts w:hint="eastAsia"/>
          <w:b w:val="0"/>
          <w:bCs/>
          <w:color w:val="auto"/>
          <w:sz w:val="24"/>
          <w:szCs w:val="24"/>
          <w:u w:val="single"/>
          <w:lang w:val="en-US" w:eastAsia="zh-CN"/>
        </w:rPr>
        <w:t>200</w:t>
      </w:r>
      <w:r>
        <w:rPr>
          <w:rFonts w:hint="eastAsia"/>
          <w:b w:val="0"/>
          <w:bCs/>
          <w:color w:val="auto"/>
          <w:sz w:val="24"/>
          <w:szCs w:val="24"/>
          <w:u w:val="single"/>
        </w:rPr>
        <w:t>万</w:t>
      </w:r>
      <w:r>
        <w:rPr>
          <w:rFonts w:hint="eastAsia"/>
          <w:b w:val="0"/>
          <w:bCs/>
          <w:sz w:val="24"/>
          <w:szCs w:val="24"/>
        </w:rPr>
        <w:t>人民币（或等值其他货币）；公司成立</w:t>
      </w:r>
      <w:r>
        <w:rPr>
          <w:rFonts w:hint="eastAsia"/>
          <w:b w:val="0"/>
          <w:bCs/>
          <w:sz w:val="24"/>
          <w:szCs w:val="24"/>
          <w:u w:val="single"/>
        </w:rPr>
        <w:t xml:space="preserve">  3  </w:t>
      </w:r>
      <w:r>
        <w:rPr>
          <w:rFonts w:hint="eastAsia"/>
          <w:b w:val="0"/>
          <w:bCs/>
          <w:sz w:val="24"/>
          <w:szCs w:val="24"/>
        </w:rPr>
        <w:t>年以上（以营业执照成立日期到开标当日满 3 年为准），且经营范围满足招标人需求；并在人员、设备、资金等方面具有承担本项目的能力，且满足技术、质量、资金等要求；</w:t>
      </w:r>
    </w:p>
    <w:p>
      <w:pPr>
        <w:pStyle w:val="74"/>
        <w:numPr>
          <w:ilvl w:val="0"/>
          <w:numId w:val="10"/>
        </w:numPr>
        <w:ind w:left="0" w:firstLine="0"/>
        <w:rPr>
          <w:b w:val="0"/>
          <w:bCs/>
          <w:sz w:val="24"/>
          <w:szCs w:val="24"/>
        </w:rPr>
      </w:pPr>
      <w:r>
        <w:rPr>
          <w:rFonts w:hint="eastAsia"/>
          <w:b w:val="0"/>
          <w:bCs/>
          <w:sz w:val="24"/>
          <w:szCs w:val="24"/>
        </w:rPr>
        <w:t>投标人须具有良好的商业信誉和健全的财务会计制度，财务状况和市场行为良好。没有处于被有权机关吊销营业执照、吊销资质、停业整顿、取消投标资格以及财产被接管、冻结或进入破产程序等；</w:t>
      </w:r>
    </w:p>
    <w:p>
      <w:pPr>
        <w:pStyle w:val="74"/>
        <w:numPr>
          <w:ilvl w:val="0"/>
          <w:numId w:val="10"/>
        </w:numPr>
        <w:ind w:left="0" w:firstLine="0"/>
        <w:rPr>
          <w:b w:val="0"/>
          <w:bCs/>
          <w:sz w:val="24"/>
          <w:szCs w:val="24"/>
        </w:rPr>
      </w:pPr>
      <w:r>
        <w:rPr>
          <w:rFonts w:hint="eastAsia"/>
          <w:b w:val="0"/>
          <w:bCs/>
          <w:sz w:val="24"/>
          <w:szCs w:val="24"/>
        </w:rPr>
        <w:t>拟投标人在“国家企业信用信息公示系统”、“中国执行信息公开网”、“信用中国”、“天眼查”“裁判文书网”等信息平台中，无行政处罚及失信记录等信息；</w:t>
      </w:r>
    </w:p>
    <w:p>
      <w:pPr>
        <w:pStyle w:val="74"/>
        <w:numPr>
          <w:ilvl w:val="0"/>
          <w:numId w:val="10"/>
        </w:numPr>
        <w:ind w:left="0" w:firstLine="0"/>
        <w:rPr>
          <w:b w:val="0"/>
          <w:bCs/>
          <w:sz w:val="24"/>
          <w:szCs w:val="24"/>
        </w:rPr>
      </w:pPr>
      <w:r>
        <w:rPr>
          <w:rFonts w:hint="eastAsia"/>
          <w:b w:val="0"/>
          <w:bCs/>
          <w:sz w:val="24"/>
          <w:szCs w:val="24"/>
        </w:rPr>
        <w:t>无招标违规、谎报年度报告信息、提供虚假资质资料等行为或其他行政处罚记录；</w:t>
      </w:r>
    </w:p>
    <w:p>
      <w:pPr>
        <w:pStyle w:val="74"/>
        <w:numPr>
          <w:ilvl w:val="0"/>
          <w:numId w:val="10"/>
        </w:numPr>
        <w:ind w:left="0" w:firstLine="0"/>
        <w:rPr>
          <w:b w:val="0"/>
          <w:bCs/>
          <w:sz w:val="24"/>
          <w:szCs w:val="24"/>
        </w:rPr>
      </w:pPr>
      <w:r>
        <w:rPr>
          <w:rFonts w:hint="eastAsia"/>
          <w:b w:val="0"/>
          <w:bCs/>
          <w:sz w:val="24"/>
          <w:szCs w:val="24"/>
        </w:rPr>
        <w:t>近三年内在经营活动中无与本项目有关的违法及重大违规情况；</w:t>
      </w:r>
    </w:p>
    <w:p>
      <w:pPr>
        <w:pStyle w:val="74"/>
        <w:numPr>
          <w:ilvl w:val="0"/>
          <w:numId w:val="10"/>
        </w:numPr>
        <w:ind w:left="0" w:firstLine="0"/>
        <w:rPr>
          <w:b w:val="0"/>
          <w:bCs/>
          <w:sz w:val="24"/>
          <w:szCs w:val="24"/>
        </w:rPr>
      </w:pPr>
      <w:r>
        <w:rPr>
          <w:rFonts w:hint="eastAsia"/>
          <w:b w:val="0"/>
          <w:bCs/>
          <w:sz w:val="24"/>
          <w:szCs w:val="24"/>
        </w:rPr>
        <w:t>投标人没有被列入招标人处《黑名单》（《黑名单》指投标人与招标人在以往或正在进行的合作中，存在招标人认为的违反合同约定或违反法律法规等的失信行为）的声明；</w:t>
      </w:r>
    </w:p>
    <w:p>
      <w:pPr>
        <w:pStyle w:val="74"/>
        <w:numPr>
          <w:ilvl w:val="0"/>
          <w:numId w:val="10"/>
        </w:numPr>
        <w:ind w:left="0" w:firstLine="0"/>
        <w:rPr>
          <w:b w:val="0"/>
          <w:bCs/>
          <w:sz w:val="24"/>
          <w:szCs w:val="24"/>
        </w:rPr>
      </w:pPr>
      <w:r>
        <w:rPr>
          <w:rFonts w:hint="eastAsia"/>
          <w:b w:val="0"/>
          <w:bCs/>
          <w:sz w:val="24"/>
          <w:szCs w:val="24"/>
        </w:rPr>
        <w:t>公司经营范围满足招标项目需求；</w:t>
      </w:r>
    </w:p>
    <w:p>
      <w:pPr>
        <w:pStyle w:val="74"/>
        <w:numPr>
          <w:ilvl w:val="0"/>
          <w:numId w:val="10"/>
        </w:numPr>
        <w:ind w:left="0" w:firstLine="0"/>
        <w:rPr>
          <w:b w:val="0"/>
          <w:bCs/>
          <w:sz w:val="24"/>
          <w:szCs w:val="24"/>
        </w:rPr>
      </w:pPr>
      <w:r>
        <w:rPr>
          <w:rFonts w:hint="eastAsia"/>
          <w:b w:val="0"/>
          <w:bCs/>
          <w:sz w:val="24"/>
          <w:szCs w:val="24"/>
        </w:rPr>
        <w:t>投标人须具有履行招标文件所有设备、专业技术等要求的能力；</w:t>
      </w:r>
    </w:p>
    <w:p>
      <w:pPr>
        <w:pStyle w:val="74"/>
        <w:numPr>
          <w:ilvl w:val="0"/>
          <w:numId w:val="10"/>
        </w:numPr>
        <w:ind w:left="0" w:firstLine="0"/>
        <w:rPr>
          <w:b w:val="0"/>
          <w:bCs/>
          <w:sz w:val="24"/>
          <w:szCs w:val="24"/>
        </w:rPr>
      </w:pPr>
      <w:r>
        <w:rPr>
          <w:rFonts w:hint="eastAsia"/>
          <w:b w:val="0"/>
          <w:bCs/>
          <w:sz w:val="24"/>
          <w:szCs w:val="24"/>
        </w:rPr>
        <w:t>投标人须有依法缴纳税收和社会保障资金的良好记录；</w:t>
      </w:r>
    </w:p>
    <w:p>
      <w:pPr>
        <w:pStyle w:val="74"/>
        <w:numPr>
          <w:ilvl w:val="0"/>
          <w:numId w:val="10"/>
        </w:numPr>
        <w:ind w:left="0" w:firstLine="0"/>
        <w:rPr>
          <w:b w:val="0"/>
          <w:bCs/>
          <w:sz w:val="24"/>
          <w:szCs w:val="24"/>
        </w:rPr>
      </w:pPr>
      <w:r>
        <w:rPr>
          <w:rFonts w:hint="eastAsia"/>
          <w:b w:val="0"/>
          <w:bCs/>
          <w:sz w:val="24"/>
          <w:szCs w:val="24"/>
        </w:rPr>
        <w:t>具有本次招标货物的供货、安装、售后服务等的相应资质；</w:t>
      </w:r>
    </w:p>
    <w:p>
      <w:pPr>
        <w:pStyle w:val="74"/>
        <w:numPr>
          <w:ilvl w:val="0"/>
          <w:numId w:val="10"/>
        </w:numPr>
        <w:ind w:left="0" w:firstLine="0"/>
        <w:rPr>
          <w:b w:val="0"/>
          <w:bCs/>
          <w:sz w:val="24"/>
          <w:szCs w:val="24"/>
        </w:rPr>
      </w:pPr>
      <w:r>
        <w:rPr>
          <w:rFonts w:hint="eastAsia"/>
          <w:b w:val="0"/>
          <w:bCs/>
          <w:sz w:val="24"/>
          <w:szCs w:val="24"/>
        </w:rPr>
        <w:t>投标人须负责提供合理的便于运输的包装物，并承担相关费用；</w:t>
      </w:r>
    </w:p>
    <w:p>
      <w:pPr>
        <w:pStyle w:val="74"/>
        <w:numPr>
          <w:ilvl w:val="0"/>
          <w:numId w:val="10"/>
        </w:numPr>
        <w:ind w:left="0" w:firstLine="0"/>
        <w:rPr>
          <w:b w:val="0"/>
          <w:bCs/>
          <w:sz w:val="24"/>
          <w:szCs w:val="24"/>
        </w:rPr>
      </w:pPr>
      <w:r>
        <w:rPr>
          <w:rFonts w:hint="eastAsia"/>
          <w:b w:val="0"/>
          <w:bCs/>
          <w:sz w:val="24"/>
          <w:szCs w:val="24"/>
        </w:rPr>
        <w:t>投标人须认可招标人的工作指令，包括节、假日能正常开展工作的要求。</w:t>
      </w:r>
    </w:p>
    <w:p>
      <w:pPr>
        <w:pStyle w:val="74"/>
        <w:numPr>
          <w:ilvl w:val="0"/>
          <w:numId w:val="10"/>
        </w:numPr>
        <w:ind w:left="0" w:firstLine="0"/>
        <w:rPr>
          <w:b w:val="0"/>
          <w:bCs/>
          <w:sz w:val="24"/>
          <w:szCs w:val="24"/>
        </w:rPr>
      </w:pPr>
      <w:r>
        <w:rPr>
          <w:rFonts w:hint="eastAsia"/>
          <w:b w:val="0"/>
          <w:bCs/>
          <w:sz w:val="24"/>
          <w:szCs w:val="24"/>
        </w:rPr>
        <w:t>拟投标人的直接或间接股东、法定代表人、董事、监事、高管非重汽员工及其亲属；</w:t>
      </w:r>
    </w:p>
    <w:p>
      <w:pPr>
        <w:pStyle w:val="74"/>
        <w:numPr>
          <w:ilvl w:val="0"/>
          <w:numId w:val="10"/>
        </w:numPr>
        <w:ind w:left="0" w:firstLine="0"/>
        <w:rPr>
          <w:b w:val="0"/>
          <w:bCs/>
          <w:sz w:val="24"/>
          <w:szCs w:val="24"/>
        </w:rPr>
      </w:pPr>
      <w:r>
        <w:rPr>
          <w:rFonts w:hint="eastAsia"/>
          <w:b w:val="0"/>
          <w:bCs/>
          <w:sz w:val="24"/>
          <w:szCs w:val="24"/>
        </w:rPr>
        <w:t>投标人必须是最终投标、签订合同的单位，不得以任何理由将已中标项目以任何形式转包或者分包给其他单位；</w:t>
      </w:r>
    </w:p>
    <w:p>
      <w:pPr>
        <w:pStyle w:val="74"/>
        <w:numPr>
          <w:ilvl w:val="0"/>
          <w:numId w:val="10"/>
        </w:numPr>
        <w:ind w:left="0" w:firstLine="0"/>
        <w:rPr>
          <w:b w:val="0"/>
          <w:bCs/>
          <w:sz w:val="24"/>
          <w:szCs w:val="24"/>
        </w:rPr>
      </w:pPr>
      <w:r>
        <w:rPr>
          <w:rFonts w:hint="eastAsia"/>
          <w:b w:val="0"/>
          <w:bCs/>
          <w:sz w:val="24"/>
          <w:szCs w:val="24"/>
        </w:rPr>
        <w:t>本次招标项目不接受联合体投标；</w:t>
      </w:r>
    </w:p>
    <w:p>
      <w:pPr>
        <w:pStyle w:val="74"/>
        <w:numPr>
          <w:ilvl w:val="0"/>
          <w:numId w:val="10"/>
        </w:numPr>
        <w:ind w:left="0" w:firstLine="0"/>
        <w:rPr>
          <w:b w:val="0"/>
          <w:bCs/>
          <w:sz w:val="24"/>
          <w:szCs w:val="24"/>
        </w:rPr>
      </w:pPr>
      <w:r>
        <w:rPr>
          <w:rFonts w:hint="eastAsia"/>
          <w:b w:val="0"/>
          <w:bCs/>
          <w:sz w:val="24"/>
          <w:szCs w:val="24"/>
        </w:rPr>
        <w:t>法律、行政法规规定的其他条件；</w:t>
      </w:r>
    </w:p>
    <w:p>
      <w:pPr>
        <w:pStyle w:val="73"/>
      </w:pPr>
      <w:r>
        <w:rPr>
          <w:rFonts w:hint="eastAsia"/>
        </w:rPr>
        <w:t>报名及招标文件的获取</w:t>
      </w:r>
      <w:bookmarkEnd w:id="9"/>
    </w:p>
    <w:p>
      <w:pPr>
        <w:pStyle w:val="73"/>
        <w:numPr>
          <w:ilvl w:val="0"/>
          <w:numId w:val="0"/>
        </w:numPr>
        <w:ind w:firstLine="480" w:firstLineChars="200"/>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rPr>
        <w:t>中国重汽官网+重汽e采通</w:t>
      </w:r>
    </w:p>
    <w:p>
      <w:pPr>
        <w:pStyle w:val="73"/>
        <w:rPr>
          <w:rFonts w:cs="Times New Roman"/>
        </w:rPr>
      </w:pPr>
      <w:bookmarkStart w:id="10" w:name="_Toc47976592"/>
      <w:r>
        <w:rPr>
          <w:rFonts w:hint="eastAsia" w:cs="Times New Roman"/>
        </w:rPr>
        <w:t>投标文件的递交</w:t>
      </w:r>
      <w:bookmarkEnd w:id="10"/>
    </w:p>
    <w:p>
      <w:pPr>
        <w:pStyle w:val="14"/>
        <w:spacing w:line="360" w:lineRule="auto"/>
        <w:ind w:firstLine="482" w:firstLineChars="200"/>
        <w:rPr>
          <w:rFonts w:hAnsi="宋体" w:eastAsia="宋体" w:cs="宋体"/>
          <w:color w:val="000000"/>
          <w:sz w:val="24"/>
          <w:szCs w:val="24"/>
        </w:rPr>
      </w:pPr>
      <w:r>
        <w:rPr>
          <w:rFonts w:hint="eastAsia" w:hAnsi="宋体" w:eastAsia="宋体" w:cs="宋体"/>
          <w:b/>
          <w:bCs/>
          <w:color w:val="000000"/>
          <w:sz w:val="24"/>
          <w:szCs w:val="24"/>
        </w:rPr>
        <w:t>1、报名方式：</w:t>
      </w:r>
      <w:r>
        <w:rPr>
          <w:rFonts w:hint="eastAsia" w:hAnsi="宋体" w:eastAsia="宋体" w:cs="宋体"/>
          <w:color w:val="000000"/>
          <w:sz w:val="24"/>
          <w:szCs w:val="24"/>
        </w:rPr>
        <w:t>拟投标人根据招标人在中国重汽官网等公开媒体上发布的招标信息，在“中国重汽e采通”平台报名。按照中国重汽e采通“SRM非生产供应商注册手册”（附件16）进行注册，注册完毕后按照“SRM系统供应商用户手册（附件17）”，登录重汽e采通平台后进入“供应商应标”，选择对应的项目，点击“应标”后按照招标文件第三部分投标文件组成资格证明文件中的1.1-1.13准备资料并上传，资质审查通过即为报名成功；公示期间请尽快报名。</w:t>
      </w:r>
    </w:p>
    <w:p>
      <w:pPr>
        <w:pStyle w:val="14"/>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报名时提供的资料不合格的会在系统被驳回，请及时查阅审核状态并及时补齐资料，不能按时补充资料的视为自动放弃本次投标。</w:t>
      </w:r>
    </w:p>
    <w:p>
      <w:pPr>
        <w:pStyle w:val="14"/>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请投标人自行确认中国重汽e采通系统中供应商信息完整、准确，因供应商信息不全或错误导致的报名不成功，由投标人自行承担。</w:t>
      </w:r>
    </w:p>
    <w:p>
      <w:pPr>
        <w:pStyle w:val="14"/>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已注册的投标人注意去重汽e采通平台检查更新近三年的经营概况，财务信息更新到近三年，且不许有空余，若因此造成应标不成功，后果由投标人自行承担。（更新路径：重汽e采通-供应商中心-供应商变更-供应商财务数据变更管理-右上角：发起变更；详见SRM系统供应商用户近三年财务数据更新附件17）</w:t>
      </w:r>
    </w:p>
    <w:p>
      <w:pPr>
        <w:pStyle w:val="14"/>
        <w:spacing w:line="360" w:lineRule="auto"/>
        <w:ind w:firstLine="482" w:firstLineChars="200"/>
        <w:rPr>
          <w:rFonts w:hAnsi="宋体" w:eastAsia="宋体" w:cs="宋体"/>
          <w:color w:val="000000"/>
          <w:sz w:val="24"/>
          <w:szCs w:val="24"/>
          <w:highlight w:val="yellow"/>
        </w:rPr>
      </w:pPr>
      <w:r>
        <w:rPr>
          <w:rFonts w:hint="eastAsia" w:hAnsi="宋体" w:eastAsia="宋体" w:cs="宋体"/>
          <w:b/>
          <w:bCs/>
          <w:color w:val="000000"/>
          <w:sz w:val="24"/>
          <w:szCs w:val="24"/>
        </w:rPr>
        <w:t>2、</w:t>
      </w:r>
      <w:r>
        <w:rPr>
          <w:rFonts w:hint="eastAsia" w:hAnsi="宋体" w:eastAsia="宋体" w:cs="宋体"/>
          <w:b/>
          <w:bCs/>
          <w:color w:val="000000"/>
          <w:sz w:val="24"/>
          <w:szCs w:val="24"/>
          <w:highlight w:val="yellow"/>
        </w:rPr>
        <w:t>应标截止时间</w:t>
      </w:r>
      <w:r>
        <w:rPr>
          <w:rFonts w:hint="eastAsia" w:hAnsi="宋体" w:eastAsia="宋体" w:cs="宋体"/>
          <w:color w:val="000000"/>
          <w:sz w:val="24"/>
          <w:szCs w:val="24"/>
          <w:highlight w:val="yellow"/>
        </w:rPr>
        <w:t>：2026年</w:t>
      </w:r>
      <w:r>
        <w:rPr>
          <w:rFonts w:hint="eastAsia" w:hAnsi="宋体" w:cs="宋体"/>
          <w:color w:val="000000"/>
          <w:sz w:val="24"/>
          <w:szCs w:val="24"/>
          <w:highlight w:val="yellow"/>
          <w:lang w:val="en-US" w:eastAsia="zh-CN"/>
        </w:rPr>
        <w:t>10</w:t>
      </w:r>
      <w:r>
        <w:rPr>
          <w:rFonts w:hint="eastAsia" w:hAnsi="宋体" w:eastAsia="宋体" w:cs="宋体"/>
          <w:color w:val="000000"/>
          <w:sz w:val="24"/>
          <w:szCs w:val="24"/>
          <w:highlight w:val="yellow"/>
        </w:rPr>
        <w:t>月</w:t>
      </w:r>
      <w:r>
        <w:rPr>
          <w:rFonts w:hint="eastAsia" w:hAnsi="宋体" w:cs="宋体"/>
          <w:color w:val="000000"/>
          <w:sz w:val="24"/>
          <w:szCs w:val="24"/>
          <w:highlight w:val="yellow"/>
          <w:lang w:val="en-US" w:eastAsia="zh-CN"/>
        </w:rPr>
        <w:t>7</w:t>
      </w:r>
      <w:r>
        <w:rPr>
          <w:rFonts w:hint="eastAsia" w:hAnsi="宋体" w:eastAsia="宋体" w:cs="宋体"/>
          <w:color w:val="000000"/>
          <w:sz w:val="24"/>
          <w:szCs w:val="24"/>
          <w:highlight w:val="yellow"/>
        </w:rPr>
        <w:t>日</w:t>
      </w:r>
      <w:r>
        <w:rPr>
          <w:rFonts w:hint="eastAsia" w:hAnsi="宋体" w:eastAsia="宋体" w:cs="宋体"/>
          <w:color w:val="000000"/>
          <w:sz w:val="24"/>
          <w:szCs w:val="24"/>
          <w:highlight w:val="yellow"/>
          <w:lang w:val="en-US" w:eastAsia="zh-CN"/>
        </w:rPr>
        <w:t>17</w:t>
      </w:r>
      <w:r>
        <w:rPr>
          <w:rFonts w:hint="eastAsia" w:hAnsi="宋体" w:eastAsia="宋体" w:cs="宋体"/>
          <w:color w:val="000000"/>
          <w:sz w:val="24"/>
          <w:szCs w:val="24"/>
          <w:highlight w:val="yellow"/>
        </w:rPr>
        <w:t>时</w:t>
      </w:r>
      <w:r>
        <w:rPr>
          <w:rFonts w:hint="eastAsia" w:hAnsi="宋体" w:eastAsia="宋体" w:cs="宋体"/>
          <w:color w:val="000000"/>
          <w:sz w:val="24"/>
          <w:szCs w:val="24"/>
          <w:highlight w:val="yellow"/>
          <w:lang w:val="en-US" w:eastAsia="zh-CN"/>
        </w:rPr>
        <w:t>00</w:t>
      </w:r>
      <w:r>
        <w:rPr>
          <w:rFonts w:hint="eastAsia" w:hAnsi="宋体" w:eastAsia="宋体" w:cs="宋体"/>
          <w:color w:val="000000"/>
          <w:sz w:val="24"/>
          <w:szCs w:val="24"/>
          <w:highlight w:val="yellow"/>
        </w:rPr>
        <w:t>分</w:t>
      </w:r>
      <w:r>
        <w:rPr>
          <w:rFonts w:hint="eastAsia" w:hAnsi="宋体" w:eastAsia="宋体" w:cs="宋体"/>
          <w:color w:val="000000"/>
          <w:sz w:val="24"/>
          <w:szCs w:val="24"/>
          <w:highlight w:val="yellow"/>
          <w:lang w:val="en-US" w:eastAsia="zh-CN"/>
        </w:rPr>
        <w:t>00</w:t>
      </w:r>
      <w:r>
        <w:rPr>
          <w:rFonts w:hint="eastAsia" w:hAnsi="宋体" w:eastAsia="宋体" w:cs="宋体"/>
          <w:color w:val="000000"/>
          <w:sz w:val="24"/>
          <w:szCs w:val="24"/>
          <w:highlight w:val="yellow"/>
        </w:rPr>
        <w:t>秒</w:t>
      </w:r>
    </w:p>
    <w:p>
      <w:pPr>
        <w:pStyle w:val="14"/>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注：请务必在应标截止时间前完成注册及应标操作，注册审核需2-4日，应标截止时间精确到秒，逾期将无法应标。请自行掌握时间，避免无法应标。</w:t>
      </w:r>
    </w:p>
    <w:p>
      <w:pPr>
        <w:pStyle w:val="14"/>
        <w:spacing w:line="360" w:lineRule="auto"/>
        <w:ind w:firstLine="482" w:firstLineChars="200"/>
        <w:rPr>
          <w:rFonts w:hAnsi="宋体" w:eastAsia="宋体" w:cs="宋体"/>
          <w:color w:val="000000"/>
          <w:sz w:val="24"/>
          <w:szCs w:val="24"/>
        </w:rPr>
      </w:pPr>
      <w:r>
        <w:rPr>
          <w:rFonts w:hint="eastAsia" w:hAnsi="宋体" w:eastAsia="宋体" w:cs="宋体"/>
          <w:b/>
          <w:bCs/>
          <w:color w:val="000000"/>
          <w:sz w:val="24"/>
          <w:szCs w:val="24"/>
        </w:rPr>
        <w:t>3、投标方式</w:t>
      </w:r>
      <w:r>
        <w:rPr>
          <w:rFonts w:hint="eastAsia" w:hAnsi="宋体" w:eastAsia="宋体" w:cs="宋体"/>
          <w:color w:val="000000"/>
          <w:sz w:val="24"/>
          <w:szCs w:val="24"/>
        </w:rPr>
        <w:t>：</w:t>
      </w:r>
      <w:r>
        <w:rPr>
          <w:rFonts w:hint="eastAsia" w:hAnsi="宋体" w:eastAsia="宋体" w:cs="宋体"/>
          <w:b/>
          <w:bCs/>
          <w:color w:val="000000"/>
          <w:sz w:val="24"/>
          <w:szCs w:val="24"/>
        </w:rPr>
        <w:t>在中国重汽e采通平台应标成功后，进入“供应商投标”环节，投递盖章扫描版电子标书（包含资质标书、技术标书、商务标书）</w:t>
      </w:r>
      <w:r>
        <w:rPr>
          <w:rFonts w:hint="eastAsia" w:hAnsi="宋体" w:eastAsia="宋体" w:cs="宋体"/>
          <w:color w:val="000000"/>
          <w:sz w:val="24"/>
          <w:szCs w:val="24"/>
        </w:rPr>
        <w:t>，若逾期未在中国重汽e采通平台上传电子标书，即便递交了纸版投标文件，一律视为无效投标。</w:t>
      </w:r>
    </w:p>
    <w:p>
      <w:pPr>
        <w:pStyle w:val="14"/>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纸质版投标文件的份数要求为正本一份，副本二份，资质投标书、技术投标书及商务投标书的同类文件封装在一个包封里，包封表面按照附件13标注文件信息；共计三个包封。</w:t>
      </w:r>
    </w:p>
    <w:p>
      <w:pPr>
        <w:pStyle w:val="14"/>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如选择到场参与开标，自行携带纸质投标文件于开标前至开标地点即可。</w:t>
      </w:r>
    </w:p>
    <w:p>
      <w:pPr>
        <w:pStyle w:val="14"/>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如选择线上参与开标，纸质投标文件需在开标日前两天，邮寄到指定地址。</w:t>
      </w:r>
    </w:p>
    <w:p>
      <w:pPr>
        <w:pStyle w:val="14"/>
        <w:spacing w:line="360" w:lineRule="auto"/>
        <w:ind w:firstLine="480" w:firstLineChars="200"/>
        <w:rPr>
          <w:rFonts w:hAnsi="宋体" w:eastAsia="宋体" w:cs="宋体"/>
          <w:color w:val="000000"/>
          <w:sz w:val="24"/>
          <w:szCs w:val="24"/>
          <w:highlight w:val="yellow"/>
        </w:rPr>
      </w:pPr>
      <w:r>
        <w:rPr>
          <w:rFonts w:hint="eastAsia" w:hAnsi="宋体" w:eastAsia="宋体" w:cs="宋体"/>
          <w:color w:val="000000"/>
          <w:sz w:val="24"/>
          <w:szCs w:val="24"/>
          <w:highlight w:val="yellow"/>
        </w:rPr>
        <w:t>邮寄地址：山东省济南市章丘区潘王路东园区十一号路北，济南轻卡制造公司</w:t>
      </w:r>
    </w:p>
    <w:p>
      <w:pPr>
        <w:pStyle w:val="14"/>
        <w:spacing w:line="360" w:lineRule="auto"/>
        <w:ind w:firstLine="480" w:firstLineChars="200"/>
        <w:rPr>
          <w:rFonts w:hint="default" w:hAnsi="宋体" w:eastAsia="宋体" w:cs="宋体"/>
          <w:color w:val="000000"/>
          <w:sz w:val="24"/>
          <w:szCs w:val="24"/>
          <w:highlight w:val="yellow"/>
          <w:lang w:val="en-US" w:eastAsia="zh-CN"/>
        </w:rPr>
      </w:pPr>
      <w:r>
        <w:rPr>
          <w:rFonts w:hint="eastAsia" w:hAnsi="宋体" w:eastAsia="宋体" w:cs="宋体"/>
          <w:color w:val="000000"/>
          <w:sz w:val="24"/>
          <w:szCs w:val="24"/>
          <w:highlight w:val="yellow"/>
        </w:rPr>
        <w:t>联系人及联系方式：</w:t>
      </w:r>
      <w:r>
        <w:rPr>
          <w:rFonts w:hint="eastAsia" w:hAnsi="宋体" w:cs="宋体"/>
          <w:color w:val="000000"/>
          <w:sz w:val="24"/>
          <w:szCs w:val="24"/>
          <w:highlight w:val="yellow"/>
          <w:lang w:val="en-US" w:eastAsia="zh-CN"/>
        </w:rPr>
        <w:t>贺西忠</w:t>
      </w:r>
      <w:r>
        <w:rPr>
          <w:rFonts w:hint="eastAsia" w:hAnsi="宋体" w:eastAsia="宋体" w:cs="宋体"/>
          <w:color w:val="000000"/>
          <w:sz w:val="24"/>
          <w:szCs w:val="24"/>
          <w:highlight w:val="yellow"/>
        </w:rPr>
        <w:t>/</w:t>
      </w:r>
      <w:r>
        <w:rPr>
          <w:rFonts w:hint="eastAsia" w:hAnsi="宋体" w:cs="宋体"/>
          <w:color w:val="000000"/>
          <w:sz w:val="24"/>
          <w:szCs w:val="24"/>
          <w:highlight w:val="yellow"/>
          <w:lang w:val="en-US" w:eastAsia="zh-CN"/>
        </w:rPr>
        <w:t>15153153519</w:t>
      </w:r>
    </w:p>
    <w:p>
      <w:pPr>
        <w:pStyle w:val="14"/>
        <w:spacing w:line="360" w:lineRule="auto"/>
        <w:ind w:firstLine="482" w:firstLineChars="200"/>
        <w:rPr>
          <w:rFonts w:hAnsi="宋体" w:eastAsia="宋体" w:cs="宋体"/>
          <w:color w:val="000000"/>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纸质版投标文件和电子版投标文件必须保证内容一致；如确实存在不一致的，以电子标书为准，同时要求投标人对纸版标书做出修正。</w:t>
      </w:r>
    </w:p>
    <w:p>
      <w:pPr>
        <w:pStyle w:val="14"/>
        <w:spacing w:line="360" w:lineRule="auto"/>
        <w:ind w:firstLine="480" w:firstLineChars="200"/>
        <w:rPr>
          <w:rFonts w:hAnsi="宋体" w:eastAsia="宋体" w:cs="宋体"/>
          <w:sz w:val="24"/>
          <w:szCs w:val="24"/>
        </w:rPr>
      </w:pPr>
      <w:r>
        <w:rPr>
          <w:rFonts w:hint="eastAsia" w:hAnsi="宋体" w:eastAsia="宋体" w:cs="宋体"/>
          <w:color w:val="000000"/>
          <w:sz w:val="24"/>
          <w:szCs w:val="24"/>
        </w:rPr>
        <w:t>4、</w:t>
      </w:r>
      <w:r>
        <w:rPr>
          <w:rFonts w:hint="eastAsia" w:hAnsi="宋体" w:eastAsia="宋体" w:cs="宋体"/>
          <w:b/>
          <w:bCs/>
          <w:sz w:val="24"/>
          <w:szCs w:val="24"/>
          <w:highlight w:val="yellow"/>
        </w:rPr>
        <w:t>投标文件递交截止时间：</w:t>
      </w:r>
      <w:r>
        <w:rPr>
          <w:rFonts w:hint="eastAsia" w:hAnsi="宋体" w:eastAsia="宋体" w:cs="宋体"/>
          <w:bCs/>
          <w:sz w:val="24"/>
          <w:szCs w:val="24"/>
          <w:highlight w:val="yellow"/>
        </w:rPr>
        <w:t>2026年</w:t>
      </w:r>
      <w:r>
        <w:rPr>
          <w:rFonts w:hint="eastAsia" w:hAnsi="宋体" w:cs="宋体"/>
          <w:bCs/>
          <w:sz w:val="24"/>
          <w:szCs w:val="24"/>
          <w:highlight w:val="yellow"/>
          <w:lang w:val="en-US" w:eastAsia="zh-CN"/>
        </w:rPr>
        <w:t>10月</w:t>
      </w:r>
      <w:r>
        <w:rPr>
          <w:rFonts w:hint="eastAsia" w:hAnsi="宋体" w:cs="宋体"/>
          <w:bCs/>
          <w:sz w:val="28"/>
          <w:szCs w:val="28"/>
          <w:highlight w:val="yellow"/>
          <w:lang w:val="en-US" w:eastAsia="zh-CN"/>
        </w:rPr>
        <w:t>7</w:t>
      </w:r>
      <w:r>
        <w:rPr>
          <w:rFonts w:hint="eastAsia" w:hAnsi="宋体" w:cs="宋体"/>
          <w:bCs/>
          <w:sz w:val="24"/>
          <w:szCs w:val="24"/>
          <w:highlight w:val="yellow"/>
          <w:lang w:val="en-US" w:eastAsia="zh-CN"/>
        </w:rPr>
        <w:t>日17</w:t>
      </w:r>
      <w:r>
        <w:rPr>
          <w:rFonts w:hint="eastAsia" w:hAnsi="宋体" w:eastAsia="宋体" w:cs="宋体"/>
          <w:bCs/>
          <w:sz w:val="24"/>
          <w:szCs w:val="24"/>
          <w:highlight w:val="yellow"/>
        </w:rPr>
        <w:t>:00:00（北京时间）</w:t>
      </w:r>
    </w:p>
    <w:p>
      <w:pPr>
        <w:pStyle w:val="14"/>
        <w:spacing w:line="360" w:lineRule="auto"/>
        <w:ind w:firstLine="482" w:firstLineChars="200"/>
        <w:rPr>
          <w:rFonts w:hAnsi="宋体" w:eastAsia="宋体" w:cs="宋体"/>
          <w:color w:val="000000"/>
          <w:sz w:val="24"/>
          <w:szCs w:val="24"/>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p>
      <w:pPr>
        <w:pStyle w:val="73"/>
      </w:pPr>
      <w:r>
        <w:rPr>
          <w:rFonts w:hint="eastAsia"/>
        </w:rPr>
        <w:t>开标时间和地点</w:t>
      </w:r>
    </w:p>
    <w:p>
      <w:pPr>
        <w:pStyle w:val="14"/>
        <w:spacing w:line="360" w:lineRule="auto"/>
        <w:ind w:firstLine="480" w:firstLineChars="200"/>
        <w:rPr>
          <w:rFonts w:hAnsi="宋体" w:eastAsia="宋体" w:cs="宋体"/>
          <w:color w:val="000000"/>
          <w:sz w:val="24"/>
          <w:szCs w:val="24"/>
          <w:highlight w:val="yellow"/>
        </w:rPr>
      </w:pPr>
      <w:r>
        <w:rPr>
          <w:rFonts w:hint="eastAsia" w:hAnsi="宋体" w:eastAsia="宋体" w:cs="宋体"/>
          <w:color w:val="000000"/>
          <w:sz w:val="24"/>
          <w:szCs w:val="24"/>
          <w:highlight w:val="yellow"/>
        </w:rPr>
        <w:t>开标时间：2026年</w:t>
      </w:r>
      <w:r>
        <w:rPr>
          <w:rFonts w:hint="eastAsia" w:hAnsi="宋体" w:cs="宋体"/>
          <w:color w:val="000000"/>
          <w:sz w:val="24"/>
          <w:szCs w:val="24"/>
          <w:highlight w:val="yellow"/>
          <w:lang w:val="en-US" w:eastAsia="zh-CN"/>
        </w:rPr>
        <w:t>10月9日14</w:t>
      </w:r>
      <w:r>
        <w:rPr>
          <w:rFonts w:hint="eastAsia" w:hAnsi="宋体" w:eastAsia="宋体" w:cs="宋体"/>
          <w:color w:val="000000"/>
          <w:sz w:val="24"/>
          <w:szCs w:val="24"/>
          <w:highlight w:val="yellow"/>
        </w:rPr>
        <w:t>:00:00。</w:t>
      </w:r>
    </w:p>
    <w:p>
      <w:pPr>
        <w:pStyle w:val="14"/>
        <w:spacing w:line="360" w:lineRule="auto"/>
        <w:ind w:firstLine="480" w:firstLineChars="200"/>
        <w:rPr>
          <w:rFonts w:hAnsi="宋体" w:eastAsia="宋体" w:cs="宋体"/>
          <w:color w:val="000000"/>
          <w:sz w:val="24"/>
          <w:szCs w:val="24"/>
          <w:highlight w:val="yellow"/>
        </w:rPr>
      </w:pPr>
      <w:r>
        <w:rPr>
          <w:rFonts w:hint="eastAsia" w:hAnsi="宋体" w:eastAsia="宋体" w:cs="宋体"/>
          <w:color w:val="000000"/>
          <w:sz w:val="24"/>
          <w:szCs w:val="24"/>
          <w:highlight w:val="yellow"/>
        </w:rPr>
        <w:t>开标地点：山东省济南市章丘区潘王路东园区十一号路北，济南轻卡制造公司/网络</w:t>
      </w:r>
    </w:p>
    <w:p>
      <w:pPr>
        <w:pStyle w:val="73"/>
      </w:pPr>
      <w:bookmarkStart w:id="11" w:name="_Toc47976593"/>
      <w:r>
        <w:rPr>
          <w:rFonts w:hint="eastAsia"/>
        </w:rPr>
        <w:t>招标公告发布媒介</w:t>
      </w:r>
      <w:bookmarkEnd w:id="11"/>
    </w:p>
    <w:p>
      <w:pPr>
        <w:pStyle w:val="74"/>
        <w:numPr>
          <w:ilvl w:val="0"/>
          <w:numId w:val="0"/>
        </w:numPr>
        <w:ind w:firstLine="480" w:firstLineChars="200"/>
        <w:rPr>
          <w:rFonts w:hAnsi="宋体" w:eastAsia="宋体" w:cs="宋体"/>
          <w:b w:val="0"/>
          <w:color w:val="000000"/>
          <w:sz w:val="24"/>
          <w:szCs w:val="24"/>
        </w:rPr>
      </w:pPr>
      <w:r>
        <w:rPr>
          <w:rFonts w:hint="eastAsia" w:hAnsi="宋体" w:eastAsia="宋体" w:cs="宋体"/>
          <w:b w:val="0"/>
          <w:color w:val="000000"/>
          <w:sz w:val="24"/>
          <w:szCs w:val="24"/>
        </w:rPr>
        <w:t>中国重汽官网+中国重汽e采通等公开媒体公布</w:t>
      </w:r>
    </w:p>
    <w:p>
      <w:pPr>
        <w:pStyle w:val="73"/>
      </w:pPr>
      <w:bookmarkStart w:id="12" w:name="_Toc47976594"/>
      <w:r>
        <w:rPr>
          <w:rFonts w:hint="eastAsia"/>
        </w:rPr>
        <w:t>联系方式</w:t>
      </w:r>
      <w:bookmarkEnd w:id="12"/>
    </w:p>
    <w:p>
      <w:pPr>
        <w:spacing w:line="360" w:lineRule="auto"/>
        <w:ind w:firstLine="482" w:firstLineChars="200"/>
        <w:rPr>
          <w:rFonts w:ascii="宋体" w:hAnsi="宋体" w:eastAsia="宋体" w:cs="宋体"/>
          <w:bCs/>
          <w:snapToGrid w:val="0"/>
          <w:kern w:val="0"/>
          <w:sz w:val="24"/>
          <w:szCs w:val="24"/>
          <w:highlight w:val="red"/>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中国重汽集团济南商用车有限公司</w:t>
      </w:r>
      <w:r>
        <w:rPr>
          <w:rFonts w:hint="eastAsia" w:ascii="宋体" w:hAnsi="宋体" w:eastAsia="宋体" w:cs="宋体"/>
          <w:bCs/>
          <w:snapToGrid w:val="0"/>
          <w:kern w:val="0"/>
          <w:sz w:val="24"/>
          <w:szCs w:val="24"/>
        </w:rPr>
        <w:t xml:space="preserve"> </w:t>
      </w:r>
    </w:p>
    <w:p>
      <w:pPr>
        <w:spacing w:line="360" w:lineRule="auto"/>
        <w:ind w:firstLine="482" w:firstLineChars="200"/>
        <w:rPr>
          <w:rFonts w:ascii="宋体" w:hAnsi="宋体" w:eastAsia="宋体" w:cs="宋体"/>
          <w:bCs/>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bCs/>
          <w:snapToGrid w:val="0"/>
          <w:kern w:val="0"/>
          <w:sz w:val="24"/>
          <w:szCs w:val="24"/>
        </w:rPr>
        <w:t>山东省济南市章丘区潘王路东园区十一号路北，济南轻卡制造公司</w:t>
      </w:r>
    </w:p>
    <w:p>
      <w:pPr>
        <w:spacing w:line="360" w:lineRule="auto"/>
        <w:ind w:firstLine="482" w:firstLineChars="200"/>
        <w:rPr>
          <w:rFonts w:hint="eastAsia" w:ascii="宋体" w:hAnsi="宋体" w:cs="宋体"/>
          <w:b/>
          <w:snapToGrid w:val="0"/>
          <w:kern w:val="0"/>
          <w:sz w:val="24"/>
          <w:szCs w:val="24"/>
          <w:lang w:val="en-US" w:eastAsia="zh-CN"/>
        </w:rPr>
      </w:pPr>
      <w:r>
        <w:rPr>
          <w:rFonts w:hint="eastAsia" w:ascii="宋体" w:hAnsi="宋体" w:eastAsia="宋体" w:cs="宋体"/>
          <w:b/>
          <w:snapToGrid w:val="0"/>
          <w:kern w:val="0"/>
          <w:sz w:val="24"/>
          <w:szCs w:val="24"/>
        </w:rPr>
        <w:t>商务联系人：</w:t>
      </w:r>
      <w:r>
        <w:rPr>
          <w:rFonts w:hint="eastAsia" w:ascii="宋体" w:hAnsi="宋体" w:cs="宋体"/>
          <w:b/>
          <w:snapToGrid w:val="0"/>
          <w:kern w:val="0"/>
          <w:sz w:val="24"/>
          <w:szCs w:val="24"/>
          <w:lang w:val="en-US" w:eastAsia="zh-CN"/>
        </w:rPr>
        <w:t>贺西忠</w:t>
      </w:r>
    </w:p>
    <w:p>
      <w:pPr>
        <w:spacing w:line="360" w:lineRule="auto"/>
        <w:ind w:firstLine="482" w:firstLineChars="200"/>
        <w:rPr>
          <w:rFonts w:hint="eastAsia" w:ascii="宋体" w:hAnsi="宋体" w:cs="宋体"/>
          <w:bCs/>
          <w:snapToGrid w:val="0"/>
          <w:kern w:val="0"/>
          <w:sz w:val="24"/>
          <w:szCs w:val="24"/>
          <w:lang w:val="en-US" w:eastAsia="zh-CN"/>
        </w:rPr>
      </w:pPr>
      <w:r>
        <w:rPr>
          <w:rFonts w:hint="eastAsia" w:ascii="宋体" w:hAnsi="宋体" w:eastAsia="宋体" w:cs="宋体"/>
          <w:b/>
          <w:snapToGrid w:val="0"/>
          <w:kern w:val="0"/>
          <w:sz w:val="24"/>
          <w:szCs w:val="24"/>
        </w:rPr>
        <w:t>电话：</w:t>
      </w:r>
      <w:r>
        <w:rPr>
          <w:rFonts w:hint="eastAsia" w:ascii="宋体" w:hAnsi="宋体" w:eastAsia="宋体" w:cs="宋体"/>
          <w:bCs/>
          <w:snapToGrid w:val="0"/>
          <w:kern w:val="0"/>
          <w:sz w:val="24"/>
          <w:szCs w:val="24"/>
          <w:lang w:val="en-US" w:eastAsia="zh-CN"/>
        </w:rPr>
        <w:t>151</w:t>
      </w:r>
      <w:r>
        <w:rPr>
          <w:rFonts w:hint="eastAsia" w:ascii="宋体" w:hAnsi="宋体" w:cs="宋体"/>
          <w:bCs/>
          <w:snapToGrid w:val="0"/>
          <w:kern w:val="0"/>
          <w:sz w:val="24"/>
          <w:szCs w:val="24"/>
          <w:lang w:val="en-US" w:eastAsia="zh-CN"/>
        </w:rPr>
        <w:t>53153519</w:t>
      </w:r>
    </w:p>
    <w:p>
      <w:pPr>
        <w:spacing w:line="360" w:lineRule="auto"/>
        <w:ind w:firstLine="482" w:firstLineChars="200"/>
        <w:rPr>
          <w:rFonts w:ascii="宋体" w:hAnsi="宋体" w:eastAsia="宋体" w:cs="宋体"/>
          <w:bCs/>
          <w:snapToGrid w:val="0"/>
          <w:kern w:val="0"/>
          <w:sz w:val="24"/>
          <w:szCs w:val="24"/>
        </w:rPr>
      </w:pPr>
      <w:r>
        <w:rPr>
          <w:rFonts w:hint="eastAsia" w:ascii="宋体" w:hAnsi="宋体" w:eastAsia="宋体" w:cs="宋体"/>
          <w:b/>
          <w:snapToGrid w:val="0"/>
          <w:kern w:val="0"/>
          <w:sz w:val="24"/>
          <w:szCs w:val="24"/>
        </w:rPr>
        <w:t>邮箱：</w:t>
      </w:r>
      <w:r>
        <w:rPr>
          <w:rFonts w:hint="eastAsia" w:ascii="宋体" w:hAnsi="宋体" w:cs="宋体"/>
          <w:b/>
          <w:snapToGrid w:val="0"/>
          <w:kern w:val="0"/>
          <w:sz w:val="24"/>
          <w:szCs w:val="24"/>
          <w:lang w:val="en-US" w:eastAsia="zh-CN"/>
        </w:rPr>
        <w:t>hexizhong</w:t>
      </w:r>
      <w:r>
        <w:rPr>
          <w:rFonts w:hAnsi="宋体" w:eastAsia="宋体" w:cs="宋体"/>
          <w:b w:val="0"/>
          <w:bCs/>
          <w:color w:val="000000"/>
          <w:sz w:val="24"/>
          <w:szCs w:val="24"/>
          <w:highlight w:val="none"/>
        </w:rPr>
        <w:t>@</w:t>
      </w:r>
      <w:r>
        <w:rPr>
          <w:rFonts w:hint="eastAsia" w:hAnsi="宋体" w:eastAsia="宋体" w:cs="宋体"/>
          <w:b w:val="0"/>
          <w:bCs/>
          <w:color w:val="000000"/>
          <w:sz w:val="24"/>
          <w:szCs w:val="24"/>
          <w:highlight w:val="none"/>
        </w:rPr>
        <w:t>sinotruk.com</w:t>
      </w:r>
    </w:p>
    <w:p>
      <w:pPr>
        <w:pStyle w:val="73"/>
        <w:numPr>
          <w:ilvl w:val="0"/>
          <w:numId w:val="0"/>
        </w:numPr>
        <w:ind w:firstLine="422" w:firstLineChars="200"/>
        <w:rPr>
          <w:rFonts w:hint="default" w:ascii="宋体" w:hAnsi="宋体" w:eastAsia="宋体" w:cs="宋体"/>
          <w:bCs w:val="0"/>
          <w:sz w:val="21"/>
          <w:szCs w:val="21"/>
          <w:highlight w:val="none"/>
          <w:lang w:val="en-US" w:eastAsia="zh-CN"/>
        </w:rPr>
      </w:pPr>
      <w:r>
        <w:rPr>
          <w:rFonts w:hint="eastAsia" w:ascii="宋体" w:hAnsi="宋体" w:eastAsia="宋体" w:cs="宋体"/>
          <w:bCs w:val="0"/>
          <w:sz w:val="21"/>
          <w:szCs w:val="21"/>
          <w:highlight w:val="none"/>
        </w:rPr>
        <w:t>技术联系人：</w:t>
      </w:r>
      <w:r>
        <w:rPr>
          <w:rFonts w:hint="eastAsia" w:ascii="宋体" w:hAnsi="宋体" w:eastAsia="宋体" w:cs="宋体"/>
          <w:bCs w:val="0"/>
          <w:sz w:val="21"/>
          <w:szCs w:val="21"/>
          <w:highlight w:val="none"/>
          <w:lang w:val="en-US" w:eastAsia="zh-CN"/>
        </w:rPr>
        <w:t>胡安业</w:t>
      </w:r>
    </w:p>
    <w:p>
      <w:pPr>
        <w:pStyle w:val="73"/>
        <w:numPr>
          <w:ilvl w:val="0"/>
          <w:numId w:val="0"/>
        </w:numPr>
        <w:ind w:firstLine="482" w:firstLineChars="200"/>
        <w:rPr>
          <w:rFonts w:hint="default" w:ascii="宋体" w:hAnsi="宋体" w:eastAsia="宋体" w:cs="宋体"/>
          <w:b w:val="0"/>
          <w:bCs/>
          <w:sz w:val="24"/>
          <w:szCs w:val="24"/>
          <w:highlight w:val="none"/>
          <w:lang w:val="en-US" w:eastAsia="zh-CN"/>
        </w:rPr>
      </w:pPr>
      <w:r>
        <w:rPr>
          <w:rFonts w:hint="eastAsia" w:ascii="宋体" w:hAnsi="宋体" w:eastAsia="宋体" w:cs="宋体"/>
          <w:bCs w:val="0"/>
          <w:sz w:val="24"/>
          <w:szCs w:val="24"/>
          <w:highlight w:val="none"/>
        </w:rPr>
        <w:t>电话：</w:t>
      </w:r>
      <w:r>
        <w:rPr>
          <w:rFonts w:hint="eastAsia" w:ascii="宋体" w:hAnsi="宋体" w:eastAsia="宋体" w:cs="宋体"/>
          <w:b w:val="0"/>
          <w:bCs/>
          <w:sz w:val="24"/>
          <w:szCs w:val="24"/>
          <w:highlight w:val="none"/>
          <w:lang w:val="en-US" w:eastAsia="zh-CN"/>
        </w:rPr>
        <w:t>15564167576</w:t>
      </w:r>
    </w:p>
    <w:p>
      <w:pPr>
        <w:pStyle w:val="77"/>
        <w:numPr>
          <w:ilvl w:val="0"/>
          <w:numId w:val="0"/>
        </w:numPr>
        <w:ind w:leftChars="0" w:firstLine="480" w:firstLineChars="200"/>
        <w:rPr>
          <w:rFonts w:hint="eastAsia" w:cs="Times New Roman"/>
          <w:b w:val="0"/>
          <w:bCs/>
          <w:sz w:val="24"/>
          <w:szCs w:val="24"/>
          <w:highlight w:val="none"/>
          <w:lang w:val="en-US" w:eastAsia="zh-CN"/>
        </w:rPr>
      </w:pPr>
    </w:p>
    <w:p>
      <w:pPr>
        <w:pStyle w:val="72"/>
        <w:rPr>
          <w:rFonts w:hint="eastAsia"/>
          <w:highlight w:val="none"/>
        </w:rPr>
      </w:pPr>
    </w:p>
    <w:p>
      <w:pPr>
        <w:pStyle w:val="72"/>
        <w:rPr>
          <w:highlight w:val="none"/>
        </w:rPr>
      </w:pPr>
      <w:r>
        <w:rPr>
          <w:rFonts w:hint="eastAsia"/>
          <w:highlight w:val="none"/>
        </w:rPr>
        <w:t>第一部分  投标人须知</w:t>
      </w:r>
      <w:bookmarkEnd w:id="0"/>
      <w:bookmarkEnd w:id="1"/>
    </w:p>
    <w:p>
      <w:pPr>
        <w:pStyle w:val="73"/>
        <w:numPr>
          <w:ilvl w:val="0"/>
          <w:numId w:val="11"/>
        </w:numPr>
        <w:ind w:left="420"/>
        <w:jc w:val="left"/>
        <w:rPr>
          <w:highlight w:val="none"/>
        </w:rPr>
      </w:pPr>
      <w:bookmarkStart w:id="13" w:name="_Toc47976596"/>
      <w:r>
        <w:rPr>
          <w:rFonts w:hint="eastAsia"/>
          <w:highlight w:val="none"/>
        </w:rPr>
        <w:t>项目介绍</w:t>
      </w:r>
      <w:bookmarkEnd w:id="13"/>
    </w:p>
    <w:p>
      <w:pPr>
        <w:pStyle w:val="77"/>
        <w:numPr>
          <w:ilvl w:val="0"/>
          <w:numId w:val="12"/>
        </w:numPr>
        <w:ind w:left="425" w:leftChars="0" w:hanging="425" w:firstLineChars="0"/>
        <w:rPr>
          <w:sz w:val="24"/>
          <w:szCs w:val="24"/>
          <w:highlight w:val="none"/>
          <w:u w:val="single"/>
        </w:rPr>
      </w:pPr>
      <w:r>
        <w:rPr>
          <w:rFonts w:hint="eastAsia"/>
          <w:highlight w:val="none"/>
        </w:rPr>
        <w:t>项目名称：</w:t>
      </w:r>
      <w:r>
        <w:rPr>
          <w:rFonts w:hint="eastAsia" w:cs="Times New Roman"/>
          <w:sz w:val="24"/>
          <w:szCs w:val="24"/>
          <w:highlight w:val="none"/>
          <w:u w:val="single"/>
          <w:lang w:eastAsia="zh-CN"/>
        </w:rPr>
        <w:t>济南轻卡制造公司</w:t>
      </w:r>
      <w:r>
        <w:rPr>
          <w:rFonts w:hint="eastAsia" w:hAnsi="宋体" w:cs="宋体"/>
          <w:sz w:val="24"/>
          <w:szCs w:val="24"/>
          <w:highlight w:val="none"/>
          <w:u w:val="single"/>
          <w:lang w:val="en-US" w:eastAsia="zh-CN"/>
        </w:rPr>
        <w:t>光伏发电系统增加“四可”装置</w:t>
      </w:r>
      <w:r>
        <w:rPr>
          <w:rFonts w:hint="eastAsia" w:cs="Times New Roman"/>
          <w:sz w:val="24"/>
          <w:szCs w:val="24"/>
          <w:highlight w:val="none"/>
          <w:u w:val="single"/>
          <w:lang w:eastAsia="zh-CN"/>
        </w:rPr>
        <w:t>项目</w:t>
      </w:r>
    </w:p>
    <w:p>
      <w:pPr>
        <w:pStyle w:val="77"/>
        <w:numPr>
          <w:ilvl w:val="0"/>
          <w:numId w:val="12"/>
        </w:numPr>
        <w:ind w:left="425" w:leftChars="0" w:hanging="425" w:firstLineChars="0"/>
        <w:rPr>
          <w:b w:val="0"/>
          <w:bCs w:val="0"/>
          <w:color w:val="auto"/>
          <w:sz w:val="24"/>
          <w:szCs w:val="24"/>
          <w:highlight w:val="none"/>
        </w:rPr>
      </w:pPr>
      <w:r>
        <w:rPr>
          <w:rFonts w:hint="eastAsia"/>
          <w:sz w:val="24"/>
          <w:szCs w:val="24"/>
          <w:highlight w:val="none"/>
        </w:rPr>
        <w:t>项目编号：</w:t>
      </w:r>
      <w:r>
        <w:rPr>
          <w:rFonts w:hint="eastAsia"/>
          <w:b w:val="0"/>
          <w:bCs w:val="0"/>
          <w:color w:val="auto"/>
          <w:sz w:val="24"/>
          <w:szCs w:val="24"/>
          <w:highlight w:val="none"/>
          <w:u w:val="single"/>
          <w:lang w:val="en-US" w:eastAsia="zh-CN"/>
        </w:rPr>
        <w:t>ZBGL2026090120</w:t>
      </w:r>
    </w:p>
    <w:p>
      <w:pPr>
        <w:pStyle w:val="77"/>
        <w:numPr>
          <w:ilvl w:val="0"/>
          <w:numId w:val="12"/>
        </w:numPr>
        <w:ind w:left="425" w:leftChars="0" w:hanging="425" w:firstLineChars="0"/>
        <w:rPr>
          <w:color w:val="auto"/>
          <w:sz w:val="24"/>
          <w:szCs w:val="24"/>
          <w:highlight w:val="none"/>
        </w:rPr>
      </w:pPr>
      <w:r>
        <w:rPr>
          <w:rFonts w:hint="eastAsia"/>
          <w:color w:val="auto"/>
          <w:sz w:val="24"/>
          <w:szCs w:val="24"/>
          <w:highlight w:val="none"/>
        </w:rPr>
        <w:t>招标形式：</w:t>
      </w:r>
      <w:bookmarkStart w:id="14" w:name="_Toc47112482"/>
      <w:r>
        <w:rPr>
          <w:rFonts w:hint="eastAsia"/>
          <w:color w:val="auto"/>
          <w:sz w:val="24"/>
          <w:szCs w:val="24"/>
          <w:highlight w:val="none"/>
          <w:u w:val="single"/>
          <w:lang w:val="en-US" w:eastAsia="zh-CN"/>
        </w:rPr>
        <w:t>公开招标</w:t>
      </w:r>
    </w:p>
    <w:p>
      <w:pPr>
        <w:pStyle w:val="77"/>
        <w:numPr>
          <w:ilvl w:val="0"/>
          <w:numId w:val="12"/>
        </w:numPr>
        <w:ind w:left="0" w:leftChars="0" w:firstLine="0" w:firstLineChars="0"/>
        <w:rPr>
          <w:b/>
          <w:bCs/>
          <w:color w:val="auto"/>
          <w:sz w:val="24"/>
          <w:szCs w:val="24"/>
          <w:highlight w:val="none"/>
        </w:rPr>
      </w:pPr>
      <w:r>
        <w:rPr>
          <w:rFonts w:hint="eastAsia"/>
          <w:color w:val="auto"/>
          <w:sz w:val="24"/>
          <w:szCs w:val="24"/>
          <w:highlight w:val="none"/>
          <w:lang w:val="en-US" w:eastAsia="zh-CN"/>
        </w:rPr>
        <w:t>项目概况：</w:t>
      </w:r>
      <w:r>
        <w:rPr>
          <w:rFonts w:hint="eastAsia" w:ascii="宋体" w:hAnsi="宋体" w:eastAsia="宋体" w:cs="宋体"/>
          <w:sz w:val="24"/>
          <w:szCs w:val="24"/>
          <w:highlight w:val="none"/>
          <w:u w:val="single"/>
          <w:lang w:val="en-US" w:eastAsia="zh-CN"/>
        </w:rPr>
        <w:t>光伏发电</w:t>
      </w:r>
      <w:r>
        <w:rPr>
          <w:rFonts w:hint="eastAsia" w:hAnsi="宋体" w:cs="宋体"/>
          <w:sz w:val="24"/>
          <w:szCs w:val="24"/>
          <w:highlight w:val="none"/>
          <w:u w:val="single"/>
          <w:lang w:val="en-US" w:eastAsia="zh-CN"/>
        </w:rPr>
        <w:t>系统</w:t>
      </w:r>
      <w:r>
        <w:rPr>
          <w:rFonts w:hint="eastAsia" w:ascii="宋体" w:hAnsi="宋体" w:eastAsia="宋体" w:cs="宋体"/>
          <w:sz w:val="24"/>
          <w:szCs w:val="24"/>
          <w:highlight w:val="none"/>
          <w:u w:val="single"/>
          <w:lang w:val="en-US" w:eastAsia="zh-CN"/>
        </w:rPr>
        <w:t>增加“四可”装置</w:t>
      </w:r>
      <w:r>
        <w:rPr>
          <w:rFonts w:hint="eastAsia"/>
          <w:b/>
          <w:bCs/>
          <w:color w:val="auto"/>
          <w:sz w:val="24"/>
          <w:szCs w:val="24"/>
          <w:highlight w:val="none"/>
          <w:u w:val="single"/>
        </w:rPr>
        <w:t>。</w:t>
      </w:r>
    </w:p>
    <w:p>
      <w:pPr>
        <w:pStyle w:val="77"/>
        <w:numPr>
          <w:ilvl w:val="0"/>
          <w:numId w:val="12"/>
        </w:numPr>
        <w:ind w:left="425" w:leftChars="0" w:hanging="425" w:firstLineChars="0"/>
        <w:rPr>
          <w:rFonts w:hint="default" w:ascii="宋体" w:hAnsi="Courier New"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招标内容</w:t>
      </w:r>
      <w:r>
        <w:rPr>
          <w:rFonts w:hint="eastAsia" w:ascii="宋体" w:hAnsi="Courier New" w:eastAsia="宋体" w:cs="Times New Roman"/>
          <w:color w:val="auto"/>
          <w:sz w:val="24"/>
          <w:szCs w:val="24"/>
          <w:highlight w:val="none"/>
          <w:lang w:val="en-US" w:eastAsia="zh-CN"/>
        </w:rPr>
        <w:t>具体要求详见《技术标书》。</w:t>
      </w:r>
    </w:p>
    <w:p>
      <w:pPr>
        <w:pStyle w:val="77"/>
        <w:numPr>
          <w:ilvl w:val="0"/>
          <w:numId w:val="12"/>
        </w:numPr>
        <w:ind w:left="425" w:leftChars="0" w:hanging="425" w:firstLineChars="0"/>
        <w:rPr>
          <w:rFonts w:hint="default" w:cs="Times New Roman"/>
          <w:color w:val="auto"/>
          <w:sz w:val="24"/>
          <w:szCs w:val="24"/>
          <w:highlight w:val="none"/>
          <w:u w:val="none"/>
          <w:lang w:val="en-US" w:eastAsia="zh-CN"/>
        </w:rPr>
      </w:pPr>
      <w:r>
        <w:rPr>
          <w:rFonts w:hint="eastAsia"/>
          <w:color w:val="auto"/>
          <w:sz w:val="24"/>
          <w:szCs w:val="24"/>
          <w:highlight w:val="none"/>
          <w:lang w:val="en-US" w:eastAsia="zh-CN"/>
        </w:rPr>
        <w:t>报价：</w:t>
      </w:r>
      <w:r>
        <w:rPr>
          <w:rFonts w:hint="eastAsia" w:cs="Times New Roman"/>
          <w:b/>
          <w:bCs/>
          <w:color w:val="auto"/>
          <w:sz w:val="24"/>
          <w:szCs w:val="24"/>
          <w:highlight w:val="none"/>
          <w:u w:val="none"/>
          <w:lang w:val="en-US" w:eastAsia="zh-CN"/>
        </w:rPr>
        <w:t>报价应包含币种、不含税金额、税率及价税合计金额</w:t>
      </w:r>
    </w:p>
    <w:p>
      <w:pPr>
        <w:ind w:firstLine="480" w:firstLineChars="200"/>
        <w:rPr>
          <w:rFonts w:hint="eastAsia" w:ascii="宋体" w:hAnsi="Courier New" w:eastAsia="宋体" w:cs="Times New Roman"/>
          <w:sz w:val="24"/>
          <w:szCs w:val="24"/>
          <w:highlight w:val="none"/>
          <w:lang w:val="en-US" w:eastAsia="zh-CN"/>
        </w:rPr>
      </w:pPr>
      <w:r>
        <w:rPr>
          <w:rFonts w:hint="eastAsia" w:ascii="宋体" w:hAnsi="Courier New" w:eastAsia="宋体" w:cs="Times New Roman"/>
          <w:sz w:val="24"/>
          <w:szCs w:val="24"/>
          <w:highlight w:val="none"/>
          <w:lang w:val="en-US" w:eastAsia="zh-CN"/>
        </w:rPr>
        <w:t>招标人信息：</w:t>
      </w:r>
    </w:p>
    <w:p>
      <w:pPr>
        <w:ind w:firstLine="482" w:firstLineChars="200"/>
        <w:rPr>
          <w:rFonts w:hint="default" w:ascii="宋体" w:hAnsi="宋体" w:eastAsia="宋体" w:cs="宋体"/>
          <w:b/>
          <w:snapToGrid w:val="0"/>
          <w:kern w:val="0"/>
          <w:sz w:val="24"/>
          <w:szCs w:val="24"/>
          <w:highlight w:val="none"/>
          <w:lang w:val="en-US" w:eastAsia="zh-CN"/>
        </w:rPr>
      </w:pPr>
      <w:r>
        <w:rPr>
          <w:rFonts w:hint="eastAsia" w:ascii="宋体" w:hAnsi="宋体" w:cs="宋体"/>
          <w:b/>
          <w:snapToGrid w:val="0"/>
          <w:kern w:val="0"/>
          <w:sz w:val="24"/>
          <w:szCs w:val="24"/>
          <w:highlight w:val="none"/>
        </w:rPr>
        <w:t>招标人名称：</w:t>
      </w:r>
      <w:r>
        <w:rPr>
          <w:rFonts w:hint="eastAsia" w:ascii="宋体" w:hAnsi="宋体" w:cs="宋体"/>
          <w:b/>
          <w:sz w:val="24"/>
          <w:szCs w:val="24"/>
          <w:highlight w:val="none"/>
          <w:u w:val="single"/>
          <w:lang w:val="en-US" w:eastAsia="zh-CN"/>
        </w:rPr>
        <w:t>中国重汽集团济南商用车有限公司轻卡制造公司</w:t>
      </w:r>
    </w:p>
    <w:bookmarkEnd w:id="14"/>
    <w:p>
      <w:pPr>
        <w:spacing w:line="360" w:lineRule="auto"/>
        <w:ind w:firstLine="482" w:firstLineChars="200"/>
        <w:rPr>
          <w:rFonts w:hint="eastAsia" w:ascii="宋体" w:hAnsi="宋体" w:cs="宋体"/>
          <w:b/>
          <w:snapToGrid w:val="0"/>
          <w:kern w:val="0"/>
          <w:sz w:val="24"/>
          <w:szCs w:val="24"/>
          <w:lang w:val="en-US" w:eastAsia="zh-CN"/>
        </w:rPr>
      </w:pPr>
      <w:bookmarkStart w:id="15" w:name="_Toc47976598"/>
      <w:r>
        <w:rPr>
          <w:rFonts w:hint="eastAsia" w:ascii="宋体" w:hAnsi="宋体" w:eastAsia="宋体" w:cs="宋体"/>
          <w:b/>
          <w:snapToGrid w:val="0"/>
          <w:kern w:val="0"/>
          <w:sz w:val="24"/>
          <w:szCs w:val="24"/>
        </w:rPr>
        <w:t>商务联系人：</w:t>
      </w:r>
      <w:r>
        <w:rPr>
          <w:rFonts w:hint="eastAsia" w:ascii="宋体" w:hAnsi="宋体" w:cs="宋体"/>
          <w:b/>
          <w:snapToGrid w:val="0"/>
          <w:kern w:val="0"/>
          <w:sz w:val="24"/>
          <w:szCs w:val="24"/>
          <w:lang w:val="en-US" w:eastAsia="zh-CN"/>
        </w:rPr>
        <w:t>贺西忠</w:t>
      </w:r>
    </w:p>
    <w:p>
      <w:pPr>
        <w:spacing w:line="360" w:lineRule="auto"/>
        <w:ind w:firstLine="482" w:firstLineChars="200"/>
        <w:rPr>
          <w:rFonts w:hint="eastAsia" w:ascii="宋体" w:hAnsi="宋体" w:cs="宋体"/>
          <w:bCs/>
          <w:snapToGrid w:val="0"/>
          <w:kern w:val="0"/>
          <w:sz w:val="24"/>
          <w:szCs w:val="24"/>
          <w:lang w:val="en-US" w:eastAsia="zh-CN"/>
        </w:rPr>
      </w:pPr>
      <w:r>
        <w:rPr>
          <w:rFonts w:hint="eastAsia" w:ascii="宋体" w:hAnsi="宋体" w:eastAsia="宋体" w:cs="宋体"/>
          <w:b/>
          <w:snapToGrid w:val="0"/>
          <w:kern w:val="0"/>
          <w:sz w:val="24"/>
          <w:szCs w:val="24"/>
        </w:rPr>
        <w:t>电话：</w:t>
      </w:r>
      <w:r>
        <w:rPr>
          <w:rFonts w:hint="eastAsia" w:ascii="宋体" w:hAnsi="宋体" w:eastAsia="宋体" w:cs="宋体"/>
          <w:bCs/>
          <w:snapToGrid w:val="0"/>
          <w:kern w:val="0"/>
          <w:sz w:val="24"/>
          <w:szCs w:val="24"/>
          <w:lang w:val="en-US" w:eastAsia="zh-CN"/>
        </w:rPr>
        <w:t>151</w:t>
      </w:r>
      <w:r>
        <w:rPr>
          <w:rFonts w:hint="eastAsia" w:ascii="宋体" w:hAnsi="宋体" w:cs="宋体"/>
          <w:bCs/>
          <w:snapToGrid w:val="0"/>
          <w:kern w:val="0"/>
          <w:sz w:val="24"/>
          <w:szCs w:val="24"/>
          <w:lang w:val="en-US" w:eastAsia="zh-CN"/>
        </w:rPr>
        <w:t>53153519</w:t>
      </w:r>
    </w:p>
    <w:p>
      <w:pPr>
        <w:spacing w:line="360" w:lineRule="auto"/>
        <w:ind w:firstLine="482" w:firstLineChars="200"/>
        <w:rPr>
          <w:rFonts w:hint="eastAsia" w:ascii="宋体" w:hAnsi="宋体" w:eastAsia="宋体" w:cs="宋体"/>
          <w:bCs/>
          <w:snapToGrid w:val="0"/>
          <w:kern w:val="0"/>
          <w:sz w:val="24"/>
          <w:szCs w:val="24"/>
        </w:rPr>
      </w:pPr>
      <w:r>
        <w:rPr>
          <w:rFonts w:hint="eastAsia" w:ascii="宋体" w:hAnsi="宋体" w:eastAsia="宋体" w:cs="宋体"/>
          <w:b/>
          <w:snapToGrid w:val="0"/>
          <w:kern w:val="0"/>
          <w:sz w:val="24"/>
          <w:szCs w:val="24"/>
        </w:rPr>
        <w:t>邮箱：</w:t>
      </w:r>
      <w:r>
        <w:rPr>
          <w:rFonts w:hint="eastAsia" w:ascii="宋体" w:hAnsi="宋体" w:eastAsia="宋体" w:cs="宋体"/>
          <w:b/>
          <w:snapToGrid w:val="0"/>
          <w:kern w:val="0"/>
          <w:sz w:val="24"/>
          <w:szCs w:val="24"/>
          <w:lang w:val="en-US" w:eastAsia="zh-CN"/>
        </w:rPr>
        <w:t>hexizhong</w:t>
      </w:r>
      <w:r>
        <w:rPr>
          <w:rFonts w:hint="eastAsia" w:ascii="宋体" w:hAnsi="宋体" w:eastAsia="宋体" w:cs="宋体"/>
          <w:b w:val="0"/>
          <w:bCs/>
          <w:color w:val="000000"/>
          <w:sz w:val="24"/>
          <w:szCs w:val="24"/>
          <w:highlight w:val="none"/>
        </w:rPr>
        <w:t>@sinotruk.com</w:t>
      </w:r>
    </w:p>
    <w:p>
      <w:pPr>
        <w:pStyle w:val="73"/>
        <w:numPr>
          <w:ilvl w:val="0"/>
          <w:numId w:val="0"/>
        </w:numPr>
        <w:ind w:firstLine="482" w:firstLineChars="200"/>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rPr>
        <w:t>技术联系人：</w:t>
      </w:r>
      <w:r>
        <w:rPr>
          <w:rFonts w:hint="eastAsia" w:ascii="宋体" w:hAnsi="宋体" w:eastAsia="宋体" w:cs="宋体"/>
          <w:bCs w:val="0"/>
          <w:sz w:val="24"/>
          <w:szCs w:val="24"/>
          <w:highlight w:val="none"/>
          <w:lang w:val="en-US" w:eastAsia="zh-CN"/>
        </w:rPr>
        <w:t>胡安业</w:t>
      </w:r>
    </w:p>
    <w:p>
      <w:pPr>
        <w:pStyle w:val="73"/>
        <w:numPr>
          <w:ilvl w:val="0"/>
          <w:numId w:val="0"/>
        </w:numPr>
        <w:ind w:firstLine="482" w:firstLineChars="200"/>
        <w:rPr>
          <w:rFonts w:hint="eastAsia" w:ascii="宋体" w:hAnsi="宋体" w:eastAsia="宋体" w:cs="宋体"/>
          <w:b w:val="0"/>
          <w:bCs/>
          <w:sz w:val="24"/>
          <w:szCs w:val="24"/>
          <w:highlight w:val="none"/>
          <w:lang w:val="en-US" w:eastAsia="zh-CN"/>
        </w:rPr>
      </w:pPr>
      <w:r>
        <w:rPr>
          <w:rFonts w:hint="eastAsia" w:ascii="宋体" w:hAnsi="宋体" w:eastAsia="宋体" w:cs="宋体"/>
          <w:bCs w:val="0"/>
          <w:sz w:val="24"/>
          <w:szCs w:val="24"/>
          <w:highlight w:val="none"/>
        </w:rPr>
        <w:t>电话：</w:t>
      </w:r>
      <w:r>
        <w:rPr>
          <w:rFonts w:hint="eastAsia" w:ascii="宋体" w:hAnsi="宋体" w:eastAsia="宋体" w:cs="宋体"/>
          <w:b w:val="0"/>
          <w:bCs/>
          <w:sz w:val="24"/>
          <w:szCs w:val="24"/>
          <w:highlight w:val="none"/>
          <w:lang w:val="en-US" w:eastAsia="zh-CN"/>
        </w:rPr>
        <w:t>15564167576</w:t>
      </w:r>
    </w:p>
    <w:p>
      <w:pPr>
        <w:pStyle w:val="73"/>
        <w:rPr>
          <w:highlight w:val="none"/>
        </w:rPr>
      </w:pPr>
      <w:r>
        <w:rPr>
          <w:rFonts w:hint="eastAsia"/>
          <w:highlight w:val="none"/>
        </w:rPr>
        <w:t>合格的投标人。</w:t>
      </w:r>
      <w:bookmarkEnd w:id="15"/>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投标人须遵守《中华人民共和国招标投标法》及其它有关的法律和法规；为中华人民共和国境内注册的独立法人机构，具有独立承担民事责任能力；</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拟标投人必须是在中华人民共和国境内注册的独立法人机构，具有独立承担民事责任能力；注册资金不少</w:t>
      </w:r>
      <w:r>
        <w:rPr>
          <w:rFonts w:hint="eastAsia" w:ascii="宋体" w:hAnsi="宋体" w:eastAsia="宋体" w:cs="宋体"/>
          <w:b w:val="0"/>
          <w:bCs/>
          <w:strike w:val="0"/>
          <w:dstrike w:val="0"/>
          <w:color w:val="auto"/>
          <w:sz w:val="24"/>
          <w:szCs w:val="24"/>
          <w:highlight w:val="none"/>
        </w:rPr>
        <w:t>于</w:t>
      </w:r>
      <w:r>
        <w:rPr>
          <w:rFonts w:hint="eastAsia" w:ascii="宋体" w:hAnsi="宋体" w:eastAsia="宋体" w:cs="宋体"/>
          <w:b/>
          <w:bCs w:val="0"/>
          <w:strike w:val="0"/>
          <w:dstrike w:val="0"/>
          <w:color w:val="auto"/>
          <w:sz w:val="24"/>
          <w:szCs w:val="24"/>
          <w:highlight w:val="none"/>
          <w:u w:val="single"/>
          <w:lang w:val="en-US" w:eastAsia="zh-CN"/>
        </w:rPr>
        <w:t>200</w:t>
      </w:r>
      <w:r>
        <w:rPr>
          <w:rFonts w:hint="eastAsia" w:ascii="宋体" w:hAnsi="宋体" w:eastAsia="宋体" w:cs="宋体"/>
          <w:b w:val="0"/>
          <w:bCs/>
          <w:strike w:val="0"/>
          <w:dstrike w:val="0"/>
          <w:color w:val="auto"/>
          <w:sz w:val="24"/>
          <w:szCs w:val="24"/>
          <w:highlight w:val="none"/>
        </w:rPr>
        <w:t>万</w:t>
      </w:r>
      <w:r>
        <w:rPr>
          <w:rFonts w:hint="eastAsia" w:ascii="宋体" w:hAnsi="宋体" w:eastAsia="宋体" w:cs="宋体"/>
          <w:b w:val="0"/>
          <w:bCs/>
          <w:strike w:val="0"/>
          <w:dstrike w:val="0"/>
          <w:sz w:val="24"/>
          <w:szCs w:val="24"/>
          <w:highlight w:val="none"/>
        </w:rPr>
        <w:t>人民币（或等值其他货币）</w:t>
      </w:r>
      <w:r>
        <w:rPr>
          <w:rFonts w:hint="eastAsia" w:hAnsi="宋体" w:cs="宋体"/>
          <w:b w:val="0"/>
          <w:bCs/>
          <w:strike w:val="0"/>
          <w:dstrike w:val="0"/>
          <w:sz w:val="24"/>
          <w:szCs w:val="24"/>
          <w:highlight w:val="none"/>
          <w:lang w:val="en-US" w:eastAsia="zh-CN"/>
        </w:rPr>
        <w:t>。</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投标人在“信用中国”中未列入联合惩戒失信人名单，且工商行政管理局的《国家企业信用信息公示系统》中查询不存在不良记录；</w:t>
      </w:r>
    </w:p>
    <w:p>
      <w:pPr>
        <w:pStyle w:val="74"/>
        <w:numPr>
          <w:ilvl w:val="0"/>
          <w:numId w:val="10"/>
        </w:numPr>
        <w:ind w:left="0" w:firstLine="0"/>
        <w:rPr>
          <w:rFonts w:hint="eastAsia" w:ascii="宋体" w:hAnsi="宋体" w:eastAsia="宋体" w:cs="宋体"/>
          <w:b w:val="0"/>
          <w:bCs/>
          <w:sz w:val="24"/>
          <w:szCs w:val="24"/>
          <w:highlight w:val="none"/>
        </w:rPr>
      </w:pPr>
      <w:r>
        <w:rPr>
          <w:rFonts w:hint="eastAsia" w:ascii="宋体" w:hAnsi="宋体" w:eastAsia="宋体" w:cs="宋体"/>
          <w:b w:val="0"/>
          <w:bCs/>
          <w:strike w:val="0"/>
          <w:dstrike w:val="0"/>
          <w:sz w:val="24"/>
          <w:szCs w:val="24"/>
          <w:highlight w:val="none"/>
        </w:rPr>
        <w:t>无招标违规、谎报年度报告信息、提供虚假资质资料等行为或其他行政处罚记录；</w:t>
      </w:r>
    </w:p>
    <w:p>
      <w:pPr>
        <w:pStyle w:val="74"/>
        <w:numPr>
          <w:ilvl w:val="0"/>
          <w:numId w:val="10"/>
        </w:numPr>
        <w:ind w:left="0" w:firstLine="0"/>
        <w:rPr>
          <w:rFonts w:hint="eastAsia" w:ascii="宋体" w:hAnsi="宋体" w:eastAsia="宋体" w:cs="宋体"/>
          <w:b w:val="0"/>
          <w:bCs/>
          <w:strike w:val="0"/>
          <w:dstrike w:val="0"/>
          <w:sz w:val="24"/>
          <w:szCs w:val="24"/>
          <w:highlight w:val="none"/>
        </w:rPr>
      </w:pPr>
      <w:r>
        <w:rPr>
          <w:rFonts w:hint="eastAsia" w:ascii="宋体" w:hAnsi="宋体" w:eastAsia="宋体" w:cs="宋体"/>
          <w:b w:val="0"/>
          <w:bCs/>
          <w:sz w:val="24"/>
          <w:szCs w:val="24"/>
          <w:highlight w:val="none"/>
        </w:rPr>
        <w:t>近三年内在经营活动中无与本项目有关的违法及重大违规情况</w:t>
      </w:r>
      <w:r>
        <w:rPr>
          <w:rFonts w:hint="eastAsia" w:ascii="宋体" w:hAnsi="宋体" w:eastAsia="宋体" w:cs="宋体"/>
          <w:b w:val="0"/>
          <w:bCs/>
          <w:sz w:val="24"/>
          <w:szCs w:val="24"/>
          <w:highlight w:val="none"/>
          <w:lang w:eastAsia="zh-CN"/>
        </w:rPr>
        <w:t>；</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投标人没有被列入招标人处《黑名单》（《黑名单》指投标人与招标人在以往或正在进行的合作中，存在招标人认为的违反合同约定或违反法律法规等的失信行为）的；</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公司经营范围满足招标项目需求；</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投标人须具有履行招标文件所有设备、专业技术等要求的能力；</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投标人须有依法缴纳税收和社会保障资金的良好记录；</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具有本次招标货物的供货、安装、售后服务等的相应资质；</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投标人须负责提供合理的便于运输的包装物，并承担相关费用</w:t>
      </w:r>
      <w:r>
        <w:rPr>
          <w:rFonts w:hint="eastAsia" w:ascii="宋体" w:hAnsi="宋体" w:eastAsia="宋体" w:cs="宋体"/>
          <w:b w:val="0"/>
          <w:bCs/>
          <w:strike w:val="0"/>
          <w:dstrike w:val="0"/>
          <w:sz w:val="24"/>
          <w:szCs w:val="24"/>
          <w:highlight w:val="none"/>
          <w:lang w:eastAsia="zh-CN"/>
        </w:rPr>
        <w:t>；</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投标人须认可招标人的工作指令，包括节、假日能正常开展工作的要求。</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lang w:val="en-US" w:eastAsia="zh-CN"/>
        </w:rPr>
        <w:t>拟投标人的直接或间接股东、法定代表人、董事、监事、高管非重汽员工及其亲属；</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投标人必须是最终投标、签订合同的单位，不得以任何理由将已中标项目以任何形式转包或者分包给其他单位</w:t>
      </w:r>
      <w:r>
        <w:rPr>
          <w:rFonts w:hint="eastAsia" w:ascii="宋体" w:hAnsi="宋体" w:eastAsia="宋体" w:cs="宋体"/>
          <w:b w:val="0"/>
          <w:bCs/>
          <w:strike w:val="0"/>
          <w:dstrike w:val="0"/>
          <w:sz w:val="24"/>
          <w:szCs w:val="24"/>
          <w:highlight w:val="none"/>
          <w:lang w:eastAsia="zh-CN"/>
        </w:rPr>
        <w:t>；</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本次招标项目</w:t>
      </w:r>
      <w:r>
        <w:rPr>
          <w:rFonts w:hint="eastAsia" w:ascii="宋体" w:hAnsi="宋体" w:eastAsia="宋体" w:cs="宋体"/>
          <w:b w:val="0"/>
          <w:bCs/>
          <w:strike w:val="0"/>
          <w:dstrike w:val="0"/>
          <w:sz w:val="24"/>
          <w:szCs w:val="24"/>
          <w:highlight w:val="none"/>
          <w:u w:val="none"/>
        </w:rPr>
        <w:t>不接受</w:t>
      </w:r>
      <w:r>
        <w:rPr>
          <w:rFonts w:hint="eastAsia" w:ascii="宋体" w:hAnsi="宋体" w:eastAsia="宋体" w:cs="宋体"/>
          <w:b w:val="0"/>
          <w:bCs/>
          <w:strike w:val="0"/>
          <w:dstrike w:val="0"/>
          <w:sz w:val="24"/>
          <w:szCs w:val="24"/>
          <w:highlight w:val="none"/>
        </w:rPr>
        <w:t>联合体投标</w:t>
      </w:r>
      <w:r>
        <w:rPr>
          <w:rFonts w:hint="eastAsia" w:ascii="宋体" w:hAnsi="宋体" w:eastAsia="宋体" w:cs="宋体"/>
          <w:b w:val="0"/>
          <w:bCs/>
          <w:strike w:val="0"/>
          <w:dstrike w:val="0"/>
          <w:sz w:val="24"/>
          <w:szCs w:val="24"/>
          <w:highlight w:val="none"/>
          <w:lang w:eastAsia="zh-CN"/>
        </w:rPr>
        <w:t>；</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trike w:val="0"/>
          <w:dstrike w:val="0"/>
          <w:sz w:val="24"/>
          <w:szCs w:val="24"/>
          <w:highlight w:val="none"/>
        </w:rPr>
      </w:pPr>
      <w:r>
        <w:rPr>
          <w:rFonts w:hint="eastAsia" w:ascii="宋体" w:hAnsi="宋体" w:eastAsia="宋体" w:cs="宋体"/>
          <w:b w:val="0"/>
          <w:bCs/>
          <w:strike w:val="0"/>
          <w:dstrike w:val="0"/>
          <w:sz w:val="24"/>
          <w:szCs w:val="24"/>
          <w:highlight w:val="none"/>
        </w:rPr>
        <w:t>法律、行政法规规定的其他条件</w:t>
      </w:r>
      <w:r>
        <w:rPr>
          <w:rFonts w:hint="eastAsia" w:ascii="宋体" w:hAnsi="宋体" w:eastAsia="宋体" w:cs="宋体"/>
          <w:b w:val="0"/>
          <w:bCs/>
          <w:strike w:val="0"/>
          <w:dstrike w:val="0"/>
          <w:sz w:val="24"/>
          <w:szCs w:val="24"/>
          <w:highlight w:val="none"/>
          <w:lang w:eastAsia="zh-CN"/>
        </w:rPr>
        <w:t>；</w:t>
      </w:r>
    </w:p>
    <w:p>
      <w:pPr>
        <w:pStyle w:val="74"/>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bCs w:val="0"/>
          <w:strike w:val="0"/>
          <w:dstrike w:val="0"/>
          <w:color w:val="FF0000"/>
          <w:sz w:val="24"/>
          <w:szCs w:val="24"/>
          <w:highlight w:val="none"/>
          <w:lang w:val="en-US" w:eastAsia="zh-CN"/>
        </w:rPr>
      </w:pPr>
      <w:r>
        <w:rPr>
          <w:rFonts w:hint="eastAsia" w:ascii="宋体" w:hAnsi="宋体" w:eastAsia="宋体" w:cs="宋体"/>
          <w:b w:val="0"/>
          <w:bCs/>
          <w:strike w:val="0"/>
          <w:dstrike w:val="0"/>
          <w:sz w:val="24"/>
          <w:szCs w:val="24"/>
          <w:highlight w:val="none"/>
          <w:lang w:val="en-US" w:eastAsia="zh-CN"/>
        </w:rPr>
        <w:t>投标人</w:t>
      </w:r>
      <w:r>
        <w:rPr>
          <w:rFonts w:hint="eastAsia" w:ascii="宋体" w:hAnsi="宋体" w:eastAsia="宋体" w:cs="宋体"/>
          <w:b w:val="0"/>
          <w:bCs/>
          <w:strike w:val="0"/>
          <w:dstrike w:val="0"/>
          <w:sz w:val="24"/>
          <w:szCs w:val="24"/>
          <w:highlight w:val="none"/>
        </w:rPr>
        <w:t>是招标货物的制造商或制造商授权的经销商；一个制造商对同一品牌同一型号的货物,仅能委托一个代理商参加投标</w:t>
      </w:r>
      <w:r>
        <w:rPr>
          <w:rFonts w:hint="eastAsia" w:ascii="宋体" w:hAnsi="宋体" w:eastAsia="宋体" w:cs="宋体"/>
          <w:b w:val="0"/>
          <w:bCs/>
          <w:strike w:val="0"/>
          <w:dstrike w:val="0"/>
          <w:sz w:val="24"/>
          <w:szCs w:val="24"/>
          <w:highlight w:val="none"/>
          <w:lang w:eastAsia="zh-CN"/>
        </w:rPr>
        <w:t>。</w:t>
      </w:r>
      <w:r>
        <w:rPr>
          <w:rFonts w:hint="eastAsia" w:ascii="宋体" w:hAnsi="宋体" w:eastAsia="宋体" w:cs="宋体"/>
          <w:b w:val="0"/>
          <w:bCs/>
          <w:sz w:val="24"/>
          <w:szCs w:val="24"/>
          <w:highlight w:val="none"/>
        </w:rPr>
        <w:t>如为代理商投标，需获得生产厂家正式授权，提供授权书原件，保证提供原厂售后服务并提供原厂售后服务承诺书原件</w:t>
      </w:r>
      <w:r>
        <w:rPr>
          <w:rFonts w:hint="eastAsia" w:ascii="宋体" w:hAnsi="宋体" w:eastAsia="宋体" w:cs="宋体"/>
          <w:b w:val="0"/>
          <w:bCs/>
          <w:sz w:val="24"/>
          <w:szCs w:val="24"/>
          <w:highlight w:val="none"/>
          <w:lang w:eastAsia="zh-CN"/>
        </w:rPr>
        <w:t>。</w:t>
      </w:r>
    </w:p>
    <w:p>
      <w:pPr>
        <w:pStyle w:val="73"/>
        <w:rPr>
          <w:rFonts w:hint="eastAsia" w:ascii="宋体" w:hAnsi="宋体" w:eastAsia="宋体" w:cs="宋体"/>
          <w:highlight w:val="none"/>
        </w:rPr>
      </w:pPr>
      <w:r>
        <w:rPr>
          <w:rFonts w:hint="eastAsia" w:ascii="宋体" w:hAnsi="宋体" w:eastAsia="宋体" w:cs="宋体"/>
          <w:highlight w:val="none"/>
        </w:rPr>
        <w:t>招标文件的</w:t>
      </w:r>
      <w:r>
        <w:rPr>
          <w:rFonts w:hint="eastAsia" w:ascii="宋体" w:hAnsi="宋体" w:eastAsia="宋体" w:cs="宋体"/>
          <w:highlight w:val="none"/>
          <w:lang w:val="en-US" w:eastAsia="zh-CN"/>
        </w:rPr>
        <w:t>领取、</w:t>
      </w:r>
      <w:r>
        <w:rPr>
          <w:rFonts w:hint="eastAsia" w:ascii="宋体" w:hAnsi="宋体" w:eastAsia="宋体" w:cs="宋体"/>
          <w:highlight w:val="none"/>
        </w:rPr>
        <w:t>答疑、</w:t>
      </w:r>
      <w:r>
        <w:rPr>
          <w:rFonts w:hint="eastAsia" w:ascii="宋体" w:hAnsi="宋体" w:eastAsia="宋体" w:cs="宋体"/>
          <w:highlight w:val="none"/>
          <w:lang w:val="en-US" w:eastAsia="zh-CN"/>
        </w:rPr>
        <w:t>应标</w:t>
      </w:r>
      <w:r>
        <w:rPr>
          <w:rFonts w:hint="eastAsia" w:ascii="宋体" w:hAnsi="宋体" w:eastAsia="宋体" w:cs="宋体"/>
          <w:highlight w:val="none"/>
        </w:rPr>
        <w:t>及投标报名</w:t>
      </w:r>
    </w:p>
    <w:p>
      <w:pPr>
        <w:pStyle w:val="77"/>
        <w:numPr>
          <w:ilvl w:val="0"/>
          <w:numId w:val="13"/>
        </w:numPr>
        <w:ind w:left="425" w:leftChars="0" w:hanging="425" w:firstLineChars="0"/>
        <w:jc w:val="both"/>
        <w:rPr>
          <w:rFonts w:hint="eastAsia" w:ascii="宋体" w:hAnsi="宋体" w:eastAsia="宋体" w:cs="宋体"/>
          <w:b/>
          <w:bCs/>
          <w:color w:val="auto"/>
          <w:sz w:val="24"/>
          <w:szCs w:val="24"/>
          <w:highlight w:val="yellow"/>
          <w:lang w:val="en-US" w:eastAsia="zh-CN"/>
        </w:rPr>
      </w:pPr>
      <w:r>
        <w:rPr>
          <w:rFonts w:hint="eastAsia" w:ascii="宋体" w:hAnsi="宋体" w:eastAsia="宋体" w:cs="宋体"/>
          <w:b/>
          <w:bCs/>
          <w:color w:val="auto"/>
          <w:sz w:val="24"/>
          <w:szCs w:val="24"/>
          <w:highlight w:val="none"/>
          <w:lang w:val="en-US" w:eastAsia="zh-CN"/>
        </w:rPr>
        <w:t>发标时间：</w:t>
      </w:r>
      <w:r>
        <w:rPr>
          <w:rFonts w:hint="eastAsia" w:ascii="宋体" w:hAnsi="宋体" w:eastAsia="宋体" w:cs="宋体"/>
          <w:b/>
          <w:bCs/>
          <w:color w:val="auto"/>
          <w:sz w:val="24"/>
          <w:szCs w:val="24"/>
          <w:highlight w:val="yellow"/>
          <w:lang w:val="en-US" w:eastAsia="zh-CN"/>
        </w:rPr>
        <w:t>2026年9月</w:t>
      </w:r>
      <w:r>
        <w:rPr>
          <w:rFonts w:hint="eastAsia" w:hAnsi="宋体" w:cs="宋体"/>
          <w:b/>
          <w:bCs/>
          <w:color w:val="auto"/>
          <w:sz w:val="24"/>
          <w:szCs w:val="24"/>
          <w:highlight w:val="yellow"/>
          <w:lang w:val="en-US" w:eastAsia="zh-CN"/>
        </w:rPr>
        <w:t>15</w:t>
      </w:r>
      <w:r>
        <w:rPr>
          <w:rFonts w:hint="eastAsia" w:ascii="宋体" w:hAnsi="宋体" w:eastAsia="宋体" w:cs="宋体"/>
          <w:b/>
          <w:bCs/>
          <w:color w:val="auto"/>
          <w:sz w:val="24"/>
          <w:szCs w:val="24"/>
          <w:highlight w:val="yellow"/>
          <w:lang w:val="en-US" w:eastAsia="zh-CN"/>
        </w:rPr>
        <w:t>日</w:t>
      </w:r>
    </w:p>
    <w:p>
      <w:pPr>
        <w:pStyle w:val="77"/>
        <w:numPr>
          <w:ilvl w:val="0"/>
          <w:numId w:val="13"/>
        </w:numPr>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招标文件领取方式：线上</w:t>
      </w:r>
    </w:p>
    <w:p>
      <w:pPr>
        <w:pStyle w:val="77"/>
        <w:ind w:firstLine="240" w:firstLineChars="1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地点：中国重汽e采通平台</w:t>
      </w:r>
    </w:p>
    <w:p>
      <w:pPr>
        <w:pStyle w:val="77"/>
        <w:ind w:firstLine="240" w:firstLineChars="100"/>
        <w:jc w:val="both"/>
        <w:rPr>
          <w:rFonts w:hint="eastAsia" w:ascii="宋体" w:hAnsi="宋体" w:eastAsia="宋体" w:cs="宋体"/>
          <w:color w:val="auto"/>
          <w:sz w:val="24"/>
          <w:szCs w:val="24"/>
          <w:highlight w:val="yellow"/>
        </w:rPr>
      </w:pPr>
      <w:r>
        <w:rPr>
          <w:rFonts w:hint="eastAsia" w:ascii="宋体" w:hAnsi="宋体" w:eastAsia="宋体" w:cs="宋体"/>
          <w:sz w:val="24"/>
          <w:szCs w:val="24"/>
          <w:highlight w:val="none"/>
        </w:rPr>
        <w:t>领取截止时间：</w:t>
      </w:r>
      <w:r>
        <w:rPr>
          <w:rFonts w:hint="eastAsia" w:ascii="宋体" w:hAnsi="宋体" w:eastAsia="宋体" w:cs="宋体"/>
          <w:b/>
          <w:bCs/>
          <w:color w:val="auto"/>
          <w:sz w:val="24"/>
          <w:szCs w:val="24"/>
          <w:highlight w:val="yellow"/>
        </w:rPr>
        <w:t>2</w:t>
      </w:r>
      <w:r>
        <w:rPr>
          <w:rFonts w:hint="eastAsia" w:ascii="宋体" w:hAnsi="宋体" w:eastAsia="宋体" w:cs="宋体"/>
          <w:b/>
          <w:bCs/>
          <w:color w:val="auto"/>
          <w:sz w:val="24"/>
          <w:szCs w:val="24"/>
          <w:highlight w:val="yellow"/>
          <w:lang w:val="en-US" w:eastAsia="zh-CN"/>
        </w:rPr>
        <w:t>026年</w:t>
      </w:r>
      <w:r>
        <w:rPr>
          <w:rFonts w:hint="eastAsia" w:hAnsi="宋体" w:cs="宋体"/>
          <w:b/>
          <w:bCs/>
          <w:color w:val="auto"/>
          <w:sz w:val="24"/>
          <w:szCs w:val="24"/>
          <w:highlight w:val="yellow"/>
          <w:lang w:val="en-US" w:eastAsia="zh-CN"/>
        </w:rPr>
        <w:t>10</w:t>
      </w:r>
      <w:r>
        <w:rPr>
          <w:rFonts w:hint="eastAsia" w:ascii="宋体" w:hAnsi="宋体" w:eastAsia="宋体" w:cs="宋体"/>
          <w:b/>
          <w:bCs/>
          <w:color w:val="auto"/>
          <w:sz w:val="24"/>
          <w:szCs w:val="24"/>
          <w:highlight w:val="yellow"/>
          <w:lang w:val="en-US" w:eastAsia="zh-CN"/>
        </w:rPr>
        <w:t>月</w:t>
      </w:r>
      <w:r>
        <w:rPr>
          <w:rFonts w:hint="eastAsia" w:hAnsi="宋体" w:cs="宋体"/>
          <w:b/>
          <w:bCs/>
          <w:color w:val="auto"/>
          <w:sz w:val="24"/>
          <w:szCs w:val="24"/>
          <w:highlight w:val="yellow"/>
          <w:lang w:val="en-US" w:eastAsia="zh-CN"/>
        </w:rPr>
        <w:t>7</w:t>
      </w:r>
      <w:r>
        <w:rPr>
          <w:rFonts w:hint="eastAsia" w:ascii="宋体" w:hAnsi="宋体" w:eastAsia="宋体" w:cs="宋体"/>
          <w:b/>
          <w:bCs/>
          <w:color w:val="auto"/>
          <w:sz w:val="24"/>
          <w:szCs w:val="24"/>
          <w:highlight w:val="yellow"/>
          <w:lang w:val="en-US" w:eastAsia="zh-CN"/>
        </w:rPr>
        <w:t>日</w:t>
      </w:r>
    </w:p>
    <w:p>
      <w:pPr>
        <w:pStyle w:val="77"/>
        <w:numPr>
          <w:ilvl w:val="0"/>
          <w:numId w:val="13"/>
        </w:numPr>
        <w:ind w:left="425" w:leftChars="0" w:hanging="425" w:firstLineChars="0"/>
        <w:jc w:val="both"/>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none"/>
          <w:lang w:val="en-US" w:eastAsia="zh-CN"/>
        </w:rPr>
        <w:t>答疑时间：</w:t>
      </w:r>
      <w:r>
        <w:rPr>
          <w:rFonts w:hint="eastAsia" w:ascii="宋体" w:hAnsi="宋体" w:eastAsia="宋体" w:cs="宋体"/>
          <w:b/>
          <w:bCs/>
          <w:color w:val="auto"/>
          <w:sz w:val="24"/>
          <w:szCs w:val="24"/>
          <w:highlight w:val="yellow"/>
          <w:lang w:val="en-US" w:eastAsia="zh-CN"/>
        </w:rPr>
        <w:t>2026年</w:t>
      </w:r>
      <w:r>
        <w:rPr>
          <w:rFonts w:hint="eastAsia" w:hAnsi="宋体" w:cs="宋体"/>
          <w:b/>
          <w:bCs/>
          <w:color w:val="auto"/>
          <w:sz w:val="24"/>
          <w:szCs w:val="24"/>
          <w:highlight w:val="yellow"/>
          <w:lang w:val="en-US" w:eastAsia="zh-CN"/>
        </w:rPr>
        <w:t>10</w:t>
      </w:r>
      <w:r>
        <w:rPr>
          <w:rFonts w:hint="eastAsia" w:ascii="宋体" w:hAnsi="宋体" w:eastAsia="宋体" w:cs="宋体"/>
          <w:b/>
          <w:bCs/>
          <w:color w:val="auto"/>
          <w:sz w:val="24"/>
          <w:szCs w:val="24"/>
          <w:highlight w:val="yellow"/>
          <w:lang w:val="en-US" w:eastAsia="zh-CN"/>
        </w:rPr>
        <w:t>月</w:t>
      </w:r>
      <w:r>
        <w:rPr>
          <w:rFonts w:hint="eastAsia" w:hAnsi="宋体" w:cs="宋体"/>
          <w:b/>
          <w:bCs/>
          <w:color w:val="auto"/>
          <w:sz w:val="24"/>
          <w:szCs w:val="24"/>
          <w:highlight w:val="yellow"/>
          <w:lang w:val="en-US" w:eastAsia="zh-CN"/>
        </w:rPr>
        <w:t>7</w:t>
      </w:r>
      <w:r>
        <w:rPr>
          <w:rFonts w:hint="eastAsia" w:ascii="宋体" w:hAnsi="宋体" w:eastAsia="宋体" w:cs="宋体"/>
          <w:b/>
          <w:bCs/>
          <w:color w:val="auto"/>
          <w:sz w:val="24"/>
          <w:szCs w:val="24"/>
          <w:highlight w:val="yellow"/>
          <w:lang w:val="en-US" w:eastAsia="zh-CN"/>
        </w:rPr>
        <w:t>日9：00前</w:t>
      </w:r>
    </w:p>
    <w:p>
      <w:pPr>
        <w:pStyle w:val="77"/>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提交疑问方式：将答疑问题以word文件格式发送至联系人邮件内，并电话联系工作人员查收，</w:t>
      </w:r>
      <w:r>
        <w:rPr>
          <w:rFonts w:hint="eastAsia" w:ascii="宋体" w:hAnsi="宋体" w:eastAsia="宋体" w:cs="宋体"/>
          <w:b/>
          <w:bCs/>
          <w:sz w:val="24"/>
          <w:szCs w:val="24"/>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pPr>
        <w:pStyle w:val="77"/>
        <w:numPr>
          <w:ilvl w:val="0"/>
          <w:numId w:val="13"/>
        </w:numPr>
        <w:ind w:left="425" w:leftChars="0" w:hanging="425" w:firstLineChars="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领取答疑、澄清和修改文件时间：</w:t>
      </w:r>
      <w:r>
        <w:rPr>
          <w:rFonts w:hint="eastAsia" w:ascii="宋体" w:hAnsi="宋体" w:eastAsia="宋体" w:cs="宋体"/>
          <w:b/>
          <w:bCs/>
          <w:color w:val="auto"/>
          <w:sz w:val="24"/>
          <w:szCs w:val="24"/>
          <w:highlight w:val="yellow"/>
          <w:lang w:val="en-US" w:eastAsia="zh-CN"/>
        </w:rPr>
        <w:t>2026年</w:t>
      </w:r>
      <w:r>
        <w:rPr>
          <w:rFonts w:hint="eastAsia" w:hAnsi="宋体" w:cs="宋体"/>
          <w:b/>
          <w:bCs/>
          <w:color w:val="auto"/>
          <w:sz w:val="24"/>
          <w:szCs w:val="24"/>
          <w:highlight w:val="yellow"/>
          <w:lang w:val="en-US" w:eastAsia="zh-CN"/>
        </w:rPr>
        <w:t>10</w:t>
      </w:r>
      <w:r>
        <w:rPr>
          <w:rFonts w:hint="eastAsia" w:ascii="宋体" w:hAnsi="宋体" w:eastAsia="宋体" w:cs="宋体"/>
          <w:b/>
          <w:bCs/>
          <w:color w:val="auto"/>
          <w:sz w:val="24"/>
          <w:szCs w:val="24"/>
          <w:highlight w:val="yellow"/>
          <w:lang w:val="en-US" w:eastAsia="zh-CN"/>
        </w:rPr>
        <w:t>月</w:t>
      </w:r>
      <w:r>
        <w:rPr>
          <w:rFonts w:hint="eastAsia" w:hAnsi="宋体" w:cs="宋体"/>
          <w:b/>
          <w:bCs/>
          <w:color w:val="auto"/>
          <w:sz w:val="24"/>
          <w:szCs w:val="24"/>
          <w:highlight w:val="yellow"/>
          <w:lang w:val="en-US" w:eastAsia="zh-CN"/>
        </w:rPr>
        <w:t>6</w:t>
      </w:r>
      <w:r>
        <w:rPr>
          <w:rFonts w:hint="eastAsia" w:ascii="宋体" w:hAnsi="宋体" w:eastAsia="宋体" w:cs="宋体"/>
          <w:b/>
          <w:bCs/>
          <w:color w:val="auto"/>
          <w:sz w:val="24"/>
          <w:szCs w:val="24"/>
          <w:highlight w:val="yellow"/>
          <w:lang w:val="en-US" w:eastAsia="zh-CN"/>
        </w:rPr>
        <w:t>日</w:t>
      </w:r>
      <w:r>
        <w:rPr>
          <w:rFonts w:hint="eastAsia" w:ascii="宋体" w:hAnsi="宋体" w:eastAsia="宋体" w:cs="宋体"/>
          <w:bCs/>
          <w:sz w:val="24"/>
          <w:szCs w:val="24"/>
          <w:highlight w:val="none"/>
        </w:rPr>
        <w:t>17:00:00</w:t>
      </w:r>
      <w:r>
        <w:rPr>
          <w:rFonts w:hint="eastAsia" w:ascii="宋体" w:hAnsi="宋体" w:eastAsia="宋体" w:cs="宋体"/>
          <w:sz w:val="24"/>
          <w:szCs w:val="24"/>
          <w:highlight w:val="none"/>
        </w:rPr>
        <w:t>前</w:t>
      </w:r>
      <w:r>
        <w:rPr>
          <w:rFonts w:hint="eastAsia" w:ascii="宋体" w:hAnsi="宋体" w:eastAsia="宋体" w:cs="宋体"/>
          <w:sz w:val="24"/>
          <w:szCs w:val="24"/>
          <w:highlight w:val="none"/>
          <w:lang w:val="en-US" w:eastAsia="zh-CN"/>
        </w:rPr>
        <w:t>：</w:t>
      </w:r>
    </w:p>
    <w:p>
      <w:pPr>
        <w:pStyle w:val="77"/>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答疑、澄清和修改文件方式：招标人将以电子邮件的方式将招标文件的答疑澄清文件发送至答疑文件提交时登记的电子邮箱。</w:t>
      </w:r>
    </w:p>
    <w:p>
      <w:pPr>
        <w:pStyle w:val="77"/>
        <w:numPr>
          <w:ilvl w:val="0"/>
          <w:numId w:val="13"/>
        </w:numPr>
        <w:ind w:left="425" w:leftChars="0" w:hanging="425" w:firstLineChars="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报名方式：</w:t>
      </w:r>
      <w:r>
        <w:rPr>
          <w:rFonts w:hint="eastAsia" w:ascii="宋体" w:hAnsi="宋体" w:eastAsia="宋体" w:cs="宋体"/>
          <w:sz w:val="24"/>
          <w:szCs w:val="24"/>
          <w:highlight w:val="none"/>
        </w:rPr>
        <w:t>在“中国重汽e采通”平台报名</w:t>
      </w:r>
    </w:p>
    <w:p>
      <w:pPr>
        <w:pStyle w:val="77"/>
        <w:numPr>
          <w:ilvl w:val="0"/>
          <w:numId w:val="13"/>
        </w:numPr>
        <w:ind w:left="425" w:leftChars="0" w:hanging="425" w:firstLineChars="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应标截止时间</w:t>
      </w:r>
      <w:r>
        <w:rPr>
          <w:rFonts w:hint="eastAsia" w:ascii="宋体" w:hAnsi="宋体" w:eastAsia="宋体" w:cs="宋体"/>
          <w:b/>
          <w:bCs/>
          <w:color w:val="auto"/>
          <w:sz w:val="24"/>
          <w:szCs w:val="24"/>
          <w:highlight w:val="yellow"/>
        </w:rPr>
        <w:t>202</w:t>
      </w:r>
      <w:r>
        <w:rPr>
          <w:rFonts w:hint="eastAsia" w:ascii="宋体" w:hAnsi="宋体" w:eastAsia="宋体" w:cs="宋体"/>
          <w:b/>
          <w:bCs/>
          <w:color w:val="auto"/>
          <w:sz w:val="24"/>
          <w:szCs w:val="24"/>
          <w:highlight w:val="yellow"/>
          <w:lang w:val="en-US" w:eastAsia="zh-CN"/>
        </w:rPr>
        <w:t>6</w:t>
      </w:r>
      <w:r>
        <w:rPr>
          <w:rFonts w:hint="eastAsia" w:ascii="宋体" w:hAnsi="宋体" w:eastAsia="宋体" w:cs="宋体"/>
          <w:b/>
          <w:bCs/>
          <w:color w:val="auto"/>
          <w:sz w:val="24"/>
          <w:szCs w:val="24"/>
          <w:highlight w:val="yellow"/>
        </w:rPr>
        <w:t>年</w:t>
      </w:r>
      <w:r>
        <w:rPr>
          <w:rFonts w:hint="eastAsia" w:hAnsi="宋体" w:cs="宋体"/>
          <w:b/>
          <w:bCs/>
          <w:color w:val="auto"/>
          <w:sz w:val="24"/>
          <w:szCs w:val="24"/>
          <w:highlight w:val="yellow"/>
          <w:lang w:val="en-US" w:eastAsia="zh-CN"/>
        </w:rPr>
        <w:t>10</w:t>
      </w:r>
      <w:r>
        <w:rPr>
          <w:rFonts w:hint="eastAsia" w:ascii="宋体" w:hAnsi="宋体" w:eastAsia="宋体" w:cs="宋体"/>
          <w:b/>
          <w:bCs/>
          <w:color w:val="auto"/>
          <w:sz w:val="24"/>
          <w:szCs w:val="24"/>
          <w:highlight w:val="yellow"/>
          <w:lang w:val="en-US" w:eastAsia="zh-CN"/>
        </w:rPr>
        <w:t>月</w:t>
      </w:r>
      <w:r>
        <w:rPr>
          <w:rFonts w:hint="eastAsia" w:hAnsi="宋体" w:cs="宋体"/>
          <w:b/>
          <w:bCs/>
          <w:color w:val="auto"/>
          <w:sz w:val="24"/>
          <w:szCs w:val="24"/>
          <w:highlight w:val="yellow"/>
          <w:lang w:val="en-US" w:eastAsia="zh-CN"/>
        </w:rPr>
        <w:t>7</w:t>
      </w:r>
      <w:r>
        <w:rPr>
          <w:rFonts w:hint="eastAsia" w:ascii="宋体" w:hAnsi="宋体" w:eastAsia="宋体" w:cs="宋体"/>
          <w:b/>
          <w:bCs/>
          <w:color w:val="auto"/>
          <w:sz w:val="24"/>
          <w:szCs w:val="24"/>
          <w:highlight w:val="yellow"/>
          <w:lang w:val="en-US" w:eastAsia="zh-CN"/>
        </w:rPr>
        <w:t>日</w:t>
      </w:r>
      <w:r>
        <w:rPr>
          <w:rFonts w:hint="eastAsia" w:ascii="宋体" w:hAnsi="宋体" w:eastAsia="宋体" w:cs="宋体"/>
          <w:bCs/>
          <w:sz w:val="24"/>
          <w:szCs w:val="24"/>
          <w:highlight w:val="none"/>
        </w:rPr>
        <w:t>17:00:00前</w:t>
      </w:r>
    </w:p>
    <w:p>
      <w:pPr>
        <w:pStyle w:val="73"/>
        <w:rPr>
          <w:rFonts w:hint="eastAsia" w:ascii="宋体" w:hAnsi="宋体" w:eastAsia="宋体" w:cs="宋体"/>
          <w:highlight w:val="none"/>
          <w:lang w:val="en-US" w:eastAsia="zh-CN"/>
        </w:rPr>
      </w:pPr>
      <w:r>
        <w:rPr>
          <w:rFonts w:hint="eastAsia" w:ascii="宋体" w:hAnsi="宋体" w:eastAsia="宋体" w:cs="宋体"/>
          <w:highlight w:val="none"/>
        </w:rPr>
        <w:t>投标文件</w:t>
      </w:r>
      <w:r>
        <w:rPr>
          <w:rFonts w:hint="eastAsia" w:ascii="宋体" w:hAnsi="宋体" w:eastAsia="宋体" w:cs="宋体"/>
          <w:highlight w:val="none"/>
          <w:lang w:val="en-US" w:eastAsia="zh-CN"/>
        </w:rPr>
        <w:t>编制</w:t>
      </w:r>
    </w:p>
    <w:p>
      <w:pPr>
        <w:pStyle w:val="74"/>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lang w:val="en-US" w:eastAsia="zh-CN"/>
        </w:rPr>
        <w:t>投标文件的组成</w:t>
      </w:r>
    </w:p>
    <w:p>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投标人编写的投标文件由《投标文件（资质标）》、《投标文件（技术标）》(若有）、《投标文件（商务标）》（开标一览表）文件组成，共计</w:t>
      </w:r>
      <w:r>
        <w:rPr>
          <w:rFonts w:hint="eastAsia" w:ascii="宋体" w:hAnsi="宋体" w:eastAsia="宋体" w:cs="宋体"/>
          <w:b w:val="0"/>
          <w:bCs/>
          <w:sz w:val="24"/>
          <w:szCs w:val="24"/>
          <w:highlight w:val="none"/>
          <w:u w:val="single"/>
          <w:lang w:val="en-US" w:eastAsia="zh-CN"/>
        </w:rPr>
        <w:t>3</w:t>
      </w:r>
      <w:r>
        <w:rPr>
          <w:rFonts w:hint="eastAsia" w:ascii="宋体" w:hAnsi="宋体" w:eastAsia="宋体" w:cs="宋体"/>
          <w:b w:val="0"/>
          <w:bCs/>
          <w:sz w:val="24"/>
          <w:szCs w:val="24"/>
          <w:highlight w:val="none"/>
          <w:lang w:val="en-US" w:eastAsia="zh-CN"/>
        </w:rPr>
        <w:t>个文件。</w:t>
      </w:r>
    </w:p>
    <w:p>
      <w:pPr>
        <w:pStyle w:val="75"/>
        <w:numPr>
          <w:ilvl w:val="0"/>
          <w:numId w:val="15"/>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资质文件：</w:t>
      </w:r>
    </w:p>
    <w:p>
      <w:pPr>
        <w:pStyle w:val="76"/>
        <w:numPr>
          <w:ilvl w:val="0"/>
          <w:numId w:val="16"/>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法定代表人身份证明；</w:t>
      </w:r>
    </w:p>
    <w:p>
      <w:pPr>
        <w:pStyle w:val="76"/>
        <w:numPr>
          <w:ilvl w:val="0"/>
          <w:numId w:val="16"/>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法定代表人授权委托书（授权人需带身份证原件）；</w:t>
      </w:r>
    </w:p>
    <w:p>
      <w:pPr>
        <w:pStyle w:val="76"/>
        <w:numPr>
          <w:ilvl w:val="0"/>
          <w:numId w:val="16"/>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营业执照副本原件</w:t>
      </w:r>
      <w:r>
        <w:rPr>
          <w:rFonts w:hint="eastAsia" w:ascii="宋体" w:hAnsi="宋体" w:eastAsia="宋体" w:cs="宋体"/>
          <w:b w:val="0"/>
          <w:bCs/>
          <w:sz w:val="24"/>
          <w:szCs w:val="24"/>
          <w:highlight w:val="none"/>
          <w:lang w:val="en-US" w:eastAsia="zh-CN"/>
        </w:rPr>
        <w:t>或复印件并加盖公章</w:t>
      </w:r>
      <w:r>
        <w:rPr>
          <w:rFonts w:hint="eastAsia" w:ascii="宋体" w:hAnsi="宋体" w:eastAsia="宋体" w:cs="宋体"/>
          <w:b w:val="0"/>
          <w:bCs/>
          <w:sz w:val="24"/>
          <w:szCs w:val="24"/>
          <w:highlight w:val="none"/>
        </w:rPr>
        <w:t>；</w:t>
      </w:r>
    </w:p>
    <w:p>
      <w:pPr>
        <w:pStyle w:val="76"/>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投标人应具有相应生产证明，若</w:t>
      </w:r>
      <w:r>
        <w:rPr>
          <w:rFonts w:hint="eastAsia" w:ascii="宋体" w:hAnsi="宋体" w:eastAsia="宋体" w:cs="宋体"/>
          <w:b w:val="0"/>
          <w:bCs/>
          <w:sz w:val="24"/>
          <w:szCs w:val="24"/>
          <w:highlight w:val="none"/>
          <w:lang w:val="en-US" w:eastAsia="zh-CN"/>
        </w:rPr>
        <w:t>非原厂商</w:t>
      </w:r>
      <w:r>
        <w:rPr>
          <w:rFonts w:hint="eastAsia" w:ascii="宋体" w:hAnsi="宋体" w:eastAsia="宋体" w:cs="宋体"/>
          <w:b w:val="0"/>
          <w:bCs/>
          <w:sz w:val="24"/>
          <w:szCs w:val="24"/>
          <w:highlight w:val="none"/>
        </w:rPr>
        <w:t>需提供</w:t>
      </w:r>
      <w:r>
        <w:rPr>
          <w:rFonts w:hint="eastAsia" w:ascii="宋体" w:hAnsi="宋体" w:eastAsia="宋体" w:cs="宋体"/>
          <w:b w:val="0"/>
          <w:bCs/>
          <w:sz w:val="24"/>
          <w:szCs w:val="24"/>
          <w:highlight w:val="none"/>
          <w:lang w:val="en-US" w:eastAsia="zh-CN"/>
        </w:rPr>
        <w:t>原厂商</w:t>
      </w:r>
      <w:r>
        <w:rPr>
          <w:rFonts w:hint="eastAsia" w:ascii="宋体" w:hAnsi="宋体" w:eastAsia="宋体" w:cs="宋体"/>
          <w:b w:val="0"/>
          <w:bCs/>
          <w:sz w:val="24"/>
          <w:szCs w:val="24"/>
          <w:highlight w:val="none"/>
        </w:rPr>
        <w:t>授权书（原件或加盖投标单位公章的彩色打印件）；</w:t>
      </w:r>
    </w:p>
    <w:p>
      <w:pPr>
        <w:pStyle w:val="76"/>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证明投标人满足投标资料表中列出的业绩要求的文件</w:t>
      </w:r>
      <w:r>
        <w:rPr>
          <w:rFonts w:hint="eastAsia" w:ascii="宋体" w:hAnsi="宋体" w:eastAsia="宋体" w:cs="宋体"/>
          <w:b w:val="0"/>
          <w:bCs/>
          <w:sz w:val="24"/>
          <w:szCs w:val="24"/>
          <w:highlight w:val="none"/>
          <w:lang w:eastAsia="zh-CN"/>
        </w:rPr>
        <w:t>；</w:t>
      </w:r>
    </w:p>
    <w:p>
      <w:pPr>
        <w:pStyle w:val="76"/>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pPr>
        <w:pStyle w:val="76"/>
        <w:numPr>
          <w:ilvl w:val="0"/>
          <w:numId w:val="16"/>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企业最近半年完税证明、信用证明材料（征信报告）；</w:t>
      </w:r>
    </w:p>
    <w:p>
      <w:pPr>
        <w:pStyle w:val="76"/>
        <w:numPr>
          <w:ilvl w:val="0"/>
          <w:numId w:val="16"/>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年度纳税信用评价信息（可从电子税务局查询截图，需加盖公章）；</w:t>
      </w:r>
    </w:p>
    <w:p>
      <w:pPr>
        <w:pStyle w:val="76"/>
        <w:numPr>
          <w:ilvl w:val="0"/>
          <w:numId w:val="16"/>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企业对外担保说明（写明贵单位对外有无对外担保和质押业务，需加盖公章）。</w:t>
      </w:r>
    </w:p>
    <w:p>
      <w:pPr>
        <w:pStyle w:val="76"/>
        <w:numPr>
          <w:ilvl w:val="0"/>
          <w:numId w:val="16"/>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信用中国截图或国家企业信用信息公示系统截图；</w:t>
      </w:r>
    </w:p>
    <w:p>
      <w:pPr>
        <w:pStyle w:val="76"/>
        <w:numPr>
          <w:ilvl w:val="0"/>
          <w:numId w:val="16"/>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kern w:val="2"/>
          <w:sz w:val="24"/>
          <w:szCs w:val="24"/>
          <w:highlight w:val="none"/>
          <w:lang w:bidi="ar"/>
        </w:rPr>
        <w:t>投标保证金银行转账凭证</w:t>
      </w:r>
      <w:r>
        <w:rPr>
          <w:rFonts w:hint="eastAsia" w:ascii="宋体" w:hAnsi="宋体" w:eastAsia="宋体" w:cs="宋体"/>
          <w:kern w:val="2"/>
          <w:sz w:val="24"/>
          <w:szCs w:val="24"/>
          <w:highlight w:val="none"/>
          <w:lang w:eastAsia="zh-CN" w:bidi="ar"/>
        </w:rPr>
        <w:t>；</w:t>
      </w:r>
      <w:r>
        <w:rPr>
          <w:rFonts w:hint="eastAsia" w:ascii="宋体" w:hAnsi="宋体" w:eastAsia="宋体" w:cs="宋体"/>
          <w:kern w:val="2"/>
          <w:sz w:val="24"/>
          <w:szCs w:val="24"/>
          <w:lang w:eastAsia="zh-CN" w:bidi="ar"/>
        </w:rPr>
        <w:t>（</w:t>
      </w:r>
      <w:r>
        <w:rPr>
          <w:rFonts w:hint="eastAsia" w:ascii="宋体" w:hAnsi="宋体" w:eastAsia="宋体" w:cs="宋体"/>
          <w:kern w:val="2"/>
          <w:sz w:val="24"/>
          <w:szCs w:val="24"/>
          <w:lang w:val="en-US" w:eastAsia="zh-CN" w:bidi="ar"/>
        </w:rPr>
        <w:t>应标时可不提供）</w:t>
      </w:r>
    </w:p>
    <w:p>
      <w:pPr>
        <w:pStyle w:val="76"/>
        <w:numPr>
          <w:ilvl w:val="0"/>
          <w:numId w:val="16"/>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招标文件中要求的其它资格证明文件。</w:t>
      </w:r>
    </w:p>
    <w:p>
      <w:pPr>
        <w:pStyle w:val="76"/>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对于投标人资质审核不通过的，招标人有权拒绝其投标。</w:t>
      </w:r>
    </w:p>
    <w:p>
      <w:pPr>
        <w:pStyle w:val="75"/>
        <w:numPr>
          <w:ilvl w:val="0"/>
          <w:numId w:val="15"/>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技术标：</w:t>
      </w:r>
    </w:p>
    <w:p>
      <w:pPr>
        <w:pStyle w:val="76"/>
        <w:numPr>
          <w:ilvl w:val="0"/>
          <w:numId w:val="18"/>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技术配置对比表。</w:t>
      </w:r>
    </w:p>
    <w:p>
      <w:pPr>
        <w:pStyle w:val="76"/>
        <w:numPr>
          <w:ilvl w:val="0"/>
          <w:numId w:val="18"/>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投标设备配置明细表；</w:t>
      </w:r>
    </w:p>
    <w:p>
      <w:pPr>
        <w:pStyle w:val="76"/>
        <w:numPr>
          <w:ilvl w:val="0"/>
          <w:numId w:val="18"/>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技术规格偏离表；</w:t>
      </w:r>
    </w:p>
    <w:p>
      <w:pPr>
        <w:pStyle w:val="76"/>
        <w:numPr>
          <w:ilvl w:val="0"/>
          <w:numId w:val="18"/>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 xml:space="preserve">技术性能、参数的描述； </w:t>
      </w:r>
    </w:p>
    <w:p>
      <w:pPr>
        <w:pStyle w:val="76"/>
        <w:numPr>
          <w:ilvl w:val="0"/>
          <w:numId w:val="18"/>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 xml:space="preserve">备品备件工具材料明细表； </w:t>
      </w:r>
    </w:p>
    <w:p>
      <w:pPr>
        <w:pStyle w:val="75"/>
        <w:numPr>
          <w:ilvl w:val="0"/>
          <w:numId w:val="15"/>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商务标：</w:t>
      </w:r>
    </w:p>
    <w:p>
      <w:pPr>
        <w:pStyle w:val="76"/>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开标一览表</w:t>
      </w:r>
    </w:p>
    <w:p>
      <w:pPr>
        <w:pStyle w:val="76"/>
        <w:numPr>
          <w:ilvl w:val="0"/>
          <w:numId w:val="19"/>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投标函（格式见附件）;</w:t>
      </w:r>
    </w:p>
    <w:p>
      <w:pPr>
        <w:pStyle w:val="76"/>
        <w:numPr>
          <w:ilvl w:val="0"/>
          <w:numId w:val="19"/>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商务条款偏离表；</w:t>
      </w:r>
    </w:p>
    <w:p>
      <w:pPr>
        <w:pStyle w:val="76"/>
        <w:numPr>
          <w:ilvl w:val="0"/>
          <w:numId w:val="19"/>
        </w:numPr>
        <w:ind w:left="425" w:leftChars="0" w:hanging="425" w:firstLineChars="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投标货物分项报价表；</w:t>
      </w:r>
    </w:p>
    <w:p>
      <w:pPr>
        <w:pStyle w:val="76"/>
        <w:numPr>
          <w:ilvl w:val="0"/>
          <w:numId w:val="19"/>
        </w:numPr>
        <w:ind w:left="425" w:leftChars="0" w:hanging="425" w:firstLineChars="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rPr>
        <w:t>备配件目录价格及折扣报价表</w:t>
      </w:r>
    </w:p>
    <w:p>
      <w:pPr>
        <w:pStyle w:val="74"/>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投标文件的投递</w:t>
      </w:r>
    </w:p>
    <w:p>
      <w:pPr>
        <w:pStyle w:val="76"/>
        <w:numPr>
          <w:ilvl w:val="0"/>
          <w:numId w:val="20"/>
        </w:numPr>
        <w:ind w:left="326" w:leftChars="0" w:hanging="326" w:hangingChars="136"/>
        <w:rPr>
          <w:rFonts w:hint="eastAsia" w:ascii="宋体" w:hAnsi="宋体" w:eastAsia="宋体" w:cs="宋体"/>
          <w:bCs/>
          <w:sz w:val="24"/>
          <w:szCs w:val="24"/>
          <w:highlight w:val="none"/>
        </w:rPr>
      </w:pPr>
      <w:r>
        <w:rPr>
          <w:rFonts w:hint="eastAsia" w:ascii="宋体" w:hAnsi="宋体" w:eastAsia="宋体" w:cs="宋体"/>
          <w:b w:val="0"/>
          <w:bCs/>
          <w:sz w:val="24"/>
          <w:szCs w:val="24"/>
          <w:highlight w:val="none"/>
          <w:lang w:val="en-US" w:eastAsia="zh-CN"/>
        </w:rPr>
        <w:t>投标方式：</w:t>
      </w:r>
      <w:r>
        <w:rPr>
          <w:rFonts w:hint="eastAsia" w:ascii="宋体" w:hAnsi="宋体" w:eastAsia="宋体" w:cs="宋体"/>
          <w:sz w:val="24"/>
          <w:szCs w:val="24"/>
          <w:highlight w:val="none"/>
        </w:rPr>
        <w:t>在“中国重汽e采通”平台</w:t>
      </w:r>
      <w:r>
        <w:rPr>
          <w:rFonts w:hint="eastAsia" w:ascii="宋体" w:hAnsi="宋体" w:eastAsia="宋体" w:cs="宋体"/>
          <w:bCs/>
          <w:sz w:val="24"/>
          <w:szCs w:val="24"/>
          <w:highlight w:val="none"/>
        </w:rPr>
        <w:t>线上投标</w:t>
      </w:r>
      <w:r>
        <w:rPr>
          <w:rFonts w:hint="eastAsia" w:ascii="宋体" w:hAnsi="宋体" w:eastAsia="宋体" w:cs="宋体"/>
          <w:bCs/>
          <w:sz w:val="24"/>
          <w:szCs w:val="24"/>
          <w:highlight w:val="none"/>
          <w:lang w:eastAsia="zh-CN"/>
        </w:rPr>
        <w:t>；若逾期未在中国重汽e采通平台上传电子标书，即便递交了纸版投标文件，一律视为无效投标。</w:t>
      </w:r>
    </w:p>
    <w:p>
      <w:pPr>
        <w:pStyle w:val="76"/>
        <w:numPr>
          <w:ilvl w:val="0"/>
          <w:numId w:val="0"/>
        </w:numPr>
        <w:ind w:left="0" w:leftChars="0" w:firstLine="326" w:firstLineChars="136"/>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纸质版投标文件的份数要求为正本一份，副本四份，资质投标书、技术投标书及商务投标书的同类文件封装在一个包封里，包封表面按照附件13标注文件信息;共计三个包封。”</w:t>
      </w:r>
    </w:p>
    <w:p>
      <w:pPr>
        <w:pStyle w:val="76"/>
        <w:numPr>
          <w:ilvl w:val="0"/>
          <w:numId w:val="0"/>
        </w:numPr>
        <w:ind w:left="0" w:leftChars="0"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如选择到场参与开标，自行携带纸质投标文件于开标前至开标地点即可。</w:t>
      </w:r>
    </w:p>
    <w:p>
      <w:pPr>
        <w:pStyle w:val="76"/>
        <w:numPr>
          <w:ilvl w:val="0"/>
          <w:numId w:val="0"/>
        </w:numPr>
        <w:ind w:left="0" w:leftChars="0"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如选择线上参与开标，纸质投标文件需在开标日前两天，邮寄到指定地址。</w:t>
      </w:r>
    </w:p>
    <w:p>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宋体" w:hAnsi="宋体" w:eastAsia="宋体" w:cs="宋体"/>
          <w:b w:val="0"/>
          <w:bCs/>
          <w:sz w:val="24"/>
          <w:szCs w:val="24"/>
          <w:highlight w:val="none"/>
        </w:rPr>
      </w:pPr>
      <w:r>
        <w:rPr>
          <w:rFonts w:hint="eastAsia" w:ascii="宋体" w:hAnsi="宋体" w:eastAsia="宋体" w:cs="宋体"/>
          <w:b w:val="0"/>
          <w:bCs w:val="0"/>
          <w:kern w:val="2"/>
          <w:sz w:val="24"/>
          <w:szCs w:val="24"/>
          <w:highlight w:val="none"/>
          <w:lang w:val="en-US" w:eastAsia="zh-CN" w:bidi="ar-SA"/>
        </w:rPr>
        <w:t>2.邮寄地址：济南市章丘区潘王路11号中国重汽集团济南商用车有限公司轻卡</w:t>
      </w:r>
      <w:r>
        <w:rPr>
          <w:rFonts w:hint="eastAsia" w:ascii="宋体" w:hAnsi="宋体" w:eastAsia="宋体" w:cs="宋体"/>
          <w:b w:val="0"/>
          <w:bCs w:val="0"/>
          <w:sz w:val="24"/>
          <w:szCs w:val="24"/>
          <w:highlight w:val="none"/>
          <w:lang w:val="en-US" w:eastAsia="zh-CN"/>
        </w:rPr>
        <w:t>制造公司</w:t>
      </w:r>
    </w:p>
    <w:p>
      <w:pPr>
        <w:pStyle w:val="76"/>
        <w:numPr>
          <w:ilvl w:val="0"/>
          <w:numId w:val="0"/>
        </w:numPr>
        <w:ind w:leftChars="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3.联系人及联系方式：贺西忠/15153153519</w:t>
      </w:r>
    </w:p>
    <w:p>
      <w:pPr>
        <w:pStyle w:val="76"/>
        <w:numPr>
          <w:ilvl w:val="0"/>
          <w:numId w:val="0"/>
        </w:numPr>
        <w:ind w:leftChars="0"/>
        <w:rPr>
          <w:rFonts w:hint="eastAsia" w:ascii="宋体" w:hAnsi="宋体" w:eastAsia="宋体" w:cs="宋体"/>
          <w:b/>
          <w:bCs w:val="0"/>
          <w:color w:val="auto"/>
          <w:sz w:val="24"/>
          <w:szCs w:val="24"/>
          <w:highlight w:val="yellow"/>
          <w:lang w:val="en-US" w:eastAsia="zh-CN"/>
        </w:rPr>
      </w:pPr>
      <w:r>
        <w:rPr>
          <w:rFonts w:hint="eastAsia" w:ascii="宋体" w:hAnsi="宋体" w:eastAsia="宋体" w:cs="宋体"/>
          <w:b w:val="0"/>
          <w:bCs/>
          <w:sz w:val="24"/>
          <w:szCs w:val="24"/>
          <w:highlight w:val="none"/>
          <w:lang w:val="en-US" w:eastAsia="zh-CN"/>
        </w:rPr>
        <w:t>4.投标文件递交截止时间</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b/>
          <w:bCs w:val="0"/>
          <w:color w:val="auto"/>
          <w:sz w:val="24"/>
          <w:szCs w:val="24"/>
          <w:highlight w:val="yellow"/>
          <w:lang w:val="en-US" w:eastAsia="zh-CN"/>
        </w:rPr>
        <w:t>2026年</w:t>
      </w:r>
      <w:r>
        <w:rPr>
          <w:rFonts w:hint="eastAsia" w:hAnsi="宋体" w:cs="宋体"/>
          <w:b/>
          <w:bCs w:val="0"/>
          <w:color w:val="auto"/>
          <w:sz w:val="24"/>
          <w:szCs w:val="24"/>
          <w:highlight w:val="yellow"/>
          <w:lang w:val="en-US" w:eastAsia="zh-CN"/>
        </w:rPr>
        <w:t>10</w:t>
      </w:r>
      <w:r>
        <w:rPr>
          <w:rFonts w:hint="eastAsia" w:ascii="宋体" w:hAnsi="宋体" w:eastAsia="宋体" w:cs="宋体"/>
          <w:b/>
          <w:bCs w:val="0"/>
          <w:color w:val="auto"/>
          <w:sz w:val="24"/>
          <w:szCs w:val="24"/>
          <w:highlight w:val="yellow"/>
          <w:lang w:val="en-US" w:eastAsia="zh-CN"/>
        </w:rPr>
        <w:t>月</w:t>
      </w:r>
      <w:r>
        <w:rPr>
          <w:rFonts w:hint="eastAsia" w:hAnsi="宋体" w:cs="宋体"/>
          <w:b/>
          <w:bCs w:val="0"/>
          <w:color w:val="auto"/>
          <w:sz w:val="24"/>
          <w:szCs w:val="24"/>
          <w:highlight w:val="yellow"/>
          <w:lang w:val="en-US" w:eastAsia="zh-CN"/>
        </w:rPr>
        <w:t>7</w:t>
      </w:r>
      <w:r>
        <w:rPr>
          <w:rFonts w:hint="eastAsia" w:ascii="宋体" w:hAnsi="宋体" w:eastAsia="宋体" w:cs="宋体"/>
          <w:b/>
          <w:bCs w:val="0"/>
          <w:color w:val="auto"/>
          <w:sz w:val="24"/>
          <w:szCs w:val="24"/>
          <w:highlight w:val="yellow"/>
          <w:lang w:val="en-US" w:eastAsia="zh-CN"/>
        </w:rPr>
        <w:t>日</w:t>
      </w:r>
      <w:r>
        <w:rPr>
          <w:rFonts w:hint="eastAsia" w:hAnsi="宋体" w:cs="宋体"/>
          <w:b/>
          <w:bCs w:val="0"/>
          <w:color w:val="auto"/>
          <w:sz w:val="24"/>
          <w:szCs w:val="24"/>
          <w:highlight w:val="yellow"/>
          <w:lang w:val="en-US" w:eastAsia="zh-CN"/>
        </w:rPr>
        <w:t>17</w:t>
      </w:r>
      <w:r>
        <w:rPr>
          <w:rFonts w:hint="eastAsia" w:ascii="宋体" w:hAnsi="宋体" w:eastAsia="宋体" w:cs="宋体"/>
          <w:b/>
          <w:bCs w:val="0"/>
          <w:color w:val="auto"/>
          <w:sz w:val="24"/>
          <w:szCs w:val="24"/>
          <w:highlight w:val="yellow"/>
          <w:lang w:val="en-US" w:eastAsia="zh-CN"/>
        </w:rPr>
        <w:t>:00:00</w:t>
      </w:r>
    </w:p>
    <w:p>
      <w:pPr>
        <w:pStyle w:val="73"/>
        <w:rPr>
          <w:rFonts w:hint="eastAsia" w:ascii="宋体" w:hAnsi="宋体" w:eastAsia="宋体" w:cs="宋体"/>
          <w:highlight w:val="none"/>
        </w:rPr>
      </w:pPr>
      <w:bookmarkStart w:id="16" w:name="_Toc47976601"/>
      <w:r>
        <w:rPr>
          <w:rFonts w:hint="eastAsia" w:ascii="宋体" w:hAnsi="宋体" w:eastAsia="宋体" w:cs="宋体"/>
          <w:highlight w:val="none"/>
        </w:rPr>
        <w:t>投标保证金</w:t>
      </w:r>
      <w:r>
        <w:rPr>
          <w:rFonts w:hint="eastAsia" w:ascii="宋体" w:hAnsi="宋体" w:eastAsia="宋体" w:cs="宋体"/>
          <w:highlight w:val="none"/>
          <w:lang w:val="en-US" w:eastAsia="zh-CN"/>
        </w:rPr>
        <w:t>收取</w:t>
      </w:r>
      <w:r>
        <w:rPr>
          <w:rFonts w:hint="eastAsia" w:ascii="宋体" w:hAnsi="宋体" w:eastAsia="宋体" w:cs="宋体"/>
          <w:highlight w:val="none"/>
          <w:lang w:eastAsia="zh-CN"/>
        </w:rPr>
        <w:t>、</w:t>
      </w:r>
      <w:r>
        <w:rPr>
          <w:rFonts w:hint="eastAsia" w:ascii="宋体" w:hAnsi="宋体" w:eastAsia="宋体" w:cs="宋体"/>
          <w:highlight w:val="none"/>
          <w:lang w:val="en-US" w:eastAsia="zh-CN"/>
        </w:rPr>
        <w:t>缴纳</w:t>
      </w:r>
      <w:r>
        <w:rPr>
          <w:rFonts w:hint="eastAsia" w:ascii="宋体" w:hAnsi="宋体" w:eastAsia="宋体" w:cs="宋体"/>
          <w:highlight w:val="none"/>
        </w:rPr>
        <w:t>有效期</w:t>
      </w:r>
      <w:r>
        <w:rPr>
          <w:rFonts w:hint="eastAsia" w:ascii="宋体" w:hAnsi="宋体" w:eastAsia="宋体" w:cs="宋体"/>
          <w:highlight w:val="none"/>
          <w:lang w:val="en-US" w:eastAsia="zh-CN"/>
        </w:rPr>
        <w:t>及罚没</w:t>
      </w:r>
    </w:p>
    <w:p>
      <w:pPr>
        <w:pStyle w:val="73"/>
        <w:numPr>
          <w:ilvl w:val="0"/>
          <w:numId w:val="21"/>
        </w:numPr>
        <w:ind w:leftChars="0"/>
        <w:rPr>
          <w:rFonts w:hint="eastAsia"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投标保证金的缴纳</w:t>
      </w:r>
    </w:p>
    <w:p>
      <w:pPr>
        <w:pStyle w:val="73"/>
        <w:numPr>
          <w:ilvl w:val="0"/>
          <w:numId w:val="22"/>
        </w:numPr>
        <w:ind w:left="425" w:leftChars="0" w:hanging="425" w:firstLineChars="0"/>
        <w:rPr>
          <w:rFonts w:hint="eastAsia"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投标保证金</w:t>
      </w:r>
      <w:r>
        <w:rPr>
          <w:rFonts w:hint="eastAsia" w:ascii="宋体" w:hAnsi="宋体" w:eastAsia="宋体" w:cs="宋体"/>
          <w:b w:val="0"/>
          <w:bCs w:val="0"/>
          <w:sz w:val="24"/>
          <w:szCs w:val="24"/>
          <w:highlight w:val="none"/>
          <w:lang w:val="en-US" w:eastAsia="zh-CN"/>
        </w:rPr>
        <w:t>的缴纳</w:t>
      </w:r>
      <w:r>
        <w:rPr>
          <w:rFonts w:hint="eastAsia" w:ascii="宋体" w:hAnsi="宋体" w:eastAsia="宋体" w:cs="宋体"/>
          <w:b w:val="0"/>
          <w:bCs w:val="0"/>
          <w:sz w:val="24"/>
          <w:szCs w:val="24"/>
          <w:highlight w:val="none"/>
        </w:rPr>
        <w:t>形式：</w:t>
      </w:r>
      <w:r>
        <w:rPr>
          <w:rFonts w:hint="eastAsia" w:ascii="宋体" w:hAnsi="宋体" w:eastAsia="宋体" w:cs="宋体"/>
          <w:b w:val="0"/>
          <w:bCs w:val="0"/>
          <w:sz w:val="24"/>
          <w:szCs w:val="24"/>
          <w:highlight w:val="none"/>
          <w:u w:val="single"/>
          <w:lang w:val="en-US" w:eastAsia="zh-CN"/>
        </w:rPr>
        <w:t>提交银行投标保函或从银行基本账户转账</w:t>
      </w:r>
    </w:p>
    <w:p>
      <w:pPr>
        <w:pStyle w:val="73"/>
        <w:numPr>
          <w:ilvl w:val="0"/>
          <w:numId w:val="22"/>
        </w:numPr>
        <w:ind w:left="425" w:leftChars="0" w:hanging="425" w:firstLineChars="0"/>
        <w:rPr>
          <w:rFonts w:hint="eastAsia"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投标保证金的金额：人民币</w:t>
      </w:r>
      <w:r>
        <w:rPr>
          <w:rFonts w:hint="eastAsia" w:ascii="宋体" w:hAnsi="宋体" w:eastAsia="宋体" w:cs="宋体"/>
          <w:b w:val="0"/>
          <w:bCs w:val="0"/>
          <w:sz w:val="24"/>
          <w:szCs w:val="24"/>
          <w:highlight w:val="none"/>
          <w:u w:val="single"/>
          <w:lang w:val="en-US" w:eastAsia="zh-CN"/>
        </w:rPr>
        <w:t xml:space="preserve"> 5000 </w:t>
      </w:r>
      <w:r>
        <w:rPr>
          <w:rFonts w:hint="eastAsia" w:ascii="宋体" w:hAnsi="宋体" w:eastAsia="宋体" w:cs="宋体"/>
          <w:b w:val="0"/>
          <w:bCs w:val="0"/>
          <w:sz w:val="24"/>
          <w:szCs w:val="24"/>
          <w:highlight w:val="none"/>
        </w:rPr>
        <w:t>元</w:t>
      </w:r>
    </w:p>
    <w:p>
      <w:pPr>
        <w:pStyle w:val="73"/>
        <w:numPr>
          <w:ilvl w:val="0"/>
          <w:numId w:val="22"/>
        </w:numPr>
        <w:ind w:left="425" w:leftChars="0" w:hanging="425" w:firstLineChars="0"/>
        <w:rPr>
          <w:rFonts w:hint="eastAsia"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开户名称：</w:t>
      </w:r>
      <w:r>
        <w:rPr>
          <w:rFonts w:hint="eastAsia" w:ascii="宋体" w:hAnsi="宋体" w:eastAsia="宋体" w:cs="宋体"/>
          <w:sz w:val="24"/>
          <w:szCs w:val="24"/>
          <w:highlight w:val="none"/>
        </w:rPr>
        <w:t>中国重汽集团济南商用车有限公司</w:t>
      </w:r>
    </w:p>
    <w:p>
      <w:pPr>
        <w:pStyle w:val="73"/>
        <w:numPr>
          <w:ilvl w:val="0"/>
          <w:numId w:val="0"/>
        </w:numPr>
        <w:ind w:left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开户银行：</w:t>
      </w:r>
      <w:r>
        <w:rPr>
          <w:rFonts w:hint="eastAsia" w:ascii="宋体" w:hAnsi="宋体" w:eastAsia="宋体" w:cs="宋体"/>
          <w:sz w:val="24"/>
          <w:szCs w:val="24"/>
          <w:highlight w:val="none"/>
        </w:rPr>
        <w:t>中国银行股份有限公司济南分行</w:t>
      </w:r>
    </w:p>
    <w:p>
      <w:pPr>
        <w:pStyle w:val="73"/>
        <w:numPr>
          <w:ilvl w:val="0"/>
          <w:numId w:val="0"/>
        </w:numPr>
        <w:ind w:leftChars="0"/>
        <w:rPr>
          <w:rFonts w:hint="eastAsia"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银行帐号：</w:t>
      </w:r>
      <w:r>
        <w:rPr>
          <w:rFonts w:hint="eastAsia" w:ascii="宋体" w:hAnsi="宋体" w:eastAsia="宋体" w:cs="宋体"/>
          <w:sz w:val="24"/>
          <w:szCs w:val="24"/>
          <w:highlight w:val="none"/>
        </w:rPr>
        <w:t>237744219844</w:t>
      </w:r>
    </w:p>
    <w:p>
      <w:pPr>
        <w:pStyle w:val="76"/>
        <w:keepNext w:val="0"/>
        <w:keepLines w:val="0"/>
        <w:pageBreakBefore w:val="0"/>
        <w:widowControl w:val="0"/>
        <w:numPr>
          <w:ilvl w:val="0"/>
          <w:numId w:val="0"/>
        </w:numPr>
        <w:kinsoku/>
        <w:wordWrap/>
        <w:overflowPunct/>
        <w:topLinePunct w:val="0"/>
        <w:autoSpaceDE/>
        <w:autoSpaceDN/>
        <w:bidi w:val="0"/>
        <w:adjustRightInd/>
        <w:snapToGrid/>
        <w:ind w:left="10" w:leftChars="0"/>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val="0"/>
          <w:bCs w:val="0"/>
          <w:sz w:val="24"/>
          <w:szCs w:val="24"/>
          <w:highlight w:val="none"/>
        </w:rPr>
        <w:t>开户行联号：</w:t>
      </w:r>
      <w:r>
        <w:rPr>
          <w:rFonts w:hint="eastAsia" w:ascii="宋体" w:hAnsi="宋体" w:eastAsia="宋体" w:cs="宋体"/>
          <w:b/>
          <w:bCs/>
          <w:kern w:val="2"/>
          <w:sz w:val="24"/>
          <w:szCs w:val="24"/>
          <w:highlight w:val="none"/>
          <w:lang w:val="en-US" w:eastAsia="zh-CN" w:bidi="ar-SA"/>
        </w:rPr>
        <w:t>104451039687</w:t>
      </w:r>
    </w:p>
    <w:p>
      <w:pPr>
        <w:pStyle w:val="76"/>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转账附言：</w:t>
      </w:r>
      <w:r>
        <w:rPr>
          <w:rFonts w:hint="eastAsia" w:ascii="宋体" w:hAnsi="宋体" w:eastAsia="宋体" w:cs="宋体"/>
          <w:b/>
          <w:bCs w:val="0"/>
          <w:sz w:val="24"/>
          <w:szCs w:val="24"/>
          <w:highlight w:val="none"/>
          <w:lang w:val="en-US" w:eastAsia="zh-CN"/>
        </w:rPr>
        <w:t>公司名称+项目名称+投标保证金</w:t>
      </w:r>
      <w:r>
        <w:rPr>
          <w:rFonts w:hint="eastAsia" w:ascii="宋体" w:hAnsi="宋体" w:eastAsia="宋体" w:cs="宋体"/>
          <w:b w:val="0"/>
          <w:bCs/>
          <w:sz w:val="24"/>
          <w:szCs w:val="24"/>
          <w:highlight w:val="none"/>
          <w:lang w:val="en-US" w:eastAsia="zh-CN"/>
        </w:rPr>
        <w:t>。</w:t>
      </w:r>
    </w:p>
    <w:p>
      <w:pPr>
        <w:pStyle w:val="73"/>
        <w:numPr>
          <w:ilvl w:val="0"/>
          <w:numId w:val="0"/>
        </w:numPr>
        <w:ind w:left="425" w:leftChars="0" w:hanging="425" w:firstLineChars="0"/>
        <w:rPr>
          <w:rFonts w:hint="eastAsia" w:ascii="宋体" w:hAnsi="宋体" w:eastAsia="宋体" w:cs="宋体"/>
          <w:b w:val="0"/>
          <w:bCs w:val="0"/>
          <w:sz w:val="24"/>
          <w:szCs w:val="24"/>
          <w:highlight w:val="none"/>
        </w:rPr>
      </w:pPr>
      <w:r>
        <w:rPr>
          <w:rFonts w:hint="eastAsia" w:ascii="宋体" w:hAnsi="宋体" w:eastAsia="宋体" w:cs="宋体"/>
          <w:b w:val="0"/>
          <w:bCs w:val="0"/>
          <w:kern w:val="2"/>
          <w:sz w:val="24"/>
          <w:szCs w:val="24"/>
          <w:highlight w:val="none"/>
          <w:lang w:val="en-US" w:eastAsia="zh-CN" w:bidi="ar-SA"/>
        </w:rPr>
        <w:t>(4)</w:t>
      </w:r>
      <w:r>
        <w:rPr>
          <w:rFonts w:hint="eastAsia" w:ascii="宋体" w:hAnsi="宋体" w:eastAsia="宋体" w:cs="宋体"/>
          <w:b w:val="0"/>
          <w:bCs w:val="0"/>
          <w:sz w:val="24"/>
          <w:szCs w:val="24"/>
          <w:highlight w:val="none"/>
        </w:rPr>
        <w:t>保证金缴纳截止时间</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yellow"/>
          <w:lang w:val="en-US" w:eastAsia="zh-CN"/>
        </w:rPr>
        <w:t>2026</w:t>
      </w:r>
      <w:r>
        <w:rPr>
          <w:rFonts w:hint="eastAsia" w:ascii="宋体" w:hAnsi="宋体" w:eastAsia="宋体" w:cs="宋体"/>
          <w:b/>
          <w:bCs/>
          <w:color w:val="auto"/>
          <w:sz w:val="24"/>
          <w:szCs w:val="24"/>
          <w:highlight w:val="yellow"/>
        </w:rPr>
        <w:t>年</w:t>
      </w:r>
      <w:r>
        <w:rPr>
          <w:rFonts w:hint="eastAsia" w:ascii="宋体" w:hAnsi="宋体" w:eastAsia="宋体" w:cs="宋体"/>
          <w:b/>
          <w:bCs/>
          <w:color w:val="auto"/>
          <w:sz w:val="24"/>
          <w:szCs w:val="24"/>
          <w:highlight w:val="yellow"/>
          <w:lang w:val="en-US" w:eastAsia="zh-CN"/>
        </w:rPr>
        <w:t>10月7日</w:t>
      </w:r>
      <w:r>
        <w:rPr>
          <w:rFonts w:hint="eastAsia" w:ascii="宋体" w:hAnsi="宋体" w:eastAsia="宋体" w:cs="宋体"/>
          <w:b w:val="0"/>
          <w:bCs w:val="0"/>
          <w:sz w:val="24"/>
          <w:szCs w:val="24"/>
          <w:highlight w:val="none"/>
          <w:lang w:val="en-US" w:eastAsia="zh-CN"/>
        </w:rPr>
        <w:t>9</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00</w:t>
      </w:r>
      <w:r>
        <w:rPr>
          <w:rFonts w:hint="eastAsia" w:ascii="宋体" w:hAnsi="宋体" w:eastAsia="宋体" w:cs="宋体"/>
          <w:b w:val="0"/>
          <w:bCs w:val="0"/>
          <w:sz w:val="24"/>
          <w:szCs w:val="24"/>
          <w:highlight w:val="none"/>
        </w:rPr>
        <w:t>前</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同投标文件递交截止时间</w:t>
      </w:r>
      <w:r>
        <w:rPr>
          <w:rFonts w:hint="eastAsia" w:ascii="宋体" w:hAnsi="宋体" w:eastAsia="宋体" w:cs="宋体"/>
          <w:b w:val="0"/>
          <w:bCs w:val="0"/>
          <w:sz w:val="24"/>
          <w:szCs w:val="24"/>
          <w:highlight w:val="none"/>
          <w:lang w:eastAsia="zh-CN"/>
        </w:rPr>
        <w:t>）</w:t>
      </w:r>
    </w:p>
    <w:p>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选择</w:t>
      </w:r>
      <w:r>
        <w:rPr>
          <w:rFonts w:hint="eastAsia" w:ascii="宋体" w:hAnsi="宋体" w:eastAsia="宋体" w:cs="宋体"/>
          <w:b w:val="0"/>
          <w:bCs w:val="0"/>
          <w:sz w:val="24"/>
          <w:szCs w:val="24"/>
          <w:highlight w:val="none"/>
        </w:rPr>
        <w:t>提交银行投标保函的</w:t>
      </w:r>
      <w:r>
        <w:rPr>
          <w:rFonts w:hint="eastAsia" w:ascii="宋体" w:hAnsi="宋体" w:eastAsia="宋体" w:cs="宋体"/>
          <w:b w:val="0"/>
          <w:bCs w:val="0"/>
          <w:sz w:val="24"/>
          <w:szCs w:val="24"/>
          <w:highlight w:val="none"/>
          <w:lang w:val="en-US" w:eastAsia="zh-CN"/>
        </w:rPr>
        <w:t>拟</w:t>
      </w:r>
      <w:r>
        <w:rPr>
          <w:rFonts w:hint="eastAsia" w:ascii="宋体" w:hAnsi="宋体" w:eastAsia="宋体" w:cs="宋体"/>
          <w:b w:val="0"/>
          <w:bCs w:val="0"/>
          <w:sz w:val="24"/>
          <w:szCs w:val="24"/>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4"/>
          <w:szCs w:val="24"/>
          <w:highlight w:val="none"/>
          <w:lang w:val="en-US" w:eastAsia="zh-CN"/>
        </w:rPr>
        <w:t>由招标人</w:t>
      </w:r>
      <w:r>
        <w:rPr>
          <w:rFonts w:hint="eastAsia" w:ascii="宋体" w:hAnsi="宋体" w:eastAsia="宋体" w:cs="宋体"/>
          <w:b w:val="0"/>
          <w:bCs w:val="0"/>
          <w:sz w:val="24"/>
          <w:szCs w:val="24"/>
          <w:highlight w:val="none"/>
        </w:rPr>
        <w:t>留存保函正本</w:t>
      </w:r>
      <w:r>
        <w:rPr>
          <w:rFonts w:hint="eastAsia" w:ascii="宋体" w:hAnsi="宋体" w:eastAsia="宋体" w:cs="宋体"/>
          <w:b w:val="0"/>
          <w:bCs w:val="0"/>
          <w:sz w:val="24"/>
          <w:szCs w:val="24"/>
          <w:highlight w:val="none"/>
          <w:lang w:eastAsia="zh-CN"/>
        </w:rPr>
        <w:t>。</w:t>
      </w:r>
    </w:p>
    <w:p>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选择从银行基本账户转账</w:t>
      </w:r>
      <w:r>
        <w:rPr>
          <w:rFonts w:hint="eastAsia" w:ascii="宋体" w:hAnsi="宋体" w:eastAsia="宋体" w:cs="宋体"/>
          <w:b w:val="0"/>
          <w:bCs w:val="0"/>
          <w:sz w:val="24"/>
          <w:szCs w:val="24"/>
          <w:highlight w:val="none"/>
        </w:rPr>
        <w:t>的</w:t>
      </w:r>
      <w:r>
        <w:rPr>
          <w:rFonts w:hint="eastAsia" w:ascii="宋体" w:hAnsi="宋体" w:eastAsia="宋体" w:cs="宋体"/>
          <w:b w:val="0"/>
          <w:bCs w:val="0"/>
          <w:sz w:val="24"/>
          <w:szCs w:val="24"/>
          <w:highlight w:val="none"/>
          <w:lang w:val="en-US" w:eastAsia="zh-CN"/>
        </w:rPr>
        <w:t>拟</w:t>
      </w:r>
      <w:r>
        <w:rPr>
          <w:rFonts w:hint="eastAsia" w:ascii="宋体" w:hAnsi="宋体" w:eastAsia="宋体" w:cs="宋体"/>
          <w:b w:val="0"/>
          <w:bCs w:val="0"/>
          <w:sz w:val="24"/>
          <w:szCs w:val="24"/>
          <w:highlight w:val="none"/>
        </w:rPr>
        <w:t>投标人</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lang w:val="en-US" w:eastAsia="zh-CN"/>
        </w:rPr>
        <w:t>须在规定的时间之前</w:t>
      </w:r>
      <w:r>
        <w:rPr>
          <w:rFonts w:hint="eastAsia" w:ascii="宋体" w:hAnsi="宋体" w:eastAsia="宋体" w:cs="宋体"/>
          <w:b w:val="0"/>
          <w:bCs w:val="0"/>
          <w:sz w:val="24"/>
          <w:szCs w:val="24"/>
          <w:highlight w:val="none"/>
        </w:rPr>
        <w:t>将投标保证金从</w:t>
      </w:r>
      <w:r>
        <w:rPr>
          <w:rFonts w:hint="eastAsia" w:ascii="宋体" w:hAnsi="宋体" w:eastAsia="宋体" w:cs="宋体"/>
          <w:b w:val="0"/>
          <w:bCs w:val="0"/>
          <w:sz w:val="24"/>
          <w:szCs w:val="24"/>
          <w:highlight w:val="none"/>
          <w:lang w:val="en-US" w:eastAsia="zh-CN"/>
        </w:rPr>
        <w:t>其</w:t>
      </w:r>
      <w:r>
        <w:rPr>
          <w:rFonts w:hint="eastAsia" w:ascii="宋体" w:hAnsi="宋体" w:eastAsia="宋体" w:cs="宋体"/>
          <w:b w:val="0"/>
          <w:bCs w:val="0"/>
          <w:sz w:val="24"/>
          <w:szCs w:val="24"/>
          <w:highlight w:val="none"/>
        </w:rPr>
        <w:t>单位基本帐户转出并到账，否则</w:t>
      </w:r>
      <w:r>
        <w:rPr>
          <w:rFonts w:hint="eastAsia" w:ascii="宋体" w:hAnsi="宋体" w:eastAsia="宋体" w:cs="宋体"/>
          <w:b w:val="0"/>
          <w:bCs w:val="0"/>
          <w:sz w:val="24"/>
          <w:szCs w:val="24"/>
          <w:highlight w:val="none"/>
          <w:lang w:val="en-US" w:eastAsia="zh-CN"/>
        </w:rPr>
        <w:t>视为无效投标</w:t>
      </w:r>
      <w:r>
        <w:rPr>
          <w:rFonts w:hint="eastAsia" w:ascii="宋体" w:hAnsi="宋体" w:eastAsia="宋体" w:cs="宋体"/>
          <w:b w:val="0"/>
          <w:bCs w:val="0"/>
          <w:sz w:val="24"/>
          <w:szCs w:val="24"/>
          <w:highlight w:val="none"/>
        </w:rPr>
        <w:t>；未按规定提交保证金的</w:t>
      </w:r>
      <w:r>
        <w:rPr>
          <w:rFonts w:hint="eastAsia" w:ascii="宋体" w:hAnsi="宋体" w:eastAsia="宋体" w:cs="宋体"/>
          <w:b w:val="0"/>
          <w:bCs w:val="0"/>
          <w:sz w:val="24"/>
          <w:szCs w:val="24"/>
          <w:highlight w:val="none"/>
          <w:lang w:val="en-US" w:eastAsia="zh-CN"/>
        </w:rPr>
        <w:t>拟</w:t>
      </w:r>
      <w:r>
        <w:rPr>
          <w:rFonts w:hint="eastAsia" w:ascii="宋体" w:hAnsi="宋体" w:eastAsia="宋体" w:cs="宋体"/>
          <w:b w:val="0"/>
          <w:bCs w:val="0"/>
          <w:sz w:val="24"/>
          <w:szCs w:val="24"/>
          <w:highlight w:val="none"/>
        </w:rPr>
        <w:t>投标人，其投标文件</w:t>
      </w:r>
      <w:r>
        <w:rPr>
          <w:rFonts w:hint="eastAsia" w:ascii="宋体" w:hAnsi="宋体" w:eastAsia="宋体" w:cs="宋体"/>
          <w:b w:val="0"/>
          <w:bCs w:val="0"/>
          <w:sz w:val="24"/>
          <w:szCs w:val="24"/>
          <w:highlight w:val="none"/>
          <w:lang w:val="en-US" w:eastAsia="zh-CN"/>
        </w:rPr>
        <w:t>视为无效投标</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拟投标人</w:t>
      </w:r>
      <w:r>
        <w:rPr>
          <w:rFonts w:hint="eastAsia" w:ascii="宋体" w:hAnsi="宋体" w:eastAsia="宋体" w:cs="宋体"/>
          <w:b w:val="0"/>
          <w:bCs w:val="0"/>
          <w:sz w:val="24"/>
          <w:szCs w:val="24"/>
          <w:highlight w:val="none"/>
        </w:rPr>
        <w:t>应充分考虑银行信息交换时间，由此带来的保证金不能按时到帐的责任由</w:t>
      </w:r>
      <w:r>
        <w:rPr>
          <w:rFonts w:hint="eastAsia" w:ascii="宋体" w:hAnsi="宋体" w:eastAsia="宋体" w:cs="宋体"/>
          <w:b w:val="0"/>
          <w:bCs w:val="0"/>
          <w:sz w:val="24"/>
          <w:szCs w:val="24"/>
          <w:highlight w:val="none"/>
          <w:lang w:val="en-US" w:eastAsia="zh-CN"/>
        </w:rPr>
        <w:t>拟投标人</w:t>
      </w:r>
      <w:r>
        <w:rPr>
          <w:rFonts w:hint="eastAsia" w:ascii="宋体" w:hAnsi="宋体" w:eastAsia="宋体" w:cs="宋体"/>
          <w:b w:val="0"/>
          <w:bCs w:val="0"/>
          <w:sz w:val="24"/>
          <w:szCs w:val="24"/>
          <w:highlight w:val="none"/>
        </w:rPr>
        <w:t>自行承担。</w:t>
      </w:r>
    </w:p>
    <w:p>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对于没有中标的</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，投标保证金将于招标人内部完成中标人评审并确认最终中标人后在</w:t>
      </w:r>
      <w:r>
        <w:rPr>
          <w:rFonts w:hint="eastAsia" w:ascii="宋体" w:hAnsi="宋体" w:eastAsia="宋体" w:cs="宋体"/>
          <w:b w:val="0"/>
          <w:bCs w:val="0"/>
          <w:sz w:val="24"/>
          <w:szCs w:val="24"/>
          <w:highlight w:val="none"/>
          <w:u w:val="single"/>
          <w:lang w:val="en-US" w:eastAsia="zh-CN"/>
        </w:rPr>
        <w:t>一个付款周期</w:t>
      </w:r>
      <w:r>
        <w:rPr>
          <w:rFonts w:hint="eastAsia" w:ascii="宋体" w:hAnsi="宋体" w:eastAsia="宋体" w:cs="宋体"/>
          <w:b w:val="0"/>
          <w:bCs w:val="0"/>
          <w:sz w:val="24"/>
          <w:szCs w:val="24"/>
          <w:highlight w:val="none"/>
        </w:rPr>
        <w:t>工作日内予以原路返还（无息）；对于中标方，投标保证金将在签订合同后</w:t>
      </w:r>
      <w:r>
        <w:rPr>
          <w:rFonts w:hint="eastAsia" w:ascii="宋体" w:hAnsi="宋体" w:eastAsia="宋体" w:cs="宋体"/>
          <w:b w:val="0"/>
          <w:bCs w:val="0"/>
          <w:sz w:val="24"/>
          <w:szCs w:val="24"/>
          <w:highlight w:val="none"/>
          <w:u w:val="single"/>
          <w:lang w:val="en-US" w:eastAsia="zh-CN"/>
        </w:rPr>
        <w:t>一个付款周期</w:t>
      </w:r>
      <w:r>
        <w:rPr>
          <w:rFonts w:hint="eastAsia" w:ascii="宋体" w:hAnsi="宋体" w:eastAsia="宋体" w:cs="宋体"/>
          <w:b w:val="0"/>
          <w:bCs w:val="0"/>
          <w:sz w:val="24"/>
          <w:szCs w:val="24"/>
          <w:highlight w:val="none"/>
          <w:lang w:val="en-US" w:eastAsia="zh-CN"/>
        </w:rPr>
        <w:t>个</w:t>
      </w:r>
      <w:r>
        <w:rPr>
          <w:rFonts w:hint="eastAsia" w:ascii="宋体" w:hAnsi="宋体" w:eastAsia="宋体" w:cs="宋体"/>
          <w:b w:val="0"/>
          <w:bCs w:val="0"/>
          <w:sz w:val="24"/>
          <w:szCs w:val="24"/>
          <w:highlight w:val="none"/>
        </w:rPr>
        <w:t>工作日内原路返还（无息）。</w:t>
      </w:r>
    </w:p>
    <w:p>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发生以下情况时，有权没收保证金：</w:t>
      </w:r>
      <w:r>
        <w:rPr>
          <w:rFonts w:hint="eastAsia" w:ascii="宋体" w:hAnsi="宋体" w:eastAsia="宋体" w:cs="宋体"/>
          <w:b w:val="0"/>
          <w:bCs w:val="0"/>
          <w:sz w:val="24"/>
          <w:szCs w:val="24"/>
          <w:highlight w:val="none"/>
        </w:rPr>
        <w:br w:type="textWrapping"/>
      </w:r>
      <w:r>
        <w:rPr>
          <w:rFonts w:hint="eastAsia" w:ascii="宋体" w:hAnsi="宋体" w:eastAsia="宋体" w:cs="宋体"/>
          <w:b w:val="0"/>
          <w:bCs w:val="0"/>
          <w:sz w:val="24"/>
          <w:szCs w:val="24"/>
          <w:highlight w:val="none"/>
        </w:rPr>
        <w:t>①供应商在提交响应文件截止时间后撤回响应文件的；</w:t>
      </w:r>
      <w:r>
        <w:rPr>
          <w:rFonts w:hint="eastAsia" w:ascii="宋体" w:hAnsi="宋体" w:eastAsia="宋体" w:cs="宋体"/>
          <w:b w:val="0"/>
          <w:bCs w:val="0"/>
          <w:sz w:val="24"/>
          <w:szCs w:val="24"/>
          <w:highlight w:val="none"/>
        </w:rPr>
        <w:br w:type="textWrapping"/>
      </w:r>
      <w:r>
        <w:rPr>
          <w:rFonts w:hint="eastAsia" w:ascii="宋体" w:hAnsi="宋体" w:eastAsia="宋体" w:cs="宋体"/>
          <w:b w:val="0"/>
          <w:bCs w:val="0"/>
          <w:sz w:val="24"/>
          <w:szCs w:val="24"/>
          <w:highlight w:val="none"/>
        </w:rPr>
        <w:t>②供应商在响应文件中提供虚假材料的；</w:t>
      </w:r>
      <w:r>
        <w:rPr>
          <w:rFonts w:hint="eastAsia" w:ascii="宋体" w:hAnsi="宋体" w:eastAsia="宋体" w:cs="宋体"/>
          <w:b w:val="0"/>
          <w:bCs w:val="0"/>
          <w:sz w:val="24"/>
          <w:szCs w:val="24"/>
          <w:highlight w:val="none"/>
        </w:rPr>
        <w:br w:type="textWrapping"/>
      </w:r>
      <w:r>
        <w:rPr>
          <w:rFonts w:hint="eastAsia" w:ascii="宋体" w:hAnsi="宋体" w:eastAsia="宋体" w:cs="宋体"/>
          <w:b w:val="0"/>
          <w:bCs w:val="0"/>
          <w:sz w:val="24"/>
          <w:szCs w:val="24"/>
          <w:highlight w:val="none"/>
        </w:rPr>
        <w:t>③除因不可抗力或谈判文件、询价通知书认可的情形以外，成交供应商不与采购人签订合同的；</w:t>
      </w:r>
      <w:r>
        <w:rPr>
          <w:rFonts w:hint="eastAsia" w:ascii="宋体" w:hAnsi="宋体" w:eastAsia="宋体" w:cs="宋体"/>
          <w:b w:val="0"/>
          <w:bCs w:val="0"/>
          <w:sz w:val="24"/>
          <w:szCs w:val="24"/>
          <w:highlight w:val="none"/>
        </w:rPr>
        <w:br w:type="textWrapping"/>
      </w:r>
      <w:r>
        <w:rPr>
          <w:rFonts w:hint="eastAsia" w:ascii="宋体" w:hAnsi="宋体" w:eastAsia="宋体" w:cs="宋体"/>
          <w:b w:val="0"/>
          <w:bCs w:val="0"/>
          <w:sz w:val="24"/>
          <w:szCs w:val="24"/>
          <w:highlight w:val="none"/>
        </w:rPr>
        <w:t>④供应商与采购人、其他供应商或者采购代理机构恶意串通、围标、陪标的；</w:t>
      </w:r>
      <w:r>
        <w:rPr>
          <w:rFonts w:hint="eastAsia" w:ascii="宋体" w:hAnsi="宋体" w:eastAsia="宋体" w:cs="宋体"/>
          <w:b w:val="0"/>
          <w:bCs w:val="0"/>
          <w:sz w:val="24"/>
          <w:szCs w:val="24"/>
          <w:highlight w:val="none"/>
        </w:rPr>
        <w:br w:type="textWrapping"/>
      </w:r>
      <w:r>
        <w:rPr>
          <w:rFonts w:hint="eastAsia" w:ascii="宋体" w:hAnsi="宋体" w:eastAsia="宋体" w:cs="宋体"/>
          <w:b w:val="0"/>
          <w:bCs w:val="0"/>
          <w:sz w:val="24"/>
          <w:szCs w:val="24"/>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4"/>
          <w:szCs w:val="24"/>
          <w:highlight w:val="none"/>
        </w:rPr>
        <w:br w:type="textWrapping"/>
      </w:r>
      <w:r>
        <w:rPr>
          <w:rFonts w:hint="eastAsia" w:ascii="宋体" w:hAnsi="宋体" w:eastAsia="宋体" w:cs="宋体"/>
          <w:b w:val="0"/>
          <w:bCs w:val="0"/>
          <w:sz w:val="24"/>
          <w:szCs w:val="24"/>
          <w:highlight w:val="none"/>
        </w:rPr>
        <w:t>⑥截至开标前3天，投标人无正当理由、未以书面形式向招标人递交说明而在投标截止日不来投标的。</w:t>
      </w:r>
      <w:r>
        <w:rPr>
          <w:rFonts w:hint="eastAsia" w:ascii="宋体" w:hAnsi="宋体" w:eastAsia="宋体" w:cs="宋体"/>
          <w:b w:val="0"/>
          <w:bCs w:val="0"/>
          <w:sz w:val="24"/>
          <w:szCs w:val="24"/>
          <w:highlight w:val="none"/>
        </w:rPr>
        <w:br w:type="textWrapping"/>
      </w:r>
      <w:r>
        <w:rPr>
          <w:rFonts w:hint="eastAsia" w:ascii="宋体" w:hAnsi="宋体" w:eastAsia="宋体" w:cs="宋体"/>
          <w:b w:val="0"/>
          <w:bCs w:val="0"/>
          <w:sz w:val="24"/>
          <w:szCs w:val="24"/>
          <w:highlight w:val="none"/>
        </w:rPr>
        <w:t>⑦自中标通知书发出之日起30日内，中标人无正当理由投标人无正当签订合同的；</w:t>
      </w:r>
      <w:r>
        <w:rPr>
          <w:rFonts w:hint="eastAsia" w:ascii="宋体" w:hAnsi="宋体" w:eastAsia="宋体" w:cs="宋体"/>
          <w:b w:val="0"/>
          <w:bCs w:val="0"/>
          <w:sz w:val="24"/>
          <w:szCs w:val="24"/>
          <w:highlight w:val="none"/>
        </w:rPr>
        <w:br w:type="textWrapping"/>
      </w:r>
      <w:r>
        <w:rPr>
          <w:rFonts w:hint="eastAsia" w:ascii="宋体" w:hAnsi="宋体" w:eastAsia="宋体" w:cs="宋体"/>
          <w:b w:val="0"/>
          <w:bCs w:val="0"/>
          <w:sz w:val="24"/>
          <w:szCs w:val="24"/>
          <w:highlight w:val="none"/>
        </w:rPr>
        <w:t>⑧采购文件规定的其他情形</w:t>
      </w:r>
      <w:r>
        <w:rPr>
          <w:rFonts w:hint="eastAsia" w:ascii="宋体" w:hAnsi="宋体" w:eastAsia="宋体" w:cs="宋体"/>
          <w:b w:val="0"/>
          <w:bCs w:val="0"/>
          <w:sz w:val="24"/>
          <w:szCs w:val="24"/>
          <w:highlight w:val="none"/>
          <w:lang w:eastAsia="zh-CN"/>
        </w:rPr>
        <w:t>。</w:t>
      </w:r>
    </w:p>
    <w:bookmarkEnd w:id="16"/>
    <w:p>
      <w:pPr>
        <w:pStyle w:val="73"/>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开评标</w:t>
      </w:r>
    </w:p>
    <w:p>
      <w:pPr>
        <w:pStyle w:val="73"/>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开标时间：</w:t>
      </w:r>
      <w:r>
        <w:rPr>
          <w:rFonts w:hint="eastAsia" w:ascii="宋体" w:hAnsi="宋体" w:eastAsia="宋体" w:cs="宋体"/>
          <w:b/>
          <w:bCs/>
          <w:color w:val="auto"/>
          <w:sz w:val="24"/>
          <w:szCs w:val="24"/>
          <w:highlight w:val="yellow"/>
        </w:rPr>
        <w:t>202</w:t>
      </w:r>
      <w:r>
        <w:rPr>
          <w:rFonts w:hint="eastAsia" w:ascii="宋体" w:hAnsi="宋体" w:eastAsia="宋体" w:cs="宋体"/>
          <w:b/>
          <w:bCs/>
          <w:color w:val="auto"/>
          <w:sz w:val="24"/>
          <w:szCs w:val="24"/>
          <w:highlight w:val="yellow"/>
          <w:lang w:val="en-US" w:eastAsia="zh-CN"/>
        </w:rPr>
        <w:t>6</w:t>
      </w:r>
      <w:r>
        <w:rPr>
          <w:rFonts w:hint="eastAsia" w:ascii="宋体" w:hAnsi="宋体" w:eastAsia="宋体" w:cs="宋体"/>
          <w:b/>
          <w:bCs/>
          <w:color w:val="auto"/>
          <w:sz w:val="24"/>
          <w:szCs w:val="24"/>
          <w:highlight w:val="yellow"/>
        </w:rPr>
        <w:t>年</w:t>
      </w:r>
      <w:r>
        <w:rPr>
          <w:rFonts w:hint="eastAsia" w:ascii="宋体" w:hAnsi="宋体" w:eastAsia="宋体" w:cs="宋体"/>
          <w:b/>
          <w:bCs/>
          <w:color w:val="auto"/>
          <w:sz w:val="24"/>
          <w:szCs w:val="24"/>
          <w:highlight w:val="yellow"/>
          <w:lang w:val="en-US" w:eastAsia="zh-CN"/>
        </w:rPr>
        <w:t>10月9日</w:t>
      </w:r>
      <w:r>
        <w:rPr>
          <w:rFonts w:hint="eastAsia" w:ascii="宋体" w:hAnsi="宋体" w:eastAsia="宋体" w:cs="宋体"/>
          <w:b w:val="0"/>
          <w:bCs w:val="0"/>
          <w:sz w:val="24"/>
          <w:szCs w:val="24"/>
          <w:highlight w:val="none"/>
          <w:lang w:val="en-US" w:eastAsia="zh-CN"/>
        </w:rPr>
        <w:t>14</w:t>
      </w:r>
      <w:r>
        <w:rPr>
          <w:rFonts w:hint="eastAsia" w:ascii="宋体" w:hAnsi="宋体" w:eastAsia="宋体" w:cs="宋体"/>
          <w:b w:val="0"/>
          <w:bCs w:val="0"/>
          <w:sz w:val="24"/>
          <w:szCs w:val="24"/>
          <w:highlight w:val="none"/>
        </w:rPr>
        <w:t>:00:00</w:t>
      </w:r>
      <w:r>
        <w:rPr>
          <w:rFonts w:hint="eastAsia" w:ascii="宋体" w:hAnsi="宋体" w:eastAsia="宋体" w:cs="宋体"/>
          <w:b w:val="0"/>
          <w:bCs w:val="0"/>
          <w:sz w:val="24"/>
          <w:szCs w:val="24"/>
          <w:highlight w:val="none"/>
          <w:lang w:eastAsia="zh-CN"/>
        </w:rPr>
        <w:t>（暂定，以实际通知为准）</w:t>
      </w:r>
    </w:p>
    <w:p>
      <w:pPr>
        <w:pStyle w:val="73"/>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开标地点：济南市章丘区潘王路11号中国重汽集团济南商用车有限公司轻卡制造公司</w:t>
      </w:r>
    </w:p>
    <w:p>
      <w:pPr>
        <w:pStyle w:val="73"/>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开标方式：</w:t>
      </w:r>
    </w:p>
    <w:p>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11" w:leftChars="0" w:firstLine="0" w:firstLineChars="0"/>
        <w:textAlignment w:val="auto"/>
        <w:rPr>
          <w:rFonts w:hint="eastAsia" w:ascii="宋体" w:hAnsi="宋体" w:eastAsia="宋体" w:cs="宋体"/>
          <w:color w:val="000000"/>
          <w:sz w:val="24"/>
          <w:szCs w:val="24"/>
          <w:highlight w:val="none"/>
        </w:rPr>
      </w:pPr>
      <w:r>
        <w:rPr>
          <w:rFonts w:hint="eastAsia" w:ascii="宋体" w:hAnsi="宋体" w:eastAsia="宋体" w:cs="宋体"/>
          <w:b w:val="0"/>
          <w:bCs/>
          <w:kern w:val="2"/>
          <w:sz w:val="24"/>
          <w:szCs w:val="24"/>
          <w:highlight w:val="none"/>
          <w:lang w:val="en-US" w:eastAsia="zh-CN" w:bidi="ar-SA"/>
        </w:rPr>
        <w:t>现场招</w:t>
      </w:r>
      <w:r>
        <w:rPr>
          <w:rFonts w:hint="eastAsia" w:ascii="宋体" w:hAnsi="宋体" w:eastAsia="宋体" w:cs="宋体"/>
          <w:b w:val="0"/>
          <w:bCs w:val="0"/>
          <w:sz w:val="24"/>
          <w:szCs w:val="24"/>
          <w:highlight w:val="none"/>
          <w:lang w:val="en-US" w:eastAsia="zh-CN"/>
        </w:rPr>
        <w:t>标：</w:t>
      </w:r>
      <w:r>
        <w:rPr>
          <w:rFonts w:hint="eastAsia" w:ascii="宋体" w:hAnsi="宋体" w:eastAsia="宋体" w:cs="宋体"/>
          <w:color w:val="000000"/>
          <w:sz w:val="24"/>
          <w:szCs w:val="24"/>
          <w:highlight w:val="none"/>
        </w:rPr>
        <w:t>原则上来现场参与开标。如因特殊情况无法现场参与，需在开标前三日，通知招标人，由招标人创建视频链接，并在报名结束后统一通知。</w:t>
      </w:r>
    </w:p>
    <w:p>
      <w:pPr>
        <w:pStyle w:val="73"/>
        <w:keepNext w:val="0"/>
        <w:keepLines w:val="0"/>
        <w:pageBreakBefore w:val="0"/>
        <w:widowControl w:val="0"/>
        <w:numPr>
          <w:ilvl w:val="0"/>
          <w:numId w:val="2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4"/>
          <w:szCs w:val="24"/>
          <w:highlight w:val="none"/>
        </w:rPr>
      </w:pPr>
      <w:r>
        <w:rPr>
          <w:rFonts w:hint="eastAsia" w:ascii="宋体" w:hAnsi="宋体" w:eastAsia="宋体" w:cs="宋体"/>
          <w:b w:val="0"/>
          <w:bCs/>
          <w:kern w:val="2"/>
          <w:sz w:val="24"/>
          <w:szCs w:val="24"/>
          <w:highlight w:val="none"/>
          <w:lang w:val="en-US" w:eastAsia="zh-CN" w:bidi="ar-SA"/>
        </w:rPr>
        <w:t>线上招标：</w:t>
      </w:r>
      <w:r>
        <w:rPr>
          <w:rFonts w:hint="eastAsia" w:ascii="宋体" w:hAnsi="宋体" w:eastAsia="宋体" w:cs="宋体"/>
          <w:b w:val="0"/>
          <w:bCs w:val="0"/>
          <w:sz w:val="24"/>
          <w:szCs w:val="24"/>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4"/>
          <w:szCs w:val="24"/>
          <w:highlight w:val="none"/>
        </w:rPr>
        <w:t>招标人创建视频链接</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并在报名结束后统一通知。</w:t>
      </w:r>
    </w:p>
    <w:p>
      <w:pPr>
        <w:pStyle w:val="73"/>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评标</w:t>
      </w:r>
    </w:p>
    <w:p>
      <w:pPr>
        <w:pStyle w:val="73"/>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评标方法</w:t>
      </w:r>
    </w:p>
    <w:p>
      <w:pPr>
        <w:pStyle w:val="76"/>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合理最低价中标</w:t>
      </w:r>
    </w:p>
    <w:p>
      <w:pPr>
        <w:pStyle w:val="73"/>
        <w:keepNext w:val="0"/>
        <w:keepLines w:val="0"/>
        <w:pageBreakBefore w:val="0"/>
        <w:widowControl w:val="0"/>
        <w:numPr>
          <w:ilvl w:val="0"/>
          <w:numId w:val="0"/>
        </w:numPr>
        <w:kinsoku/>
        <w:wordWrap/>
        <w:overflowPunct/>
        <w:topLinePunct w:val="0"/>
        <w:autoSpaceDE/>
        <w:autoSpaceDN/>
        <w:bidi w:val="0"/>
        <w:adjustRightInd/>
        <w:snapToGrid/>
        <w:ind w:leftChars="0" w:firstLine="210" w:firstLineChars="1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2.评标流程</w:t>
      </w:r>
    </w:p>
    <w:p>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应标资格审查：在“中国重汽e采通”应标报名时，</w:t>
      </w:r>
      <w:r>
        <w:rPr>
          <w:rFonts w:hint="eastAsia" w:ascii="宋体" w:hAnsi="宋体" w:eastAsia="宋体" w:cs="宋体"/>
          <w:b/>
          <w:bCs/>
          <w:color w:val="000000"/>
          <w:sz w:val="24"/>
          <w:szCs w:val="24"/>
          <w:highlight w:val="none"/>
        </w:rPr>
        <w:t>按照第</w:t>
      </w:r>
      <w:r>
        <w:rPr>
          <w:rFonts w:hint="eastAsia" w:ascii="宋体" w:hAnsi="宋体" w:eastAsia="宋体" w:cs="宋体"/>
          <w:b/>
          <w:bCs/>
          <w:color w:val="000000"/>
          <w:sz w:val="24"/>
          <w:szCs w:val="24"/>
          <w:highlight w:val="none"/>
          <w:lang w:val="en-US" w:eastAsia="zh-CN"/>
        </w:rPr>
        <w:t>一</w:t>
      </w:r>
      <w:r>
        <w:rPr>
          <w:rFonts w:hint="eastAsia" w:ascii="宋体" w:hAnsi="宋体" w:eastAsia="宋体" w:cs="宋体"/>
          <w:b/>
          <w:bCs/>
          <w:color w:val="000000"/>
          <w:sz w:val="24"/>
          <w:szCs w:val="24"/>
          <w:highlight w:val="none"/>
        </w:rPr>
        <w:t>部分第</w:t>
      </w:r>
      <w:r>
        <w:rPr>
          <w:rFonts w:hint="eastAsia" w:ascii="宋体" w:hAnsi="宋体" w:eastAsia="宋体" w:cs="宋体"/>
          <w:b/>
          <w:bCs/>
          <w:color w:val="000000"/>
          <w:sz w:val="24"/>
          <w:szCs w:val="24"/>
          <w:highlight w:val="none"/>
          <w:lang w:val="en-US" w:eastAsia="zh-CN"/>
        </w:rPr>
        <w:t>四</w:t>
      </w:r>
      <w:r>
        <w:rPr>
          <w:rFonts w:hint="eastAsia" w:ascii="宋体" w:hAnsi="宋体" w:eastAsia="宋体" w:cs="宋体"/>
          <w:b/>
          <w:bCs/>
          <w:color w:val="000000"/>
          <w:sz w:val="24"/>
          <w:szCs w:val="24"/>
          <w:highlight w:val="none"/>
        </w:rPr>
        <w:t>条投标文件</w:t>
      </w:r>
      <w:r>
        <w:rPr>
          <w:rFonts w:hint="eastAsia" w:ascii="宋体" w:hAnsi="宋体" w:eastAsia="宋体" w:cs="宋体"/>
          <w:b/>
          <w:bCs/>
          <w:color w:val="000000"/>
          <w:sz w:val="24"/>
          <w:szCs w:val="24"/>
          <w:highlight w:val="none"/>
          <w:lang w:val="en-US" w:eastAsia="zh-CN"/>
        </w:rPr>
        <w:t>编制</w:t>
      </w:r>
      <w:r>
        <w:rPr>
          <w:rFonts w:hint="eastAsia" w:ascii="宋体" w:hAnsi="宋体" w:eastAsia="宋体" w:cs="宋体"/>
          <w:b/>
          <w:bCs/>
          <w:color w:val="000000"/>
          <w:sz w:val="24"/>
          <w:szCs w:val="24"/>
          <w:highlight w:val="none"/>
        </w:rPr>
        <w:t>资格证明文件中的1.1-1.1</w:t>
      </w:r>
      <w:r>
        <w:rPr>
          <w:rFonts w:hint="eastAsia" w:ascii="宋体" w:hAnsi="宋体" w:eastAsia="宋体" w:cs="宋体"/>
          <w:b/>
          <w:bCs/>
          <w:color w:val="000000"/>
          <w:sz w:val="24"/>
          <w:szCs w:val="24"/>
          <w:highlight w:val="none"/>
          <w:lang w:val="en-US" w:eastAsia="zh-CN"/>
        </w:rPr>
        <w:t>1</w:t>
      </w:r>
      <w:r>
        <w:rPr>
          <w:rFonts w:hint="eastAsia" w:ascii="宋体" w:hAnsi="宋体" w:eastAsia="宋体" w:cs="宋体"/>
          <w:b/>
          <w:bCs/>
          <w:color w:val="000000"/>
          <w:sz w:val="24"/>
          <w:szCs w:val="24"/>
          <w:highlight w:val="none"/>
        </w:rPr>
        <w:t>准备资料，上传完毕后，等待审核</w:t>
      </w: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none"/>
          <w:lang w:val="en-US" w:eastAsia="zh-CN"/>
        </w:rPr>
        <w:t>供应商需在系统上完成财务数据的填写，如因未在系统上提供财务数据，导致应标不通过，所造成的后果由供应商自行承担。</w:t>
      </w:r>
    </w:p>
    <w:p>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通过应标资格审查的单位进入投标环节，按照“SRM系统供应商用户手册”，在重汽e采通平台投递电子标书（包含资质标、技术标、商务标）；没有通过应标资质审查的单位不能进入投标环节；</w:t>
      </w:r>
    </w:p>
    <w:p>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资质标评审：资质标审核通过的单位，可以进入公开唱标环节；</w:t>
      </w:r>
    </w:p>
    <w:p>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公开唱标：公示资质标入围单位的开标价格及商务条款响应情况；</w:t>
      </w:r>
    </w:p>
    <w:p>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highlight w:val="none"/>
          <w:lang w:val="en-US" w:eastAsia="zh-CN"/>
        </w:rPr>
        <w:t>评分详见</w:t>
      </w:r>
      <w:r>
        <w:rPr>
          <w:rFonts w:hint="eastAsia" w:ascii="宋体" w:hAnsi="宋体" w:eastAsia="宋体" w:cs="宋体"/>
          <w:b/>
          <w:bCs/>
          <w:color w:val="000000"/>
          <w:sz w:val="24"/>
          <w:szCs w:val="24"/>
          <w:highlight w:val="none"/>
        </w:rPr>
        <w:t>评分标准；</w:t>
      </w:r>
    </w:p>
    <w:p>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商务标评审：商务条款相应确认→价格澄清→商务标评审；评审期间产生的商务价格澄清均由投标人在重汽e采通平台限时内完成提交；</w:t>
      </w:r>
    </w:p>
    <w:p>
      <w:pPr>
        <w:pStyle w:val="76"/>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注意：投标人均需要自带笔记本电脑在重汽e采通进行自主投标和提交澄清函；投标和提交澄清函均有时间限制，超时未提交的按无效处理。</w:t>
      </w:r>
    </w:p>
    <w:p>
      <w:pPr>
        <w:pStyle w:val="73"/>
        <w:numPr>
          <w:ilvl w:val="0"/>
          <w:numId w:val="0"/>
        </w:numPr>
        <w:rPr>
          <w:rFonts w:hint="default" w:ascii="宋体" w:hAnsi="宋体" w:eastAsia="宋体" w:cs="宋体"/>
          <w:b w:val="0"/>
          <w:bCs w:val="0"/>
          <w:sz w:val="24"/>
          <w:szCs w:val="24"/>
          <w:highlight w:val="none"/>
          <w:lang w:val="en-US" w:eastAsia="zh-CN"/>
        </w:rPr>
      </w:pPr>
    </w:p>
    <w:p>
      <w:pPr>
        <w:pStyle w:val="73"/>
        <w:rPr>
          <w:highlight w:val="none"/>
        </w:rPr>
      </w:pPr>
      <w:r>
        <w:rPr>
          <w:rFonts w:hint="eastAsia"/>
          <w:highlight w:val="none"/>
          <w:lang w:val="en-US" w:eastAsia="zh-CN"/>
        </w:rPr>
        <w:t>定标</w:t>
      </w:r>
    </w:p>
    <w:p>
      <w:pPr>
        <w:pStyle w:val="73"/>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本项目只产生</w:t>
      </w:r>
      <w:r>
        <w:rPr>
          <w:rFonts w:hint="eastAsia" w:ascii="宋体" w:hAnsi="宋体" w:eastAsia="宋体" w:cs="宋体"/>
          <w:b w:val="0"/>
          <w:bCs w:val="0"/>
          <w:sz w:val="24"/>
          <w:szCs w:val="24"/>
          <w:highlight w:val="none"/>
          <w:u w:val="single"/>
          <w:lang w:val="en-US" w:eastAsia="zh-CN"/>
        </w:rPr>
        <w:t>1</w:t>
      </w:r>
      <w:r>
        <w:rPr>
          <w:rFonts w:hint="eastAsia" w:ascii="宋体" w:hAnsi="宋体" w:eastAsia="宋体" w:cs="宋体"/>
          <w:b w:val="0"/>
          <w:bCs w:val="0"/>
          <w:sz w:val="24"/>
          <w:szCs w:val="24"/>
          <w:highlight w:val="none"/>
        </w:rPr>
        <w:t>个中标人。中标人签订合同前须进行最终审查。最终审查的对象</w:t>
      </w:r>
      <w:r>
        <w:rPr>
          <w:rFonts w:hint="eastAsia" w:ascii="宋体" w:hAnsi="宋体" w:eastAsia="宋体" w:cs="宋体"/>
          <w:b w:val="0"/>
          <w:bCs w:val="0"/>
          <w:sz w:val="24"/>
          <w:szCs w:val="24"/>
          <w:highlight w:val="none"/>
          <w:lang w:val="en-US" w:eastAsia="zh-CN"/>
        </w:rPr>
        <w:t>是</w:t>
      </w:r>
      <w:r>
        <w:rPr>
          <w:rFonts w:hint="eastAsia" w:ascii="宋体" w:hAnsi="宋体" w:eastAsia="宋体" w:cs="宋体"/>
          <w:b w:val="0"/>
          <w:bCs w:val="0"/>
          <w:sz w:val="24"/>
          <w:szCs w:val="24"/>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4"/>
          <w:szCs w:val="24"/>
          <w:highlight w:val="none"/>
          <w:lang w:val="en-US" w:eastAsia="zh-CN"/>
        </w:rPr>
        <w:t>的</w:t>
      </w:r>
      <w:r>
        <w:rPr>
          <w:rFonts w:hint="eastAsia" w:ascii="宋体" w:hAnsi="宋体" w:eastAsia="宋体" w:cs="宋体"/>
          <w:b w:val="0"/>
          <w:bCs w:val="0"/>
          <w:sz w:val="24"/>
          <w:szCs w:val="24"/>
          <w:highlight w:val="none"/>
        </w:rPr>
        <w:t>，则本次评标作废</w:t>
      </w:r>
      <w:r>
        <w:rPr>
          <w:rFonts w:hint="eastAsia" w:ascii="宋体" w:hAnsi="宋体" w:eastAsia="宋体" w:cs="宋体"/>
          <w:b w:val="0"/>
          <w:bCs w:val="0"/>
          <w:sz w:val="24"/>
          <w:szCs w:val="24"/>
          <w:highlight w:val="none"/>
          <w:lang w:val="en-US" w:eastAsia="zh-CN"/>
        </w:rPr>
        <w:t>或变更意向中标人</w:t>
      </w:r>
      <w:r>
        <w:rPr>
          <w:rFonts w:hint="eastAsia" w:ascii="宋体" w:hAnsi="宋体" w:eastAsia="宋体" w:cs="宋体"/>
          <w:b w:val="0"/>
          <w:bCs w:val="0"/>
          <w:sz w:val="24"/>
          <w:szCs w:val="24"/>
          <w:highlight w:val="none"/>
          <w:lang w:eastAsia="zh-CN"/>
        </w:rPr>
        <w:t>。</w:t>
      </w:r>
    </w:p>
    <w:p>
      <w:pPr>
        <w:pStyle w:val="73"/>
        <w:rPr>
          <w:highlight w:val="none"/>
        </w:rPr>
      </w:pPr>
      <w:r>
        <w:rPr>
          <w:rFonts w:hint="eastAsia"/>
          <w:highlight w:val="none"/>
          <w:lang w:val="en-US" w:eastAsia="zh-CN"/>
        </w:rPr>
        <w:t>废标及终止招标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1.</w:t>
      </w:r>
      <w:r>
        <w:rPr>
          <w:rFonts w:hint="eastAsia" w:ascii="宋体" w:hAnsi="宋体" w:eastAsia="宋体" w:cs="宋体"/>
          <w:color w:val="000000"/>
          <w:sz w:val="24"/>
          <w:szCs w:val="24"/>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(1)</w:t>
      </w:r>
      <w:r>
        <w:rPr>
          <w:rFonts w:hint="eastAsia" w:ascii="宋体" w:hAnsi="宋体" w:eastAsia="宋体" w:cs="宋体"/>
          <w:color w:val="000000"/>
          <w:sz w:val="24"/>
          <w:szCs w:val="24"/>
          <w:highlight w:val="none"/>
        </w:rPr>
        <w:t>投标人提供的有关资格、资质证明文件不合格、不真实或提供虚假投标材料；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(2)</w:t>
      </w:r>
      <w:r>
        <w:rPr>
          <w:rFonts w:hint="eastAsia" w:ascii="宋体" w:hAnsi="宋体" w:eastAsia="宋体" w:cs="宋体"/>
          <w:color w:val="000000"/>
          <w:sz w:val="24"/>
          <w:szCs w:val="24"/>
          <w:highlight w:val="none"/>
        </w:rPr>
        <w:t>投标人在报价有效期内撤回投标；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(3)</w:t>
      </w:r>
      <w:r>
        <w:rPr>
          <w:rFonts w:hint="eastAsia" w:ascii="宋体" w:hAnsi="宋体" w:eastAsia="宋体" w:cs="宋体"/>
          <w:color w:val="000000"/>
          <w:sz w:val="24"/>
          <w:szCs w:val="24"/>
          <w:highlight w:val="none"/>
        </w:rPr>
        <w:t>在整个评标过程中，投标人有企图影响评标结果公正性的任何活动；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(4)</w:t>
      </w:r>
      <w:r>
        <w:rPr>
          <w:rFonts w:hint="eastAsia" w:ascii="宋体" w:hAnsi="宋体" w:eastAsia="宋体" w:cs="宋体"/>
          <w:color w:val="000000"/>
          <w:sz w:val="24"/>
          <w:szCs w:val="24"/>
          <w:highlight w:val="none"/>
        </w:rPr>
        <w:t>投标人以任何方式诋毁其他投标人；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(5)</w:t>
      </w:r>
      <w:r>
        <w:rPr>
          <w:rFonts w:hint="eastAsia" w:ascii="宋体" w:hAnsi="宋体" w:eastAsia="宋体" w:cs="宋体"/>
          <w:color w:val="000000"/>
          <w:sz w:val="24"/>
          <w:szCs w:val="24"/>
          <w:highlight w:val="none"/>
        </w:rPr>
        <w:t>投标人串通投标；</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(6)</w:t>
      </w:r>
      <w:r>
        <w:rPr>
          <w:rFonts w:hint="eastAsia" w:ascii="宋体" w:hAnsi="宋体" w:eastAsia="宋体" w:cs="宋体"/>
          <w:color w:val="000000"/>
          <w:sz w:val="24"/>
          <w:szCs w:val="24"/>
          <w:highlight w:val="none"/>
        </w:rPr>
        <w:t>投标人被举报、检举，并经招标人查实无误的；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(7)</w:t>
      </w:r>
      <w:r>
        <w:rPr>
          <w:rFonts w:hint="eastAsia" w:ascii="宋体" w:hAnsi="宋体" w:eastAsia="宋体" w:cs="宋体"/>
          <w:color w:val="000000"/>
          <w:sz w:val="24"/>
          <w:szCs w:val="24"/>
          <w:highlight w:val="none"/>
        </w:rPr>
        <w:t>以他人名义投标或者以其他方式弄虚作假，骗取中标的；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(8)</w:t>
      </w:r>
      <w:r>
        <w:rPr>
          <w:rFonts w:hint="eastAsia" w:ascii="宋体" w:hAnsi="宋体" w:eastAsia="宋体" w:cs="宋体"/>
          <w:sz w:val="24"/>
          <w:szCs w:val="24"/>
          <w:highlight w:val="none"/>
        </w:rPr>
        <w:t>投标人负责人为同一人或者存在控股、管理关系的不同单位；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(9)</w:t>
      </w:r>
      <w:r>
        <w:rPr>
          <w:rFonts w:hint="eastAsia" w:ascii="宋体" w:hAnsi="宋体" w:eastAsia="宋体" w:cs="宋体"/>
          <w:sz w:val="24"/>
          <w:szCs w:val="24"/>
          <w:highlight w:val="none"/>
        </w:rPr>
        <w:t>有效投标不足三家；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(10)</w:t>
      </w:r>
      <w:r>
        <w:rPr>
          <w:rFonts w:hint="eastAsia" w:ascii="宋体" w:hAnsi="宋体" w:eastAsia="宋体" w:cs="宋体"/>
          <w:sz w:val="24"/>
          <w:szCs w:val="24"/>
          <w:highlight w:val="none"/>
        </w:rPr>
        <w:t>不同投标人的投标文件异常一致或者投标报价呈规律性差异的；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(11)</w:t>
      </w:r>
      <w:r>
        <w:rPr>
          <w:rFonts w:hint="eastAsia" w:ascii="宋体" w:hAnsi="宋体" w:eastAsia="宋体" w:cs="宋体"/>
          <w:sz w:val="24"/>
          <w:szCs w:val="24"/>
          <w:highlight w:val="none"/>
        </w:rPr>
        <w:t>投标人报价均超过</w:t>
      </w:r>
      <w:r>
        <w:rPr>
          <w:rFonts w:hint="eastAsia" w:ascii="宋体" w:hAnsi="宋体" w:eastAsia="宋体" w:cs="宋体"/>
          <w:sz w:val="24"/>
          <w:szCs w:val="24"/>
          <w:highlight w:val="none"/>
          <w:lang w:val="en-US" w:eastAsia="zh-CN"/>
        </w:rPr>
        <w:t>最高限价</w:t>
      </w:r>
      <w:r>
        <w:rPr>
          <w:rFonts w:hint="eastAsia" w:ascii="宋体" w:hAnsi="宋体" w:eastAsia="宋体" w:cs="宋体"/>
          <w:sz w:val="24"/>
          <w:szCs w:val="24"/>
          <w:highlight w:val="none"/>
        </w:rPr>
        <w:t>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(12)</w:t>
      </w:r>
      <w:r>
        <w:rPr>
          <w:rFonts w:hint="eastAsia" w:ascii="宋体" w:hAnsi="宋体" w:eastAsia="宋体" w:cs="宋体"/>
          <w:color w:val="000000"/>
          <w:sz w:val="24"/>
          <w:szCs w:val="24"/>
          <w:highlight w:val="none"/>
        </w:rPr>
        <w:t>未按要求填报商务报价资料，对招标开展造成较大影响；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(13)</w:t>
      </w:r>
      <w:r>
        <w:rPr>
          <w:rFonts w:hint="eastAsia" w:ascii="宋体" w:hAnsi="宋体" w:eastAsia="宋体" w:cs="宋体"/>
          <w:b w:val="0"/>
          <w:bCs w:val="0"/>
          <w:spacing w:val="0"/>
          <w:sz w:val="24"/>
          <w:szCs w:val="24"/>
          <w:highlight w:val="none"/>
          <w:lang w:val="en-US" w:eastAsia="zh-CN"/>
        </w:rPr>
        <w:t>未按照招标人规定的时间内在中国重汽e采通完成投标的；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(14)</w:t>
      </w:r>
      <w:r>
        <w:rPr>
          <w:rFonts w:hint="eastAsia" w:ascii="宋体" w:hAnsi="宋体" w:eastAsia="宋体" w:cs="宋体"/>
          <w:color w:val="000000"/>
          <w:sz w:val="24"/>
          <w:szCs w:val="24"/>
          <w:highlight w:val="none"/>
        </w:rPr>
        <w:t>法律、法规规定的其他情况。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2.</w:t>
      </w:r>
      <w:r>
        <w:rPr>
          <w:rFonts w:hint="eastAsia" w:ascii="宋体" w:hAnsi="宋体" w:eastAsia="宋体" w:cs="宋体"/>
          <w:sz w:val="24"/>
          <w:szCs w:val="24"/>
          <w:highlight w:val="none"/>
        </w:rPr>
        <w:t>出现下列情形之一，招标人有权否决所有投标人的投标，并终止招标。</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24"/>
          <w:szCs w:val="24"/>
          <w:highlight w:val="none"/>
          <w:lang w:eastAsia="zh-CN"/>
        </w:rPr>
      </w:pPr>
      <w:r>
        <w:rPr>
          <w:rFonts w:hint="eastAsia" w:ascii="宋体" w:hAnsi="宋体" w:eastAsia="宋体" w:cs="宋体"/>
          <w:b w:val="0"/>
          <w:bCs w:val="0"/>
          <w:color w:val="auto"/>
          <w:kern w:val="2"/>
          <w:sz w:val="24"/>
          <w:szCs w:val="24"/>
          <w:highlight w:val="none"/>
          <w:lang w:val="en-US" w:eastAsia="zh-CN" w:bidi="ar-SA"/>
        </w:rPr>
        <w:t>(1)</w:t>
      </w:r>
      <w:r>
        <w:rPr>
          <w:rFonts w:hint="eastAsia" w:ascii="宋体" w:hAnsi="宋体" w:eastAsia="宋体" w:cs="宋体"/>
          <w:sz w:val="24"/>
          <w:szCs w:val="24"/>
          <w:highlight w:val="none"/>
        </w:rPr>
        <w:t>符合条件的投标人或者对招标文件做实质响应的投标人不足三家的；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(2)</w:t>
      </w:r>
      <w:r>
        <w:rPr>
          <w:rFonts w:hint="eastAsia" w:ascii="宋体" w:hAnsi="宋体" w:eastAsia="宋体" w:cs="宋体"/>
          <w:sz w:val="24"/>
          <w:szCs w:val="24"/>
          <w:highlight w:val="none"/>
        </w:rPr>
        <w:t>出现影响采购公正的违法、违规行为的；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lang w:val="en-US" w:eastAsia="zh-CN" w:bidi="ar-SA"/>
        </w:rPr>
        <w:t>(3)</w:t>
      </w:r>
      <w:r>
        <w:rPr>
          <w:rFonts w:hint="eastAsia" w:ascii="宋体" w:hAnsi="宋体" w:eastAsia="宋体" w:cs="宋体"/>
          <w:bCs/>
          <w:sz w:val="24"/>
          <w:szCs w:val="24"/>
          <w:highlight w:val="none"/>
        </w:rPr>
        <w:t>评标委员会经评审，认为所有投标都不符合招标文件要求的；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lang w:val="en-US" w:eastAsia="zh-CN" w:bidi="ar-SA"/>
        </w:rPr>
        <w:t>(4)</w:t>
      </w:r>
      <w:r>
        <w:rPr>
          <w:rFonts w:hint="eastAsia" w:ascii="宋体" w:hAnsi="宋体" w:eastAsia="宋体" w:cs="宋体"/>
          <w:bCs/>
          <w:sz w:val="24"/>
          <w:szCs w:val="24"/>
          <w:highlight w:val="none"/>
        </w:rPr>
        <w:t>因重大变故，采购任务取消的</w:t>
      </w:r>
      <w:bookmarkStart w:id="17" w:name="OLE_LINK29"/>
      <w:bookmarkStart w:id="18" w:name="OLE_LINK25"/>
      <w:bookmarkStart w:id="19" w:name="OLE_LINK26"/>
      <w:bookmarkStart w:id="20" w:name="OLE_LINK27"/>
      <w:bookmarkStart w:id="21" w:name="OLE_LINK28"/>
      <w:r>
        <w:rPr>
          <w:rFonts w:hint="eastAsia" w:ascii="宋体" w:hAnsi="宋体" w:eastAsia="宋体" w:cs="宋体"/>
          <w:bCs/>
          <w:sz w:val="24"/>
          <w:szCs w:val="24"/>
          <w:highlight w:val="none"/>
        </w:rPr>
        <w:t>；</w:t>
      </w:r>
      <w:bookmarkEnd w:id="17"/>
      <w:bookmarkEnd w:id="18"/>
      <w:bookmarkEnd w:id="19"/>
      <w:bookmarkEnd w:id="20"/>
      <w:bookmarkEnd w:id="21"/>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lang w:val="en-US" w:eastAsia="zh-CN" w:bidi="ar-SA"/>
        </w:rPr>
        <w:t>(5)</w:t>
      </w:r>
      <w:r>
        <w:rPr>
          <w:rFonts w:hint="eastAsia" w:ascii="宋体" w:hAnsi="宋体" w:eastAsia="宋体" w:cs="宋体"/>
          <w:bCs/>
          <w:sz w:val="24"/>
          <w:szCs w:val="24"/>
          <w:highlight w:val="none"/>
        </w:rPr>
        <w:t>招标人认为其他应终止招标的情形。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t>3.</w:t>
      </w:r>
      <w:r>
        <w:rPr>
          <w:rFonts w:hint="eastAsia" w:ascii="宋体" w:hAnsi="宋体" w:eastAsia="宋体" w:cs="宋体"/>
          <w:color w:val="000000"/>
          <w:sz w:val="24"/>
          <w:szCs w:val="24"/>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pPr>
        <w:pStyle w:val="73"/>
        <w:rPr>
          <w:highlight w:val="none"/>
        </w:rPr>
      </w:pPr>
      <w:r>
        <w:rPr>
          <w:rFonts w:hint="eastAsia"/>
          <w:highlight w:val="none"/>
          <w:lang w:val="en-US" w:eastAsia="zh-CN"/>
        </w:rPr>
        <w:t>合同签订</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1.招标人根据评标工作小组的评标结果确定中标人，在重汽e采通平台公布中标结果，并发送中标通知。</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2.中标人应该在中标通知书规定的时间、地点与招标人签订采购合同，否则按照开标后撤回投标处理。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3.中标人应当按照合同约定的履约责任，在保证质量的前提下完成中标项目，不得将中标项目转包或分包给他人，否则视为违约，招标人有权解除合同。</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4"/>
          <w:szCs w:val="24"/>
          <w:highlight w:val="none"/>
        </w:rPr>
      </w:pPr>
      <w:r>
        <w:rPr>
          <w:rFonts w:hint="eastAsia" w:ascii="宋体" w:hAnsi="宋体" w:cs="宋体"/>
          <w:b/>
          <w:sz w:val="24"/>
          <w:szCs w:val="24"/>
          <w:highlight w:val="none"/>
        </w:rPr>
        <w:t>4.中标人由于履行义务的能力或信用有严重缺陷，招标人有权取消其中标资格，招标人将从中标候选单位中依序重新确定中标人，或重新组织招标；</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4"/>
          <w:szCs w:val="24"/>
          <w:highlight w:val="none"/>
        </w:rPr>
      </w:pPr>
      <w:r>
        <w:rPr>
          <w:rFonts w:hint="eastAsia" w:ascii="宋体" w:hAnsi="宋体" w:cs="宋体"/>
          <w:b/>
          <w:sz w:val="24"/>
          <w:szCs w:val="24"/>
          <w:highlight w:val="none"/>
        </w:rPr>
        <w:t>5.合同以双方最终签署的版本为准。</w:t>
      </w:r>
    </w:p>
    <w:p>
      <w:pPr>
        <w:pStyle w:val="73"/>
        <w:rPr>
          <w:highlight w:val="none"/>
        </w:rPr>
      </w:pPr>
      <w:r>
        <w:rPr>
          <w:rFonts w:hint="eastAsia"/>
          <w:highlight w:val="none"/>
          <w:lang w:val="en-US" w:eastAsia="zh-CN"/>
        </w:rPr>
        <w:t>交货及付款</w:t>
      </w:r>
    </w:p>
    <w:p>
      <w:pPr>
        <w:pStyle w:val="73"/>
        <w:numPr>
          <w:ilvl w:val="0"/>
          <w:numId w:val="27"/>
        </w:numPr>
        <w:ind w:left="425" w:leftChars="0" w:hanging="425"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交货期：</w:t>
      </w:r>
    </w:p>
    <w:p>
      <w:pPr>
        <w:pStyle w:val="73"/>
        <w:numPr>
          <w:ilvl w:val="0"/>
          <w:numId w:val="0"/>
        </w:numPr>
        <w:ind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1.1.自合同签订之日起，10个日历日之内交货至供货地点。</w:t>
      </w:r>
    </w:p>
    <w:p>
      <w:pPr>
        <w:spacing w:line="360" w:lineRule="auto"/>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1.2.接续15个日历日之内安装调试完毕。</w:t>
      </w:r>
    </w:p>
    <w:p>
      <w:pPr>
        <w:pStyle w:val="73"/>
        <w:numPr>
          <w:ilvl w:val="0"/>
          <w:numId w:val="27"/>
        </w:numPr>
        <w:ind w:left="425" w:leftChars="0" w:hanging="425"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交货地点：济南市章丘区潘王路11号济南轻卡制造公司</w:t>
      </w:r>
    </w:p>
    <w:p>
      <w:pPr>
        <w:pStyle w:val="73"/>
        <w:numPr>
          <w:ilvl w:val="0"/>
          <w:numId w:val="27"/>
        </w:numPr>
        <w:ind w:left="425" w:leftChars="0" w:hanging="425"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交货方式：交钥匙方式</w:t>
      </w:r>
    </w:p>
    <w:p>
      <w:pPr>
        <w:pStyle w:val="73"/>
        <w:numPr>
          <w:ilvl w:val="0"/>
          <w:numId w:val="27"/>
        </w:numPr>
        <w:ind w:left="425" w:leftChars="0" w:hanging="425"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付款方式</w:t>
      </w:r>
      <w:r>
        <w:rPr>
          <w:rFonts w:hint="eastAsia" w:ascii="宋体" w:hAnsi="宋体" w:eastAsia="宋体" w:cs="宋体"/>
          <w:b w:val="0"/>
          <w:bCs w:val="0"/>
          <w:color w:val="auto"/>
          <w:sz w:val="24"/>
          <w:szCs w:val="24"/>
          <w:highlight w:val="none"/>
          <w:lang w:eastAsia="zh-CN"/>
        </w:rPr>
        <w:t>：</w:t>
      </w:r>
    </w:p>
    <w:p>
      <w:pPr>
        <w:pStyle w:val="73"/>
        <w:numPr>
          <w:ilvl w:val="0"/>
          <w:numId w:val="0"/>
        </w:numP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4"/>
          <w:szCs w:val="24"/>
          <w:highlight w:val="none"/>
          <w:lang w:eastAsia="zh-CN"/>
        </w:rPr>
        <w:t>半年期商业汇票（包括银行承兑汇票和商业承兑汇票）；</w:t>
      </w:r>
    </w:p>
    <w:p>
      <w:pPr>
        <w:pStyle w:val="73"/>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5</w:t>
      </w:r>
      <w:r>
        <w:rPr>
          <w:rFonts w:hint="default" w:ascii="宋体" w:hAnsi="宋体" w:eastAsia="宋体" w:cs="宋体"/>
          <w:b/>
          <w:bCs/>
          <w:color w:val="auto"/>
          <w:kern w:val="2"/>
          <w:sz w:val="24"/>
          <w:szCs w:val="24"/>
          <w:highlight w:val="none"/>
          <w:lang w:val="en-US" w:eastAsia="zh-CN" w:bidi="ar-SA"/>
        </w:rPr>
        <w:t>.</w:t>
      </w:r>
      <w:r>
        <w:rPr>
          <w:rFonts w:hint="eastAsia" w:ascii="宋体" w:hAnsi="宋体" w:eastAsia="宋体" w:cs="宋体"/>
          <w:b/>
          <w:bCs/>
          <w:color w:val="auto"/>
          <w:sz w:val="24"/>
          <w:szCs w:val="24"/>
          <w:highlight w:val="none"/>
          <w:lang w:val="en-US" w:eastAsia="zh-CN"/>
        </w:rPr>
        <w:t>付款节点：</w:t>
      </w:r>
    </w:p>
    <w:p>
      <w:pPr>
        <w:pStyle w:val="6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:1 ：</w:t>
      </w:r>
    </w:p>
    <w:p>
      <w:pPr>
        <w:pStyle w:val="6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A.设备验收合格后，中标人提交金额为合同价款</w:t>
      </w:r>
      <w:r>
        <w:rPr>
          <w:rFonts w:hint="eastAsia" w:ascii="宋体" w:hAnsi="宋体" w:cs="宋体"/>
          <w:b/>
          <w:bCs/>
          <w:color w:val="auto"/>
          <w:sz w:val="24"/>
          <w:szCs w:val="24"/>
          <w:highlight w:val="none"/>
          <w:lang w:val="en-US" w:eastAsia="zh-CN"/>
        </w:rPr>
        <w:t>90</w:t>
      </w:r>
      <w:r>
        <w:rPr>
          <w:rFonts w:hint="eastAsia" w:ascii="宋体" w:hAnsi="宋体" w:eastAsia="宋体" w:cs="宋体"/>
          <w:b/>
          <w:bCs/>
          <w:color w:val="auto"/>
          <w:sz w:val="24"/>
          <w:szCs w:val="24"/>
          <w:highlight w:val="none"/>
        </w:rPr>
        <w:t>%的收据并提供合同价款</w:t>
      </w:r>
      <w:r>
        <w:rPr>
          <w:rFonts w:hint="eastAsia" w:ascii="宋体" w:hAnsi="宋体" w:cs="宋体"/>
          <w:b/>
          <w:bCs/>
          <w:color w:val="auto"/>
          <w:sz w:val="24"/>
          <w:szCs w:val="24"/>
          <w:highlight w:val="none"/>
          <w:lang w:val="en-US" w:eastAsia="zh-CN"/>
        </w:rPr>
        <w:t>10</w:t>
      </w:r>
      <w:r>
        <w:rPr>
          <w:rFonts w:hint="eastAsia" w:ascii="宋体" w:hAnsi="宋体" w:eastAsia="宋体" w:cs="宋体"/>
          <w:b/>
          <w:bCs/>
          <w:color w:val="auto"/>
          <w:sz w:val="24"/>
          <w:szCs w:val="24"/>
          <w:highlight w:val="none"/>
        </w:rPr>
        <w:t>0%的增值税专用发票（含复印件二份），经招标人依照财务制度审核通过后30日支付；</w:t>
      </w:r>
    </w:p>
    <w:p>
      <w:pPr>
        <w:pStyle w:val="63"/>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B</w:t>
      </w:r>
      <w:r>
        <w:rPr>
          <w:rFonts w:hint="eastAsia" w:ascii="宋体" w:hAnsi="宋体" w:eastAsia="宋体" w:cs="宋体"/>
          <w:b/>
          <w:bCs/>
          <w:color w:val="auto"/>
          <w:sz w:val="24"/>
          <w:szCs w:val="24"/>
          <w:highlight w:val="none"/>
        </w:rPr>
        <w:t>.合同总价款的10%作为本合同约定设备的质量保证金，质量保证金在质量保证期内不计利息。质保期届满后支付。</w:t>
      </w:r>
    </w:p>
    <w:p>
      <w:pPr>
        <w:pStyle w:val="73"/>
        <w:rPr>
          <w:rFonts w:hint="eastAsia"/>
          <w:highlight w:val="none"/>
          <w:lang w:val="en-US" w:eastAsia="zh-CN"/>
        </w:rPr>
      </w:pPr>
      <w:r>
        <w:rPr>
          <w:rFonts w:hint="eastAsia"/>
          <w:highlight w:val="none"/>
          <w:lang w:val="en-US" w:eastAsia="zh-CN"/>
        </w:rPr>
        <w:t>质保金</w:t>
      </w:r>
    </w:p>
    <w:p>
      <w:pPr>
        <w:pStyle w:val="73"/>
        <w:rPr>
          <w:rFonts w:hint="eastAsia"/>
          <w:highlight w:val="none"/>
          <w:lang w:val="en-US" w:eastAsia="zh-CN"/>
        </w:rPr>
      </w:pPr>
      <w:r>
        <w:rPr>
          <w:rFonts w:hint="eastAsia"/>
          <w:highlight w:val="none"/>
          <w:lang w:val="en-US" w:eastAsia="zh-CN"/>
        </w:rPr>
        <w:t>本次招标最终解释权归中国重汽集团济南商用车有限公司。</w:t>
      </w:r>
    </w:p>
    <w:p>
      <w:pPr>
        <w:pStyle w:val="73"/>
        <w:widowControl w:val="0"/>
        <w:numPr>
          <w:ilvl w:val="0"/>
          <w:numId w:val="0"/>
        </w:numPr>
        <w:spacing w:line="360" w:lineRule="auto"/>
        <w:jc w:val="both"/>
        <w:outlineLvl w:val="1"/>
        <w:rPr>
          <w:rFonts w:hint="eastAsia"/>
          <w:highlight w:val="none"/>
          <w:lang w:val="en-US" w:eastAsia="zh-CN"/>
        </w:rPr>
      </w:pPr>
    </w:p>
    <w:p>
      <w:pPr>
        <w:pStyle w:val="73"/>
        <w:widowControl w:val="0"/>
        <w:numPr>
          <w:ilvl w:val="0"/>
          <w:numId w:val="0"/>
        </w:numPr>
        <w:spacing w:line="360" w:lineRule="auto"/>
        <w:jc w:val="both"/>
        <w:outlineLvl w:val="1"/>
        <w:rPr>
          <w:rFonts w:hint="eastAsia"/>
          <w:highlight w:val="none"/>
          <w:lang w:val="en-US" w:eastAsia="zh-CN"/>
        </w:rPr>
      </w:pPr>
    </w:p>
    <w:p>
      <w:pPr>
        <w:pStyle w:val="73"/>
        <w:widowControl w:val="0"/>
        <w:numPr>
          <w:ilvl w:val="0"/>
          <w:numId w:val="0"/>
        </w:numPr>
        <w:spacing w:line="360" w:lineRule="auto"/>
        <w:jc w:val="both"/>
        <w:outlineLvl w:val="1"/>
        <w:rPr>
          <w:rFonts w:hint="eastAsia"/>
          <w:highlight w:val="none"/>
          <w:lang w:val="en-US" w:eastAsia="zh-CN"/>
        </w:rPr>
      </w:pPr>
    </w:p>
    <w:p>
      <w:pPr>
        <w:pStyle w:val="3"/>
        <w:numPr>
          <w:ilvl w:val="0"/>
          <w:numId w:val="0"/>
        </w:numPr>
        <w:tabs>
          <w:tab w:val="left" w:pos="0"/>
          <w:tab w:val="right" w:leader="dot" w:pos="9061"/>
        </w:tabs>
        <w:ind w:leftChars="0"/>
        <w:jc w:val="center"/>
        <w:rPr>
          <w:rFonts w:hint="eastAsia" w:ascii="宋体"/>
        </w:rPr>
      </w:pPr>
      <w:bookmarkStart w:id="22" w:name="_Toc10507"/>
      <w:r>
        <w:rPr>
          <w:rFonts w:hint="eastAsia" w:ascii="宋体"/>
        </w:rPr>
        <w:t>技术规格及技术要求</w:t>
      </w:r>
      <w:bookmarkEnd w:id="22"/>
    </w:p>
    <w:p>
      <w:pPr>
        <w:pStyle w:val="4"/>
        <w:widowControl/>
        <w:spacing w:before="120" w:after="120"/>
        <w:jc w:val="center"/>
        <w:rPr>
          <w:rFonts w:ascii="黑体" w:eastAsia="黑体" w:cs="黑体"/>
          <w:b w:val="0"/>
          <w:color w:val="auto"/>
          <w:szCs w:val="24"/>
          <w:highlight w:val="none"/>
        </w:rPr>
      </w:pPr>
      <w:r>
        <w:rPr>
          <w:rFonts w:hint="eastAsia" w:ascii="黑体" w:eastAsia="黑体" w:cs="黑体"/>
          <w:b w:val="0"/>
          <w:color w:val="auto"/>
          <w:szCs w:val="24"/>
          <w:highlight w:val="none"/>
        </w:rPr>
        <w:t>第一章  采购货物概况</w:t>
      </w:r>
    </w:p>
    <w:p>
      <w:pPr>
        <w:pStyle w:val="4"/>
        <w:widowControl/>
        <w:spacing w:before="120" w:after="120"/>
        <w:jc w:val="center"/>
        <w:rPr>
          <w:rFonts w:ascii="黑体" w:eastAsia="黑体" w:cs="黑体"/>
          <w:b w:val="0"/>
          <w:color w:val="auto"/>
          <w:szCs w:val="24"/>
          <w:highlight w:val="none"/>
        </w:rPr>
      </w:pPr>
      <w:r>
        <w:rPr>
          <w:rFonts w:hint="eastAsia" w:ascii="黑体" w:eastAsia="黑体" w:cs="黑体"/>
          <w:b w:val="0"/>
          <w:color w:val="auto"/>
          <w:szCs w:val="24"/>
          <w:highlight w:val="none"/>
        </w:rPr>
        <w:t>第一章  采购货物概况</w:t>
      </w:r>
    </w:p>
    <w:p>
      <w:pPr>
        <w:pStyle w:val="5"/>
        <w:widowControl/>
        <w:spacing w:before="120" w:after="120" w:line="360" w:lineRule="auto"/>
        <w:jc w:val="center"/>
        <w:rPr>
          <w:b w:val="0"/>
          <w:color w:val="auto"/>
          <w:sz w:val="24"/>
          <w:szCs w:val="24"/>
          <w:highlight w:val="none"/>
        </w:rPr>
      </w:pPr>
      <w:bookmarkStart w:id="23" w:name="_Toc326840032"/>
      <w:r>
        <w:rPr>
          <w:rFonts w:hint="eastAsia" w:cs="黑体"/>
          <w:b w:val="0"/>
          <w:color w:val="auto"/>
          <w:sz w:val="24"/>
          <w:szCs w:val="24"/>
          <w:highlight w:val="none"/>
        </w:rPr>
        <w:t>第一节</w:t>
      </w:r>
      <w:r>
        <w:rPr>
          <w:b w:val="0"/>
          <w:color w:val="auto"/>
          <w:sz w:val="24"/>
          <w:szCs w:val="24"/>
          <w:highlight w:val="none"/>
        </w:rPr>
        <w:t xml:space="preserve">  </w:t>
      </w:r>
      <w:r>
        <w:rPr>
          <w:rFonts w:hint="eastAsia" w:cs="黑体"/>
          <w:b w:val="0"/>
          <w:color w:val="auto"/>
          <w:sz w:val="24"/>
          <w:szCs w:val="24"/>
          <w:highlight w:val="none"/>
        </w:rPr>
        <w:t>使用环境</w:t>
      </w:r>
      <w:bookmarkEnd w:id="23"/>
    </w:p>
    <w:p>
      <w:pPr>
        <w:pStyle w:val="77"/>
        <w:numPr>
          <w:ilvl w:val="0"/>
          <w:numId w:val="0"/>
        </w:numPr>
        <w:ind w:leftChars="0" w:firstLine="480" w:firstLineChars="200"/>
        <w:rPr>
          <w:rFonts w:hint="eastAsia" w:ascii="宋体" w:hAnsi="宋体" w:eastAsia="宋体" w:cs="宋体"/>
          <w:color w:val="auto"/>
          <w:highlight w:val="none"/>
          <w:u w:val="single"/>
        </w:rPr>
      </w:pPr>
      <w:r>
        <w:rPr>
          <w:rFonts w:hint="eastAsia" w:ascii="宋体" w:hAnsi="宋体" w:eastAsia="宋体" w:cs="宋体"/>
          <w:color w:val="auto"/>
          <w:sz w:val="24"/>
          <w:szCs w:val="24"/>
          <w:highlight w:val="none"/>
          <w:lang w:bidi="ar"/>
        </w:rPr>
        <w:t>一、项目名称：</w:t>
      </w:r>
      <w:r>
        <w:rPr>
          <w:rFonts w:hint="eastAsia" w:ascii="宋体" w:hAnsi="宋体" w:eastAsia="宋体" w:cs="宋体"/>
          <w:color w:val="auto"/>
          <w:highlight w:val="none"/>
          <w:u w:val="single"/>
          <w:lang w:eastAsia="zh-CN"/>
        </w:rPr>
        <w:t>济南轻卡制造公司光伏发电系统增加“四可”装置项目</w:t>
      </w:r>
    </w:p>
    <w:p>
      <w:pPr>
        <w:spacing w:line="360" w:lineRule="auto"/>
        <w:ind w:firstLine="480" w:firstLineChars="200"/>
        <w:rPr>
          <w:rFonts w:hint="eastAsia" w:ascii="宋体" w:hAnsi="宋体" w:eastAsia="宋体" w:cs="宋体"/>
          <w:color w:val="auto"/>
          <w:sz w:val="24"/>
          <w:szCs w:val="24"/>
          <w:highlight w:val="none"/>
          <w:u w:val="single"/>
          <w:lang w:val="en-US" w:eastAsia="zh-CN" w:bidi="ar"/>
        </w:rPr>
      </w:pPr>
      <w:r>
        <w:rPr>
          <w:rFonts w:hint="eastAsia" w:ascii="宋体" w:hAnsi="宋体" w:eastAsia="宋体" w:cs="宋体"/>
          <w:color w:val="auto"/>
          <w:sz w:val="24"/>
          <w:szCs w:val="24"/>
          <w:highlight w:val="none"/>
          <w:lang w:bidi="ar"/>
        </w:rPr>
        <w:t>二、建设地点：</w:t>
      </w:r>
      <w:r>
        <w:rPr>
          <w:rFonts w:hint="eastAsia" w:ascii="宋体" w:hAnsi="宋体" w:eastAsia="宋体" w:cs="宋体"/>
          <w:color w:val="auto"/>
          <w:sz w:val="24"/>
          <w:szCs w:val="24"/>
          <w:highlight w:val="none"/>
          <w:u w:val="single"/>
          <w:lang w:bidi="ar"/>
        </w:rPr>
        <w:t>济南轻卡制造公司</w:t>
      </w:r>
    </w:p>
    <w:p>
      <w:pPr>
        <w:spacing w:line="360" w:lineRule="auto"/>
        <w:ind w:firstLine="480" w:firstLineChars="200"/>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bidi="ar"/>
        </w:rPr>
        <w:t>三、使用地点：济南轻卡制造公司</w:t>
      </w:r>
      <w:r>
        <w:rPr>
          <w:rFonts w:hint="eastAsia" w:ascii="宋体" w:hAnsi="宋体" w:eastAsia="宋体" w:cs="宋体"/>
          <w:color w:val="auto"/>
          <w:sz w:val="24"/>
          <w:szCs w:val="24"/>
          <w:highlight w:val="none"/>
          <w:lang w:val="en-US" w:eastAsia="zh-CN" w:bidi="ar"/>
        </w:rPr>
        <w:t>轻卡公司</w:t>
      </w:r>
      <w:r>
        <w:rPr>
          <w:rFonts w:hint="eastAsia" w:ascii="宋体" w:hAnsi="宋体" w:eastAsia="宋体" w:cs="宋体"/>
          <w:color w:val="auto"/>
          <w:sz w:val="24"/>
          <w:szCs w:val="24"/>
          <w:highlight w:val="none"/>
          <w:lang w:eastAsia="zh-CN" w:bidi="ar"/>
        </w:rPr>
        <w:t>。</w:t>
      </w:r>
    </w:p>
    <w:p>
      <w:pPr>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四、工作制度：全年工作</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shd w:val="pct10" w:color="auto" w:fill="auto"/>
          <w:lang w:bidi="ar"/>
        </w:rPr>
        <w:t xml:space="preserve">300 </w:t>
      </w:r>
      <w:r>
        <w:rPr>
          <w:rFonts w:hint="eastAsia" w:ascii="宋体" w:hAnsi="宋体" w:eastAsia="宋体" w:cs="宋体"/>
          <w:color w:val="auto"/>
          <w:sz w:val="24"/>
          <w:szCs w:val="24"/>
          <w:highlight w:val="none"/>
          <w:lang w:bidi="ar"/>
        </w:rPr>
        <w:t>天、年时基数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u w:val="single"/>
          <w:shd w:val="pct10" w:color="auto" w:fill="auto"/>
          <w:lang w:bidi="ar"/>
        </w:rPr>
        <w:t xml:space="preserve">5000 </w:t>
      </w:r>
      <w:r>
        <w:rPr>
          <w:rFonts w:hint="eastAsia" w:ascii="宋体" w:hAnsi="宋体" w:eastAsia="宋体" w:cs="宋体"/>
          <w:color w:val="auto"/>
          <w:sz w:val="24"/>
          <w:szCs w:val="24"/>
          <w:highlight w:val="none"/>
          <w:lang w:bidi="ar"/>
        </w:rPr>
        <w:t>小时</w:t>
      </w:r>
    </w:p>
    <w:p>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szCs w:val="24"/>
          <w:highlight w:val="none"/>
          <w:lang w:bidi="ar"/>
        </w:rPr>
        <w:t>五、使用地点区域自然环境：</w:t>
      </w:r>
    </w:p>
    <w:p>
      <w:pPr>
        <w:numPr>
          <w:ilvl w:val="0"/>
          <w:numId w:val="28"/>
        </w:numPr>
        <w:spacing w:line="360" w:lineRule="auto"/>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海拨高度：4000m以下</w:t>
      </w:r>
    </w:p>
    <w:p>
      <w:pPr>
        <w:numPr>
          <w:ilvl w:val="0"/>
          <w:numId w:val="28"/>
        </w:numPr>
        <w:spacing w:line="360" w:lineRule="auto"/>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环境温度：室外极端最低温度-20℃、极端最高温度45℃，昼夜最大温差25℃。</w:t>
      </w:r>
    </w:p>
    <w:p>
      <w:pPr>
        <w:numPr>
          <w:ilvl w:val="0"/>
          <w:numId w:val="28"/>
        </w:numPr>
        <w:spacing w:line="360" w:lineRule="auto"/>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相对湿度：年平均59%，最大95%、最小15%。</w:t>
      </w:r>
    </w:p>
    <w:p>
      <w:pPr>
        <w:numPr>
          <w:ilvl w:val="0"/>
          <w:numId w:val="28"/>
        </w:numPr>
        <w:spacing w:line="360" w:lineRule="auto"/>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大气压强：80kPa～110kPa。</w:t>
      </w:r>
    </w:p>
    <w:p>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szCs w:val="24"/>
          <w:highlight w:val="none"/>
          <w:lang w:bidi="ar"/>
        </w:rPr>
        <w:t>六、能源环境：</w:t>
      </w:r>
    </w:p>
    <w:p>
      <w:pPr>
        <w:numPr>
          <w:ilvl w:val="0"/>
          <w:numId w:val="29"/>
        </w:numPr>
        <w:spacing w:line="360" w:lineRule="auto"/>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电力：中国制式，三相五线制供电，供电电压380V±10%/220V±10%，供电频率50Hz±0.5Hz。</w:t>
      </w:r>
    </w:p>
    <w:p>
      <w:pPr>
        <w:numPr>
          <w:ilvl w:val="0"/>
          <w:numId w:val="29"/>
        </w:numPr>
        <w:spacing w:line="360" w:lineRule="auto"/>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水：市政自来水0.25MPa(0.15-0.35MPa)，。</w:t>
      </w:r>
    </w:p>
    <w:p>
      <w:pPr>
        <w:numPr>
          <w:ilvl w:val="0"/>
          <w:numId w:val="29"/>
        </w:numPr>
        <w:spacing w:line="360" w:lineRule="auto"/>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非采暖季：动力站房供高温热水，供回水温度80℃/60℃。</w:t>
      </w:r>
    </w:p>
    <w:p>
      <w:pPr>
        <w:numPr>
          <w:ilvl w:val="0"/>
          <w:numId w:val="29"/>
        </w:numPr>
        <w:spacing w:line="360" w:lineRule="auto"/>
        <w:rPr>
          <w:rFonts w:hint="eastAsia" w:ascii="宋体" w:hAnsi="宋体" w:eastAsia="宋体" w:cs="宋体"/>
          <w:bCs/>
          <w:color w:val="auto"/>
          <w:sz w:val="24"/>
          <w:szCs w:val="24"/>
          <w:highlight w:val="none"/>
          <w:lang w:bidi="ar"/>
        </w:rPr>
      </w:pPr>
      <w:r>
        <w:rPr>
          <w:rFonts w:hint="eastAsia" w:ascii="宋体" w:hAnsi="宋体" w:eastAsia="宋体" w:cs="宋体"/>
          <w:bCs/>
          <w:color w:val="auto"/>
          <w:sz w:val="24"/>
          <w:szCs w:val="24"/>
          <w:highlight w:val="none"/>
          <w:lang w:bidi="ar"/>
        </w:rPr>
        <w:t>压缩空气：厂区空压机自产压缩空气，0.55～0.7 Mpa。</w:t>
      </w:r>
    </w:p>
    <w:p>
      <w:pPr>
        <w:pStyle w:val="2"/>
        <w:rPr>
          <w:rFonts w:hint="eastAsia" w:ascii="宋体" w:hAnsi="宋体" w:eastAsia="宋体" w:cs="宋体"/>
          <w:color w:val="auto"/>
          <w:highlight w:val="none"/>
        </w:rPr>
      </w:pPr>
    </w:p>
    <w:p>
      <w:pPr>
        <w:pStyle w:val="5"/>
        <w:widowControl/>
        <w:spacing w:before="120" w:after="120" w:line="360" w:lineRule="auto"/>
        <w:jc w:val="center"/>
        <w:rPr>
          <w:rFonts w:hint="eastAsia" w:ascii="宋体" w:hAnsi="宋体" w:eastAsia="宋体" w:cs="宋体"/>
          <w:color w:val="auto"/>
          <w:sz w:val="24"/>
          <w:szCs w:val="24"/>
          <w:highlight w:val="none"/>
        </w:rPr>
      </w:pPr>
      <w:bookmarkStart w:id="24" w:name="_Toc326840033"/>
      <w:r>
        <w:rPr>
          <w:rFonts w:hint="eastAsia" w:ascii="宋体" w:hAnsi="宋体" w:eastAsia="宋体" w:cs="宋体"/>
          <w:color w:val="auto"/>
          <w:sz w:val="24"/>
          <w:szCs w:val="24"/>
          <w:highlight w:val="none"/>
        </w:rPr>
        <w:t>第二节  采购货物概况</w:t>
      </w:r>
      <w:bookmarkEnd w:id="24"/>
    </w:p>
    <w:p>
      <w:pPr>
        <w:pStyle w:val="77"/>
        <w:numPr>
          <w:ilvl w:val="0"/>
          <w:numId w:val="0"/>
        </w:numPr>
        <w:ind w:leftChars="0"/>
        <w:rPr>
          <w:rFonts w:hint="eastAsia" w:ascii="宋体" w:hAnsi="宋体" w:eastAsia="宋体" w:cs="宋体"/>
          <w:color w:val="auto"/>
          <w:highlight w:val="none"/>
        </w:rPr>
      </w:pPr>
      <w:r>
        <w:rPr>
          <w:rFonts w:hint="eastAsia" w:ascii="宋体" w:hAnsi="宋体" w:eastAsia="宋体" w:cs="宋体"/>
          <w:color w:val="auto"/>
          <w:sz w:val="24"/>
          <w:szCs w:val="24"/>
          <w:highlight w:val="none"/>
          <w:lang w:bidi="ar"/>
        </w:rPr>
        <w:t>一、货物名称：</w:t>
      </w:r>
      <w:r>
        <w:rPr>
          <w:rFonts w:hint="eastAsia" w:ascii="宋体" w:hAnsi="宋体" w:eastAsia="宋体" w:cs="宋体"/>
          <w:bCs/>
          <w:color w:val="auto"/>
          <w:kern w:val="2"/>
          <w:sz w:val="24"/>
          <w:szCs w:val="24"/>
          <w:highlight w:val="none"/>
          <w:u w:val="single"/>
          <w:lang w:val="en-US" w:eastAsia="zh-CN" w:bidi="ar"/>
        </w:rPr>
        <w:t>济南轻卡制造公司光伏发电系统增加“四可”装置项目</w:t>
      </w:r>
    </w:p>
    <w:p>
      <w:pPr>
        <w:spacing w:line="360" w:lineRule="auto"/>
        <w:ind w:firstLine="480" w:firstLineChars="200"/>
        <w:rPr>
          <w:rFonts w:hint="eastAsia" w:ascii="宋体" w:hAnsi="宋体" w:eastAsia="宋体" w:cs="宋体"/>
          <w:color w:val="auto"/>
          <w:sz w:val="24"/>
          <w:szCs w:val="24"/>
          <w:highlight w:val="none"/>
          <w:u w:val="single"/>
          <w:lang w:bidi="ar"/>
        </w:rPr>
      </w:pPr>
    </w:p>
    <w:p>
      <w:pPr>
        <w:spacing w:line="360" w:lineRule="auto"/>
        <w:jc w:val="center"/>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采购货物主要构成一览表</w:t>
      </w:r>
    </w:p>
    <w:p>
      <w:pPr>
        <w:spacing w:line="360" w:lineRule="auto"/>
        <w:jc w:val="center"/>
        <w:rPr>
          <w:rFonts w:hint="eastAsia" w:ascii="宋体" w:hAnsi="宋体" w:eastAsia="宋体" w:cs="宋体"/>
          <w:color w:val="auto"/>
          <w:sz w:val="24"/>
          <w:szCs w:val="24"/>
          <w:highlight w:val="none"/>
          <w:lang w:bidi="ar"/>
        </w:rPr>
      </w:pPr>
    </w:p>
    <w:tbl>
      <w:tblPr>
        <w:tblStyle w:val="30"/>
        <w:tblpPr w:leftFromText="180" w:rightFromText="180" w:vertAnchor="text" w:horzAnchor="page" w:tblpX="1687" w:tblpY="317"/>
        <w:tblOverlap w:val="never"/>
        <w:tblW w:w="8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366"/>
        <w:gridCol w:w="2751"/>
        <w:gridCol w:w="720"/>
        <w:gridCol w:w="692"/>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pPr>
              <w:snapToGrid w:val="0"/>
              <w:jc w:val="center"/>
              <w:rPr>
                <w:rFonts w:hint="eastAsia" w:ascii="宋体" w:hAnsi="宋体" w:eastAsia="宋体" w:cs="宋体"/>
                <w:color w:val="auto"/>
                <w:sz w:val="21"/>
                <w:szCs w:val="21"/>
                <w:highlight w:val="none"/>
              </w:rPr>
            </w:pPr>
            <w:bookmarkStart w:id="25" w:name="_Hlk219988597"/>
            <w:r>
              <w:rPr>
                <w:rFonts w:hint="eastAsia" w:ascii="宋体" w:hAnsi="宋体" w:eastAsia="宋体" w:cs="宋体"/>
                <w:color w:val="auto"/>
                <w:sz w:val="21"/>
                <w:szCs w:val="21"/>
                <w:highlight w:val="none"/>
              </w:rPr>
              <w:t>序号</w:t>
            </w:r>
          </w:p>
        </w:tc>
        <w:tc>
          <w:tcPr>
            <w:tcW w:w="3366" w:type="dxa"/>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b w:val="0"/>
                <w:bCs w:val="0"/>
                <w:sz w:val="21"/>
                <w:szCs w:val="21"/>
                <w:vertAlign w:val="baseline"/>
                <w:lang w:val="en-US" w:eastAsia="zh-CN"/>
              </w:rPr>
              <w:t>设备名称</w:t>
            </w:r>
          </w:p>
        </w:tc>
        <w:tc>
          <w:tcPr>
            <w:tcW w:w="2751" w:type="dxa"/>
            <w:vAlign w:val="center"/>
          </w:tcPr>
          <w:p>
            <w:pPr>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主要组成部分</w:t>
            </w:r>
          </w:p>
        </w:tc>
        <w:tc>
          <w:tcPr>
            <w:tcW w:w="720" w:type="dxa"/>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692" w:type="dxa"/>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11" w:type="dxa"/>
            <w:vAlign w:val="center"/>
          </w:tcPr>
          <w:p>
            <w:pPr>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36" w:type="dxa"/>
            <w:vMerge w:val="restart"/>
            <w:vAlign w:val="center"/>
          </w:tcPr>
          <w:p>
            <w:pPr>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366" w:type="dxa"/>
            <w:vMerge w:val="restart"/>
            <w:vAlign w:val="center"/>
          </w:tcPr>
          <w:p>
            <w:pPr>
              <w:keepNext w:val="0"/>
              <w:keepLines w:val="0"/>
              <w:widowControl/>
              <w:suppressLineNumbers w:val="0"/>
              <w:jc w:val="center"/>
              <w:rPr>
                <w:rFonts w:hint="eastAsia" w:ascii="宋体" w:hAnsi="宋体" w:eastAsia="宋体" w:cs="宋体"/>
                <w:color w:val="auto"/>
                <w:sz w:val="21"/>
                <w:szCs w:val="21"/>
                <w:highlight w:val="none"/>
                <w:lang w:bidi="ar"/>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四可</w:t>
            </w:r>
            <w:r>
              <w:rPr>
                <w:rFonts w:hint="eastAsia" w:ascii="宋体" w:hAnsi="宋体" w:cs="宋体"/>
                <w:color w:val="000000" w:themeColor="text1"/>
                <w:kern w:val="2"/>
                <w:sz w:val="21"/>
                <w:szCs w:val="21"/>
                <w:lang w:val="en-US" w:eastAsia="zh-CN" w:bidi="ar"/>
                <w14:textFill>
                  <w14:solidFill>
                    <w14:schemeClr w14:val="tx1"/>
                  </w14:solidFill>
                </w14:textFill>
              </w:rPr>
              <w:t>装置</w:t>
            </w:r>
          </w:p>
        </w:tc>
        <w:tc>
          <w:tcPr>
            <w:tcW w:w="2751" w:type="dxa"/>
            <w:vAlign w:val="center"/>
          </w:tcPr>
          <w:p>
            <w:pPr>
              <w:keepNext w:val="0"/>
              <w:keepLines w:val="0"/>
              <w:pageBreakBefore w:val="0"/>
              <w:widowControl w:val="0"/>
              <w:suppressLineNumbers w:val="0"/>
              <w:tabs>
                <w:tab w:val="left" w:pos="2055"/>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sz w:val="21"/>
                <w:szCs w:val="21"/>
                <w:vertAlign w:val="baseline"/>
                <w:lang w:val="en-US" w:eastAsia="zh-CN"/>
              </w:rPr>
              <w:t>路由器</w:t>
            </w:r>
          </w:p>
        </w:tc>
        <w:tc>
          <w:tcPr>
            <w:tcW w:w="720" w:type="dxa"/>
            <w:vMerge w:val="restart"/>
            <w:vAlign w:val="center"/>
          </w:tcPr>
          <w:p>
            <w:pPr>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692" w:type="dxa"/>
            <w:vMerge w:val="restart"/>
            <w:vAlign w:val="center"/>
          </w:tcPr>
          <w:p>
            <w:pPr>
              <w:keepNext w:val="0"/>
              <w:keepLines w:val="0"/>
              <w:widowControl/>
              <w:suppressLineNumbers w:val="0"/>
              <w:tabs>
                <w:tab w:val="left" w:pos="233"/>
              </w:tabs>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1</w:t>
            </w:r>
          </w:p>
        </w:tc>
        <w:tc>
          <w:tcPr>
            <w:tcW w:w="711" w:type="dxa"/>
            <w:vMerge w:val="restart"/>
            <w:vAlign w:val="center"/>
          </w:tcPr>
          <w:p>
            <w:pPr>
              <w:widowControl/>
              <w:autoSpaceDE w:val="0"/>
              <w:autoSpaceDN w:val="0"/>
              <w:adjustRightInd w:val="0"/>
              <w:spacing w:after="200" w:line="460" w:lineRule="exact"/>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Merge w:val="continue"/>
            <w:vAlign w:val="center"/>
          </w:tcPr>
          <w:p>
            <w:pPr>
              <w:jc w:val="center"/>
              <w:textAlignment w:val="center"/>
              <w:rPr>
                <w:rFonts w:hint="eastAsia" w:ascii="宋体" w:hAnsi="宋体" w:eastAsia="宋体" w:cs="宋体"/>
                <w:color w:val="auto"/>
                <w:sz w:val="21"/>
                <w:szCs w:val="21"/>
                <w:highlight w:val="none"/>
              </w:rPr>
            </w:pPr>
          </w:p>
        </w:tc>
        <w:tc>
          <w:tcPr>
            <w:tcW w:w="3366" w:type="dxa"/>
            <w:vMerge w:val="continue"/>
            <w:vAlign w:val="center"/>
          </w:tcPr>
          <w:p>
            <w:pPr>
              <w:keepNext w:val="0"/>
              <w:keepLines w:val="0"/>
              <w:widowControl/>
              <w:suppressLineNumbers w:val="0"/>
              <w:jc w:val="center"/>
              <w:rPr>
                <w:rFonts w:hint="eastAsia" w:ascii="宋体" w:hAnsi="宋体" w:eastAsia="宋体" w:cs="宋体"/>
                <w:color w:val="auto"/>
                <w:sz w:val="21"/>
                <w:szCs w:val="21"/>
                <w:highlight w:val="none"/>
                <w:lang w:eastAsia="zh-CN" w:bidi="ar"/>
              </w:rPr>
            </w:pPr>
          </w:p>
        </w:tc>
        <w:tc>
          <w:tcPr>
            <w:tcW w:w="2751" w:type="dxa"/>
            <w:vAlign w:val="center"/>
          </w:tcPr>
          <w:p>
            <w:pPr>
              <w:keepNext w:val="0"/>
              <w:keepLines w:val="0"/>
              <w:pageBreakBefore w:val="0"/>
              <w:widowControl w:val="0"/>
              <w:suppressLineNumbers w:val="0"/>
              <w:tabs>
                <w:tab w:val="left" w:pos="2055"/>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sz w:val="21"/>
                <w:szCs w:val="21"/>
                <w:vertAlign w:val="baseline"/>
                <w:lang w:val="en-US" w:eastAsia="zh-CN"/>
              </w:rPr>
              <w:t>纵向加密装置</w:t>
            </w:r>
          </w:p>
        </w:tc>
        <w:tc>
          <w:tcPr>
            <w:tcW w:w="720" w:type="dxa"/>
            <w:vMerge w:val="continue"/>
            <w:vAlign w:val="center"/>
          </w:tcPr>
          <w:p>
            <w:pPr>
              <w:jc w:val="center"/>
              <w:textAlignment w:val="center"/>
              <w:rPr>
                <w:rFonts w:hint="eastAsia" w:ascii="宋体" w:hAnsi="宋体" w:eastAsia="宋体" w:cs="宋体"/>
                <w:color w:val="auto"/>
                <w:sz w:val="21"/>
                <w:szCs w:val="21"/>
                <w:highlight w:val="none"/>
              </w:rPr>
            </w:pPr>
          </w:p>
        </w:tc>
        <w:tc>
          <w:tcPr>
            <w:tcW w:w="692"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lang w:val="en-US"/>
              </w:rPr>
            </w:pPr>
          </w:p>
        </w:tc>
        <w:tc>
          <w:tcPr>
            <w:tcW w:w="711" w:type="dxa"/>
            <w:vMerge w:val="continue"/>
            <w:vAlign w:val="center"/>
          </w:tcPr>
          <w:p>
            <w:pPr>
              <w:widowControl/>
              <w:autoSpaceDE w:val="0"/>
              <w:autoSpaceDN w:val="0"/>
              <w:adjustRightInd w:val="0"/>
              <w:spacing w:after="200" w:line="460" w:lineRule="exact"/>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Merge w:val="continue"/>
            <w:vAlign w:val="center"/>
          </w:tcPr>
          <w:p>
            <w:pPr>
              <w:jc w:val="center"/>
              <w:textAlignment w:val="center"/>
              <w:rPr>
                <w:rFonts w:hint="eastAsia" w:ascii="宋体" w:hAnsi="宋体" w:eastAsia="宋体" w:cs="宋体"/>
                <w:color w:val="auto"/>
                <w:sz w:val="21"/>
                <w:szCs w:val="21"/>
                <w:highlight w:val="none"/>
              </w:rPr>
            </w:pPr>
          </w:p>
        </w:tc>
        <w:tc>
          <w:tcPr>
            <w:tcW w:w="3366" w:type="dxa"/>
            <w:vMerge w:val="continue"/>
            <w:vAlign w:val="center"/>
          </w:tcPr>
          <w:p>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p>
        </w:tc>
        <w:tc>
          <w:tcPr>
            <w:tcW w:w="2751" w:type="dxa"/>
            <w:vAlign w:val="center"/>
          </w:tcPr>
          <w:p>
            <w:pPr>
              <w:keepNext w:val="0"/>
              <w:keepLines w:val="0"/>
              <w:pageBreakBefore w:val="0"/>
              <w:widowControl w:val="0"/>
              <w:suppressLineNumbers w:val="0"/>
              <w:tabs>
                <w:tab w:val="left" w:pos="2055"/>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val="0"/>
                <w:bCs w:val="0"/>
                <w:sz w:val="21"/>
                <w:szCs w:val="21"/>
                <w:vertAlign w:val="baseline"/>
                <w:lang w:val="en-US" w:eastAsia="zh-CN"/>
              </w:rPr>
              <w:t>群调群控装置</w:t>
            </w:r>
          </w:p>
        </w:tc>
        <w:tc>
          <w:tcPr>
            <w:tcW w:w="720" w:type="dxa"/>
            <w:vMerge w:val="continue"/>
            <w:vAlign w:val="center"/>
          </w:tcPr>
          <w:p>
            <w:pPr>
              <w:jc w:val="center"/>
              <w:textAlignment w:val="center"/>
              <w:rPr>
                <w:rFonts w:hint="eastAsia" w:ascii="宋体" w:hAnsi="宋体" w:eastAsia="宋体" w:cs="宋体"/>
                <w:color w:val="auto"/>
                <w:sz w:val="21"/>
                <w:szCs w:val="21"/>
                <w:highlight w:val="none"/>
                <w:lang w:val="en-US" w:eastAsia="zh-CN"/>
              </w:rPr>
            </w:pPr>
          </w:p>
        </w:tc>
        <w:tc>
          <w:tcPr>
            <w:tcW w:w="692" w:type="dxa"/>
            <w:vMerge w:val="continue"/>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711" w:type="dxa"/>
            <w:vMerge w:val="continue"/>
            <w:vAlign w:val="center"/>
          </w:tcPr>
          <w:p>
            <w:pPr>
              <w:widowControl/>
              <w:autoSpaceDE w:val="0"/>
              <w:autoSpaceDN w:val="0"/>
              <w:adjustRightInd w:val="0"/>
              <w:spacing w:after="200" w:line="460" w:lineRule="exact"/>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Merge w:val="continue"/>
            <w:vAlign w:val="center"/>
          </w:tcPr>
          <w:p>
            <w:pPr>
              <w:jc w:val="center"/>
              <w:textAlignment w:val="center"/>
              <w:rPr>
                <w:rFonts w:hint="eastAsia" w:ascii="宋体" w:hAnsi="宋体" w:eastAsia="宋体" w:cs="宋体"/>
                <w:color w:val="auto"/>
                <w:sz w:val="21"/>
                <w:szCs w:val="21"/>
                <w:highlight w:val="none"/>
              </w:rPr>
            </w:pPr>
          </w:p>
        </w:tc>
        <w:tc>
          <w:tcPr>
            <w:tcW w:w="3366" w:type="dxa"/>
            <w:vMerge w:val="continue"/>
            <w:vAlign w:val="center"/>
          </w:tcPr>
          <w:p>
            <w:pPr>
              <w:keepNext w:val="0"/>
              <w:keepLines w:val="0"/>
              <w:widowControl/>
              <w:suppressLineNumbers w:val="0"/>
              <w:jc w:val="center"/>
              <w:rPr>
                <w:rFonts w:hint="eastAsia" w:ascii="宋体" w:hAnsi="宋体" w:eastAsia="宋体" w:cs="宋体"/>
                <w:color w:val="auto"/>
                <w:sz w:val="21"/>
                <w:szCs w:val="21"/>
                <w:highlight w:val="none"/>
                <w:lang w:bidi="ar"/>
              </w:rPr>
            </w:pPr>
          </w:p>
        </w:tc>
        <w:tc>
          <w:tcPr>
            <w:tcW w:w="2751" w:type="dxa"/>
            <w:vAlign w:val="center"/>
          </w:tcPr>
          <w:p>
            <w:pPr>
              <w:keepNext w:val="0"/>
              <w:keepLines w:val="0"/>
              <w:pageBreakBefore w:val="0"/>
              <w:widowControl w:val="0"/>
              <w:suppressLineNumbers w:val="0"/>
              <w:tabs>
                <w:tab w:val="left" w:pos="2055"/>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vertAlign w:val="baseline"/>
                <w:lang w:val="en-US" w:eastAsia="zh-CN"/>
              </w:rPr>
              <w:t>交换机</w:t>
            </w:r>
          </w:p>
        </w:tc>
        <w:tc>
          <w:tcPr>
            <w:tcW w:w="720" w:type="dxa"/>
            <w:vMerge w:val="continue"/>
            <w:vAlign w:val="center"/>
          </w:tcPr>
          <w:p>
            <w:pPr>
              <w:jc w:val="center"/>
              <w:textAlignment w:val="center"/>
              <w:rPr>
                <w:rFonts w:hint="eastAsia" w:ascii="宋体" w:hAnsi="宋体" w:eastAsia="宋体" w:cs="宋体"/>
                <w:color w:val="auto"/>
                <w:sz w:val="21"/>
                <w:szCs w:val="21"/>
                <w:highlight w:val="none"/>
                <w:lang w:val="en-US" w:eastAsia="zh-CN"/>
              </w:rPr>
            </w:pPr>
          </w:p>
        </w:tc>
        <w:tc>
          <w:tcPr>
            <w:tcW w:w="692"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11" w:type="dxa"/>
            <w:vMerge w:val="continue"/>
            <w:vAlign w:val="center"/>
          </w:tcPr>
          <w:p>
            <w:pPr>
              <w:widowControl/>
              <w:autoSpaceDE w:val="0"/>
              <w:autoSpaceDN w:val="0"/>
              <w:adjustRightInd w:val="0"/>
              <w:spacing w:after="200" w:line="460" w:lineRule="exact"/>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Merge w:val="continue"/>
            <w:vAlign w:val="center"/>
          </w:tcPr>
          <w:p>
            <w:pPr>
              <w:jc w:val="center"/>
              <w:textAlignment w:val="center"/>
              <w:rPr>
                <w:rFonts w:hint="eastAsia" w:ascii="宋体" w:hAnsi="宋体" w:eastAsia="宋体" w:cs="宋体"/>
                <w:color w:val="auto"/>
                <w:sz w:val="21"/>
                <w:szCs w:val="21"/>
                <w:highlight w:val="none"/>
                <w:lang w:eastAsia="zh-CN"/>
              </w:rPr>
            </w:pPr>
          </w:p>
        </w:tc>
        <w:tc>
          <w:tcPr>
            <w:tcW w:w="3366" w:type="dxa"/>
            <w:vMerge w:val="continue"/>
            <w:vAlign w:val="center"/>
          </w:tcPr>
          <w:p>
            <w:pPr>
              <w:keepNext w:val="0"/>
              <w:keepLines w:val="0"/>
              <w:widowControl/>
              <w:suppressLineNumbers w:val="0"/>
              <w:jc w:val="center"/>
              <w:rPr>
                <w:rFonts w:hint="eastAsia" w:ascii="宋体" w:hAnsi="宋体" w:eastAsia="宋体" w:cs="宋体"/>
                <w:color w:val="auto"/>
                <w:sz w:val="21"/>
                <w:szCs w:val="21"/>
                <w:highlight w:val="none"/>
                <w:lang w:bidi="ar"/>
              </w:rPr>
            </w:pPr>
          </w:p>
        </w:tc>
        <w:tc>
          <w:tcPr>
            <w:tcW w:w="2751" w:type="dxa"/>
            <w:vAlign w:val="center"/>
          </w:tcPr>
          <w:p>
            <w:pPr>
              <w:keepNext w:val="0"/>
              <w:keepLines w:val="0"/>
              <w:pageBreakBefore w:val="0"/>
              <w:widowControl w:val="0"/>
              <w:suppressLineNumbers w:val="0"/>
              <w:tabs>
                <w:tab w:val="left" w:pos="2055"/>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通讯机柜</w:t>
            </w:r>
          </w:p>
        </w:tc>
        <w:tc>
          <w:tcPr>
            <w:tcW w:w="720" w:type="dxa"/>
            <w:vMerge w:val="continue"/>
            <w:vAlign w:val="center"/>
          </w:tcPr>
          <w:p>
            <w:pPr>
              <w:jc w:val="center"/>
              <w:textAlignment w:val="center"/>
              <w:rPr>
                <w:rFonts w:hint="eastAsia" w:ascii="宋体" w:hAnsi="宋体" w:eastAsia="宋体" w:cs="宋体"/>
                <w:color w:val="auto"/>
                <w:sz w:val="21"/>
                <w:szCs w:val="21"/>
                <w:highlight w:val="none"/>
              </w:rPr>
            </w:pPr>
          </w:p>
        </w:tc>
        <w:tc>
          <w:tcPr>
            <w:tcW w:w="692"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11" w:type="dxa"/>
            <w:vMerge w:val="continue"/>
            <w:vAlign w:val="center"/>
          </w:tcPr>
          <w:p>
            <w:pPr>
              <w:widowControl/>
              <w:autoSpaceDE w:val="0"/>
              <w:autoSpaceDN w:val="0"/>
              <w:adjustRightInd w:val="0"/>
              <w:spacing w:after="200" w:line="460" w:lineRule="exact"/>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Merge w:val="continue"/>
            <w:vAlign w:val="center"/>
          </w:tcPr>
          <w:p>
            <w:pPr>
              <w:jc w:val="center"/>
              <w:textAlignment w:val="center"/>
              <w:rPr>
                <w:rFonts w:hint="eastAsia" w:ascii="宋体" w:hAnsi="宋体" w:eastAsia="宋体" w:cs="宋体"/>
                <w:color w:val="auto"/>
                <w:sz w:val="21"/>
                <w:szCs w:val="21"/>
                <w:highlight w:val="none"/>
                <w:lang w:eastAsia="zh-CN"/>
              </w:rPr>
            </w:pPr>
          </w:p>
        </w:tc>
        <w:tc>
          <w:tcPr>
            <w:tcW w:w="3366" w:type="dxa"/>
            <w:vMerge w:val="continue"/>
            <w:vAlign w:val="center"/>
          </w:tcPr>
          <w:p>
            <w:pPr>
              <w:keepNext w:val="0"/>
              <w:keepLines w:val="0"/>
              <w:widowControl/>
              <w:suppressLineNumbers w:val="0"/>
              <w:jc w:val="center"/>
              <w:rPr>
                <w:rFonts w:hint="eastAsia" w:ascii="宋体" w:hAnsi="宋体" w:eastAsia="宋体" w:cs="宋体"/>
                <w:color w:val="auto"/>
                <w:sz w:val="21"/>
                <w:szCs w:val="21"/>
                <w:highlight w:val="none"/>
                <w:lang w:bidi="ar"/>
              </w:rPr>
            </w:pPr>
          </w:p>
        </w:tc>
        <w:tc>
          <w:tcPr>
            <w:tcW w:w="2751" w:type="dxa"/>
            <w:vAlign w:val="center"/>
          </w:tcPr>
          <w:p>
            <w:pPr>
              <w:keepNext w:val="0"/>
              <w:keepLines w:val="0"/>
              <w:pageBreakBefore w:val="0"/>
              <w:widowControl w:val="0"/>
              <w:suppressLineNumbers w:val="0"/>
              <w:tabs>
                <w:tab w:val="left" w:pos="2055"/>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显示屏（65英寸）</w:t>
            </w:r>
          </w:p>
        </w:tc>
        <w:tc>
          <w:tcPr>
            <w:tcW w:w="720" w:type="dxa"/>
            <w:vMerge w:val="continue"/>
            <w:vAlign w:val="center"/>
          </w:tcPr>
          <w:p>
            <w:pPr>
              <w:jc w:val="center"/>
              <w:textAlignment w:val="center"/>
              <w:rPr>
                <w:rFonts w:hint="eastAsia" w:ascii="宋体" w:hAnsi="宋体" w:eastAsia="宋体" w:cs="宋体"/>
                <w:color w:val="auto"/>
                <w:sz w:val="21"/>
                <w:szCs w:val="21"/>
                <w:highlight w:val="none"/>
              </w:rPr>
            </w:pPr>
          </w:p>
        </w:tc>
        <w:tc>
          <w:tcPr>
            <w:tcW w:w="692" w:type="dxa"/>
            <w:vMerge w:val="continue"/>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p>
        </w:tc>
        <w:tc>
          <w:tcPr>
            <w:tcW w:w="711" w:type="dxa"/>
            <w:vMerge w:val="continue"/>
            <w:vAlign w:val="center"/>
          </w:tcPr>
          <w:p>
            <w:pPr>
              <w:widowControl/>
              <w:autoSpaceDE w:val="0"/>
              <w:autoSpaceDN w:val="0"/>
              <w:adjustRightInd w:val="0"/>
              <w:spacing w:after="200" w:line="460" w:lineRule="exact"/>
              <w:jc w:val="center"/>
              <w:rPr>
                <w:rFonts w:hint="eastAsia" w:ascii="宋体" w:hAnsi="宋体" w:eastAsia="宋体" w:cs="宋体"/>
                <w:color w:val="auto"/>
                <w:sz w:val="21"/>
                <w:szCs w:val="21"/>
                <w:highlight w:val="none"/>
              </w:rPr>
            </w:pPr>
          </w:p>
        </w:tc>
      </w:tr>
      <w:bookmarkEnd w:id="25"/>
    </w:tbl>
    <w:p>
      <w:pPr>
        <w:spacing w:line="360" w:lineRule="auto"/>
        <w:rPr>
          <w:rFonts w:hint="eastAsia" w:ascii="宋体" w:hAnsi="宋体" w:eastAsia="宋体" w:cs="宋体"/>
          <w:bCs/>
          <w:color w:val="auto"/>
          <w:sz w:val="21"/>
          <w:szCs w:val="21"/>
          <w:highlight w:val="none"/>
        </w:rPr>
      </w:pPr>
    </w:p>
    <w:p>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备注：</w:t>
      </w:r>
    </w:p>
    <w:p>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表所列采购货物仅为货物的主要构成部分，应配套供货以及招标人所列其它货物（或设备）和服务，请投标人认真阅读“供货范围”。若有异议，不管是多么微小，都应在投标文件“商务偏离”章节中予以详细说明。</w:t>
      </w:r>
    </w:p>
    <w:p>
      <w:pPr>
        <w:numPr>
          <w:ilvl w:val="0"/>
          <w:numId w:val="30"/>
        </w:numPr>
        <w:spacing w:line="360" w:lineRule="auto"/>
        <w:ind w:firstLine="480" w:firstLineChars="200"/>
        <w:rPr>
          <w:rFonts w:hint="eastAsia" w:ascii="宋体" w:hAnsi="宋体" w:eastAsia="宋体" w:cs="宋体"/>
          <w:b/>
          <w:bCs/>
          <w:color w:val="auto"/>
          <w:szCs w:val="20"/>
          <w:highlight w:val="none"/>
        </w:rPr>
      </w:pPr>
      <w:r>
        <w:rPr>
          <w:rFonts w:hint="eastAsia" w:ascii="宋体" w:hAnsi="宋体" w:eastAsia="宋体" w:cs="宋体"/>
          <w:bCs/>
          <w:color w:val="auto"/>
          <w:sz w:val="24"/>
          <w:szCs w:val="24"/>
          <w:highlight w:val="none"/>
        </w:rPr>
        <w:t>本表“供货方式”指：交钥匙方式——包括制造、运输、定点卸货、安装、调试和协助验收以及约定培训等。</w:t>
      </w:r>
    </w:p>
    <w:p>
      <w:pPr>
        <w:numPr>
          <w:ilvl w:val="0"/>
          <w:numId w:val="30"/>
        </w:numPr>
        <w:spacing w:line="360" w:lineRule="auto"/>
        <w:ind w:firstLine="482" w:firstLineChars="200"/>
        <w:rPr>
          <w:rFonts w:hint="eastAsia" w:ascii="宋体" w:hAnsi="宋体" w:eastAsia="宋体" w:cs="宋体"/>
          <w:b/>
          <w:bCs/>
          <w:color w:val="auto"/>
          <w:szCs w:val="20"/>
          <w:highlight w:val="none"/>
        </w:rPr>
      </w:pPr>
      <w:r>
        <w:rPr>
          <w:rFonts w:hint="eastAsia" w:ascii="宋体" w:hAnsi="宋体" w:eastAsia="宋体" w:cs="宋体"/>
          <w:b/>
          <w:color w:val="auto"/>
          <w:sz w:val="24"/>
          <w:szCs w:val="24"/>
          <w:highlight w:val="none"/>
        </w:rPr>
        <w:t>采购货物特别说明：</w:t>
      </w:r>
      <w:r>
        <w:rPr>
          <w:rFonts w:hint="eastAsia" w:ascii="宋体" w:hAnsi="宋体" w:eastAsia="宋体" w:cs="宋体"/>
          <w:b/>
          <w:bCs/>
          <w:color w:val="auto"/>
          <w:sz w:val="24"/>
          <w:szCs w:val="24"/>
          <w:highlight w:val="none"/>
        </w:rPr>
        <w:t>招标人所列货物的名称和规格型号，如为某一供应商所特有，则该名称和规格型号可作参考，但要求投标人所提供的货物必须满足本技术标书实质性要求</w:t>
      </w:r>
      <w:r>
        <w:rPr>
          <w:rFonts w:hint="eastAsia" w:ascii="宋体" w:hAnsi="宋体" w:eastAsia="宋体" w:cs="宋体"/>
          <w:b/>
          <w:bCs/>
          <w:color w:val="auto"/>
          <w:szCs w:val="20"/>
          <w:highlight w:val="none"/>
        </w:rPr>
        <w:t>。</w:t>
      </w:r>
    </w:p>
    <w:p>
      <w:pPr>
        <w:spacing w:line="360" w:lineRule="auto"/>
        <w:ind w:firstLine="480" w:firstLineChars="2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二、采购货物特别说明</w:t>
      </w:r>
    </w:p>
    <w:p>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招标方所列货物的名称和规格型号，如为某一供应商所特有，则该名称和规格型号可作参考；但要求投标方所提供的货物必须满足本技术标书实质性要求。</w:t>
      </w:r>
      <w:bookmarkStart w:id="26" w:name="_Toc169605880"/>
      <w:bookmarkStart w:id="27" w:name="_Toc169605881"/>
    </w:p>
    <w:p>
      <w:pPr>
        <w:spacing w:line="360" w:lineRule="auto"/>
        <w:rPr>
          <w:rFonts w:hint="eastAsia" w:ascii="宋体" w:hAnsi="宋体" w:eastAsia="宋体" w:cs="宋体"/>
          <w:b/>
          <w:bCs/>
          <w:color w:val="auto"/>
          <w:kern w:val="44"/>
          <w:sz w:val="28"/>
          <w:szCs w:val="28"/>
          <w:highlight w:val="none"/>
        </w:rPr>
      </w:pPr>
    </w:p>
    <w:p>
      <w:pPr>
        <w:spacing w:line="360" w:lineRule="auto"/>
        <w:ind w:firstLine="3313" w:firstLineChars="1100"/>
        <w:rPr>
          <w:rFonts w:hint="eastAsia" w:ascii="宋体" w:hAnsi="宋体" w:eastAsia="宋体" w:cs="宋体"/>
          <w:bCs/>
          <w:color w:val="auto"/>
          <w:sz w:val="30"/>
          <w:szCs w:val="30"/>
          <w:highlight w:val="none"/>
        </w:rPr>
      </w:pPr>
      <w:r>
        <w:rPr>
          <w:rFonts w:hint="eastAsia" w:ascii="宋体" w:hAnsi="宋体" w:eastAsia="宋体" w:cs="宋体"/>
          <w:b/>
          <w:bCs/>
          <w:color w:val="auto"/>
          <w:kern w:val="44"/>
          <w:sz w:val="30"/>
          <w:szCs w:val="30"/>
          <w:highlight w:val="none"/>
        </w:rPr>
        <w:t>第二章技术要求</w:t>
      </w:r>
      <w:bookmarkEnd w:id="26"/>
    </w:p>
    <w:p>
      <w:pPr>
        <w:pStyle w:val="113"/>
        <w:spacing w:before="624" w:beforeLines="200" w:line="360" w:lineRule="auto"/>
        <w:ind w:firstLine="643" w:firstLineChars="200"/>
        <w:outlineLvl w:val="2"/>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一、特别提示</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1.本章技术要求，仅对功能、设计、结构、性能、安装和试验检验等方面，提出了最低和一般性的技术要求，并未对一切技术细节作出规定。</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2.本技术要求所使用的标准、规范等，如与投标人所执行的标准、规范不一致时，应按高于本技术要求所列的标准、规范执行。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3.投标人认为所供货物必需由招标人配备、解决或提供的其它要求，如设备基础隔振和减振设施、软化水、洁净气源等，均应在投标文件“技术偏离”中予以充分说明。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4.投标人应根据招投标货物具体要求，提出</w:t>
      </w:r>
      <w:r>
        <w:rPr>
          <w:rFonts w:hint="eastAsia" w:ascii="宋体" w:hAnsi="宋体" w:eastAsia="宋体" w:cs="宋体"/>
          <w:color w:val="auto"/>
          <w:sz w:val="24"/>
          <w:szCs w:val="24"/>
          <w:highlight w:val="none"/>
        </w:rPr>
        <w:t>对厂房、设备基础（或安装平台）、公用设施、消防、环保等超出招标文件、投标文件、答疑文件、技术交流文件、技术协议书和合同等规定的、有特殊需要的解释、说明和要求。</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5.无论是否有技术偏离，投标人均应在投标文件“技术偏离”中明确作出有无说明。若有异议，不管是多么微小，投标人必须予以明确和详细的说明或澄清。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6.为避免投标人优势在招标评审时漏项，质保期超出本技术标书要求的，应当在投标文件“技术偏离”中特别注明。</w:t>
      </w:r>
    </w:p>
    <w:p>
      <w:pPr>
        <w:pStyle w:val="113"/>
        <w:spacing w:before="624" w:beforeLines="200" w:line="360" w:lineRule="auto"/>
        <w:ind w:firstLine="643" w:firstLineChars="200"/>
        <w:outlineLvl w:val="2"/>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二、基本要求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1.投标人所供的货物，必须符合中国最新版的法律、法规和相关标准、规范的要求，符合项目所在地政府有关特殊要求。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2.投标人所供货物涉及的专利权技术以及知识产权保护的其它技术等，应保证招标人不因此受到任何侵权指控以及实际损失。</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3.投标人应保证所供货物的先进性、可靠性、经济性和实用性，并为全新货物（或设备）。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4.投标人应满足招标人提出的各项技术要求，必要时应当免费提供技术承诺或担保。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5.投标人应保证所供货物（或设备）为中国政府指定或规定的主管部门公布的非淘汰货物（或设备），并尽力提供中国政府指定或规定的主管部门认可的环保型和节能型货物（或设备）。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6.投标人应保证所供货物的完整性和成套性，能保证货物的正常运行、使用。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7.投标人应对招标人采购的货物所涉及的技术、产能等信息负有保密义务，招标人拥有追究投标人泄密责任的权利；招标人如有需要，投标人应无条件签署保密协议。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8.投标人预验收时需提供进口设备、部件的报关清关资料。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9.投标人应提供设备的第三方检定校准报告，检定费用含在报价中。</w:t>
      </w:r>
    </w:p>
    <w:p>
      <w:pPr>
        <w:spacing w:line="360" w:lineRule="auto"/>
        <w:ind w:firstLine="480" w:firstLineChars="200"/>
        <w:rPr>
          <w:rFonts w:hint="eastAsia" w:ascii="宋体" w:hAnsi="宋体" w:eastAsia="宋体" w:cs="宋体"/>
          <w:color w:val="auto"/>
          <w:sz w:val="24"/>
          <w:szCs w:val="24"/>
          <w:highlight w:val="none"/>
        </w:rPr>
      </w:pPr>
      <w:bookmarkStart w:id="28" w:name="_Hlk219988788"/>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.程序权限要求：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.1供方所提供的程序不得设置任何密码、保护等限制手段，PLC不得设置修改下载权限，功能块不得设置密码保护。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供方需在设备入场前提供设备程序源码，HMI 界面各级用户名和密码，并保证与现场程序一致。</w:t>
      </w:r>
    </w:p>
    <w:p>
      <w:pPr>
        <w:autoSpaceDE w:val="0"/>
        <w:autoSpaceDN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.接口协议要求 </w:t>
      </w:r>
    </w:p>
    <w:p>
      <w:pPr>
        <w:autoSpaceDE w:val="0"/>
        <w:autoSpaceDN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.1 供方免费开放所有通讯接口，包括但不限于以太网、RS232、RS485、PROFIBUS、PROFINET、MODBUS 等常见接口，以及设备特有的专用接口。 </w:t>
      </w:r>
    </w:p>
    <w:p>
      <w:pPr>
        <w:autoSpaceDE w:val="0"/>
        <w:autoSpaceDN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.2 供方免费提供数据交互功能，交互数据包括但不限于实时数据、历史数据、报警信息等。 </w:t>
      </w:r>
    </w:p>
    <w:p>
      <w:pPr>
        <w:autoSpaceDE w:val="0"/>
        <w:autoSpaceDN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.3 供方在设备入场前提供接口的技术文档和参数说明，包括但不限于接口协议、通讯速率、数据格式等。 </w:t>
      </w:r>
    </w:p>
    <w:p>
      <w:pPr>
        <w:autoSpaceDE w:val="0"/>
        <w:autoSpaceDN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.4 设备使用周期内，供方免费派遣技术人员与甲方调试团队共同进行设备通讯接口的调试工作。</w:t>
      </w:r>
      <w:bookmarkEnd w:id="28"/>
    </w:p>
    <w:p>
      <w:pPr>
        <w:pStyle w:val="113"/>
        <w:spacing w:before="624" w:beforeLines="200" w:line="360" w:lineRule="auto"/>
        <w:ind w:firstLine="643" w:firstLineChars="200"/>
        <w:outlineLvl w:val="2"/>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三、技术要求</w:t>
      </w:r>
    </w:p>
    <w:p>
      <w:pPr>
        <w:spacing w:line="360" w:lineRule="auto"/>
        <w:ind w:firstLine="482" w:firstLineChars="200"/>
        <w:rPr>
          <w:rFonts w:hint="eastAsia" w:ascii="宋体" w:hAnsi="宋体" w:eastAsia="宋体" w:cs="宋体"/>
          <w:color w:val="auto"/>
          <w:kern w:val="0"/>
          <w:sz w:val="24"/>
          <w:szCs w:val="24"/>
          <w:highlight w:val="none"/>
          <w:lang w:bidi="ar"/>
        </w:rPr>
      </w:pPr>
      <w:bookmarkStart w:id="29" w:name="_Hlk219989000"/>
      <w:r>
        <w:rPr>
          <w:rFonts w:hint="eastAsia" w:ascii="宋体" w:hAnsi="宋体" w:eastAsia="宋体" w:cs="宋体"/>
          <w:b/>
          <w:bCs/>
          <w:color w:val="auto"/>
          <w:sz w:val="24"/>
          <w:szCs w:val="24"/>
          <w:highlight w:val="none"/>
        </w:rPr>
        <w:t>1.工期要求</w:t>
      </w:r>
      <w:r>
        <w:rPr>
          <w:rFonts w:hint="eastAsia" w:ascii="宋体" w:hAnsi="宋体" w:eastAsia="宋体" w:cs="宋体"/>
          <w:color w:val="auto"/>
          <w:sz w:val="24"/>
          <w:szCs w:val="24"/>
          <w:highlight w:val="none"/>
        </w:rPr>
        <w:t>：供方必须满足需方对工期的要求，自合同签定生效之日起，</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rPr>
        <w:t>个日历</w:t>
      </w:r>
      <w:r>
        <w:rPr>
          <w:rFonts w:hint="eastAsia" w:ascii="宋体" w:hAnsi="宋体" w:eastAsia="宋体" w:cs="宋体"/>
          <w:color w:val="auto"/>
          <w:kern w:val="0"/>
          <w:sz w:val="24"/>
          <w:szCs w:val="24"/>
          <w:highlight w:val="none"/>
          <w:lang w:bidi="ar"/>
        </w:rPr>
        <w:t>日之内交货至供货地点，接续</w:t>
      </w:r>
      <w:r>
        <w:rPr>
          <w:rFonts w:hint="eastAsia" w:ascii="宋体" w:hAnsi="宋体" w:eastAsia="宋体" w:cs="宋体"/>
          <w:color w:val="auto"/>
          <w:kern w:val="0"/>
          <w:sz w:val="24"/>
          <w:szCs w:val="24"/>
          <w:highlight w:val="none"/>
          <w:lang w:val="en-US" w:eastAsia="zh-CN" w:bidi="ar"/>
        </w:rPr>
        <w:t>15</w:t>
      </w:r>
      <w:r>
        <w:rPr>
          <w:rFonts w:hint="eastAsia" w:ascii="宋体" w:hAnsi="宋体" w:eastAsia="宋体" w:cs="宋体"/>
          <w:color w:val="auto"/>
          <w:kern w:val="0"/>
          <w:sz w:val="24"/>
          <w:szCs w:val="24"/>
          <w:highlight w:val="none"/>
          <w:lang w:bidi="ar"/>
        </w:rPr>
        <w:t>个日历日之内安装调试完毕。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90" w:afterAutospacing="0" w:line="420" w:lineRule="atLeast"/>
        <w:ind w:left="-360" w:leftChars="0" w:right="0" w:rightChars="0" w:firstLine="723" w:firstLineChars="3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bidi="ar"/>
        </w:rPr>
        <w:t>2.</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四可”装置功能要求</w:t>
      </w:r>
      <w:r>
        <w:rPr>
          <w:rFonts w:hint="eastAsia" w:ascii="宋体" w:hAnsi="宋体" w:eastAsia="宋体" w:cs="宋体"/>
          <w:color w:val="auto"/>
          <w:kern w:val="0"/>
          <w:sz w:val="24"/>
          <w:szCs w:val="24"/>
          <w:highlight w:val="none"/>
          <w:lang w:val="en-US" w:eastAsia="zh-CN" w:bidi="ar"/>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90" w:afterAutospacing="0" w:line="420" w:lineRule="atLeast"/>
        <w:ind w:left="-360" w:leftChars="0" w:right="0" w:rightChars="0" w:firstLine="723" w:firstLineChars="300"/>
        <w:rPr>
          <w:rFonts w:hint="eastAsia" w:ascii="宋体" w:hAnsi="宋体" w:eastAsia="宋体" w:cs="宋体"/>
          <w:i w:val="0"/>
          <w:caps w:val="0"/>
          <w:color w:val="333333"/>
          <w:spacing w:val="0"/>
          <w:sz w:val="24"/>
          <w:szCs w:val="24"/>
          <w:shd w:val="clear" w:fill="FFFFFF"/>
        </w:rPr>
      </w:pPr>
      <w:r>
        <w:rPr>
          <w:rStyle w:val="33"/>
          <w:rFonts w:hint="eastAsia" w:ascii="宋体" w:hAnsi="宋体" w:eastAsia="宋体" w:cs="宋体"/>
          <w:i w:val="0"/>
          <w:caps w:val="0"/>
          <w:color w:val="333333"/>
          <w:spacing w:val="0"/>
          <w:sz w:val="24"/>
          <w:szCs w:val="24"/>
          <w:shd w:val="clear" w:fill="FFFFFF"/>
        </w:rPr>
        <w:t>数据采集与上传</w:t>
      </w:r>
      <w:r>
        <w:rPr>
          <w:rFonts w:hint="eastAsia" w:ascii="宋体" w:hAnsi="宋体" w:eastAsia="宋体" w:cs="宋体"/>
          <w:i w:val="0"/>
          <w:caps w:val="0"/>
          <w:color w:val="333333"/>
          <w:spacing w:val="0"/>
          <w:sz w:val="24"/>
          <w:szCs w:val="24"/>
          <w:shd w:val="clear" w:fill="FFFFFF"/>
        </w:rPr>
        <w:t>‌：通过RS-485、LoRa等方式采集逆变器、电表等设备数据，经协议转换后，用4G/5G或专网上传至调度主站，实现“可观、可测”。</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90" w:afterAutospacing="0" w:line="420" w:lineRule="atLeast"/>
        <w:ind w:left="-360" w:leftChars="0" w:right="0" w:rightChars="0" w:firstLine="720" w:firstLineChars="300"/>
        <w:rPr>
          <w:rFonts w:hint="eastAsia" w:ascii="宋体" w:hAnsi="宋体" w:eastAsia="宋体" w:cs="宋体"/>
        </w:rPr>
      </w:pPr>
      <w:r>
        <w:rPr>
          <w:rFonts w:hint="eastAsia" w:ascii="宋体" w:hAnsi="宋体" w:eastAsia="宋体" w:cs="宋体"/>
          <w:i w:val="0"/>
          <w:caps w:val="0"/>
          <w:color w:val="333333"/>
          <w:spacing w:val="0"/>
          <w:sz w:val="24"/>
          <w:szCs w:val="24"/>
          <w:shd w:val="clear" w:fill="FFFFFF"/>
        </w:rPr>
        <w:t>‌</w:t>
      </w:r>
      <w:r>
        <w:rPr>
          <w:rStyle w:val="33"/>
          <w:rFonts w:hint="eastAsia" w:ascii="宋体" w:hAnsi="宋体" w:eastAsia="宋体" w:cs="宋体"/>
          <w:i w:val="0"/>
          <w:caps w:val="0"/>
          <w:color w:val="333333"/>
          <w:spacing w:val="0"/>
          <w:sz w:val="24"/>
          <w:szCs w:val="24"/>
          <w:shd w:val="clear" w:fill="FFFFFF"/>
        </w:rPr>
        <w:t>指令执行与调节</w:t>
      </w:r>
      <w:r>
        <w:rPr>
          <w:rFonts w:hint="eastAsia" w:ascii="宋体" w:hAnsi="宋体" w:eastAsia="宋体" w:cs="宋体"/>
          <w:i w:val="0"/>
          <w:caps w:val="0"/>
          <w:color w:val="333333"/>
          <w:spacing w:val="0"/>
          <w:sz w:val="24"/>
          <w:szCs w:val="24"/>
          <w:shd w:val="clear" w:fill="FFFFFF"/>
        </w:rPr>
        <w:t>‌：接收调度下发的AGC/AVC指令，分解后调节逆变器有功/无功出力，实现“可控、可调”。</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90" w:afterAutospacing="0" w:line="420" w:lineRule="atLeast"/>
        <w:ind w:right="0" w:rightChars="0" w:firstLine="480" w:firstLineChars="200"/>
        <w:rPr>
          <w:rFonts w:hint="eastAsia" w:ascii="宋体" w:hAnsi="宋体" w:eastAsia="宋体" w:cs="宋体"/>
        </w:rPr>
      </w:pPr>
      <w:r>
        <w:rPr>
          <w:rFonts w:hint="eastAsia" w:ascii="宋体" w:hAnsi="宋体" w:eastAsia="宋体" w:cs="宋体"/>
          <w:i w:val="0"/>
          <w:caps w:val="0"/>
          <w:color w:val="333333"/>
          <w:spacing w:val="0"/>
          <w:sz w:val="24"/>
          <w:szCs w:val="24"/>
          <w:shd w:val="clear" w:fill="FFFFFF"/>
        </w:rPr>
        <w:t>‌</w:t>
      </w:r>
      <w:r>
        <w:rPr>
          <w:rStyle w:val="33"/>
          <w:rFonts w:hint="eastAsia" w:ascii="宋体" w:hAnsi="宋体" w:eastAsia="宋体" w:cs="宋体"/>
          <w:i w:val="0"/>
          <w:caps w:val="0"/>
          <w:color w:val="333333"/>
          <w:spacing w:val="0"/>
          <w:sz w:val="24"/>
          <w:szCs w:val="24"/>
          <w:shd w:val="clear" w:fill="FFFFFF"/>
        </w:rPr>
        <w:t>安全防护</w:t>
      </w:r>
      <w:r>
        <w:rPr>
          <w:rFonts w:hint="eastAsia" w:ascii="宋体" w:hAnsi="宋体" w:eastAsia="宋体" w:cs="宋体"/>
          <w:i w:val="0"/>
          <w:caps w:val="0"/>
          <w:color w:val="333333"/>
          <w:spacing w:val="0"/>
          <w:sz w:val="24"/>
          <w:szCs w:val="24"/>
          <w:shd w:val="clear" w:fill="FFFFFF"/>
        </w:rPr>
        <w:t>‌：内置纵向加密模块，和调度主站建立加密隧道，满足电力监控系统安全要求。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90" w:afterAutospacing="0" w:line="420" w:lineRule="atLeast"/>
        <w:ind w:left="-360" w:leftChars="0" w:right="0" w:rightChars="0" w:firstLine="720" w:firstLineChars="300"/>
        <w:rPr>
          <w:rFonts w:hint="eastAsia" w:ascii="宋体" w:hAnsi="宋体" w:eastAsia="宋体" w:cs="宋体"/>
          <w:i w:val="0"/>
          <w:caps w:val="0"/>
          <w:color w:val="333333"/>
          <w:spacing w:val="0"/>
          <w:sz w:val="24"/>
          <w:szCs w:val="24"/>
          <w:shd w:val="clear" w:fill="FFFFFF"/>
        </w:rPr>
      </w:pPr>
      <w:r>
        <w:rPr>
          <w:rFonts w:hint="eastAsia" w:ascii="宋体" w:hAnsi="宋体" w:eastAsia="宋体" w:cs="宋体"/>
          <w:i w:val="0"/>
          <w:caps w:val="0"/>
          <w:color w:val="333333"/>
          <w:spacing w:val="0"/>
          <w:sz w:val="24"/>
          <w:szCs w:val="24"/>
          <w:shd w:val="clear" w:fill="FFFFFF"/>
        </w:rPr>
        <w:t>‌</w:t>
      </w:r>
      <w:r>
        <w:rPr>
          <w:rStyle w:val="33"/>
          <w:rFonts w:hint="eastAsia" w:ascii="宋体" w:hAnsi="宋体" w:eastAsia="宋体" w:cs="宋体"/>
          <w:i w:val="0"/>
          <w:caps w:val="0"/>
          <w:color w:val="333333"/>
          <w:spacing w:val="0"/>
          <w:sz w:val="24"/>
          <w:szCs w:val="24"/>
          <w:shd w:val="clear" w:fill="FFFFFF"/>
        </w:rPr>
        <w:t>本地自治</w:t>
      </w:r>
      <w:r>
        <w:rPr>
          <w:rFonts w:hint="eastAsia" w:ascii="宋体" w:hAnsi="宋体" w:eastAsia="宋体" w:cs="宋体"/>
          <w:i w:val="0"/>
          <w:caps w:val="0"/>
          <w:color w:val="333333"/>
          <w:spacing w:val="0"/>
          <w:sz w:val="24"/>
          <w:szCs w:val="24"/>
          <w:shd w:val="clear" w:fill="FFFFFF"/>
        </w:rPr>
        <w:t>‌：断网时按预设策略维持电站稳定运行，不依赖云端。</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90" w:beforeAutospacing="0" w:after="90" w:afterAutospacing="0" w:line="420" w:lineRule="atLeast"/>
        <w:ind w:left="-360" w:leftChars="0" w:right="0" w:rightChars="0" w:firstLine="723" w:firstLineChars="300"/>
        <w:rPr>
          <w:rFonts w:hint="eastAsia" w:ascii="宋体" w:hAnsi="宋体" w:eastAsia="宋体" w:cs="宋体"/>
        </w:rPr>
      </w:pPr>
      <w:r>
        <w:rPr>
          <w:rFonts w:hint="eastAsia" w:ascii="宋体" w:hAnsi="宋体" w:cs="宋体"/>
          <w:b/>
          <w:bCs/>
          <w:i w:val="0"/>
          <w:caps w:val="0"/>
          <w:color w:val="333333"/>
          <w:spacing w:val="0"/>
          <w:sz w:val="24"/>
          <w:szCs w:val="24"/>
          <w:shd w:val="clear" w:fill="FFFFFF"/>
          <w:lang w:val="en-US" w:eastAsia="zh-CN"/>
        </w:rPr>
        <w:t>显示屏：</w:t>
      </w:r>
      <w:r>
        <w:rPr>
          <w:rFonts w:hint="eastAsia" w:ascii="宋体" w:hAnsi="宋体" w:cs="宋体"/>
          <w:b w:val="0"/>
          <w:bCs w:val="0"/>
          <w:i w:val="0"/>
          <w:caps w:val="0"/>
          <w:color w:val="333333"/>
          <w:spacing w:val="0"/>
          <w:sz w:val="24"/>
          <w:szCs w:val="24"/>
          <w:shd w:val="clear" w:fill="FFFFFF"/>
          <w:lang w:val="en-US" w:eastAsia="zh-CN"/>
        </w:rPr>
        <w:t>显示光伏发电系统运行情况。</w:t>
      </w:r>
      <w:r>
        <w:rPr>
          <w:rFonts w:hint="eastAsia" w:ascii="宋体" w:hAnsi="宋体" w:eastAsia="宋体" w:cs="宋体"/>
          <w:i w:val="0"/>
          <w:caps w:val="0"/>
          <w:color w:val="333333"/>
          <w:spacing w:val="0"/>
          <w:sz w:val="24"/>
          <w:szCs w:val="24"/>
          <w:shd w:val="clear" w:fill="FFFFFF"/>
        </w:rPr>
        <w:t>‌‌</w:t>
      </w:r>
    </w:p>
    <w:p>
      <w:pPr>
        <w:numPr>
          <w:ilvl w:val="0"/>
          <w:numId w:val="0"/>
        </w:numPr>
        <w:spacing w:line="560" w:lineRule="exact"/>
        <w:ind w:leftChars="0" w:firstLine="241" w:firstLineChars="10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auto"/>
          <w:kern w:val="0"/>
          <w:sz w:val="24"/>
          <w:szCs w:val="24"/>
          <w:highlight w:val="none"/>
          <w:lang w:bidi="ar"/>
        </w:rPr>
        <w:t>3.</w:t>
      </w:r>
      <w:r>
        <w:rPr>
          <w:rFonts w:hint="eastAsia" w:ascii="宋体" w:hAnsi="宋体" w:eastAsia="宋体" w:cs="宋体"/>
          <w:b/>
          <w:bCs/>
          <w:color w:val="000000" w:themeColor="text1"/>
          <w:sz w:val="24"/>
          <w:szCs w:val="24"/>
          <w:lang w:val="en-US" w:eastAsia="zh-CN"/>
          <w14:textFill>
            <w14:solidFill>
              <w14:schemeClr w14:val="tx1"/>
            </w14:solidFill>
          </w14:textFill>
        </w:rPr>
        <w:t>主要设备功能参数：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3.1路由器：应支持宽电压 DC9~36V 供电；应支持串口、以太网设备接入，实现数据透明传输与路由；应支持静态 IP、DHCP、L2TP、PPTP、PPPOE、2.5G/3G/4G/5G 等多种 WAN 接入方式；应支持 VPN 客户端与服务端（PPTP、L2TP、IPSEC，VPN 版本提供），应具备 WEB、CLI 本地及远程配置维护手段，应支持 SYSLOG、SNMP、TELNET、SSHD、HTTPS 远程管理、本地 / 远程在线升级、配置文件导入导出、NTP 及内置 RTC 时钟、DDNS、MAC 地址克隆、多种上下线触发模式。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3.2纵向加密装置：</w:t>
      </w:r>
      <w:r>
        <w:rPr>
          <w:rFonts w:hint="eastAsia" w:ascii="宋体" w:hAnsi="宋体" w:eastAsia="宋体" w:cs="宋体"/>
          <w:sz w:val="24"/>
          <w:szCs w:val="24"/>
        </w:rPr>
        <w:t>具备 2 个 RJ45 网口、1 路 RS232 终端接口、1 路 USB 接口，单 DC24V 电源输入，具备高 MTBF 可靠性指标；可在</w:t>
      </w:r>
      <w:r>
        <w:rPr>
          <w:rFonts w:hint="eastAsia" w:ascii="宋体" w:hAnsi="宋体" w:eastAsia="宋体" w:cs="宋体"/>
          <w:sz w:val="24"/>
          <w:szCs w:val="24"/>
        </w:rPr>
        <w:noBreakHyphen/>
      </w:r>
      <w:r>
        <w:rPr>
          <w:rFonts w:hint="eastAsia" w:ascii="宋体" w:hAnsi="宋体" w:eastAsia="宋体" w:cs="宋体"/>
          <w:sz w:val="24"/>
          <w:szCs w:val="24"/>
        </w:rPr>
        <w:t>10℃～55℃、5</w:t>
      </w:r>
      <w:r>
        <w:rPr>
          <w:rFonts w:hint="eastAsia" w:ascii="宋体" w:hAnsi="宋体" w:eastAsia="宋体" w:cs="宋体"/>
          <w:sz w:val="24"/>
          <w:szCs w:val="24"/>
        </w:rPr>
        <w:noBreakHyphen/>
      </w:r>
      <w:r>
        <w:rPr>
          <w:rFonts w:hint="eastAsia" w:ascii="宋体" w:hAnsi="宋体" w:eastAsia="宋体" w:cs="宋体"/>
          <w:sz w:val="24"/>
          <w:szCs w:val="24"/>
        </w:rPr>
        <w:t>95% RH（非冷凝）、70kPa</w:t>
      </w:r>
      <w:r>
        <w:rPr>
          <w:rFonts w:hint="eastAsia" w:ascii="宋体" w:hAnsi="宋体" w:eastAsia="宋体" w:cs="宋体"/>
          <w:sz w:val="24"/>
          <w:szCs w:val="24"/>
        </w:rPr>
        <w:noBreakHyphen/>
      </w:r>
      <w:r>
        <w:rPr>
          <w:rFonts w:hint="eastAsia" w:ascii="宋体" w:hAnsi="宋体" w:eastAsia="宋体" w:cs="宋体"/>
          <w:sz w:val="24"/>
          <w:szCs w:val="24"/>
        </w:rPr>
        <w:t>106kPa 环境稳定运行，支持最大并发加密隧道 128 条，加密隧道建立、数据包转发延迟、吞吐及丢包率满足本项目安全网关性能要求。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3.3群调群控装置：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（1）功能要求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▲1）实时运行信息采集转发功能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应具备分布式电源实时运行信息采集功能，支持通过104协议与站控层设备采集实时运行数据，包括站内并网运行信息、装置下辖逆变器、无功补偿设备等站内设备，可接入四遥功能等。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应支持设置运行数据的周期性上送、数据变化上送及总召等方式。满足DL/T634 5104-2009远动设备及系统第5-104部分中的:遥信、遥测支持变化上送，数据支持主站总召或及循环上送，循环周期可设置。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应支持数据远传功能、多主站通信采集转发功能。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▲2）远方控制功能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采集控制装置应支持主站遥控远方控制，如遥控AGC功能投入退出、逆变器群控启停控制等，具备远方控制操作全过程的日志记录功能。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采集控制装置应支持主站遥调远方控制，支持调度功率调节指令自动分解至各分布式电源(逆变器/变流器)。具备远方调控操作全过程的日志记录功能。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▲3）参数配置功能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支持系统参数配置、通讯参数配置等功能。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▲4）SOE事件记录功能，支持SOE事件记录功能。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（2）电磁兼容要求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▲1）静电放电抗扰度要求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需满足以下标准检验要求:GB/T 15153.1-2024远动设备及系统 第2部分:工作条件 第1篇:电源和电磁兼容性；GB/T 17626.2-2018电磁兼容试验和测量技术 静电放电抗扰度试验。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▲2）浪涌(冲击)抗扰度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需满足以下标准检验要求:GB/T 15153.1-2024远动设备及系统 第2部分:工作条件 第1篇:电源和电磁兼容性；GB/T 17626.5-2019电磁兼容试验和测量技术浪涌(冲击)抗扰度试验。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（3）技术参数要求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1）应采用国产高性能3核微处理器，主频≥1.2GHz；</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kern w:val="0"/>
          <w:sz w:val="24"/>
          <w:szCs w:val="24"/>
          <w:highlight w:val="none"/>
          <w:lang w:val="en-US" w:eastAsia="zh-CN" w:bidi="ar"/>
        </w:rPr>
        <w:t>2）通信接口：以太网口≥2路，RS485≥8路；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sz w:val="24"/>
          <w:szCs w:val="24"/>
          <w:lang w:val="en-US" w:eastAsia="zh-CN"/>
        </w:rPr>
        <w:t>▲</w:t>
      </w:r>
      <w:r>
        <w:rPr>
          <w:rFonts w:hint="eastAsia" w:ascii="宋体" w:hAnsi="宋体" w:eastAsia="宋体" w:cs="宋体"/>
          <w:color w:val="000000"/>
          <w:kern w:val="0"/>
          <w:sz w:val="24"/>
          <w:szCs w:val="24"/>
          <w:lang w:val="en-US" w:eastAsia="zh-CN" w:bidi="ar"/>
        </w:rPr>
        <w:t>3）AGC调节性能指标：系统指令响应时间毫秒级、控制周期秒级或分钟级可调整、对主站的有功控制指令执行时间不超过30秒；有功功率控制功能年可用率大于等于99.9%；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sz w:val="24"/>
          <w:szCs w:val="24"/>
          <w:lang w:val="en-US" w:eastAsia="zh-CN"/>
        </w:rPr>
        <w:t>▲</w:t>
      </w:r>
      <w:r>
        <w:rPr>
          <w:rFonts w:hint="eastAsia" w:ascii="宋体" w:hAnsi="宋体" w:eastAsia="宋体" w:cs="宋体"/>
          <w:color w:val="000000"/>
          <w:kern w:val="0"/>
          <w:sz w:val="24"/>
          <w:szCs w:val="24"/>
          <w:lang w:val="en-US" w:eastAsia="zh-CN" w:bidi="ar"/>
        </w:rPr>
        <w:t>4）AVC调节性能指标：系统指令响应时间毫秒级；控制周期秒级或分钟级可调整；对主站电压指令执行时间不超过30秒，无功指令响应时间不超过一分钟；无功电压控制功能年可用率大于等于99.9%；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历史数据存储功能。对有功功率控制关键数据（如控制对象的有功功率实测值和设定值、有功可调上/下限、有功功率控制功能投/退状态、远方/就地方式等）进行历史存储，数据存储时间间隔小于1分钟，数据存储时间长度大于等于1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7）通过 IRIG-B同步，对时精度≤1 ms；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8）没有外部时钟源校正时，24小时守时误差应不超过 1s；</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）整机功耗：≤50W;</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10</w:t>
      </w:r>
      <w:r>
        <w:rPr>
          <w:rFonts w:hint="eastAsia" w:ascii="宋体" w:hAnsi="宋体" w:eastAsia="宋体" w:cs="宋体"/>
          <w:color w:val="000000"/>
          <w:kern w:val="0"/>
          <w:sz w:val="24"/>
          <w:szCs w:val="24"/>
          <w:lang w:val="en-US" w:eastAsia="zh-CN" w:bidi="ar"/>
        </w:rPr>
        <w:t>）设备额定电压为 DC12V，当电源电压在80%U~120%U变化时，装置应可靠工作。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3.4交换机：</w:t>
      </w:r>
      <w:r>
        <w:rPr>
          <w:rFonts w:hint="eastAsia" w:ascii="宋体" w:hAnsi="宋体" w:eastAsia="宋体" w:cs="宋体"/>
          <w:sz w:val="24"/>
          <w:szCs w:val="24"/>
        </w:rPr>
        <w:t>设备应配置不少于 5 路百兆以太网电口；整机外形尺寸为 102mm×33mm×78mm，允许 ±2mm 工程公差；采用 35mm 标准 DIN 卡轨式导轨安装；外壳为高强度铝合金壳体，整机防护等级 IP40；设备通电工作温度</w:t>
      </w:r>
      <w:r>
        <w:rPr>
          <w:rFonts w:hint="eastAsia" w:ascii="宋体" w:hAnsi="宋体" w:eastAsia="宋体" w:cs="宋体"/>
          <w:sz w:val="24"/>
          <w:szCs w:val="24"/>
        </w:rPr>
        <w:noBreakHyphen/>
      </w:r>
      <w:r>
        <w:rPr>
          <w:rFonts w:hint="eastAsia" w:ascii="宋体" w:hAnsi="宋体" w:eastAsia="宋体" w:cs="宋体"/>
          <w:sz w:val="24"/>
          <w:szCs w:val="24"/>
        </w:rPr>
        <w:t>40℃～+75℃，非通电存储温度</w:t>
      </w:r>
      <w:r>
        <w:rPr>
          <w:rFonts w:hint="eastAsia" w:ascii="宋体" w:hAnsi="宋体" w:eastAsia="宋体" w:cs="宋体"/>
          <w:sz w:val="24"/>
          <w:szCs w:val="24"/>
        </w:rPr>
        <w:noBreakHyphen/>
      </w:r>
      <w:r>
        <w:rPr>
          <w:rFonts w:hint="eastAsia" w:ascii="宋体" w:hAnsi="宋体" w:eastAsia="宋体" w:cs="宋体"/>
          <w:sz w:val="24"/>
          <w:szCs w:val="24"/>
        </w:rPr>
        <w:t>40℃～+85℃，可在相对湿度 5%～95% RH（无凝露）环境条件下正常工作与存放</w:t>
      </w:r>
      <w:r>
        <w:rPr>
          <w:rFonts w:hint="eastAsia" w:ascii="宋体" w:hAnsi="宋体" w:eastAsia="宋体" w:cs="宋体"/>
          <w:sz w:val="24"/>
          <w:szCs w:val="24"/>
          <w:lang w:eastAsia="zh-CN"/>
        </w:rPr>
        <w:t>。</w:t>
      </w:r>
    </w:p>
    <w:p>
      <w:pPr>
        <w:pStyle w:val="39"/>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主要指标（注：“▲”号项为设备重要指标，投标人提供的四可边缘网关或分布式电源采集控制装置或采集终端等设备需实质性满足并提供CMA/CNAS检测机构出具的检测报告。）</w:t>
      </w:r>
    </w:p>
    <w:p>
      <w:pPr>
        <w:pStyle w:val="39"/>
        <w:rPr>
          <w:rFonts w:hint="eastAsia" w:ascii="宋体" w:hAnsi="宋体" w:eastAsia="宋体" w:cs="宋体"/>
          <w:sz w:val="24"/>
          <w:szCs w:val="24"/>
          <w:lang w:val="en-US" w:eastAsia="zh-CN"/>
        </w:rPr>
      </w:pPr>
    </w:p>
    <w:p>
      <w:pPr>
        <w:spacing w:line="360" w:lineRule="auto"/>
        <w:ind w:firstLine="480" w:firstLineChars="200"/>
        <w:rPr>
          <w:rFonts w:hint="eastAsia" w:ascii="宋体" w:hAnsi="宋体" w:eastAsia="宋体" w:cs="宋体"/>
          <w:color w:val="auto"/>
          <w:kern w:val="0"/>
          <w:sz w:val="24"/>
          <w:szCs w:val="24"/>
          <w:highlight w:val="none"/>
          <w:lang w:val="en-US" w:eastAsia="zh-CN" w:bidi="ar"/>
        </w:rPr>
      </w:pPr>
    </w:p>
    <w:bookmarkEnd w:id="29"/>
    <w:p>
      <w:pPr>
        <w:pStyle w:val="6"/>
        <w:ind w:left="420" w:leftChars="200"/>
        <w:rPr>
          <w:rFonts w:hint="eastAsia" w:ascii="宋体" w:hAnsi="宋体" w:eastAsia="宋体" w:cs="宋体"/>
          <w:b w:val="0"/>
          <w:color w:val="auto"/>
          <w:sz w:val="24"/>
          <w:szCs w:val="24"/>
          <w:highlight w:val="none"/>
        </w:rPr>
      </w:pPr>
      <w:bookmarkStart w:id="30" w:name="_Hlk219989623"/>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其它要求</w:t>
      </w:r>
    </w:p>
    <w:p>
      <w:pPr>
        <w:adjustRightInd w:val="0"/>
        <w:spacing w:line="360" w:lineRule="auto"/>
        <w:ind w:firstLine="480" w:firstLineChars="200"/>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本项目为交钥匙工程，投标方应充分考虑现场情况，做好策划、施工。</w:t>
      </w:r>
    </w:p>
    <w:bookmarkEnd w:id="30"/>
    <w:p>
      <w:pPr>
        <w:keepNext/>
        <w:keepLines/>
        <w:jc w:val="center"/>
        <w:outlineLvl w:val="1"/>
        <w:rPr>
          <w:rFonts w:hint="eastAsia" w:ascii="宋体" w:hAnsi="宋体" w:eastAsia="宋体" w:cs="宋体"/>
          <w:b/>
          <w:bCs/>
          <w:color w:val="auto"/>
          <w:kern w:val="44"/>
          <w:sz w:val="28"/>
          <w:szCs w:val="28"/>
          <w:highlight w:val="none"/>
        </w:rPr>
      </w:pPr>
    </w:p>
    <w:p>
      <w:pPr>
        <w:keepNext/>
        <w:keepLines/>
        <w:jc w:val="center"/>
        <w:outlineLvl w:val="1"/>
        <w:rPr>
          <w:rFonts w:hint="eastAsia" w:ascii="宋体" w:hAnsi="宋体" w:eastAsia="宋体" w:cs="宋体"/>
          <w:b/>
          <w:bCs/>
          <w:color w:val="auto"/>
          <w:kern w:val="44"/>
          <w:sz w:val="28"/>
          <w:szCs w:val="28"/>
          <w:highlight w:val="none"/>
        </w:rPr>
      </w:pPr>
      <w:r>
        <w:rPr>
          <w:rFonts w:hint="eastAsia" w:ascii="宋体" w:hAnsi="宋体" w:eastAsia="宋体" w:cs="宋体"/>
          <w:b/>
          <w:bCs/>
          <w:color w:val="auto"/>
          <w:kern w:val="44"/>
          <w:sz w:val="28"/>
          <w:szCs w:val="28"/>
          <w:highlight w:val="none"/>
        </w:rPr>
        <w:t>第三章供货范围及供货方式</w:t>
      </w:r>
      <w:bookmarkEnd w:id="27"/>
    </w:p>
    <w:p>
      <w:pPr>
        <w:rPr>
          <w:rFonts w:hint="eastAsia" w:ascii="宋体" w:hAnsi="宋体" w:eastAsia="宋体" w:cs="宋体"/>
          <w:color w:val="auto"/>
          <w:highlight w:val="none"/>
        </w:rPr>
      </w:pPr>
    </w:p>
    <w:p>
      <w:pPr>
        <w:keepNext/>
        <w:keepLines/>
        <w:spacing w:line="360" w:lineRule="auto"/>
        <w:jc w:val="center"/>
        <w:outlineLvl w:val="2"/>
        <w:rPr>
          <w:rFonts w:hint="eastAsia" w:ascii="宋体" w:hAnsi="宋体" w:eastAsia="宋体" w:cs="宋体"/>
          <w:b/>
          <w:bCs/>
          <w:color w:val="auto"/>
          <w:sz w:val="24"/>
          <w:szCs w:val="32"/>
          <w:highlight w:val="none"/>
        </w:rPr>
      </w:pPr>
      <w:bookmarkStart w:id="31" w:name="_Toc169605882"/>
      <w:r>
        <w:rPr>
          <w:rFonts w:hint="eastAsia" w:ascii="宋体" w:hAnsi="宋体" w:eastAsia="宋体" w:cs="宋体"/>
          <w:b/>
          <w:bCs/>
          <w:color w:val="auto"/>
          <w:sz w:val="24"/>
          <w:szCs w:val="32"/>
          <w:highlight w:val="none"/>
        </w:rPr>
        <w:t>第一节  供货范围</w:t>
      </w:r>
      <w:bookmarkEnd w:id="31"/>
    </w:p>
    <w:p>
      <w:pPr>
        <w:pStyle w:val="63"/>
        <w:numPr>
          <w:ilvl w:val="0"/>
          <w:numId w:val="31"/>
        </w:numPr>
        <w:spacing w:line="360" w:lineRule="auto"/>
        <w:ind w:firstLineChars="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供货范围</w:t>
      </w:r>
    </w:p>
    <w:tbl>
      <w:tblPr>
        <w:tblStyle w:val="30"/>
        <w:tblpPr w:leftFromText="180" w:rightFromText="180" w:vertAnchor="text" w:horzAnchor="page" w:tblpXSpec="center" w:tblpY="1161"/>
        <w:tblOverlap w:val="never"/>
        <w:tblW w:w="8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366"/>
        <w:gridCol w:w="2751"/>
        <w:gridCol w:w="720"/>
        <w:gridCol w:w="692"/>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6" w:type="dxa"/>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366" w:type="dxa"/>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751" w:type="dxa"/>
            <w:vAlign w:val="center"/>
          </w:tcPr>
          <w:p>
            <w:pPr>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规格</w:t>
            </w:r>
            <w:r>
              <w:rPr>
                <w:rFonts w:hint="eastAsia" w:ascii="宋体" w:hAnsi="宋体" w:eastAsia="宋体" w:cs="宋体"/>
                <w:color w:val="auto"/>
                <w:szCs w:val="21"/>
                <w:highlight w:val="none"/>
                <w:lang w:val="en-US" w:eastAsia="zh-CN"/>
              </w:rPr>
              <w:t>型号</w:t>
            </w:r>
          </w:p>
        </w:tc>
        <w:tc>
          <w:tcPr>
            <w:tcW w:w="720" w:type="dxa"/>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692" w:type="dxa"/>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711" w:type="dxa"/>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36" w:type="dxa"/>
            <w:vAlign w:val="center"/>
          </w:tcPr>
          <w:p>
            <w:pPr>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366" w:type="dxa"/>
            <w:vAlign w:val="center"/>
          </w:tcPr>
          <w:p>
            <w:pPr>
              <w:keepNext w:val="0"/>
              <w:keepLines w:val="0"/>
              <w:widowControl/>
              <w:suppressLineNumbers w:val="0"/>
              <w:jc w:val="center"/>
              <w:rPr>
                <w:rFonts w:hint="eastAsia" w:ascii="宋体" w:hAnsi="宋体" w:eastAsia="宋体" w:cs="宋体"/>
                <w:color w:val="auto"/>
                <w:szCs w:val="21"/>
                <w:highlight w:val="none"/>
                <w:lang w:bidi="ar"/>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四可</w:t>
            </w:r>
            <w:r>
              <w:rPr>
                <w:rFonts w:hint="eastAsia" w:ascii="宋体" w:hAnsi="宋体" w:cs="宋体"/>
                <w:color w:val="000000" w:themeColor="text1"/>
                <w:kern w:val="2"/>
                <w:sz w:val="24"/>
                <w:szCs w:val="24"/>
                <w:lang w:val="en-US" w:eastAsia="zh-CN" w:bidi="ar"/>
                <w14:textFill>
                  <w14:solidFill>
                    <w14:schemeClr w14:val="tx1"/>
                  </w14:solidFill>
                </w14:textFill>
              </w:rPr>
              <w:t>装置</w:t>
            </w:r>
          </w:p>
        </w:tc>
        <w:tc>
          <w:tcPr>
            <w:tcW w:w="2751" w:type="dxa"/>
            <w:vAlign w:val="center"/>
          </w:tcPr>
          <w:p>
            <w:pPr>
              <w:keepNext w:val="0"/>
              <w:keepLines w:val="0"/>
              <w:widowControl/>
              <w:suppressLineNumbers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lang w:val="en-US" w:eastAsia="zh-CN" w:bidi="ar"/>
              </w:rPr>
              <w:t>非标</w:t>
            </w:r>
          </w:p>
        </w:tc>
        <w:tc>
          <w:tcPr>
            <w:tcW w:w="720" w:type="dxa"/>
            <w:vAlign w:val="center"/>
          </w:tcPr>
          <w:p>
            <w:pPr>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套</w:t>
            </w:r>
          </w:p>
        </w:tc>
        <w:tc>
          <w:tcPr>
            <w:tcW w:w="692" w:type="dxa"/>
            <w:vAlign w:val="center"/>
          </w:tcPr>
          <w:p>
            <w:pPr>
              <w:keepNext w:val="0"/>
              <w:keepLines w:val="0"/>
              <w:widowControl/>
              <w:suppressLineNumbers w:val="0"/>
              <w:jc w:val="center"/>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711" w:type="dxa"/>
            <w:vAlign w:val="center"/>
          </w:tcPr>
          <w:p>
            <w:pPr>
              <w:widowControl/>
              <w:autoSpaceDE w:val="0"/>
              <w:autoSpaceDN w:val="0"/>
              <w:adjustRightInd w:val="0"/>
              <w:spacing w:after="200" w:line="460" w:lineRule="exact"/>
              <w:jc w:val="center"/>
              <w:rPr>
                <w:rFonts w:hint="eastAsia" w:ascii="宋体" w:hAnsi="宋体" w:eastAsia="宋体" w:cs="宋体"/>
                <w:color w:val="auto"/>
                <w:szCs w:val="21"/>
                <w:highlight w:val="none"/>
              </w:rPr>
            </w:pPr>
          </w:p>
        </w:tc>
      </w:tr>
    </w:tbl>
    <w:p>
      <w:pPr>
        <w:spacing w:before="156" w:beforeLines="50" w:after="156" w:afterLines="50"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（一）一般界定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1.包括本技术标书所列明的主要货物以及货物正常运行所必需的全套连线设备、材料等。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2.包括为保证货物正常安装、调试和验收完成及以前所必需的整套配件、附件及材料等。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如果终验收完成后，投标人有需要收回的配件、附件等，应当在投标文件的技术偏离条款中，予以详细说明；否则视同包括在供货范围之内。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3.包括货物维护维修所必需的专用工具。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包括为保证货物自身正常运行所必需的、满足使用地点环境条件的通风、冷却、降温等必需设施。</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如投标人难以提供或无优势提供以及属于选用配置的，则应当在投标文件的技术偏离条款中，予以详细说明并注明投标报价未包含该部分的货值。</w:t>
      </w:r>
    </w:p>
    <w:p>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（二）供货范围边界界定</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1.对于招标文件中无明确具体要求而投标方认为必须具备的其它货物，投标方必须将该部分货物单独报价（该报价含运杂费及税费等其它费用，而且不再作为其它报价涉及的其它费用的计算基数）。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2.对于招标文件中无明确具体要求而投标人认为必须具备的其它货物，投标人必须将该部分货物单独报价（该报价含运杂费及税费等其它费用，而且不再作为其它报价涉及的其它费用的计算基数）。</w:t>
      </w:r>
    </w:p>
    <w:p>
      <w:pPr>
        <w:spacing w:line="360" w:lineRule="auto"/>
        <w:ind w:firstLine="482" w:firstLineChars="2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二、备品备件、易损件和专用耗材供货范围</w:t>
      </w:r>
    </w:p>
    <w:p>
      <w:pPr>
        <w:spacing w:line="360" w:lineRule="auto"/>
        <w:ind w:firstLine="480" w:firstLineChars="200"/>
        <w:outlineLvl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w:t>
      </w:r>
    </w:p>
    <w:p>
      <w:pPr>
        <w:spacing w:line="360" w:lineRule="auto"/>
        <w:ind w:firstLine="482" w:firstLineChars="2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三、技术资料供货范围</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技术资料供货范围包括：</w:t>
      </w:r>
    </w:p>
    <w:p>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1.在</w:t>
      </w:r>
      <w:r>
        <w:rPr>
          <w:rFonts w:hint="eastAsia" w:ascii="宋体" w:hAnsi="宋体" w:eastAsia="宋体" w:cs="宋体"/>
          <w:bCs/>
          <w:color w:val="auto"/>
          <w:sz w:val="24"/>
          <w:szCs w:val="24"/>
          <w:highlight w:val="none"/>
        </w:rPr>
        <w:t>合同签订后，提供货物基础及相关的设计、制作所需的纸质及电子版资料；电子版文件应当能够使用常用版本软件可以阅读甚至使用，进口货物、设备应有中外文对照。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2.在预验收前，提供货物各部分的功能描述文件、图片、影像等资料（进口、设备应有中外文对照）。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3.在终验收前，提供为保证货物后续正常运行所需的具体技术要求等资料（如果供货范围包含该部分实物）。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4.在终验收前，提供确定的维修所需要且买方可以自行采购的外购件、外协件、电气元件及主要原材料的供货厂家明细表。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5.在终验收后的第一笔货款支付日之前，提供包括货物的备品备件、易损件和专用耗材的图纸及技术参数、技术要求等资料。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7.本条款所列的技术资料、图片、影像等，投标人应各提供3套，其中2套为电子版光盘或U盘；每份技术文件应装有目录清单。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8.本条款所列要求，如招标人认为投标人提供的资料不能满足要求时，有权要求投标人免费补充或增加。</w:t>
      </w:r>
    </w:p>
    <w:p>
      <w:pPr>
        <w:spacing w:line="360" w:lineRule="auto"/>
        <w:ind w:firstLine="482" w:firstLineChars="2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四、供货范围特别提示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如果投标人认为本节所列的供货范围难以满足，则仍需要按照本要求提供，但该部分货物应当在投标报价中单独列明货物名称及品质、货值。</w:t>
      </w:r>
      <w:bookmarkStart w:id="32" w:name="_Toc169605883"/>
    </w:p>
    <w:p>
      <w:pPr>
        <w:pStyle w:val="14"/>
        <w:spacing w:line="360" w:lineRule="auto"/>
        <w:rPr>
          <w:rFonts w:hint="eastAsia" w:ascii="宋体" w:hAnsi="宋体" w:eastAsia="宋体" w:cs="宋体"/>
          <w:color w:val="auto"/>
          <w:highlight w:val="none"/>
        </w:rPr>
      </w:pPr>
    </w:p>
    <w:p>
      <w:pPr>
        <w:keepNext/>
        <w:keepLines/>
        <w:spacing w:line="360" w:lineRule="auto"/>
        <w:jc w:val="center"/>
        <w:outlineLvl w:val="2"/>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第二节  供货方式</w:t>
      </w:r>
      <w:bookmarkEnd w:id="32"/>
    </w:p>
    <w:p>
      <w:pPr>
        <w:spacing w:line="360" w:lineRule="auto"/>
        <w:ind w:firstLine="482" w:firstLineChars="200"/>
        <w:outlineLvl w:val="3"/>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一、供货方式</w:t>
      </w:r>
    </w:p>
    <w:p>
      <w:pPr>
        <w:spacing w:line="360" w:lineRule="auto"/>
        <w:ind w:firstLine="480" w:firstLineChars="200"/>
        <w:rPr>
          <w:rFonts w:hint="eastAsia" w:ascii="宋体" w:hAnsi="宋体" w:eastAsia="宋体" w:cs="宋体"/>
          <w:b/>
          <w:i/>
          <w:color w:val="auto"/>
          <w:sz w:val="24"/>
          <w:szCs w:val="24"/>
          <w:highlight w:val="none"/>
        </w:rPr>
      </w:pPr>
      <w:r>
        <w:rPr>
          <w:rFonts w:hint="eastAsia" w:ascii="宋体" w:hAnsi="宋体" w:eastAsia="宋体" w:cs="宋体"/>
          <w:color w:val="auto"/>
          <w:sz w:val="24"/>
          <w:szCs w:val="24"/>
          <w:highlight w:val="none"/>
        </w:rPr>
        <w:t>完全交钥匙方式，即本次招标货物至少包括以下货物及服务：非标或特需设计、制造、至交货地点的运输（含定点装卸）、安装、调试、买方安装地竣工验收服务、货物移交、约定培训等全流程范围。</w:t>
      </w:r>
    </w:p>
    <w:p>
      <w:pPr>
        <w:spacing w:line="360" w:lineRule="auto"/>
        <w:ind w:firstLine="482" w:firstLineChars="200"/>
        <w:outlineLvl w:val="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二、供货地点：</w:t>
      </w:r>
    </w:p>
    <w:p>
      <w:pPr>
        <w:spacing w:line="360" w:lineRule="auto"/>
        <w:ind w:firstLine="480" w:firstLineChars="200"/>
        <w:rPr>
          <w:rFonts w:hint="eastAsia" w:ascii="宋体" w:hAnsi="宋体" w:eastAsia="宋体" w:cs="宋体"/>
          <w:color w:val="auto"/>
          <w:sz w:val="24"/>
          <w:szCs w:val="24"/>
          <w:highlight w:val="none"/>
          <w:u w:val="single"/>
          <w:lang w:bidi="ar"/>
        </w:rPr>
      </w:pPr>
      <w:r>
        <w:rPr>
          <w:rFonts w:hint="eastAsia" w:ascii="宋体" w:hAnsi="宋体" w:eastAsia="宋体" w:cs="宋体"/>
          <w:color w:val="auto"/>
          <w:sz w:val="24"/>
          <w:szCs w:val="24"/>
          <w:highlight w:val="none"/>
          <w:u w:val="single"/>
          <w:lang w:bidi="ar"/>
        </w:rPr>
        <w:t>济南轻卡制造公司</w:t>
      </w:r>
    </w:p>
    <w:p>
      <w:pPr>
        <w:spacing w:line="360" w:lineRule="auto"/>
        <w:ind w:firstLine="482" w:firstLineChars="200"/>
        <w:jc w:val="left"/>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三、供货时间</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1.自合同签定生效之日起，</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rPr>
        <w:t>个日历日之内交货至供货地点。</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2.接续</w:t>
      </w:r>
      <w:r>
        <w:rPr>
          <w:rFonts w:hint="eastAsia" w:ascii="宋体" w:hAnsi="宋体" w:eastAsia="宋体" w:cs="宋体"/>
          <w:color w:val="auto"/>
          <w:sz w:val="24"/>
          <w:szCs w:val="24"/>
          <w:highlight w:val="none"/>
          <w:u w:val="single"/>
          <w:lang w:val="en-US" w:eastAsia="zh-CN"/>
        </w:rPr>
        <w:t>15</w:t>
      </w:r>
      <w:r>
        <w:rPr>
          <w:rFonts w:hint="eastAsia" w:ascii="宋体" w:hAnsi="宋体" w:eastAsia="宋体" w:cs="宋体"/>
          <w:color w:val="auto"/>
          <w:sz w:val="24"/>
          <w:szCs w:val="24"/>
          <w:highlight w:val="none"/>
        </w:rPr>
        <w:t>个日历日之内安装调试完毕。</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3.接续</w:t>
      </w:r>
      <w:r>
        <w:rPr>
          <w:rFonts w:hint="eastAsia" w:ascii="宋体" w:hAnsi="宋体" w:eastAsia="宋体" w:cs="宋体"/>
          <w:color w:val="auto"/>
          <w:sz w:val="24"/>
          <w:szCs w:val="24"/>
          <w:highlight w:val="none"/>
          <w:u w:val="single"/>
          <w:lang w:val="en-US" w:eastAsia="zh-CN"/>
        </w:rPr>
        <w:t>90</w:t>
      </w:r>
      <w:r>
        <w:rPr>
          <w:rFonts w:hint="eastAsia" w:ascii="宋体" w:hAnsi="宋体" w:eastAsia="宋体" w:cs="宋体"/>
          <w:color w:val="auto"/>
          <w:sz w:val="24"/>
          <w:szCs w:val="24"/>
          <w:highlight w:val="none"/>
        </w:rPr>
        <w:t>个日历日之内完成终验收。</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安装调试时间或终验收时间超过规定时间的，投标人应随标书提供详细的工期计划。</w:t>
      </w:r>
    </w:p>
    <w:p>
      <w:pPr>
        <w:spacing w:line="360" w:lineRule="auto"/>
        <w:ind w:firstLine="482" w:firstLineChars="2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四、包装</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1.所提供货物（或设备）的包装，应遵照国家标准和有关包装、包皮的技术条件，或按照最好的商业惯例进行包装。</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2.包装应能满足所需要采取的运输方式（船运、汽运或铁路运输）、多次吊装卸装、卸货以及长期露天堆放要求，应能防止雨淋、受潮、生锈、腐蚀、受振、受磁以及机械和化学因素等引起的损坏。</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3.所提供货物（或设备）的包装，应能防止其一般性被窃或受外力破坏；一般不得采用有大缝隙的板条包装。</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4.应对包装件做必要的加固和固定，以防止运输可能造成的损坏。</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5.每个包装件应有装箱单，并至少标明名称、型号规格、数量、净重和毛重、投标人（或供货商）名称和制造日期等相关内容。</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6.每个包装箱应有明显标志，并具有中文书写的合同号、装运标志、发货和到货地点名称、发货人和收货人名称、货物名称和项目号、箱号和外型尺寸等内容。</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7.应按照不同的装运要求在包装箱上标明“小心轻放”、“箭头向上”、“防潮”、“防磁”、“不准平放”等标志，以及其它适用的国标通用标志。</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8.包装箱应连续编号，不应出现重复编号。</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9.在不受到外界破坏情况下，包装应保证自交货日起一年内货物（或设备）完好无损。</w:t>
      </w:r>
    </w:p>
    <w:p>
      <w:pPr>
        <w:adjustRightInd w:val="0"/>
        <w:snapToGrid w:val="0"/>
        <w:spacing w:line="360" w:lineRule="auto"/>
        <w:ind w:firstLine="482" w:firstLineChars="2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五、运输</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1.应负责将货物（或设备）运到目的地，并必须做到货物（或设备）在任何运输过程中不受损坏和遗失。</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2.同批货物（或设备）应统一包装、编号运输。</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3.一般情况下，经由铁路、公路运输的包装件尺寸和重量不应超过国家所规定的尺寸限制，特殊情况应予以说明。</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4.在每批货物（或设备）发出后，应立即通知买方；通知中应指明：合同号、货运单号、件数、重量和货物（或设备）发出日期等相关内容。</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5.货物（或设备）运抵交货地点后，应负责货物（或设备）的卸货、搬运、保管等事宜，或按照合同约定。</w:t>
      </w:r>
    </w:p>
    <w:p>
      <w:pPr>
        <w:adjustRightInd w:val="0"/>
        <w:snapToGrid w:val="0"/>
        <w:spacing w:line="360" w:lineRule="auto"/>
        <w:rPr>
          <w:rFonts w:hint="eastAsia" w:ascii="宋体" w:hAnsi="宋体" w:eastAsia="宋体" w:cs="宋体"/>
          <w:color w:val="auto"/>
          <w:szCs w:val="20"/>
          <w:highlight w:val="none"/>
        </w:rPr>
      </w:pPr>
    </w:p>
    <w:p>
      <w:pPr>
        <w:widowControl/>
        <w:spacing w:line="360" w:lineRule="auto"/>
        <w:jc w:val="left"/>
        <w:rPr>
          <w:rFonts w:hint="eastAsia" w:ascii="宋体" w:hAnsi="宋体" w:eastAsia="宋体" w:cs="宋体"/>
          <w:color w:val="auto"/>
          <w:szCs w:val="20"/>
          <w:highlight w:val="none"/>
        </w:rPr>
      </w:pPr>
      <w:r>
        <w:rPr>
          <w:rFonts w:hint="eastAsia" w:ascii="宋体" w:hAnsi="宋体" w:eastAsia="宋体" w:cs="宋体"/>
          <w:color w:val="auto"/>
          <w:szCs w:val="20"/>
          <w:highlight w:val="none"/>
        </w:rPr>
        <w:br w:type="page"/>
      </w:r>
    </w:p>
    <w:p>
      <w:pPr>
        <w:keepNext/>
        <w:keepLines/>
        <w:spacing w:line="360" w:lineRule="auto"/>
        <w:jc w:val="center"/>
        <w:outlineLvl w:val="1"/>
        <w:rPr>
          <w:rFonts w:hint="eastAsia" w:ascii="宋体" w:hAnsi="宋体" w:eastAsia="宋体" w:cs="宋体"/>
          <w:b/>
          <w:bCs/>
          <w:color w:val="auto"/>
          <w:kern w:val="44"/>
          <w:sz w:val="28"/>
          <w:szCs w:val="28"/>
          <w:highlight w:val="none"/>
        </w:rPr>
      </w:pPr>
      <w:bookmarkStart w:id="33" w:name="_Toc169605884"/>
      <w:r>
        <w:rPr>
          <w:rFonts w:hint="eastAsia" w:ascii="宋体" w:hAnsi="宋体" w:eastAsia="宋体" w:cs="宋体"/>
          <w:b/>
          <w:bCs/>
          <w:color w:val="auto"/>
          <w:kern w:val="44"/>
          <w:sz w:val="28"/>
          <w:szCs w:val="28"/>
          <w:highlight w:val="none"/>
        </w:rPr>
        <w:t>第四章质保期及售后服务</w:t>
      </w:r>
      <w:bookmarkEnd w:id="33"/>
    </w:p>
    <w:p>
      <w:pPr>
        <w:pStyle w:val="11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一、质保期及质保要求</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1.全部供货范围内的设备、材料、零配件和工器具等，除合同特别约定外，其质保期均自终验收签字生效之日起</w:t>
      </w:r>
      <w:r>
        <w:rPr>
          <w:rFonts w:hint="eastAsia" w:ascii="宋体" w:hAnsi="宋体" w:eastAsia="宋体" w:cs="宋体"/>
          <w:color w:val="auto"/>
          <w:sz w:val="24"/>
          <w:szCs w:val="24"/>
          <w:highlight w:val="none"/>
          <w:u w:val="single"/>
        </w:rPr>
        <w:t>12</w:t>
      </w:r>
      <w:r>
        <w:rPr>
          <w:rFonts w:hint="eastAsia" w:ascii="宋体" w:hAnsi="宋体" w:eastAsia="宋体" w:cs="宋体"/>
          <w:color w:val="auto"/>
          <w:sz w:val="24"/>
          <w:szCs w:val="24"/>
          <w:highlight w:val="none"/>
        </w:rPr>
        <w:t>个月。</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投标货物或涉及的关键总成和零件，如果有更长时间质保期，允许更改并说明，此将有利于投标人。</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设计使用寿命短于质保期的易损件除外，但属于易损件的，应当有明确说明。</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2.质保期之内，如果货物出现设备、总成、关键零部件或者多处一般零部件的二次以上的更换或维修行为，则质保期自更换或维修行为结束、货物重新正常运行使用之日起重新计算。</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3.质保期内免费提供零部件和及时有效的服务。质保期内因货物本身缺陷造成的各种故障，</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应负责免费维修和服务。给招标方造成的直接经济损失由投标方承担。</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4.质保期终止之日起</w:t>
      </w:r>
      <w:r>
        <w:rPr>
          <w:rFonts w:hint="eastAsia" w:ascii="宋体" w:hAnsi="宋体" w:eastAsia="宋体" w:cs="宋体"/>
          <w:color w:val="auto"/>
          <w:sz w:val="24"/>
          <w:szCs w:val="24"/>
          <w:highlight w:val="none"/>
          <w:u w:val="single"/>
        </w:rPr>
        <w:t>一年内</w:t>
      </w:r>
      <w:r>
        <w:rPr>
          <w:rFonts w:hint="eastAsia" w:ascii="宋体" w:hAnsi="宋体" w:eastAsia="宋体" w:cs="宋体"/>
          <w:color w:val="auto"/>
          <w:sz w:val="24"/>
          <w:szCs w:val="24"/>
          <w:highlight w:val="none"/>
        </w:rPr>
        <w:t>重复出现的质保期之内出现的故障，仍属质保范围而且应当免费。</w:t>
      </w:r>
    </w:p>
    <w:p>
      <w:pPr>
        <w:pStyle w:val="11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二、技术及培训服务</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1.应负责在买方货物使用现场，对技术、维修和操作人员提供免费的理论、技术和操作、维修等方面的技术指导和培训，并接受买方有关人员的技术咨询。培训工作日不少于</w:t>
      </w:r>
      <w:r>
        <w:rPr>
          <w:rFonts w:hint="eastAsia" w:ascii="宋体" w:hAnsi="宋体" w:eastAsia="宋体" w:cs="宋体"/>
          <w:color w:val="auto"/>
          <w:sz w:val="24"/>
          <w:szCs w:val="24"/>
          <w:highlight w:val="none"/>
          <w:u w:val="single"/>
          <w:shd w:val="pct10" w:color="auto" w:fill="FFFFFF"/>
        </w:rPr>
        <w:t>2</w:t>
      </w:r>
      <w:r>
        <w:rPr>
          <w:rFonts w:hint="eastAsia" w:ascii="宋体" w:hAnsi="宋体" w:eastAsia="宋体" w:cs="宋体"/>
          <w:color w:val="auto"/>
          <w:sz w:val="24"/>
          <w:szCs w:val="24"/>
          <w:highlight w:val="none"/>
        </w:rPr>
        <w:t>个日历日。</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2.应免费提供一定数量的培训资料。</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提供货物涉及到外购外协货物、而且该货物的技术质量等较为关键时，</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应能保证得到配套厂家的技术支持，并免费为买方提供技术服务。</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5.应按要求免费积极协助和提供招标方以及招标方所委托的工程设计单位有关人员所需要的、与货物有关的工程设计资料、技术咨询等。</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6.若投标方提供货物涉及到外购外协货物、而且该货物的技术质量等较为关键时，投标方应能保证得到配套厂家的技术支持，并免费为招标方提供技术服务。</w:t>
      </w:r>
    </w:p>
    <w:p>
      <w:pPr>
        <w:pStyle w:val="11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三、安装调试及验收服务</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1.指导安装调试或负责安装调试以及协助验收，投标方均应在投标文件中明确其收费额或免费约定，否则视同免费；安装调试及验收服务均应按照合同约定或协议、通知及时组织并完成。因</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原因造成的延期，所发生的费用全部由</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承担。</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提供的货物涉及到外购外协货物、而且该货物的技术质量等较为关键时，应保证能得到供应商的技术支持，并免费为买方提供安装使用现场的指导与培训。</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3.买方将积极协助</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达到货物的各项技术指标和性能要求。</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在买方现场进行的货物的安装、调试和试运行，买方有权参与，</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应无条件向买方提供现场记录和试运行数据及报告。</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所提供货物需要得到买方建设项目所在地政府或行业主管部门的查验、试验、验收时，</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应当免费完成或协助招标方完成所需要的工作、材料和服务等。协助完成的，应当在投标文件报价内容中予以说明，否则视同免费。</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应当向买方提供货物试验、验收的有关标准、规范和方法，同时提供货物涉及并使用的软件合法性证明。</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6.服务缺陷视同货物缺陷和履约延期。</w:t>
      </w:r>
    </w:p>
    <w:p>
      <w:pPr>
        <w:pStyle w:val="11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四、售后服务</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提供的货物涉及的所有售后服务均由</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负责。如果发生问题并且收到通知，</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应当在2小时内予以答复。</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2.如发现所提供的货物存在问题，需要</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解决或配合解决时：在质保期之内，应在接到通知后 24 小时内提供免费技术支持（不限于电话、远程 、邮件、视频等方式）；在质保期之外，应在接到通知后 48 小时内提供免费技术支持（不限于电话、远程 、邮件、视频等方式）。</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派往买方使用现场的人员，应具有较高的业务素质；现场解决问题时，不得无故拖延或推迟，应为买方提供最佳的服务。</w:t>
      </w:r>
    </w:p>
    <w:p>
      <w:pPr>
        <w:pStyle w:val="11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五、其它服务</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所提供货物有需要进口的，</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一般应自行、自费办理；必要时，买卖双方共同办理。</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2.除招标文件、投标文件、答疑文件、技术标书、合同等约定之外，</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应免费负责必要的或强制性的货物的检验、试验、化验等直接费用。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3.本章节条款所列“免费”，并非指定不可收费，而是指招标文件、投标文件、答疑文件、技术交流文件、技术标书和合同等范围之外，投标人不可另行收取的费用。</w:t>
      </w:r>
    </w:p>
    <w:p>
      <w:pPr>
        <w:pStyle w:val="1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pPr>
        <w:keepNext/>
        <w:keepLines/>
        <w:spacing w:line="360" w:lineRule="auto"/>
        <w:jc w:val="center"/>
        <w:outlineLvl w:val="1"/>
        <w:rPr>
          <w:rFonts w:hint="eastAsia" w:ascii="宋体" w:hAnsi="宋体" w:eastAsia="宋体" w:cs="宋体"/>
          <w:b/>
          <w:bCs/>
          <w:color w:val="auto"/>
          <w:kern w:val="44"/>
          <w:sz w:val="28"/>
          <w:szCs w:val="28"/>
          <w:highlight w:val="none"/>
        </w:rPr>
      </w:pPr>
      <w:bookmarkStart w:id="34" w:name="_Toc465187646"/>
      <w:r>
        <w:rPr>
          <w:rFonts w:hint="eastAsia" w:ascii="宋体" w:hAnsi="宋体" w:eastAsia="宋体" w:cs="宋体"/>
          <w:b/>
          <w:bCs/>
          <w:color w:val="auto"/>
          <w:kern w:val="44"/>
          <w:sz w:val="28"/>
          <w:szCs w:val="28"/>
          <w:highlight w:val="none"/>
        </w:rPr>
        <w:t>第五章  终验收</w:t>
      </w:r>
      <w:bookmarkEnd w:id="34"/>
    </w:p>
    <w:p>
      <w:pPr>
        <w:pStyle w:val="11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一、验收依据和验收标准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1.验收标准一般以技术标书和合同规定验收。无论技术标书和合同，是否全部并准确列明验收所涉及的相关标准，均作为验收标准之一。</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2.如果验收过程中，发现招标文件、投标文件、答疑文件、技术交流文件等与技术标书、合同存在差异，原则上以涉及条款中对买方最有利条款为验收依据。</w:t>
      </w:r>
    </w:p>
    <w:p>
      <w:pPr>
        <w:pStyle w:val="11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二、检验</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如果采购货物涉及必要的或必需的检验，投标人应当在投标文件中明确可能涉及的检验费用，并将该费用包含在投标总报价之内；不作针对性澄清或说明的，视同包含在投标总价之内。基本约定如下：</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1.国产货物的检验一般由买卖双方共同进行或按照合同要求进行。</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2.进口货物的检验，</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需要按照下述要求进行：</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进口货物发货前，应对货物的质量、型号、规格、性能和数量/重量作精密、全面的检验，并出具证明书，证明所供货物符合合同规定。</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应依据合同规定的要求，提供买卖双方达成一致的货物的验收标准和装箱单，作为买方检验的依据。</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提出索赔，因索赔所发生的一切费用(包括检验检疫费等)均由</w:t>
      </w:r>
      <w:r>
        <w:rPr>
          <w:rFonts w:hint="eastAsia" w:ascii="宋体" w:hAnsi="宋体" w:eastAsia="宋体" w:cs="宋体"/>
          <w:color w:val="auto"/>
          <w:sz w:val="24"/>
          <w:szCs w:val="24"/>
          <w:highlight w:val="none"/>
          <w:lang w:eastAsia="zh-CN"/>
        </w:rPr>
        <w:t>投标方</w:t>
      </w:r>
      <w:r>
        <w:rPr>
          <w:rFonts w:hint="eastAsia" w:ascii="宋体" w:hAnsi="宋体" w:eastAsia="宋体" w:cs="宋体"/>
          <w:color w:val="auto"/>
          <w:sz w:val="24"/>
          <w:szCs w:val="24"/>
          <w:highlight w:val="none"/>
        </w:rPr>
        <w:t>承担。</w:t>
      </w:r>
    </w:p>
    <w:p>
      <w:pPr>
        <w:pStyle w:val="114"/>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三、验收基本条件</w:t>
      </w:r>
    </w:p>
    <w:p>
      <w:pPr>
        <w:adjustRightInd w:val="0"/>
        <w:snapToGrid w:val="0"/>
        <w:spacing w:line="360" w:lineRule="auto"/>
        <w:ind w:firstLine="480" w:firstLineChars="200"/>
        <w:rPr>
          <w:rFonts w:hint="eastAsia" w:ascii="宋体" w:hAnsi="宋体" w:eastAsia="宋体" w:cs="宋体"/>
          <w:color w:val="auto"/>
          <w:sz w:val="24"/>
          <w:szCs w:val="24"/>
          <w:highlight w:val="none"/>
        </w:rPr>
      </w:pPr>
      <w:bookmarkStart w:id="35" w:name="_Toc465187647"/>
      <w:r>
        <w:rPr>
          <w:rFonts w:hint="eastAsia" w:ascii="宋体" w:hAnsi="宋体" w:eastAsia="宋体" w:cs="宋体"/>
          <w:color w:val="auto"/>
          <w:sz w:val="24"/>
          <w:szCs w:val="24"/>
          <w:highlight w:val="none"/>
        </w:rPr>
        <w:t>买卖双方按照合同约定执行了合同，同时货物完成了试运行并经检验合格，则具备验收条件。</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1.外观检查及供货清单确认：投标方提供的设备内容及数量应满足标书中的要求，文档资料应满足标书中的要求；设备应是全新的、完好的、无破损、无裂纹等；。</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2.设备运行时，货物应连续运行30天，每天连续10小时或单次连续运24小时。</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出现下列问题之一，视作验收失败：</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在整个验收过程中发生关键零部件损坏或重大故障；</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一般性故障超过2次；</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所有出现的维修调整，每次时间均超过90分钟；所有维修调整时间的总和超过总运行时间的5%；</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 更换的零部件货值超过总货值的1%。</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4.累计负载运行实际性能（或生产率）达到合同规定。</w:t>
      </w:r>
    </w:p>
    <w:p>
      <w:pPr>
        <w:spacing w:line="360" w:lineRule="auto"/>
        <w:ind w:left="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5．系统完整性验收</w:t>
      </w:r>
    </w:p>
    <w:p>
      <w:pPr>
        <w:spacing w:line="360" w:lineRule="auto"/>
        <w:ind w:left="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a）对照技术要求中的供货范围，对提交的设备进行确认需提供完整的项目资料。甲方对所提交的工程文件、文档资料进行确认。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b）乙方提供完整的验收测试服务。</w:t>
      </w:r>
      <w:bookmarkEnd w:id="35"/>
    </w:p>
    <w:p>
      <w:pPr>
        <w:pStyle w:val="77"/>
        <w:rPr>
          <w:rFonts w:hint="eastAsia" w:ascii="宋体" w:hAnsi="宋体" w:eastAsia="宋体" w:cs="宋体"/>
          <w:b/>
          <w:bCs/>
          <w:highlight w:val="none"/>
        </w:rPr>
      </w:pPr>
    </w:p>
    <w:p>
      <w:pPr>
        <w:pStyle w:val="77"/>
        <w:rPr>
          <w:rFonts w:hint="eastAsia" w:ascii="宋体" w:hAnsi="宋体" w:eastAsia="宋体" w:cs="宋体"/>
          <w:b/>
          <w:bCs/>
          <w:highlight w:val="none"/>
        </w:rPr>
      </w:pPr>
    </w:p>
    <w:p>
      <w:pPr>
        <w:pStyle w:val="77"/>
        <w:rPr>
          <w:rFonts w:hint="eastAsia" w:ascii="宋体" w:hAnsi="宋体" w:eastAsia="宋体" w:cs="宋体"/>
          <w:highlight w:val="none"/>
        </w:rPr>
      </w:pPr>
    </w:p>
    <w:p>
      <w:pPr>
        <w:pStyle w:val="72"/>
        <w:numPr>
          <w:ilvl w:val="0"/>
          <w:numId w:val="32"/>
        </w:numPr>
        <w:rPr>
          <w:rFonts w:hint="eastAsia" w:ascii="宋体" w:hAnsi="宋体" w:eastAsia="宋体" w:cs="宋体"/>
          <w:highlight w:val="none"/>
        </w:rPr>
      </w:pPr>
      <w:bookmarkStart w:id="36" w:name="_Toc47976609"/>
      <w:bookmarkStart w:id="37" w:name="_Toc20595"/>
      <w:r>
        <w:rPr>
          <w:rFonts w:hint="eastAsia" w:ascii="宋体" w:hAnsi="宋体" w:eastAsia="宋体" w:cs="宋体"/>
          <w:highlight w:val="none"/>
        </w:rPr>
        <w:t>合同主要条款</w:t>
      </w:r>
      <w:bookmarkEnd w:id="36"/>
      <w:bookmarkEnd w:id="37"/>
    </w:p>
    <w:p>
      <w:pPr>
        <w:pStyle w:val="14"/>
        <w:spacing w:line="360" w:lineRule="auto"/>
        <w:rPr>
          <w:rFonts w:hint="eastAsia" w:ascii="宋体" w:hAnsi="宋体" w:eastAsia="宋体" w:cs="宋体"/>
          <w:highlight w:val="none"/>
        </w:rPr>
      </w:pPr>
      <w:r>
        <w:rPr>
          <w:rFonts w:hint="eastAsia" w:ascii="宋体" w:hAnsi="宋体" w:eastAsia="宋体" w:cs="宋体"/>
          <w:sz w:val="24"/>
          <w:szCs w:val="24"/>
          <w:highlight w:val="yellow"/>
        </w:rPr>
        <w:t>详情见附件</w:t>
      </w:r>
      <w:r>
        <w:rPr>
          <w:rFonts w:hint="eastAsia" w:ascii="宋体" w:hAnsi="宋体" w:eastAsia="宋体" w:cs="宋体"/>
          <w:sz w:val="24"/>
          <w:szCs w:val="24"/>
          <w:highlight w:val="yellow"/>
          <w:lang w:val="en-US" w:eastAsia="zh-CN"/>
        </w:rPr>
        <w:t>1</w:t>
      </w:r>
      <w:r>
        <w:rPr>
          <w:rFonts w:hint="eastAsia" w:ascii="宋体" w:hAnsi="宋体" w:eastAsia="宋体" w:cs="宋体"/>
          <w:sz w:val="24"/>
          <w:szCs w:val="24"/>
          <w:highlight w:val="yellow"/>
        </w:rPr>
        <w:t>《</w:t>
      </w:r>
      <w:r>
        <w:rPr>
          <w:rFonts w:hint="eastAsia" w:ascii="宋体" w:hAnsi="宋体" w:eastAsia="宋体" w:cs="宋体"/>
          <w:b/>
          <w:bCs/>
          <w:kern w:val="44"/>
          <w:sz w:val="36"/>
          <w:szCs w:val="44"/>
          <w:highlight w:val="yellow"/>
        </w:rPr>
        <w:t>设备采购合同</w:t>
      </w:r>
      <w:r>
        <w:rPr>
          <w:rFonts w:hint="eastAsia" w:ascii="宋体" w:hAnsi="宋体" w:eastAsia="宋体" w:cs="宋体"/>
          <w:sz w:val="24"/>
          <w:szCs w:val="24"/>
          <w:highlight w:val="yellow"/>
        </w:rPr>
        <w:t>》</w:t>
      </w:r>
      <w:r>
        <w:rPr>
          <w:rFonts w:hint="eastAsia" w:ascii="宋体" w:hAnsi="宋体" w:eastAsia="宋体" w:cs="宋体"/>
          <w:b/>
          <w:bCs/>
          <w:kern w:val="44"/>
          <w:sz w:val="36"/>
          <w:szCs w:val="44"/>
          <w:highlight w:val="yellow"/>
        </w:rPr>
        <w:t>（模板）</w:t>
      </w:r>
    </w:p>
    <w:p>
      <w:pPr>
        <w:pStyle w:val="73"/>
        <w:numPr>
          <w:ilvl w:val="0"/>
          <w:numId w:val="33"/>
        </w:numPr>
        <w:ind w:left="420"/>
        <w:rPr>
          <w:rFonts w:hint="eastAsia" w:ascii="宋体" w:hAnsi="宋体" w:eastAsia="宋体" w:cs="宋体"/>
          <w:highlight w:val="none"/>
        </w:rPr>
      </w:pPr>
      <w:bookmarkStart w:id="38" w:name="_Toc47976610"/>
      <w:r>
        <w:rPr>
          <w:rFonts w:hint="eastAsia" w:ascii="宋体" w:hAnsi="宋体" w:eastAsia="宋体" w:cs="宋体"/>
          <w:highlight w:val="none"/>
          <w:lang w:val="en-US" w:eastAsia="zh-CN"/>
        </w:rPr>
        <w:t>标的、数量、</w:t>
      </w:r>
      <w:r>
        <w:rPr>
          <w:rFonts w:hint="eastAsia" w:ascii="宋体" w:hAnsi="宋体" w:eastAsia="宋体" w:cs="宋体"/>
          <w:highlight w:val="none"/>
        </w:rPr>
        <w:t>交货期</w:t>
      </w:r>
      <w:bookmarkEnd w:id="38"/>
    </w:p>
    <w:p>
      <w:pPr>
        <w:pStyle w:val="73"/>
        <w:rPr>
          <w:rFonts w:hint="eastAsia" w:ascii="宋体" w:hAnsi="宋体" w:eastAsia="宋体" w:cs="宋体"/>
          <w:highlight w:val="none"/>
        </w:rPr>
      </w:pPr>
      <w:bookmarkStart w:id="39" w:name="_Toc47976611"/>
      <w:r>
        <w:rPr>
          <w:rFonts w:hint="eastAsia" w:ascii="宋体" w:hAnsi="宋体" w:eastAsia="宋体" w:cs="宋体"/>
          <w:highlight w:val="none"/>
        </w:rPr>
        <w:t>交货地点</w:t>
      </w:r>
      <w:bookmarkEnd w:id="39"/>
    </w:p>
    <w:p>
      <w:pPr>
        <w:pStyle w:val="73"/>
        <w:rPr>
          <w:rFonts w:hint="eastAsia" w:ascii="宋体" w:hAnsi="宋体" w:eastAsia="宋体" w:cs="宋体"/>
          <w:highlight w:val="none"/>
        </w:rPr>
      </w:pPr>
      <w:bookmarkStart w:id="40" w:name="_Toc47976612"/>
      <w:r>
        <w:rPr>
          <w:rFonts w:hint="eastAsia" w:ascii="宋体" w:hAnsi="宋体" w:eastAsia="宋体" w:cs="宋体"/>
          <w:highlight w:val="none"/>
          <w:lang w:val="en-US" w:eastAsia="zh-CN"/>
        </w:rPr>
        <w:t>价款及</w:t>
      </w:r>
      <w:r>
        <w:rPr>
          <w:rFonts w:hint="eastAsia" w:ascii="宋体" w:hAnsi="宋体" w:eastAsia="宋体" w:cs="宋体"/>
          <w:highlight w:val="none"/>
        </w:rPr>
        <w:t>付款方式</w:t>
      </w:r>
      <w:bookmarkEnd w:id="40"/>
    </w:p>
    <w:p>
      <w:pPr>
        <w:pStyle w:val="73"/>
        <w:rPr>
          <w:rFonts w:hint="eastAsia" w:ascii="宋体" w:hAnsi="宋体" w:eastAsia="宋体" w:cs="宋体"/>
          <w:highlight w:val="none"/>
        </w:rPr>
      </w:pPr>
      <w:bookmarkStart w:id="41" w:name="_Toc47976613"/>
      <w:r>
        <w:rPr>
          <w:rFonts w:hint="eastAsia" w:ascii="宋体" w:hAnsi="宋体" w:eastAsia="宋体" w:cs="宋体"/>
          <w:highlight w:val="none"/>
          <w:lang w:val="en-US" w:eastAsia="zh-CN"/>
        </w:rPr>
        <w:t>质量要求、</w:t>
      </w:r>
      <w:r>
        <w:rPr>
          <w:rFonts w:hint="eastAsia" w:ascii="宋体" w:hAnsi="宋体" w:eastAsia="宋体" w:cs="宋体"/>
          <w:highlight w:val="none"/>
        </w:rPr>
        <w:t>保修期及售后服务</w:t>
      </w:r>
      <w:bookmarkEnd w:id="41"/>
    </w:p>
    <w:p>
      <w:pPr>
        <w:pStyle w:val="73"/>
        <w:rPr>
          <w:rFonts w:hint="eastAsia" w:ascii="宋体" w:hAnsi="宋体" w:eastAsia="宋体" w:cs="宋体"/>
          <w:highlight w:val="none"/>
        </w:rPr>
      </w:pPr>
      <w:bookmarkStart w:id="42" w:name="_Toc47976614"/>
      <w:r>
        <w:rPr>
          <w:rFonts w:hint="eastAsia" w:ascii="宋体" w:hAnsi="宋体" w:eastAsia="宋体" w:cs="宋体"/>
          <w:highlight w:val="none"/>
        </w:rPr>
        <w:t>安装、调试及验收要求</w:t>
      </w:r>
      <w:bookmarkEnd w:id="42"/>
    </w:p>
    <w:p>
      <w:pPr>
        <w:pStyle w:val="73"/>
        <w:rPr>
          <w:rFonts w:hint="eastAsia" w:ascii="宋体" w:hAnsi="宋体" w:eastAsia="宋体" w:cs="宋体"/>
          <w:highlight w:val="none"/>
        </w:rPr>
      </w:pPr>
      <w:r>
        <w:rPr>
          <w:rFonts w:hint="eastAsia" w:ascii="宋体" w:hAnsi="宋体" w:eastAsia="宋体" w:cs="宋体"/>
          <w:highlight w:val="none"/>
          <w:lang w:val="en-US" w:eastAsia="zh-CN"/>
        </w:rPr>
        <w:t>违约责任</w:t>
      </w:r>
    </w:p>
    <w:p>
      <w:pPr>
        <w:pStyle w:val="73"/>
        <w:rPr>
          <w:rFonts w:hint="eastAsia" w:ascii="宋体" w:hAnsi="宋体" w:eastAsia="宋体" w:cs="宋体"/>
          <w:highlight w:val="none"/>
        </w:rPr>
      </w:pPr>
      <w:r>
        <w:rPr>
          <w:rFonts w:hint="eastAsia" w:ascii="宋体" w:hAnsi="宋体" w:eastAsia="宋体" w:cs="宋体"/>
          <w:highlight w:val="none"/>
          <w:lang w:val="en-US" w:eastAsia="zh-CN"/>
        </w:rPr>
        <w:t>争议解决方式</w:t>
      </w:r>
    </w:p>
    <w:p>
      <w:pPr>
        <w:pStyle w:val="77"/>
        <w:rPr>
          <w:rFonts w:hint="eastAsia" w:ascii="宋体" w:hAnsi="宋体" w:eastAsia="宋体" w:cs="宋体"/>
          <w:highlight w:val="none"/>
        </w:rPr>
      </w:pPr>
    </w:p>
    <w:p>
      <w:pPr>
        <w:pStyle w:val="77"/>
        <w:rPr>
          <w:rFonts w:hint="eastAsia" w:ascii="宋体" w:hAnsi="宋体" w:eastAsia="宋体" w:cs="宋体"/>
          <w:highlight w:val="none"/>
        </w:rPr>
      </w:pPr>
    </w:p>
    <w:p>
      <w:pPr>
        <w:pStyle w:val="77"/>
        <w:rPr>
          <w:rFonts w:hint="eastAsia" w:ascii="宋体" w:hAnsi="宋体" w:eastAsia="宋体" w:cs="宋体"/>
          <w:highlight w:val="none"/>
        </w:rPr>
      </w:pPr>
    </w:p>
    <w:p>
      <w:pPr>
        <w:pStyle w:val="77"/>
        <w:rPr>
          <w:rFonts w:hint="eastAsia" w:ascii="宋体" w:hAnsi="宋体" w:eastAsia="宋体" w:cs="宋体"/>
          <w:highlight w:val="none"/>
        </w:rPr>
      </w:pPr>
    </w:p>
    <w:p>
      <w:pPr>
        <w:pStyle w:val="77"/>
        <w:rPr>
          <w:rFonts w:hint="eastAsia" w:ascii="宋体" w:hAnsi="宋体" w:eastAsia="宋体" w:cs="宋体"/>
          <w:highlight w:val="none"/>
        </w:rPr>
      </w:pPr>
    </w:p>
    <w:p>
      <w:pPr>
        <w:pStyle w:val="77"/>
        <w:rPr>
          <w:rFonts w:hint="eastAsia" w:ascii="宋体" w:hAnsi="宋体" w:eastAsia="宋体" w:cs="宋体"/>
          <w:highlight w:val="none"/>
        </w:rPr>
      </w:pPr>
    </w:p>
    <w:p>
      <w:pPr>
        <w:pStyle w:val="72"/>
        <w:numPr>
          <w:ilvl w:val="0"/>
          <w:numId w:val="34"/>
        </w:numPr>
        <w:rPr>
          <w:rFonts w:hint="eastAsia" w:ascii="宋体" w:hAnsi="宋体" w:eastAsia="宋体" w:cs="宋体"/>
          <w:highlight w:val="none"/>
          <w:lang w:val="en-US" w:eastAsia="zh-CN"/>
        </w:rPr>
      </w:pPr>
      <w:bookmarkStart w:id="43" w:name="_Toc5925"/>
      <w:r>
        <w:rPr>
          <w:rFonts w:hint="eastAsia" w:ascii="宋体" w:hAnsi="宋体" w:eastAsia="宋体" w:cs="宋体"/>
          <w:highlight w:val="none"/>
          <w:lang w:val="en-US" w:eastAsia="zh-CN"/>
        </w:rPr>
        <w:t>投标文件附件</w:t>
      </w:r>
      <w:bookmarkEnd w:id="43"/>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pPr>
        <w:pStyle w:val="14"/>
        <w:spacing w:line="360" w:lineRule="auto"/>
        <w:rPr>
          <w:rFonts w:hint="eastAsia" w:ascii="宋体" w:hAnsi="宋体" w:eastAsia="宋体" w:cs="宋体"/>
          <w:sz w:val="24"/>
          <w:szCs w:val="24"/>
        </w:rPr>
      </w:pPr>
    </w:p>
    <w:p>
      <w:pPr>
        <w:pStyle w:val="14"/>
        <w:spacing w:line="360" w:lineRule="auto"/>
        <w:rPr>
          <w:rFonts w:hint="eastAsia" w:ascii="宋体" w:hAnsi="宋体" w:eastAsia="宋体" w:cs="宋体"/>
          <w:highlight w:val="none"/>
          <w:lang w:val="en-US" w:eastAsia="zh-CN"/>
        </w:rPr>
      </w:pPr>
      <w:r>
        <w:rPr>
          <w:rFonts w:hint="eastAsia" w:ascii="宋体" w:hAnsi="宋体" w:eastAsia="宋体" w:cs="宋体"/>
          <w:sz w:val="24"/>
          <w:szCs w:val="24"/>
          <w:highlight w:val="yellow"/>
        </w:rPr>
        <w:t>详情见附件2《</w:t>
      </w:r>
      <w:r>
        <w:rPr>
          <w:rFonts w:hint="eastAsia" w:ascii="宋体" w:hAnsi="宋体" w:eastAsia="宋体" w:cs="宋体"/>
          <w:b/>
          <w:bCs/>
          <w:kern w:val="44"/>
          <w:sz w:val="36"/>
          <w:szCs w:val="44"/>
          <w:highlight w:val="yellow"/>
        </w:rPr>
        <w:t>投标文件附件</w:t>
      </w:r>
      <w:r>
        <w:rPr>
          <w:rFonts w:hint="eastAsia" w:ascii="宋体" w:hAnsi="宋体" w:eastAsia="宋体" w:cs="宋体"/>
          <w:sz w:val="24"/>
          <w:szCs w:val="24"/>
          <w:highlight w:val="yellow"/>
        </w:rPr>
        <w:t>》</w:t>
      </w:r>
    </w:p>
    <w:p>
      <w:pPr>
        <w:keepNext/>
        <w:keepLines/>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w:t>
      </w:r>
      <w:bookmarkStart w:id="44" w:name="_Toc639004"/>
      <w:bookmarkStart w:id="45" w:name="_Toc353881012"/>
      <w:bookmarkStart w:id="46" w:name="_Toc212369550"/>
      <w:bookmarkStart w:id="47" w:name="_Toc25811"/>
      <w:r>
        <w:rPr>
          <w:rFonts w:hint="eastAsia" w:ascii="宋体" w:hAnsi="宋体" w:eastAsia="宋体" w:cs="宋体"/>
          <w:b/>
          <w:bCs/>
          <w:color w:val="000000"/>
          <w:sz w:val="24"/>
          <w:szCs w:val="24"/>
        </w:rPr>
        <w:t>投标函</w:t>
      </w:r>
      <w:bookmarkEnd w:id="44"/>
      <w:bookmarkEnd w:id="45"/>
      <w:bookmarkEnd w:id="46"/>
      <w:bookmarkEnd w:id="47"/>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致：中国重汽集团济南商用车有限公司：</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根据贵方</w:t>
      </w:r>
      <w:r>
        <w:rPr>
          <w:rFonts w:hint="eastAsia" w:ascii="宋体" w:hAnsi="宋体" w:eastAsia="宋体" w:cs="宋体"/>
          <w:spacing w:val="-5"/>
          <w:sz w:val="24"/>
          <w:szCs w:val="24"/>
          <w:u w:val="single"/>
          <w:lang w:eastAsia="zh-CN"/>
        </w:rPr>
        <w:t>济南轻卡制造公司光伏发电系统增加“四可”装置项目</w:t>
      </w:r>
      <w:r>
        <w:rPr>
          <w:rFonts w:hint="eastAsia" w:ascii="宋体" w:hAnsi="宋体" w:eastAsia="宋体" w:cs="宋体"/>
          <w:bCs/>
          <w:snapToGrid w:val="0"/>
          <w:color w:val="000000"/>
          <w:kern w:val="0"/>
          <w:sz w:val="24"/>
          <w:szCs w:val="24"/>
        </w:rPr>
        <w:t>招标公告</w:t>
      </w:r>
      <w:r>
        <w:rPr>
          <w:rFonts w:hint="eastAsia" w:ascii="宋体" w:hAnsi="宋体" w:eastAsia="宋体" w:cs="宋体"/>
          <w:color w:val="000000"/>
          <w:sz w:val="24"/>
          <w:szCs w:val="24"/>
        </w:rPr>
        <w:t>，投标公司，法人代表人为，正式授权提交纸质投标文件：资质证明文件、商务文件和技术文件正本</w:t>
      </w:r>
      <w:r>
        <w:rPr>
          <w:rFonts w:hint="eastAsia" w:ascii="宋体" w:hAnsi="宋体" w:eastAsia="宋体" w:cs="宋体"/>
          <w:color w:val="000000"/>
          <w:sz w:val="24"/>
          <w:szCs w:val="24"/>
          <w:highlight w:val="yellow"/>
        </w:rPr>
        <w:t>一</w:t>
      </w:r>
      <w:r>
        <w:rPr>
          <w:rFonts w:hint="eastAsia" w:ascii="宋体" w:hAnsi="宋体" w:eastAsia="宋体" w:cs="宋体"/>
          <w:color w:val="000000"/>
          <w:sz w:val="24"/>
          <w:szCs w:val="24"/>
        </w:rPr>
        <w:t>份；电子版投标文件一份。</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据此函，签字代表宣布同意如下：</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1.投标人已详细审查全部“招标文件”，包括修改文件（如有的话）以及全部参考资料和有关附件，已经了解我方对于招标文件、采购过程、采购结果有依法进行询问、质疑、投诉的权利及相关渠道和要求。</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2.投标人在投标之前已经与贵方进行了充分的沟通，完全理解并接受招标文件的各项规定和要求，对招标文件的合理性、合法性不再有异议。</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3.本投标有效期自开标日起</w:t>
      </w:r>
      <w:r>
        <w:rPr>
          <w:rFonts w:hint="eastAsia" w:ascii="宋体" w:hAnsi="宋体" w:eastAsia="宋体" w:cs="宋体"/>
          <w:bCs/>
          <w:color w:val="000000"/>
          <w:sz w:val="24"/>
          <w:szCs w:val="24"/>
          <w:u w:val="single"/>
        </w:rPr>
        <w:t xml:space="preserve"> 90</w:t>
      </w:r>
      <w:r>
        <w:rPr>
          <w:rFonts w:hint="eastAsia" w:ascii="宋体" w:hAnsi="宋体" w:eastAsia="宋体" w:cs="宋体"/>
          <w:color w:val="000000"/>
          <w:sz w:val="24"/>
          <w:szCs w:val="24"/>
        </w:rPr>
        <w:t>个日历日。</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4.如中标，本投标文件至本项目合同履行完毕止均保持有效，本投标人将按“招标文件”及政府采购法律、法规的规定履行合同责任和义务。</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5.投标人同意按照贵方要求提供与投标有关的一切数据或资料。</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6.与本投标有关的一切正式往来信函请寄：</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地址：</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邮编：</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电话：传真：</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投标人代表姓名：职务：</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开户银行：</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银行帐号：</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投标人名称（</w:t>
      </w:r>
      <w:r>
        <w:rPr>
          <w:rFonts w:hint="eastAsia" w:ascii="宋体" w:hAnsi="宋体" w:eastAsia="宋体" w:cs="宋体"/>
          <w:bCs/>
          <w:color w:val="000000"/>
          <w:sz w:val="24"/>
          <w:szCs w:val="24"/>
        </w:rPr>
        <w:t>盖章）</w:t>
      </w:r>
      <w:r>
        <w:rPr>
          <w:rFonts w:hint="eastAsia" w:ascii="宋体" w:hAnsi="宋体" w:eastAsia="宋体" w:cs="宋体"/>
          <w:color w:val="000000"/>
          <w:sz w:val="24"/>
          <w:szCs w:val="24"/>
        </w:rPr>
        <w:t xml:space="preserve">: </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授权代表签字</w:t>
      </w:r>
      <w:r>
        <w:rPr>
          <w:rFonts w:hint="eastAsia" w:ascii="宋体" w:hAnsi="宋体" w:eastAsia="宋体" w:cs="宋体"/>
          <w:bCs/>
          <w:color w:val="000000"/>
          <w:sz w:val="24"/>
          <w:szCs w:val="24"/>
        </w:rPr>
        <w:t>：</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日期：年月日</w:t>
      </w: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rPr>
          <w:rFonts w:hint="eastAsia" w:ascii="宋体" w:hAnsi="宋体" w:eastAsia="宋体" w:cs="宋体"/>
          <w:color w:val="000000"/>
          <w:sz w:val="24"/>
          <w:szCs w:val="24"/>
        </w:rPr>
      </w:pPr>
    </w:p>
    <w:p>
      <w:pPr>
        <w:keepNext/>
        <w:keepLines/>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附件2 法定代表人授权委托书</w:t>
      </w:r>
    </w:p>
    <w:p>
      <w:pPr>
        <w:adjustRightInd w:val="0"/>
        <w:snapToGrid w:val="0"/>
        <w:spacing w:before="93" w:beforeLines="30" w:line="240" w:lineRule="exact"/>
        <w:jc w:val="center"/>
        <w:rPr>
          <w:rFonts w:hint="eastAsia" w:ascii="宋体" w:hAnsi="宋体" w:eastAsia="宋体" w:cs="宋体"/>
          <w:sz w:val="24"/>
          <w:szCs w:val="20"/>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本授权委托书声明：我＿＿＿＿＿＿＿（姓名）系＿＿＿＿＿＿＿＿＿＿＿＿＿＿＿＿＿＿＿＿＿＿＿＿＿＿＿＿（投标人全称）的法定代表人，就</w:t>
      </w:r>
      <w:r>
        <w:rPr>
          <w:rFonts w:hint="eastAsia" w:ascii="宋体" w:hAnsi="宋体" w:eastAsia="宋体" w:cs="宋体"/>
          <w:spacing w:val="-5"/>
          <w:sz w:val="24"/>
          <w:szCs w:val="24"/>
          <w:u w:val="single"/>
          <w:lang w:eastAsia="zh-CN"/>
        </w:rPr>
        <w:t>济南轻卡制造公司光伏发电系统增加“四可”装置项目</w:t>
      </w:r>
      <w:r>
        <w:rPr>
          <w:rFonts w:hint="eastAsia" w:ascii="宋体" w:hAnsi="宋体" w:eastAsia="宋体" w:cs="宋体"/>
          <w:color w:val="000000"/>
          <w:sz w:val="24"/>
          <w:szCs w:val="24"/>
        </w:rPr>
        <w:t>现授权委托＿＿＿＿＿＿＿＿＿＿＿＿＿＿＿＿＿＿＿＿＿＿＿＿＿＿＿＿（单位名称）的＿＿＿＿＿＿＿＿（姓名、职务）为我公司全权代表，全权代表在投标文件、评标过程中的书面承诺、合同等所签署的一切文件和处理与之有关的一切事务，我均予以承认。</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pPr>
              <w:adjustRightInd w:val="0"/>
              <w:snapToGrid w:val="0"/>
              <w:spacing w:before="93" w:beforeLines="30" w:line="312" w:lineRule="auto"/>
              <w:jc w:val="center"/>
              <w:rPr>
                <w:rFonts w:hint="eastAsia" w:ascii="宋体" w:hAnsi="宋体" w:eastAsia="宋体" w:cs="宋体"/>
                <w:sz w:val="24"/>
                <w:szCs w:val="20"/>
              </w:rPr>
            </w:pPr>
            <w:r>
              <w:rPr>
                <w:rFonts w:hint="eastAsia" w:ascii="宋体" w:hAnsi="宋体" w:eastAsia="宋体" w:cs="宋体"/>
                <w:sz w:val="24"/>
                <w:szCs w:val="20"/>
              </w:rPr>
              <w:t>附法人身份证明复印件（</w:t>
            </w:r>
            <w:r>
              <w:rPr>
                <w:rFonts w:hint="eastAsia" w:ascii="宋体" w:hAnsi="宋体" w:eastAsia="宋体" w:cs="宋体"/>
                <w:color w:val="000000" w:themeColor="text1"/>
                <w:sz w:val="24"/>
                <w:szCs w:val="20"/>
                <w14:textFill>
                  <w14:solidFill>
                    <w14:schemeClr w14:val="tx1"/>
                  </w14:solidFill>
                </w14:textFill>
              </w:rPr>
              <w:t>正反面）</w:t>
            </w:r>
          </w:p>
          <w:p>
            <w:pPr>
              <w:adjustRightInd w:val="0"/>
              <w:snapToGrid w:val="0"/>
              <w:spacing w:before="93" w:beforeLines="30" w:line="312" w:lineRule="auto"/>
              <w:jc w:val="center"/>
              <w:rPr>
                <w:rFonts w:hint="eastAsia" w:ascii="宋体" w:hAnsi="宋体" w:eastAsia="宋体" w:cs="宋体"/>
                <w:sz w:val="24"/>
                <w:szCs w:val="20"/>
              </w:rPr>
            </w:pPr>
            <w:r>
              <w:rPr>
                <w:rFonts w:hint="eastAsia" w:ascii="宋体" w:hAnsi="宋体" w:eastAsia="宋体" w:cs="宋体"/>
                <w:sz w:val="24"/>
                <w:szCs w:val="20"/>
              </w:rPr>
              <w:t>附授权代理人身份证明复印件（正反面）</w:t>
            </w:r>
          </w:p>
        </w:tc>
      </w:tr>
    </w:tbl>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全权代表姓名：性别：年龄：</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单位：部门：职务：</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法定代表人签字或盖章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被授权人签字</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被授权人电话：</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投标人名称（公章）</w:t>
      </w:r>
    </w:p>
    <w:p>
      <w:pPr>
        <w:spacing w:line="460" w:lineRule="exact"/>
        <w:ind w:firstLine="5520" w:firstLineChars="2300"/>
        <w:rPr>
          <w:rFonts w:hint="eastAsia" w:ascii="宋体" w:hAnsi="宋体" w:eastAsia="宋体" w:cs="宋体"/>
          <w:sz w:val="24"/>
          <w:szCs w:val="20"/>
          <w:u w:val="single"/>
        </w:rPr>
      </w:pPr>
      <w:r>
        <w:rPr>
          <w:rFonts w:hint="eastAsia" w:ascii="宋体" w:hAnsi="宋体" w:eastAsia="宋体" w:cs="宋体"/>
          <w:sz w:val="24"/>
          <w:szCs w:val="20"/>
        </w:rPr>
        <w:t>年月日</w:t>
      </w:r>
    </w:p>
    <w:p>
      <w:pPr>
        <w:rPr>
          <w:rFonts w:hint="eastAsia" w:ascii="宋体" w:hAnsi="宋体" w:eastAsia="宋体" w:cs="宋体"/>
          <w:b/>
          <w:bCs/>
          <w:color w:val="000000"/>
          <w:sz w:val="28"/>
          <w:szCs w:val="20"/>
        </w:rPr>
      </w:pPr>
    </w:p>
    <w:p>
      <w:pPr>
        <w:pStyle w:val="14"/>
        <w:rPr>
          <w:rFonts w:hint="eastAsia" w:ascii="宋体" w:hAnsi="宋体" w:eastAsia="宋体" w:cs="宋体"/>
          <w:b/>
          <w:bCs/>
          <w:color w:val="000000"/>
          <w:sz w:val="28"/>
          <w:szCs w:val="20"/>
        </w:rPr>
        <w:sectPr>
          <w:headerReference r:id="rId8" w:type="first"/>
          <w:footerReference r:id="rId10" w:type="first"/>
          <w:headerReference r:id="rId7" w:type="default"/>
          <w:footerReference r:id="rId9" w:type="default"/>
          <w:pgSz w:w="11906" w:h="16838"/>
          <w:pgMar w:top="1588" w:right="1418" w:bottom="1134" w:left="1418" w:header="851" w:footer="992" w:gutter="0"/>
          <w:cols w:space="720" w:num="1"/>
          <w:titlePg/>
          <w:docGrid w:type="lines" w:linePitch="312" w:charSpace="0"/>
        </w:sectPr>
      </w:pPr>
    </w:p>
    <w:p>
      <w:pPr>
        <w:keepNext/>
        <w:keepLines/>
        <w:outlineLvl w:val="2"/>
        <w:rPr>
          <w:rFonts w:hint="eastAsia" w:ascii="宋体" w:hAnsi="宋体" w:eastAsia="宋体" w:cs="宋体"/>
          <w:spacing w:val="-9"/>
          <w:sz w:val="24"/>
          <w:szCs w:val="24"/>
        </w:rPr>
      </w:pPr>
      <w:r>
        <w:rPr>
          <w:rFonts w:hint="eastAsia" w:ascii="宋体" w:hAnsi="宋体" w:eastAsia="宋体" w:cs="宋体"/>
          <w:b/>
          <w:bCs/>
          <w:spacing w:val="-17"/>
          <w:sz w:val="24"/>
          <w:szCs w:val="24"/>
        </w:rPr>
        <w:t>附</w:t>
      </w:r>
      <w:r>
        <w:rPr>
          <w:rFonts w:hint="eastAsia" w:ascii="宋体" w:hAnsi="宋体" w:eastAsia="宋体" w:cs="宋体"/>
          <w:b/>
          <w:bCs/>
          <w:spacing w:val="-14"/>
          <w:sz w:val="24"/>
          <w:szCs w:val="24"/>
        </w:rPr>
        <w:t>件</w:t>
      </w:r>
      <w:r>
        <w:rPr>
          <w:rFonts w:hint="eastAsia" w:ascii="宋体" w:hAnsi="宋体" w:eastAsia="宋体" w:cs="宋体"/>
          <w:b/>
          <w:bCs/>
          <w:spacing w:val="-17"/>
          <w:sz w:val="24"/>
          <w:szCs w:val="24"/>
        </w:rPr>
        <w:t>3</w:t>
      </w:r>
      <w:r>
        <w:rPr>
          <w:rFonts w:hint="eastAsia" w:ascii="宋体" w:hAnsi="宋体" w:eastAsia="宋体" w:cs="宋体"/>
          <w:b/>
          <w:bCs/>
          <w:spacing w:val="-17"/>
          <w:sz w:val="24"/>
          <w:szCs w:val="24"/>
          <w:lang w:eastAsia="zh-CN"/>
        </w:rPr>
        <w:t>：</w:t>
      </w:r>
      <w:r>
        <w:rPr>
          <w:rFonts w:hint="eastAsia" w:ascii="宋体" w:hAnsi="宋体" w:eastAsia="宋体" w:cs="宋体"/>
          <w:spacing w:val="15"/>
          <w:position w:val="3"/>
          <w:sz w:val="24"/>
          <w:szCs w:val="24"/>
        </w:rPr>
        <w:t>投</w:t>
      </w:r>
      <w:r>
        <w:rPr>
          <w:rFonts w:hint="eastAsia" w:ascii="宋体" w:hAnsi="宋体" w:eastAsia="宋体" w:cs="宋体"/>
          <w:spacing w:val="8"/>
          <w:position w:val="3"/>
          <w:sz w:val="24"/>
          <w:szCs w:val="24"/>
        </w:rPr>
        <w:t>标人基本情况及</w:t>
      </w:r>
      <w:r>
        <w:rPr>
          <w:rFonts w:hint="eastAsia" w:ascii="宋体" w:hAnsi="宋体" w:eastAsia="宋体" w:cs="宋体"/>
          <w:spacing w:val="8"/>
          <w:sz w:val="24"/>
          <w:szCs w:val="24"/>
        </w:rPr>
        <w:t>资产情况汇总</w:t>
      </w:r>
      <w:r>
        <w:rPr>
          <w:rFonts w:hint="eastAsia" w:ascii="宋体" w:hAnsi="宋体" w:eastAsia="宋体" w:cs="宋体"/>
          <w:spacing w:val="7"/>
          <w:sz w:val="24"/>
          <w:szCs w:val="24"/>
        </w:rPr>
        <w:t>表</w:t>
      </w:r>
    </w:p>
    <w:p>
      <w:pPr>
        <w:keepNext/>
        <w:keepLines/>
        <w:outlineLvl w:val="3"/>
        <w:rPr>
          <w:rFonts w:hint="eastAsia" w:ascii="宋体" w:hAnsi="宋体" w:eastAsia="宋体" w:cs="宋体"/>
          <w:b/>
          <w:bCs/>
          <w:color w:val="000000"/>
          <w:sz w:val="24"/>
          <w:szCs w:val="24"/>
        </w:rPr>
      </w:pPr>
      <w:r>
        <w:rPr>
          <w:rFonts w:hint="eastAsia" w:ascii="宋体" w:hAnsi="宋体" w:eastAsia="宋体" w:cs="宋体"/>
          <w:spacing w:val="-9"/>
          <w:sz w:val="24"/>
          <w:szCs w:val="24"/>
        </w:rPr>
        <w:t>表</w:t>
      </w:r>
      <w:r>
        <w:rPr>
          <w:rFonts w:hint="eastAsia" w:ascii="宋体" w:hAnsi="宋体" w:eastAsia="宋体" w:cs="宋体"/>
          <w:spacing w:val="-7"/>
          <w:sz w:val="24"/>
          <w:szCs w:val="24"/>
        </w:rPr>
        <w:t>1</w:t>
      </w:r>
      <w:r>
        <w:rPr>
          <w:rFonts w:hint="eastAsia" w:ascii="宋体" w:hAnsi="宋体" w:eastAsia="宋体" w:cs="宋体"/>
          <w:b/>
          <w:bCs/>
          <w:color w:val="000000"/>
          <w:sz w:val="24"/>
          <w:szCs w:val="24"/>
        </w:rPr>
        <w:t>投标人基本情况表</w:t>
      </w:r>
    </w:p>
    <w:tbl>
      <w:tblPr>
        <w:tblStyle w:val="117"/>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pPr>
              <w:pStyle w:val="116"/>
              <w:spacing w:before="114"/>
              <w:ind w:left="720"/>
              <w:rPr>
                <w:rFonts w:hint="eastAsia" w:ascii="宋体" w:hAnsi="宋体" w:eastAsia="宋体" w:cs="宋体"/>
                <w:kern w:val="0"/>
                <w:sz w:val="20"/>
                <w:szCs w:val="20"/>
              </w:rPr>
            </w:pPr>
            <w:r>
              <w:rPr>
                <w:rFonts w:hint="eastAsia" w:ascii="宋体" w:hAnsi="宋体" w:eastAsia="宋体" w:cs="宋体"/>
                <w:kern w:val="0"/>
                <w:sz w:val="20"/>
                <w:szCs w:val="20"/>
              </w:rPr>
              <w:t xml:space="preserve">企业名称 </w:t>
            </w:r>
          </w:p>
        </w:tc>
        <w:tc>
          <w:tcPr>
            <w:tcW w:w="4680" w:type="dxa"/>
            <w:gridSpan w:val="4"/>
            <w:vAlign w:val="center"/>
          </w:tcPr>
          <w:p>
            <w:pPr>
              <w:widowControl/>
              <w:jc w:val="center"/>
              <w:textAlignment w:val="center"/>
              <w:rPr>
                <w:rFonts w:hint="eastAsia" w:ascii="宋体" w:hAnsi="宋体" w:eastAsia="宋体" w:cs="宋体"/>
                <w:color w:val="000000" w:themeColor="text1"/>
                <w:kern w:val="0"/>
                <w:sz w:val="20"/>
                <w:szCs w:val="20"/>
                <w14:textFill>
                  <w14:solidFill>
                    <w14:schemeClr w14:val="tx1"/>
                  </w14:solidFill>
                </w14:textFill>
              </w:rPr>
            </w:pPr>
          </w:p>
        </w:tc>
        <w:tc>
          <w:tcPr>
            <w:tcW w:w="1310" w:type="dxa"/>
          </w:tcPr>
          <w:p>
            <w:pPr>
              <w:pStyle w:val="116"/>
              <w:spacing w:before="106"/>
              <w:ind w:left="154" w:right="26"/>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联系人 </w:t>
            </w:r>
          </w:p>
        </w:tc>
        <w:tc>
          <w:tcPr>
            <w:tcW w:w="1510" w:type="dxa"/>
            <w:vAlign w:val="center"/>
          </w:tcPr>
          <w:p>
            <w:pPr>
              <w:widowControl/>
              <w:jc w:val="center"/>
              <w:textAlignment w:val="center"/>
              <w:rPr>
                <w:rFonts w:hint="eastAsia" w:ascii="宋体" w:hAnsi="宋体" w:eastAsia="宋体" w:cs="宋体"/>
                <w:color w:val="000000" w:themeColor="text1"/>
                <w:kern w:val="0"/>
                <w:sz w:val="2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pPr>
              <w:pStyle w:val="116"/>
              <w:spacing w:before="114"/>
              <w:ind w:left="720"/>
              <w:rPr>
                <w:rFonts w:hint="eastAsia" w:ascii="宋体" w:hAnsi="宋体" w:eastAsia="宋体" w:cs="宋体"/>
                <w:kern w:val="0"/>
                <w:sz w:val="20"/>
                <w:szCs w:val="20"/>
              </w:rPr>
            </w:pPr>
            <w:r>
              <w:rPr>
                <w:rFonts w:hint="eastAsia" w:ascii="宋体" w:hAnsi="宋体" w:eastAsia="宋体" w:cs="宋体"/>
                <w:kern w:val="0"/>
                <w:sz w:val="20"/>
                <w:szCs w:val="20"/>
              </w:rPr>
              <w:t xml:space="preserve">企业地址 </w:t>
            </w:r>
          </w:p>
        </w:tc>
        <w:tc>
          <w:tcPr>
            <w:tcW w:w="4680" w:type="dxa"/>
            <w:gridSpan w:val="4"/>
            <w:vAlign w:val="center"/>
          </w:tcPr>
          <w:p>
            <w:pPr>
              <w:widowControl/>
              <w:jc w:val="center"/>
              <w:textAlignment w:val="center"/>
              <w:rPr>
                <w:rFonts w:hint="eastAsia" w:ascii="宋体" w:hAnsi="宋体" w:eastAsia="宋体" w:cs="宋体"/>
                <w:color w:val="000000" w:themeColor="text1"/>
                <w:kern w:val="0"/>
                <w:sz w:val="20"/>
                <w:szCs w:val="20"/>
                <w14:textFill>
                  <w14:solidFill>
                    <w14:schemeClr w14:val="tx1"/>
                  </w14:solidFill>
                </w14:textFill>
              </w:rPr>
            </w:pPr>
          </w:p>
        </w:tc>
        <w:tc>
          <w:tcPr>
            <w:tcW w:w="1310" w:type="dxa"/>
          </w:tcPr>
          <w:p>
            <w:pPr>
              <w:pStyle w:val="116"/>
              <w:spacing w:before="106"/>
              <w:ind w:left="154" w:right="26"/>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 xml:space="preserve">联系人电话 </w:t>
            </w:r>
          </w:p>
        </w:tc>
        <w:tc>
          <w:tcPr>
            <w:tcW w:w="1510" w:type="dxa"/>
            <w:vAlign w:val="center"/>
          </w:tcPr>
          <w:p>
            <w:pPr>
              <w:widowControl/>
              <w:jc w:val="center"/>
              <w:textAlignment w:val="center"/>
              <w:rPr>
                <w:rFonts w:hint="eastAsia" w:ascii="宋体" w:hAnsi="宋体" w:eastAsia="宋体" w:cs="宋体"/>
                <w:color w:val="000000" w:themeColor="text1"/>
                <w:kern w:val="0"/>
                <w:sz w:val="2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6" w:hRule="atLeast"/>
        </w:trPr>
        <w:tc>
          <w:tcPr>
            <w:tcW w:w="1956" w:type="dxa"/>
          </w:tcPr>
          <w:p>
            <w:pPr>
              <w:pStyle w:val="116"/>
              <w:spacing w:before="111"/>
              <w:ind w:left="720"/>
              <w:rPr>
                <w:rFonts w:hint="eastAsia" w:ascii="宋体" w:hAnsi="宋体" w:eastAsia="宋体" w:cs="宋体"/>
                <w:kern w:val="0"/>
                <w:sz w:val="20"/>
                <w:szCs w:val="20"/>
              </w:rPr>
            </w:pPr>
            <w:r>
              <w:rPr>
                <w:rFonts w:hint="eastAsia" w:ascii="宋体" w:hAnsi="宋体" w:eastAsia="宋体" w:cs="宋体"/>
                <w:kern w:val="0"/>
                <w:sz w:val="20"/>
                <w:szCs w:val="20"/>
              </w:rPr>
              <w:t xml:space="preserve">企业性质 </w:t>
            </w:r>
          </w:p>
        </w:tc>
        <w:tc>
          <w:tcPr>
            <w:tcW w:w="4680" w:type="dxa"/>
            <w:gridSpan w:val="4"/>
            <w:vAlign w:val="center"/>
          </w:tcPr>
          <w:p>
            <w:pPr>
              <w:widowControl/>
              <w:jc w:val="center"/>
              <w:textAlignment w:val="center"/>
              <w:rPr>
                <w:rFonts w:hint="eastAsia" w:ascii="宋体" w:hAnsi="宋体" w:eastAsia="宋体" w:cs="宋体"/>
                <w:color w:val="000000" w:themeColor="text1"/>
                <w:kern w:val="0"/>
                <w:sz w:val="20"/>
                <w:szCs w:val="20"/>
                <w14:textFill>
                  <w14:solidFill>
                    <w14:schemeClr w14:val="tx1"/>
                  </w14:solidFill>
                </w14:textFill>
              </w:rPr>
            </w:pPr>
          </w:p>
        </w:tc>
        <w:tc>
          <w:tcPr>
            <w:tcW w:w="1310" w:type="dxa"/>
          </w:tcPr>
          <w:p>
            <w:pPr>
              <w:pStyle w:val="116"/>
              <w:spacing w:before="103"/>
              <w:ind w:left="154" w:right="26"/>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注册时间</w:t>
            </w:r>
          </w:p>
        </w:tc>
        <w:tc>
          <w:tcPr>
            <w:tcW w:w="1510" w:type="dxa"/>
            <w:vAlign w:val="center"/>
          </w:tcPr>
          <w:p>
            <w:pPr>
              <w:widowControl/>
              <w:jc w:val="center"/>
              <w:textAlignment w:val="center"/>
              <w:rPr>
                <w:rFonts w:hint="eastAsia" w:ascii="宋体" w:hAnsi="宋体" w:eastAsia="宋体" w:cs="宋体"/>
                <w:color w:val="000000" w:themeColor="text1"/>
                <w:kern w:val="0"/>
                <w:sz w:val="2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pPr>
              <w:pStyle w:val="116"/>
              <w:spacing w:before="111"/>
              <w:ind w:left="509"/>
              <w:rPr>
                <w:rFonts w:hint="eastAsia" w:ascii="宋体" w:hAnsi="宋体" w:eastAsia="宋体" w:cs="宋体"/>
                <w:kern w:val="0"/>
                <w:sz w:val="20"/>
                <w:szCs w:val="20"/>
                <w:highlight w:val="yellow"/>
              </w:rPr>
            </w:pPr>
            <w:r>
              <w:rPr>
                <w:rFonts w:hint="eastAsia" w:ascii="宋体" w:hAnsi="宋体" w:eastAsia="宋体" w:cs="宋体"/>
                <w:kern w:val="0"/>
                <w:sz w:val="20"/>
                <w:szCs w:val="20"/>
              </w:rPr>
              <w:t xml:space="preserve">企业法人代表  </w:t>
            </w:r>
          </w:p>
        </w:tc>
        <w:tc>
          <w:tcPr>
            <w:tcW w:w="4680" w:type="dxa"/>
            <w:gridSpan w:val="4"/>
          </w:tcPr>
          <w:p>
            <w:pPr>
              <w:pStyle w:val="5"/>
              <w:keepNext w:val="0"/>
              <w:keepLines w:val="0"/>
              <w:widowControl/>
              <w:shd w:val="clear" w:color="auto" w:fill="FFFFFF"/>
              <w:spacing w:before="0" w:after="0" w:line="450" w:lineRule="atLeast"/>
              <w:outlineLvl w:val="2"/>
              <w:rPr>
                <w:rFonts w:hint="eastAsia" w:ascii="宋体" w:hAnsi="宋体" w:eastAsia="宋体" w:cs="宋体"/>
                <w:color w:val="000000" w:themeColor="text1"/>
                <w:kern w:val="0"/>
                <w14:textFill>
                  <w14:solidFill>
                    <w14:schemeClr w14:val="tx1"/>
                  </w14:solidFill>
                </w14:textFill>
              </w:rPr>
            </w:pPr>
          </w:p>
        </w:tc>
        <w:tc>
          <w:tcPr>
            <w:tcW w:w="1310" w:type="dxa"/>
          </w:tcPr>
          <w:p>
            <w:pPr>
              <w:pStyle w:val="116"/>
              <w:spacing w:before="103"/>
              <w:ind w:right="26"/>
              <w:jc w:val="center"/>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企业资质</w:t>
            </w:r>
          </w:p>
        </w:tc>
        <w:tc>
          <w:tcPr>
            <w:tcW w:w="1510" w:type="dxa"/>
            <w:vAlign w:val="center"/>
          </w:tcPr>
          <w:p>
            <w:pPr>
              <w:widowControl/>
              <w:jc w:val="center"/>
              <w:textAlignment w:val="center"/>
              <w:rPr>
                <w:rFonts w:hint="eastAsia" w:ascii="宋体" w:hAnsi="宋体" w:eastAsia="宋体" w:cs="宋体"/>
                <w:color w:val="000000" w:themeColor="text1"/>
                <w:kern w:val="0"/>
                <w:sz w:val="20"/>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16"/>
              <w:spacing w:before="114"/>
              <w:ind w:left="720"/>
              <w:rPr>
                <w:rFonts w:hint="eastAsia" w:ascii="宋体" w:hAnsi="宋体" w:eastAsia="宋体" w:cs="宋体"/>
                <w:kern w:val="0"/>
                <w:sz w:val="20"/>
                <w:szCs w:val="20"/>
              </w:rPr>
            </w:pPr>
            <w:r>
              <w:rPr>
                <w:rFonts w:hint="eastAsia" w:ascii="宋体" w:hAnsi="宋体" w:eastAsia="宋体" w:cs="宋体"/>
                <w:kern w:val="0"/>
                <w:sz w:val="20"/>
                <w:szCs w:val="20"/>
              </w:rPr>
              <w:t xml:space="preserve">品牌区分 </w:t>
            </w:r>
          </w:p>
        </w:tc>
        <w:tc>
          <w:tcPr>
            <w:tcW w:w="7500" w:type="dxa"/>
            <w:gridSpan w:val="6"/>
          </w:tcPr>
          <w:p>
            <w:pPr>
              <w:pStyle w:val="116"/>
              <w:spacing w:before="106"/>
              <w:ind w:left="401"/>
              <w:rPr>
                <w:rFonts w:hint="eastAsia" w:ascii="宋体" w:hAnsi="宋体" w:eastAsia="宋体" w:cs="宋体"/>
                <w:kern w:val="0"/>
                <w:sz w:val="20"/>
                <w:szCs w:val="20"/>
              </w:rPr>
            </w:pPr>
            <w:r>
              <w:rPr>
                <w:rFonts w:hint="eastAsia" w:ascii="宋体" w:hAnsi="宋体" w:eastAsia="宋体" w:cs="宋体"/>
                <w:kern w:val="0"/>
                <w:sz w:val="20"/>
                <w:szCs w:val="20"/>
              </w:rPr>
              <w:sym w:font="Wingdings 2" w:char="00A3"/>
            </w:r>
            <w:r>
              <w:rPr>
                <w:rFonts w:hint="eastAsia" w:ascii="宋体" w:hAnsi="宋体" w:eastAsia="宋体" w:cs="宋体"/>
                <w:kern w:val="0"/>
                <w:sz w:val="20"/>
                <w:szCs w:val="20"/>
              </w:rPr>
              <w:t xml:space="preserve">自产 </w:t>
            </w:r>
            <w:r>
              <w:rPr>
                <w:rFonts w:hint="eastAsia" w:ascii="宋体" w:hAnsi="宋体" w:eastAsia="宋体" w:cs="宋体"/>
                <w:kern w:val="0"/>
                <w:sz w:val="20"/>
                <w:szCs w:val="20"/>
              </w:rPr>
              <w:sym w:font="Wingdings 2" w:char="00A3"/>
            </w:r>
            <w:r>
              <w:rPr>
                <w:rFonts w:hint="eastAsia" w:ascii="宋体" w:hAnsi="宋体" w:eastAsia="宋体" w:cs="宋体"/>
                <w:kern w:val="0"/>
                <w:sz w:val="20"/>
                <w:szCs w:val="20"/>
              </w:rPr>
              <w:t xml:space="preserve">总代理 </w:t>
            </w:r>
            <w:r>
              <w:rPr>
                <w:rFonts w:hint="eastAsia" w:ascii="宋体" w:hAnsi="宋体" w:eastAsia="宋体" w:cs="宋体"/>
                <w:kern w:val="0"/>
                <w:sz w:val="20"/>
                <w:szCs w:val="20"/>
              </w:rPr>
              <w:sym w:font="Wingdings 2" w:char="00A3"/>
            </w:r>
            <w:r>
              <w:rPr>
                <w:rFonts w:hint="eastAsia" w:ascii="宋体" w:hAnsi="宋体" w:eastAsia="宋体" w:cs="宋体"/>
                <w:kern w:val="0"/>
                <w:sz w:val="20"/>
                <w:szCs w:val="20"/>
              </w:rPr>
              <w:t xml:space="preserve">代理  </w:t>
            </w:r>
            <w:r>
              <w:rPr>
                <w:rFonts w:hint="eastAsia" w:ascii="宋体" w:hAnsi="宋体" w:eastAsia="宋体" w:cs="宋体"/>
                <w:kern w:val="0"/>
                <w:sz w:val="20"/>
                <w:szCs w:val="20"/>
              </w:rPr>
              <w:sym w:font="Wingdings 2" w:char="00A3"/>
            </w:r>
            <w:r>
              <w:rPr>
                <w:rFonts w:hint="eastAsia" w:ascii="宋体" w:hAnsi="宋体" w:eastAsia="宋体" w:cs="宋体"/>
                <w:kern w:val="0"/>
                <w:sz w:val="20"/>
                <w:szCs w:val="20"/>
              </w:rPr>
              <w:t xml:space="preserve">经销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pPr>
              <w:pStyle w:val="116"/>
              <w:spacing w:before="178"/>
              <w:ind w:left="720"/>
              <w:rPr>
                <w:rFonts w:hint="eastAsia" w:ascii="宋体" w:hAnsi="宋体" w:eastAsia="宋体" w:cs="宋体"/>
                <w:kern w:val="0"/>
                <w:sz w:val="20"/>
                <w:szCs w:val="20"/>
              </w:rPr>
            </w:pPr>
            <w:r>
              <w:rPr>
                <w:rFonts w:hint="eastAsia" w:ascii="宋体" w:hAnsi="宋体" w:eastAsia="宋体" w:cs="宋体"/>
                <w:kern w:val="0"/>
                <w:sz w:val="20"/>
                <w:szCs w:val="20"/>
              </w:rPr>
              <w:t xml:space="preserve">品牌名称 </w:t>
            </w:r>
          </w:p>
        </w:tc>
        <w:tc>
          <w:tcPr>
            <w:tcW w:w="3583" w:type="dxa"/>
            <w:gridSpan w:val="3"/>
            <w:vAlign w:val="center"/>
          </w:tcPr>
          <w:p>
            <w:pPr>
              <w:widowControl/>
              <w:rPr>
                <w:rFonts w:hint="eastAsia" w:ascii="宋体" w:hAnsi="宋体" w:eastAsia="宋体" w:cs="宋体"/>
                <w:kern w:val="0"/>
                <w:sz w:val="20"/>
                <w:szCs w:val="21"/>
              </w:rPr>
            </w:pPr>
          </w:p>
        </w:tc>
        <w:tc>
          <w:tcPr>
            <w:tcW w:w="1097" w:type="dxa"/>
          </w:tcPr>
          <w:p>
            <w:pPr>
              <w:pStyle w:val="116"/>
              <w:spacing w:before="15"/>
              <w:ind w:left="279"/>
              <w:rPr>
                <w:rFonts w:hint="eastAsia" w:ascii="宋体" w:hAnsi="宋体" w:eastAsia="宋体" w:cs="宋体"/>
                <w:kern w:val="0"/>
                <w:sz w:val="20"/>
                <w:szCs w:val="20"/>
              </w:rPr>
            </w:pPr>
            <w:r>
              <w:rPr>
                <w:rFonts w:hint="eastAsia" w:ascii="宋体" w:hAnsi="宋体" w:eastAsia="宋体" w:cs="宋体"/>
                <w:spacing w:val="-2"/>
                <w:kern w:val="0"/>
                <w:sz w:val="20"/>
                <w:szCs w:val="20"/>
              </w:rPr>
              <w:t>质量</w:t>
            </w:r>
          </w:p>
          <w:p>
            <w:pPr>
              <w:pStyle w:val="116"/>
              <w:spacing w:before="30" w:line="277" w:lineRule="exact"/>
              <w:ind w:left="279"/>
              <w:rPr>
                <w:rFonts w:hint="eastAsia" w:ascii="宋体" w:hAnsi="宋体" w:eastAsia="宋体" w:cs="宋体"/>
                <w:kern w:val="0"/>
                <w:sz w:val="20"/>
                <w:szCs w:val="20"/>
              </w:rPr>
            </w:pPr>
            <w:r>
              <w:rPr>
                <w:rFonts w:hint="eastAsia" w:ascii="宋体" w:hAnsi="宋体" w:eastAsia="宋体" w:cs="宋体"/>
                <w:kern w:val="0"/>
                <w:sz w:val="20"/>
                <w:szCs w:val="20"/>
              </w:rPr>
              <w:t>体系</w:t>
            </w:r>
          </w:p>
        </w:tc>
        <w:tc>
          <w:tcPr>
            <w:tcW w:w="2820" w:type="dxa"/>
            <w:gridSpan w:val="2"/>
          </w:tcPr>
          <w:p>
            <w:pPr>
              <w:pStyle w:val="116"/>
              <w:spacing w:before="158"/>
              <w:jc w:val="center"/>
              <w:rPr>
                <w:rFonts w:hint="eastAsia" w:ascii="宋体" w:hAnsi="宋体" w:eastAsia="宋体" w:cs="宋体"/>
                <w:kern w:val="0"/>
                <w:sz w:val="24"/>
                <w:szCs w:val="20"/>
              </w:rPr>
            </w:pPr>
            <w:r>
              <w:rPr>
                <w:rFonts w:hint="eastAsia" w:ascii="宋体" w:hAnsi="宋体" w:eastAsia="宋体" w:cs="宋体"/>
                <w:kern w:val="0"/>
                <w:sz w:val="2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pPr>
              <w:pStyle w:val="116"/>
              <w:spacing w:before="149"/>
              <w:ind w:left="3345" w:right="3223"/>
              <w:jc w:val="center"/>
              <w:rPr>
                <w:rFonts w:hint="eastAsia" w:ascii="宋体" w:hAnsi="宋体" w:eastAsia="宋体" w:cs="宋体"/>
                <w:kern w:val="0"/>
                <w:sz w:val="20"/>
                <w:szCs w:val="20"/>
              </w:rPr>
            </w:pPr>
            <w:r>
              <w:rPr>
                <w:rFonts w:hint="eastAsia" w:ascii="宋体" w:hAnsi="宋体" w:eastAsia="宋体" w:cs="宋体"/>
                <w:kern w:val="0"/>
                <w:sz w:val="20"/>
                <w:szCs w:val="21"/>
              </w:rPr>
              <w:t>单位概况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pPr>
              <w:widowControl/>
              <w:jc w:val="center"/>
              <w:textAlignment w:val="center"/>
              <w:rPr>
                <w:rFonts w:hint="eastAsia" w:ascii="宋体" w:hAnsi="宋体" w:eastAsia="宋体" w:cs="宋体"/>
                <w:kern w:val="0"/>
                <w:sz w:val="20"/>
                <w:szCs w:val="21"/>
              </w:rPr>
            </w:pPr>
            <w:r>
              <w:rPr>
                <w:rFonts w:hint="eastAsia" w:ascii="宋体" w:hAnsi="宋体" w:eastAsia="宋体" w:cs="宋体"/>
                <w:spacing w:val="-2"/>
                <w:kern w:val="0"/>
                <w:sz w:val="20"/>
                <w:szCs w:val="21"/>
              </w:rPr>
              <w:t>参保职工总人</w:t>
            </w:r>
            <w:r>
              <w:rPr>
                <w:rFonts w:hint="eastAsia" w:ascii="宋体" w:hAnsi="宋体" w:eastAsia="宋体" w:cs="宋体"/>
                <w:spacing w:val="-1"/>
                <w:kern w:val="0"/>
                <w:sz w:val="20"/>
                <w:szCs w:val="21"/>
              </w:rPr>
              <w:t>数</w:t>
            </w:r>
          </w:p>
        </w:tc>
        <w:tc>
          <w:tcPr>
            <w:tcW w:w="990" w:type="dxa"/>
            <w:vAlign w:val="center"/>
          </w:tcPr>
          <w:p>
            <w:pPr>
              <w:widowControl/>
              <w:textAlignment w:val="center"/>
              <w:rPr>
                <w:rFonts w:hint="eastAsia" w:ascii="宋体" w:hAnsi="宋体" w:eastAsia="宋体" w:cs="宋体"/>
                <w:kern w:val="0"/>
                <w:sz w:val="20"/>
                <w:szCs w:val="21"/>
              </w:rPr>
            </w:pPr>
          </w:p>
        </w:tc>
        <w:tc>
          <w:tcPr>
            <w:tcW w:w="1530" w:type="dxa"/>
            <w:vAlign w:val="center"/>
          </w:tcPr>
          <w:p>
            <w:pPr>
              <w:widowControl/>
              <w:jc w:val="center"/>
              <w:textAlignment w:val="center"/>
              <w:rPr>
                <w:rFonts w:hint="eastAsia" w:ascii="宋体" w:hAnsi="宋体" w:eastAsia="宋体" w:cs="宋体"/>
                <w:kern w:val="0"/>
                <w:sz w:val="20"/>
                <w:szCs w:val="21"/>
              </w:rPr>
            </w:pPr>
            <w:r>
              <w:rPr>
                <w:rFonts w:hint="eastAsia" w:ascii="宋体" w:hAnsi="宋体" w:eastAsia="宋体" w:cs="宋体"/>
                <w:spacing w:val="-2"/>
                <w:kern w:val="0"/>
                <w:sz w:val="20"/>
                <w:szCs w:val="21"/>
              </w:rPr>
              <w:t>工程技术人</w:t>
            </w:r>
            <w:r>
              <w:rPr>
                <w:rFonts w:hint="eastAsia" w:ascii="宋体" w:hAnsi="宋体" w:eastAsia="宋体" w:cs="宋体"/>
                <w:spacing w:val="-1"/>
                <w:kern w:val="0"/>
                <w:sz w:val="20"/>
                <w:szCs w:val="21"/>
              </w:rPr>
              <w:t>员</w:t>
            </w:r>
          </w:p>
        </w:tc>
        <w:tc>
          <w:tcPr>
            <w:tcW w:w="1063" w:type="dxa"/>
            <w:vAlign w:val="center"/>
          </w:tcPr>
          <w:p>
            <w:pPr>
              <w:widowControl/>
              <w:jc w:val="center"/>
              <w:textAlignment w:val="center"/>
              <w:rPr>
                <w:rFonts w:hint="eastAsia" w:ascii="宋体" w:hAnsi="宋体" w:eastAsia="宋体" w:cs="宋体"/>
                <w:kern w:val="0"/>
                <w:sz w:val="20"/>
                <w:szCs w:val="21"/>
              </w:rPr>
            </w:pPr>
          </w:p>
        </w:tc>
        <w:tc>
          <w:tcPr>
            <w:tcW w:w="1097" w:type="dxa"/>
            <w:vAlign w:val="center"/>
          </w:tcPr>
          <w:p>
            <w:pPr>
              <w:widowControl/>
              <w:textAlignment w:val="center"/>
              <w:rPr>
                <w:rFonts w:hint="eastAsia" w:ascii="宋体" w:hAnsi="宋体" w:eastAsia="宋体" w:cs="宋体"/>
                <w:kern w:val="0"/>
                <w:sz w:val="20"/>
                <w:szCs w:val="21"/>
              </w:rPr>
            </w:pPr>
            <w:r>
              <w:rPr>
                <w:rFonts w:hint="eastAsia" w:ascii="宋体" w:hAnsi="宋体" w:eastAsia="宋体" w:cs="宋体"/>
                <w:spacing w:val="-3"/>
                <w:kern w:val="0"/>
                <w:sz w:val="20"/>
                <w:szCs w:val="21"/>
              </w:rPr>
              <w:t>生</w:t>
            </w:r>
            <w:r>
              <w:rPr>
                <w:rFonts w:hint="eastAsia" w:ascii="宋体" w:hAnsi="宋体" w:eastAsia="宋体" w:cs="宋体"/>
                <w:spacing w:val="-2"/>
                <w:kern w:val="0"/>
                <w:sz w:val="20"/>
                <w:szCs w:val="21"/>
              </w:rPr>
              <w:t>产、销售人员</w:t>
            </w:r>
          </w:p>
        </w:tc>
        <w:tc>
          <w:tcPr>
            <w:tcW w:w="2820" w:type="dxa"/>
            <w:gridSpan w:val="2"/>
            <w:vAlign w:val="center"/>
          </w:tcPr>
          <w:p>
            <w:pPr>
              <w:widowControl/>
              <w:jc w:val="center"/>
              <w:textAlignment w:val="center"/>
              <w:rPr>
                <w:rFonts w:hint="eastAsia" w:ascii="宋体" w:hAnsi="宋体" w:eastAsia="宋体" w:cs="宋体"/>
                <w:kern w:val="0"/>
                <w:sz w:val="2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5" w:hRule="atLeast"/>
        </w:trPr>
        <w:tc>
          <w:tcPr>
            <w:tcW w:w="1956" w:type="dxa"/>
            <w:vAlign w:val="center"/>
          </w:tcPr>
          <w:p>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企业优势、关键产品特点</w:t>
            </w:r>
          </w:p>
        </w:tc>
        <w:tc>
          <w:tcPr>
            <w:tcW w:w="7500" w:type="dxa"/>
            <w:gridSpan w:val="6"/>
            <w:vAlign w:val="center"/>
          </w:tcPr>
          <w:p>
            <w:pPr>
              <w:widowControl/>
              <w:jc w:val="left"/>
              <w:rPr>
                <w:rFonts w:hint="eastAsia" w:ascii="宋体" w:hAnsi="宋体" w:eastAsia="宋体" w:cs="宋体"/>
                <w:kern w:val="0"/>
                <w:sz w:val="20"/>
                <w:szCs w:val="21"/>
              </w:rPr>
            </w:pPr>
            <w:r>
              <w:rPr>
                <w:rFonts w:hint="eastAsia" w:ascii="宋体" w:hAnsi="宋体" w:eastAsia="宋体" w:cs="宋体"/>
                <w:kern w:val="0"/>
                <w:sz w:val="20"/>
                <w:szCs w:val="21"/>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pPr>
              <w:widowControl/>
              <w:jc w:val="center"/>
              <w:textAlignment w:val="center"/>
              <w:rPr>
                <w:rFonts w:hint="eastAsia" w:ascii="宋体" w:hAnsi="宋体" w:eastAsia="宋体" w:cs="宋体"/>
                <w:kern w:val="0"/>
                <w:sz w:val="20"/>
                <w:szCs w:val="21"/>
              </w:rPr>
            </w:pPr>
            <w:r>
              <w:rPr>
                <w:rFonts w:hint="eastAsia" w:ascii="宋体" w:hAnsi="宋体" w:eastAsia="宋体" w:cs="宋体"/>
                <w:color w:val="000000"/>
                <w:kern w:val="0"/>
                <w:sz w:val="20"/>
                <w:szCs w:val="21"/>
              </w:rPr>
              <w:t>企业行业水平及行业口碑</w:t>
            </w:r>
          </w:p>
        </w:tc>
        <w:tc>
          <w:tcPr>
            <w:tcW w:w="7500" w:type="dxa"/>
            <w:gridSpan w:val="6"/>
            <w:vAlign w:val="center"/>
          </w:tcPr>
          <w:p>
            <w:pPr>
              <w:widowControl/>
              <w:jc w:val="left"/>
              <w:rPr>
                <w:rFonts w:hint="eastAsia" w:ascii="宋体" w:hAnsi="宋体" w:eastAsia="宋体" w:cs="宋体"/>
                <w:kern w:val="0"/>
                <w:sz w:val="20"/>
                <w:szCs w:val="21"/>
              </w:rPr>
            </w:pPr>
            <w:r>
              <w:rPr>
                <w:rFonts w:hint="eastAsia" w:ascii="宋体" w:hAnsi="宋体" w:eastAsia="宋体" w:cs="宋体"/>
                <w:kern w:val="0"/>
                <w:sz w:val="20"/>
                <w:szCs w:val="21"/>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pPr>
              <w:widowControl/>
              <w:jc w:val="center"/>
              <w:textAlignment w:val="center"/>
              <w:rPr>
                <w:rFonts w:hint="eastAsia" w:ascii="宋体" w:hAnsi="宋体" w:eastAsia="宋体" w:cs="宋体"/>
                <w:kern w:val="0"/>
                <w:sz w:val="20"/>
                <w:szCs w:val="21"/>
              </w:rPr>
            </w:pPr>
            <w:r>
              <w:rPr>
                <w:rFonts w:hint="eastAsia" w:ascii="宋体" w:hAnsi="宋体" w:eastAsia="宋体" w:cs="宋体"/>
                <w:spacing w:val="-10"/>
                <w:kern w:val="0"/>
                <w:sz w:val="20"/>
                <w:szCs w:val="21"/>
              </w:rPr>
              <w:t>公</w:t>
            </w:r>
            <w:r>
              <w:rPr>
                <w:rFonts w:hint="eastAsia" w:ascii="宋体" w:hAnsi="宋体" w:eastAsia="宋体" w:cs="宋体"/>
                <w:spacing w:val="-7"/>
                <w:kern w:val="0"/>
                <w:sz w:val="20"/>
                <w:szCs w:val="21"/>
              </w:rPr>
              <w:t>司</w:t>
            </w:r>
            <w:r>
              <w:rPr>
                <w:rFonts w:hint="eastAsia" w:ascii="宋体" w:hAnsi="宋体" w:eastAsia="宋体" w:cs="宋体"/>
                <w:spacing w:val="-5"/>
                <w:kern w:val="0"/>
                <w:sz w:val="20"/>
                <w:szCs w:val="21"/>
              </w:rPr>
              <w:t>现有主要研发、</w:t>
            </w:r>
            <w:r>
              <w:rPr>
                <w:rFonts w:hint="eastAsia" w:ascii="宋体" w:hAnsi="宋体" w:eastAsia="宋体" w:cs="宋体"/>
                <w:spacing w:val="-4"/>
                <w:kern w:val="0"/>
                <w:sz w:val="20"/>
                <w:szCs w:val="21"/>
              </w:rPr>
              <w:t>实</w:t>
            </w:r>
            <w:r>
              <w:rPr>
                <w:rFonts w:hint="eastAsia" w:ascii="宋体" w:hAnsi="宋体" w:eastAsia="宋体" w:cs="宋体"/>
                <w:spacing w:val="-2"/>
                <w:kern w:val="0"/>
                <w:sz w:val="20"/>
                <w:szCs w:val="21"/>
              </w:rPr>
              <w:t>验、生产设备</w:t>
            </w:r>
          </w:p>
        </w:tc>
        <w:tc>
          <w:tcPr>
            <w:tcW w:w="7500" w:type="dxa"/>
            <w:gridSpan w:val="6"/>
            <w:vAlign w:val="center"/>
          </w:tcPr>
          <w:p>
            <w:pPr>
              <w:widowControl/>
              <w:jc w:val="left"/>
              <w:rPr>
                <w:rFonts w:hint="eastAsia" w:ascii="宋体" w:hAnsi="宋体" w:eastAsia="宋体" w:cs="宋体"/>
                <w:kern w:val="0"/>
                <w:sz w:val="20"/>
                <w:szCs w:val="21"/>
              </w:rPr>
            </w:pPr>
            <w:r>
              <w:rPr>
                <w:rFonts w:hint="eastAsia" w:ascii="宋体" w:hAnsi="宋体" w:eastAsia="宋体" w:cs="宋体"/>
                <w:kern w:val="0"/>
                <w:sz w:val="20"/>
                <w:szCs w:val="21"/>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近</w:t>
            </w:r>
            <w:r>
              <w:rPr>
                <w:rFonts w:hint="eastAsia" w:ascii="宋体" w:hAnsi="宋体" w:cs="宋体"/>
                <w:kern w:val="0"/>
                <w:sz w:val="20"/>
                <w:szCs w:val="21"/>
                <w:lang w:val="en-US" w:eastAsia="zh-CN"/>
              </w:rPr>
              <w:t>年</w:t>
            </w:r>
            <w:r>
              <w:rPr>
                <w:rFonts w:hint="eastAsia" w:ascii="宋体" w:hAnsi="宋体" w:eastAsia="宋体" w:cs="宋体"/>
                <w:kern w:val="0"/>
                <w:sz w:val="20"/>
                <w:szCs w:val="21"/>
              </w:rPr>
              <w:t>企业类似业绩及履约情况</w:t>
            </w:r>
          </w:p>
        </w:tc>
        <w:tc>
          <w:tcPr>
            <w:tcW w:w="7500" w:type="dxa"/>
            <w:gridSpan w:val="6"/>
            <w:vAlign w:val="center"/>
          </w:tcPr>
          <w:p>
            <w:pPr>
              <w:widowControl/>
              <w:jc w:val="left"/>
              <w:rPr>
                <w:rFonts w:hint="eastAsia" w:ascii="宋体" w:hAnsi="宋体" w:eastAsia="宋体" w:cs="宋体"/>
                <w:kern w:val="0"/>
                <w:sz w:val="20"/>
                <w:szCs w:val="21"/>
              </w:rPr>
            </w:pPr>
            <w:r>
              <w:rPr>
                <w:rFonts w:hint="eastAsia" w:ascii="宋体" w:hAnsi="宋体" w:eastAsia="宋体" w:cs="宋体"/>
                <w:kern w:val="0"/>
                <w:sz w:val="20"/>
                <w:szCs w:val="21"/>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jc w:val="center"/>
              <w:textAlignment w:val="center"/>
              <w:rPr>
                <w:rFonts w:hint="eastAsia" w:ascii="宋体" w:hAnsi="宋体" w:eastAsia="宋体" w:cs="宋体"/>
                <w:kern w:val="0"/>
                <w:sz w:val="20"/>
                <w:szCs w:val="21"/>
              </w:rPr>
            </w:pPr>
            <w:r>
              <w:rPr>
                <w:rFonts w:hint="eastAsia" w:ascii="宋体" w:hAnsi="宋体" w:eastAsia="宋体" w:cs="宋体"/>
                <w:kern w:val="0"/>
                <w:sz w:val="20"/>
                <w:szCs w:val="21"/>
              </w:rPr>
              <w:t>售后服务及质量</w:t>
            </w:r>
          </w:p>
        </w:tc>
        <w:tc>
          <w:tcPr>
            <w:tcW w:w="7500" w:type="dxa"/>
            <w:gridSpan w:val="6"/>
            <w:vAlign w:val="center"/>
          </w:tcPr>
          <w:p>
            <w:pPr>
              <w:widowControl/>
              <w:jc w:val="left"/>
              <w:rPr>
                <w:rFonts w:hint="eastAsia" w:ascii="宋体" w:hAnsi="宋体" w:eastAsia="宋体" w:cs="宋体"/>
                <w:kern w:val="0"/>
                <w:sz w:val="20"/>
                <w:szCs w:val="21"/>
              </w:rPr>
            </w:pPr>
            <w:r>
              <w:rPr>
                <w:rFonts w:hint="eastAsia" w:ascii="宋体" w:hAnsi="宋体" w:eastAsia="宋体" w:cs="宋体"/>
                <w:kern w:val="0"/>
                <w:sz w:val="20"/>
                <w:szCs w:val="21"/>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pPr>
              <w:widowControl/>
              <w:textAlignment w:val="center"/>
              <w:rPr>
                <w:rFonts w:hint="eastAsia" w:ascii="宋体" w:hAnsi="宋体" w:eastAsia="宋体" w:cs="宋体"/>
                <w:kern w:val="0"/>
                <w:sz w:val="20"/>
                <w:szCs w:val="21"/>
              </w:rPr>
            </w:pPr>
            <w:r>
              <w:rPr>
                <w:rFonts w:hint="eastAsia" w:ascii="宋体" w:hAnsi="宋体" w:eastAsia="宋体" w:cs="宋体"/>
                <w:spacing w:val="-4"/>
                <w:kern w:val="0"/>
                <w:sz w:val="20"/>
                <w:szCs w:val="21"/>
              </w:rPr>
              <w:t>对本项目在设计、制造、进度、财务等方面采取的组织措施和相</w:t>
            </w:r>
            <w:r>
              <w:rPr>
                <w:rFonts w:hint="eastAsia" w:ascii="宋体" w:hAnsi="宋体" w:eastAsia="宋体" w:cs="宋体"/>
                <w:spacing w:val="-2"/>
                <w:kern w:val="0"/>
                <w:sz w:val="20"/>
                <w:szCs w:val="21"/>
              </w:rPr>
              <w:t>关</w:t>
            </w:r>
            <w:r>
              <w:rPr>
                <w:rFonts w:hint="eastAsia" w:ascii="宋体" w:hAnsi="宋体" w:eastAsia="宋体" w:cs="宋体"/>
                <w:spacing w:val="-3"/>
                <w:kern w:val="0"/>
                <w:sz w:val="20"/>
                <w:szCs w:val="21"/>
              </w:rPr>
              <w:t>人</w:t>
            </w:r>
            <w:r>
              <w:rPr>
                <w:rFonts w:hint="eastAsia" w:ascii="宋体" w:hAnsi="宋体" w:eastAsia="宋体" w:cs="宋体"/>
                <w:spacing w:val="-2"/>
                <w:kern w:val="0"/>
                <w:sz w:val="20"/>
                <w:szCs w:val="21"/>
              </w:rPr>
              <w:t>员简介</w:t>
            </w:r>
          </w:p>
        </w:tc>
        <w:tc>
          <w:tcPr>
            <w:tcW w:w="7500" w:type="dxa"/>
            <w:gridSpan w:val="6"/>
            <w:vAlign w:val="center"/>
          </w:tcPr>
          <w:p>
            <w:pPr>
              <w:widowControl/>
              <w:jc w:val="left"/>
              <w:rPr>
                <w:rFonts w:hint="eastAsia" w:ascii="宋体" w:hAnsi="宋体" w:eastAsia="宋体" w:cs="宋体"/>
                <w:kern w:val="0"/>
                <w:sz w:val="20"/>
                <w:szCs w:val="21"/>
              </w:rPr>
            </w:pPr>
          </w:p>
        </w:tc>
      </w:tr>
    </w:tbl>
    <w:p>
      <w:pPr>
        <w:pStyle w:val="14"/>
        <w:rPr>
          <w:rFonts w:hint="eastAsia" w:ascii="宋体" w:hAnsi="宋体" w:eastAsia="宋体" w:cs="宋体"/>
          <w:b/>
          <w:bCs/>
          <w:color w:val="000000"/>
          <w:sz w:val="24"/>
          <w:szCs w:val="24"/>
        </w:rPr>
      </w:pPr>
    </w:p>
    <w:p>
      <w:pPr>
        <w:pStyle w:val="14"/>
        <w:rPr>
          <w:rFonts w:hint="eastAsia" w:ascii="宋体" w:hAnsi="宋体" w:eastAsia="宋体" w:cs="宋体"/>
          <w:b/>
          <w:bCs/>
          <w:color w:val="000000"/>
          <w:sz w:val="24"/>
          <w:szCs w:val="24"/>
        </w:rPr>
      </w:pPr>
    </w:p>
    <w:p>
      <w:pPr>
        <w:pStyle w:val="14"/>
        <w:rPr>
          <w:rFonts w:hint="eastAsia" w:ascii="宋体" w:hAnsi="宋体" w:eastAsia="宋体" w:cs="宋体"/>
          <w:b/>
          <w:bCs/>
          <w:color w:val="000000"/>
          <w:sz w:val="24"/>
          <w:szCs w:val="24"/>
        </w:rPr>
      </w:pPr>
    </w:p>
    <w:p>
      <w:pPr>
        <w:pStyle w:val="14"/>
        <w:rPr>
          <w:rFonts w:hint="eastAsia" w:ascii="宋体" w:hAnsi="宋体" w:eastAsia="宋体" w:cs="宋体"/>
          <w:b/>
          <w:bCs/>
          <w:color w:val="000000"/>
          <w:sz w:val="24"/>
          <w:szCs w:val="24"/>
        </w:rPr>
      </w:pPr>
    </w:p>
    <w:p>
      <w:pPr>
        <w:pStyle w:val="14"/>
        <w:rPr>
          <w:rFonts w:hint="eastAsia" w:ascii="宋体" w:hAnsi="宋体" w:eastAsia="宋体" w:cs="宋体"/>
          <w:b/>
          <w:bCs/>
          <w:color w:val="000000"/>
          <w:sz w:val="24"/>
          <w:szCs w:val="24"/>
        </w:rPr>
      </w:pPr>
    </w:p>
    <w:p>
      <w:pPr>
        <w:pStyle w:val="14"/>
        <w:rPr>
          <w:rFonts w:hint="eastAsia" w:ascii="宋体" w:hAnsi="宋体" w:eastAsia="宋体" w:cs="宋体"/>
          <w:b/>
          <w:bCs/>
          <w:color w:val="000000"/>
          <w:sz w:val="24"/>
          <w:szCs w:val="24"/>
        </w:rPr>
      </w:pPr>
    </w:p>
    <w:p>
      <w:pPr>
        <w:pStyle w:val="14"/>
        <w:rPr>
          <w:rFonts w:hint="eastAsia" w:ascii="宋体" w:hAnsi="宋体" w:eastAsia="宋体" w:cs="宋体"/>
          <w:b/>
          <w:bCs/>
          <w:color w:val="000000"/>
          <w:sz w:val="24"/>
          <w:szCs w:val="24"/>
        </w:rPr>
      </w:pPr>
    </w:p>
    <w:p>
      <w:pPr>
        <w:pStyle w:val="14"/>
        <w:rPr>
          <w:rFonts w:hint="eastAsia" w:ascii="宋体" w:hAnsi="宋体" w:eastAsia="宋体" w:cs="宋体"/>
          <w:b/>
          <w:bCs/>
          <w:color w:val="000000"/>
          <w:sz w:val="24"/>
          <w:szCs w:val="24"/>
        </w:rPr>
      </w:pPr>
    </w:p>
    <w:p>
      <w:pPr>
        <w:pStyle w:val="14"/>
        <w:outlineLvl w:val="3"/>
        <w:rPr>
          <w:rFonts w:hint="eastAsia" w:ascii="宋体" w:hAnsi="宋体" w:eastAsia="宋体" w:cs="宋体"/>
          <w:b/>
          <w:bCs/>
          <w:color w:val="000000"/>
          <w:sz w:val="24"/>
          <w:szCs w:val="24"/>
        </w:rPr>
      </w:pPr>
      <w:r>
        <w:rPr>
          <w:rFonts w:hint="eastAsia" w:ascii="宋体" w:hAnsi="宋体" w:eastAsia="宋体" w:cs="宋体"/>
          <w:spacing w:val="-9"/>
          <w:sz w:val="24"/>
          <w:szCs w:val="24"/>
        </w:rPr>
        <w:t>表</w:t>
      </w:r>
      <w:r>
        <w:rPr>
          <w:rFonts w:hint="eastAsia" w:ascii="宋体" w:hAnsi="宋体" w:eastAsia="宋体" w:cs="宋体"/>
          <w:spacing w:val="-7"/>
          <w:sz w:val="24"/>
          <w:szCs w:val="24"/>
        </w:rPr>
        <w:t>2</w:t>
      </w:r>
      <w:r>
        <w:rPr>
          <w:rFonts w:hint="eastAsia" w:ascii="宋体" w:hAnsi="宋体" w:eastAsia="宋体" w:cs="宋体"/>
          <w:b/>
          <w:bCs/>
          <w:color w:val="000000"/>
          <w:sz w:val="24"/>
          <w:szCs w:val="24"/>
        </w:rPr>
        <w:t>资产情况汇总表</w:t>
      </w:r>
    </w:p>
    <w:p>
      <w:pPr>
        <w:pStyle w:val="14"/>
        <w:rPr>
          <w:rFonts w:hint="eastAsia" w:ascii="宋体" w:hAnsi="宋体" w:eastAsia="宋体" w:cs="宋体"/>
          <w:b/>
          <w:bCs/>
          <w:color w:val="000000"/>
          <w:sz w:val="24"/>
          <w:szCs w:val="24"/>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pPr>
              <w:spacing w:line="440" w:lineRule="exact"/>
              <w:jc w:val="center"/>
              <w:rPr>
                <w:rFonts w:hint="eastAsia" w:ascii="宋体" w:hAnsi="宋体" w:eastAsia="宋体" w:cs="宋体"/>
                <w:szCs w:val="24"/>
              </w:rPr>
            </w:pPr>
            <w:r>
              <w:rPr>
                <w:rFonts w:hint="eastAsia" w:ascii="宋体" w:hAnsi="宋体" w:eastAsia="宋体" w:cs="宋体"/>
                <w:color w:val="000000"/>
                <w:sz w:val="24"/>
                <w:szCs w:val="24"/>
              </w:rPr>
              <w:t>公司资产情况汇总表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注册资金（万元）</w:t>
            </w:r>
          </w:p>
        </w:tc>
        <w:tc>
          <w:tcPr>
            <w:tcW w:w="3865" w:type="dxa"/>
            <w:gridSpan w:val="3"/>
          </w:tcPr>
          <w:p>
            <w:pPr>
              <w:spacing w:line="440" w:lineRule="exact"/>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实收资金（万元）</w:t>
            </w:r>
          </w:p>
        </w:tc>
        <w:tc>
          <w:tcPr>
            <w:tcW w:w="3865" w:type="dxa"/>
            <w:gridSpan w:val="3"/>
          </w:tcPr>
          <w:p>
            <w:pPr>
              <w:spacing w:line="440" w:lineRule="exact"/>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年度资产情况</w:t>
            </w:r>
          </w:p>
        </w:tc>
        <w:tc>
          <w:tcPr>
            <w:tcW w:w="1287"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202</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年</w:t>
            </w:r>
          </w:p>
        </w:tc>
        <w:tc>
          <w:tcPr>
            <w:tcW w:w="1288"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202</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年</w:t>
            </w:r>
          </w:p>
        </w:tc>
        <w:tc>
          <w:tcPr>
            <w:tcW w:w="1290"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202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流动资产（万元）</w:t>
            </w:r>
          </w:p>
        </w:tc>
        <w:tc>
          <w:tcPr>
            <w:tcW w:w="1287" w:type="dxa"/>
          </w:tcPr>
          <w:p>
            <w:pPr>
              <w:spacing w:line="440" w:lineRule="exact"/>
              <w:jc w:val="center"/>
              <w:rPr>
                <w:rFonts w:hint="eastAsia" w:ascii="宋体" w:hAnsi="宋体" w:eastAsia="宋体" w:cs="宋体"/>
                <w:color w:val="000000"/>
                <w:sz w:val="24"/>
                <w:szCs w:val="24"/>
              </w:rPr>
            </w:pPr>
          </w:p>
        </w:tc>
        <w:tc>
          <w:tcPr>
            <w:tcW w:w="1288" w:type="dxa"/>
          </w:tcPr>
          <w:p>
            <w:pPr>
              <w:spacing w:line="440" w:lineRule="exact"/>
              <w:jc w:val="center"/>
              <w:rPr>
                <w:rFonts w:hint="eastAsia" w:ascii="宋体" w:hAnsi="宋体" w:eastAsia="宋体" w:cs="宋体"/>
                <w:color w:val="000000"/>
                <w:sz w:val="24"/>
                <w:szCs w:val="24"/>
              </w:rPr>
            </w:pPr>
          </w:p>
        </w:tc>
        <w:tc>
          <w:tcPr>
            <w:tcW w:w="1290" w:type="dxa"/>
          </w:tcPr>
          <w:p>
            <w:pPr>
              <w:spacing w:line="440" w:lineRule="exact"/>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非流动资产（万元）</w:t>
            </w:r>
          </w:p>
        </w:tc>
        <w:tc>
          <w:tcPr>
            <w:tcW w:w="1287" w:type="dxa"/>
          </w:tcPr>
          <w:p>
            <w:pPr>
              <w:spacing w:line="440" w:lineRule="exact"/>
              <w:jc w:val="center"/>
              <w:rPr>
                <w:rFonts w:hint="eastAsia" w:ascii="宋体" w:hAnsi="宋体" w:eastAsia="宋体" w:cs="宋体"/>
                <w:color w:val="000000"/>
                <w:sz w:val="24"/>
                <w:szCs w:val="24"/>
              </w:rPr>
            </w:pPr>
          </w:p>
        </w:tc>
        <w:tc>
          <w:tcPr>
            <w:tcW w:w="1288" w:type="dxa"/>
          </w:tcPr>
          <w:p>
            <w:pPr>
              <w:spacing w:line="440" w:lineRule="exact"/>
              <w:jc w:val="center"/>
              <w:rPr>
                <w:rFonts w:hint="eastAsia" w:ascii="宋体" w:hAnsi="宋体" w:eastAsia="宋体" w:cs="宋体"/>
                <w:color w:val="000000"/>
                <w:sz w:val="24"/>
                <w:szCs w:val="24"/>
              </w:rPr>
            </w:pPr>
          </w:p>
        </w:tc>
        <w:tc>
          <w:tcPr>
            <w:tcW w:w="1290" w:type="dxa"/>
          </w:tcPr>
          <w:p>
            <w:pPr>
              <w:spacing w:line="440" w:lineRule="exact"/>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营业收入（万元）</w:t>
            </w:r>
          </w:p>
        </w:tc>
        <w:tc>
          <w:tcPr>
            <w:tcW w:w="1287" w:type="dxa"/>
          </w:tcPr>
          <w:p>
            <w:pPr>
              <w:spacing w:line="440" w:lineRule="exact"/>
              <w:jc w:val="center"/>
              <w:rPr>
                <w:rFonts w:hint="eastAsia" w:ascii="宋体" w:hAnsi="宋体" w:eastAsia="宋体" w:cs="宋体"/>
                <w:color w:val="000000"/>
                <w:sz w:val="24"/>
                <w:szCs w:val="24"/>
                <w:highlight w:val="yellow"/>
              </w:rPr>
            </w:pPr>
          </w:p>
        </w:tc>
        <w:tc>
          <w:tcPr>
            <w:tcW w:w="1288" w:type="dxa"/>
          </w:tcPr>
          <w:p>
            <w:pPr>
              <w:spacing w:line="440" w:lineRule="exact"/>
              <w:jc w:val="center"/>
              <w:rPr>
                <w:rFonts w:hint="eastAsia" w:ascii="宋体" w:hAnsi="宋体" w:eastAsia="宋体" w:cs="宋体"/>
                <w:color w:val="000000"/>
                <w:sz w:val="24"/>
                <w:szCs w:val="24"/>
                <w:highlight w:val="yellow"/>
              </w:rPr>
            </w:pPr>
          </w:p>
        </w:tc>
        <w:tc>
          <w:tcPr>
            <w:tcW w:w="1290" w:type="dxa"/>
          </w:tcPr>
          <w:p>
            <w:pPr>
              <w:spacing w:line="440" w:lineRule="exact"/>
              <w:jc w:val="center"/>
              <w:rPr>
                <w:rFonts w:hint="eastAsia" w:ascii="宋体" w:hAnsi="宋体" w:eastAsia="宋体" w:cs="宋体"/>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年底资产总值（万元）</w:t>
            </w:r>
          </w:p>
        </w:tc>
        <w:tc>
          <w:tcPr>
            <w:tcW w:w="1287" w:type="dxa"/>
          </w:tcPr>
          <w:p>
            <w:pPr>
              <w:spacing w:line="440" w:lineRule="exact"/>
              <w:jc w:val="center"/>
              <w:rPr>
                <w:rFonts w:hint="eastAsia" w:ascii="宋体" w:hAnsi="宋体" w:eastAsia="宋体" w:cs="宋体"/>
                <w:color w:val="000000"/>
                <w:sz w:val="24"/>
                <w:szCs w:val="24"/>
              </w:rPr>
            </w:pPr>
          </w:p>
        </w:tc>
        <w:tc>
          <w:tcPr>
            <w:tcW w:w="1288" w:type="dxa"/>
          </w:tcPr>
          <w:p>
            <w:pPr>
              <w:spacing w:line="440" w:lineRule="exact"/>
              <w:jc w:val="center"/>
              <w:rPr>
                <w:rFonts w:hint="eastAsia" w:ascii="宋体" w:hAnsi="宋体" w:eastAsia="宋体" w:cs="宋体"/>
                <w:color w:val="000000"/>
                <w:sz w:val="24"/>
                <w:szCs w:val="24"/>
              </w:rPr>
            </w:pPr>
          </w:p>
        </w:tc>
        <w:tc>
          <w:tcPr>
            <w:tcW w:w="1290" w:type="dxa"/>
          </w:tcPr>
          <w:p>
            <w:pPr>
              <w:spacing w:line="440" w:lineRule="exact"/>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年底负债总值（万元）</w:t>
            </w:r>
          </w:p>
        </w:tc>
        <w:tc>
          <w:tcPr>
            <w:tcW w:w="1287" w:type="dxa"/>
          </w:tcPr>
          <w:p>
            <w:pPr>
              <w:spacing w:line="440" w:lineRule="exact"/>
              <w:jc w:val="center"/>
              <w:rPr>
                <w:rFonts w:hint="eastAsia" w:ascii="宋体" w:hAnsi="宋体" w:eastAsia="宋体" w:cs="宋体"/>
                <w:color w:val="000000"/>
                <w:sz w:val="24"/>
                <w:szCs w:val="24"/>
              </w:rPr>
            </w:pPr>
          </w:p>
        </w:tc>
        <w:tc>
          <w:tcPr>
            <w:tcW w:w="1288" w:type="dxa"/>
          </w:tcPr>
          <w:p>
            <w:pPr>
              <w:spacing w:line="440" w:lineRule="exact"/>
              <w:jc w:val="center"/>
              <w:rPr>
                <w:rFonts w:hint="eastAsia" w:ascii="宋体" w:hAnsi="宋体" w:eastAsia="宋体" w:cs="宋体"/>
                <w:color w:val="000000"/>
                <w:sz w:val="24"/>
                <w:szCs w:val="24"/>
              </w:rPr>
            </w:pPr>
          </w:p>
        </w:tc>
        <w:tc>
          <w:tcPr>
            <w:tcW w:w="1290" w:type="dxa"/>
          </w:tcPr>
          <w:p>
            <w:pPr>
              <w:spacing w:line="440" w:lineRule="exact"/>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资产负债率（  %）</w:t>
            </w:r>
          </w:p>
        </w:tc>
        <w:tc>
          <w:tcPr>
            <w:tcW w:w="1287" w:type="dxa"/>
          </w:tcPr>
          <w:p>
            <w:pPr>
              <w:spacing w:line="440" w:lineRule="exact"/>
              <w:jc w:val="center"/>
              <w:rPr>
                <w:rFonts w:hint="eastAsia" w:ascii="宋体" w:hAnsi="宋体" w:eastAsia="宋体" w:cs="宋体"/>
                <w:color w:val="000000"/>
                <w:sz w:val="24"/>
                <w:szCs w:val="24"/>
                <w:highlight w:val="yellow"/>
              </w:rPr>
            </w:pPr>
          </w:p>
        </w:tc>
        <w:tc>
          <w:tcPr>
            <w:tcW w:w="1288" w:type="dxa"/>
          </w:tcPr>
          <w:p>
            <w:pPr>
              <w:spacing w:line="440" w:lineRule="exact"/>
              <w:jc w:val="center"/>
              <w:rPr>
                <w:rFonts w:hint="eastAsia" w:ascii="宋体" w:hAnsi="宋体" w:eastAsia="宋体" w:cs="宋体"/>
                <w:color w:val="000000"/>
                <w:sz w:val="24"/>
                <w:szCs w:val="24"/>
                <w:highlight w:val="yellow"/>
              </w:rPr>
            </w:pPr>
          </w:p>
        </w:tc>
        <w:tc>
          <w:tcPr>
            <w:tcW w:w="1290" w:type="dxa"/>
          </w:tcPr>
          <w:p>
            <w:pPr>
              <w:spacing w:line="440" w:lineRule="exact"/>
              <w:jc w:val="center"/>
              <w:rPr>
                <w:rFonts w:hint="eastAsia" w:ascii="宋体" w:hAnsi="宋体" w:eastAsia="宋体" w:cs="宋体"/>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净利润（万元）</w:t>
            </w:r>
          </w:p>
        </w:tc>
        <w:tc>
          <w:tcPr>
            <w:tcW w:w="1287" w:type="dxa"/>
          </w:tcPr>
          <w:p>
            <w:pPr>
              <w:spacing w:line="440" w:lineRule="exact"/>
              <w:jc w:val="center"/>
              <w:rPr>
                <w:rFonts w:hint="eastAsia" w:ascii="宋体" w:hAnsi="宋体" w:eastAsia="宋体" w:cs="宋体"/>
                <w:color w:val="000000"/>
                <w:sz w:val="24"/>
                <w:szCs w:val="24"/>
                <w:highlight w:val="yellow"/>
              </w:rPr>
            </w:pPr>
          </w:p>
        </w:tc>
        <w:tc>
          <w:tcPr>
            <w:tcW w:w="1288" w:type="dxa"/>
          </w:tcPr>
          <w:p>
            <w:pPr>
              <w:spacing w:line="440" w:lineRule="exact"/>
              <w:jc w:val="center"/>
              <w:rPr>
                <w:rFonts w:hint="eastAsia" w:ascii="宋体" w:hAnsi="宋体" w:eastAsia="宋体" w:cs="宋体"/>
                <w:color w:val="000000"/>
                <w:sz w:val="24"/>
                <w:szCs w:val="24"/>
                <w:highlight w:val="yellow"/>
              </w:rPr>
            </w:pPr>
          </w:p>
        </w:tc>
        <w:tc>
          <w:tcPr>
            <w:tcW w:w="1290" w:type="dxa"/>
          </w:tcPr>
          <w:p>
            <w:pPr>
              <w:spacing w:line="440" w:lineRule="exact"/>
              <w:jc w:val="center"/>
              <w:rPr>
                <w:rFonts w:hint="eastAsia" w:ascii="宋体" w:hAnsi="宋体" w:eastAsia="宋体" w:cs="宋体"/>
                <w:color w:val="00000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未分配利润（万元）</w:t>
            </w:r>
          </w:p>
        </w:tc>
        <w:tc>
          <w:tcPr>
            <w:tcW w:w="1287" w:type="dxa"/>
          </w:tcPr>
          <w:p>
            <w:pPr>
              <w:spacing w:line="440" w:lineRule="exact"/>
              <w:jc w:val="center"/>
              <w:rPr>
                <w:rFonts w:hint="eastAsia" w:ascii="宋体" w:hAnsi="宋体" w:eastAsia="宋体" w:cs="宋体"/>
                <w:color w:val="000000"/>
                <w:sz w:val="24"/>
                <w:szCs w:val="24"/>
              </w:rPr>
            </w:pPr>
          </w:p>
        </w:tc>
        <w:tc>
          <w:tcPr>
            <w:tcW w:w="1288" w:type="dxa"/>
          </w:tcPr>
          <w:p>
            <w:pPr>
              <w:spacing w:line="440" w:lineRule="exact"/>
              <w:jc w:val="center"/>
              <w:rPr>
                <w:rFonts w:hint="eastAsia" w:ascii="宋体" w:hAnsi="宋体" w:eastAsia="宋体" w:cs="宋体"/>
                <w:color w:val="000000"/>
                <w:sz w:val="24"/>
                <w:szCs w:val="24"/>
              </w:rPr>
            </w:pPr>
          </w:p>
        </w:tc>
        <w:tc>
          <w:tcPr>
            <w:tcW w:w="1290" w:type="dxa"/>
          </w:tcPr>
          <w:p>
            <w:pPr>
              <w:spacing w:line="440" w:lineRule="exact"/>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营运资金</w:t>
            </w:r>
          </w:p>
        </w:tc>
        <w:tc>
          <w:tcPr>
            <w:tcW w:w="1287" w:type="dxa"/>
          </w:tcPr>
          <w:p>
            <w:pPr>
              <w:spacing w:line="440" w:lineRule="exact"/>
              <w:jc w:val="center"/>
              <w:rPr>
                <w:rFonts w:hint="eastAsia" w:ascii="宋体" w:hAnsi="宋体" w:eastAsia="宋体" w:cs="宋体"/>
                <w:color w:val="000000"/>
                <w:sz w:val="24"/>
                <w:szCs w:val="24"/>
              </w:rPr>
            </w:pPr>
          </w:p>
        </w:tc>
        <w:tc>
          <w:tcPr>
            <w:tcW w:w="1288" w:type="dxa"/>
          </w:tcPr>
          <w:p>
            <w:pPr>
              <w:spacing w:line="440" w:lineRule="exact"/>
              <w:jc w:val="center"/>
              <w:rPr>
                <w:rFonts w:hint="eastAsia" w:ascii="宋体" w:hAnsi="宋体" w:eastAsia="宋体" w:cs="宋体"/>
                <w:color w:val="000000"/>
                <w:sz w:val="24"/>
                <w:szCs w:val="24"/>
              </w:rPr>
            </w:pPr>
          </w:p>
        </w:tc>
        <w:tc>
          <w:tcPr>
            <w:tcW w:w="1290" w:type="dxa"/>
          </w:tcPr>
          <w:p>
            <w:pPr>
              <w:spacing w:line="440" w:lineRule="exact"/>
              <w:jc w:val="center"/>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pPr>
              <w:spacing w:line="440" w:lineRule="exact"/>
              <w:jc w:val="center"/>
              <w:rPr>
                <w:rFonts w:hint="eastAsia" w:ascii="宋体" w:hAnsi="宋体" w:eastAsia="宋体" w:cs="宋体"/>
                <w:color w:val="000000"/>
                <w:sz w:val="24"/>
                <w:szCs w:val="24"/>
              </w:rPr>
            </w:pPr>
            <w:r>
              <w:rPr>
                <w:rFonts w:hint="eastAsia" w:ascii="宋体" w:hAnsi="宋体" w:eastAsia="宋体" w:cs="宋体"/>
                <w:color w:val="000000"/>
                <w:sz w:val="24"/>
                <w:szCs w:val="24"/>
              </w:rPr>
              <w:t>（本年营业收入-上年营业收入）÷上年营业收入</w:t>
            </w:r>
          </w:p>
        </w:tc>
        <w:tc>
          <w:tcPr>
            <w:tcW w:w="1287" w:type="dxa"/>
          </w:tcPr>
          <w:p>
            <w:pPr>
              <w:spacing w:line="440" w:lineRule="exact"/>
              <w:jc w:val="center"/>
              <w:rPr>
                <w:rFonts w:hint="eastAsia" w:ascii="宋体" w:hAnsi="宋体" w:eastAsia="宋体" w:cs="宋体"/>
                <w:color w:val="000000"/>
                <w:sz w:val="24"/>
                <w:szCs w:val="24"/>
              </w:rPr>
            </w:pPr>
          </w:p>
        </w:tc>
        <w:tc>
          <w:tcPr>
            <w:tcW w:w="1288" w:type="dxa"/>
          </w:tcPr>
          <w:p>
            <w:pPr>
              <w:spacing w:line="440" w:lineRule="exact"/>
              <w:jc w:val="center"/>
              <w:rPr>
                <w:rFonts w:hint="eastAsia" w:ascii="宋体" w:hAnsi="宋体" w:eastAsia="宋体" w:cs="宋体"/>
                <w:color w:val="000000"/>
                <w:sz w:val="24"/>
                <w:szCs w:val="24"/>
              </w:rPr>
            </w:pPr>
          </w:p>
        </w:tc>
        <w:tc>
          <w:tcPr>
            <w:tcW w:w="1290" w:type="dxa"/>
          </w:tcPr>
          <w:p>
            <w:pPr>
              <w:spacing w:line="440" w:lineRule="exact"/>
              <w:jc w:val="center"/>
              <w:rPr>
                <w:rFonts w:hint="eastAsia" w:ascii="宋体" w:hAnsi="宋体" w:eastAsia="宋体" w:cs="宋体"/>
                <w:color w:val="000000"/>
                <w:sz w:val="24"/>
                <w:szCs w:val="24"/>
              </w:rPr>
            </w:pPr>
          </w:p>
        </w:tc>
      </w:tr>
    </w:tbl>
    <w:p>
      <w:pPr>
        <w:spacing w:line="660" w:lineRule="exact"/>
        <w:ind w:firstLine="240" w:firstLineChars="100"/>
        <w:rPr>
          <w:rFonts w:hint="eastAsia" w:ascii="宋体" w:hAnsi="宋体" w:eastAsia="宋体" w:cs="宋体"/>
          <w:sz w:val="24"/>
          <w:szCs w:val="20"/>
        </w:rPr>
      </w:pPr>
      <w:r>
        <w:rPr>
          <w:rFonts w:hint="eastAsia" w:ascii="宋体" w:hAnsi="宋体" w:eastAsia="宋体" w:cs="宋体"/>
          <w:sz w:val="24"/>
          <w:szCs w:val="20"/>
        </w:rPr>
        <w:t>投标人：（盖章）</w:t>
      </w:r>
    </w:p>
    <w:p>
      <w:pPr>
        <w:spacing w:line="660" w:lineRule="exact"/>
        <w:ind w:firstLine="240" w:firstLineChars="100"/>
        <w:rPr>
          <w:rFonts w:hint="eastAsia" w:ascii="宋体" w:hAnsi="宋体" w:eastAsia="宋体" w:cs="宋体"/>
          <w:sz w:val="24"/>
          <w:szCs w:val="20"/>
        </w:rPr>
      </w:pPr>
      <w:r>
        <w:rPr>
          <w:rFonts w:hint="eastAsia" w:ascii="宋体" w:hAnsi="宋体" w:eastAsia="宋体" w:cs="宋体"/>
          <w:sz w:val="24"/>
          <w:szCs w:val="20"/>
        </w:rPr>
        <w:t>法定代表人（委托代理人）：（签字）</w:t>
      </w:r>
    </w:p>
    <w:p>
      <w:pPr>
        <w:spacing w:line="660" w:lineRule="exact"/>
        <w:ind w:firstLine="240" w:firstLineChars="100"/>
        <w:rPr>
          <w:rFonts w:hint="eastAsia" w:ascii="宋体" w:hAnsi="宋体" w:eastAsia="宋体" w:cs="宋体"/>
          <w:sz w:val="24"/>
          <w:szCs w:val="20"/>
        </w:rPr>
      </w:pPr>
      <w:r>
        <w:rPr>
          <w:rFonts w:hint="eastAsia" w:ascii="宋体" w:hAnsi="宋体" w:eastAsia="宋体" w:cs="宋体"/>
          <w:sz w:val="24"/>
          <w:szCs w:val="20"/>
        </w:rPr>
        <w:t>日期：年月日</w:t>
      </w:r>
    </w:p>
    <w:p>
      <w:pPr>
        <w:rPr>
          <w:rFonts w:hint="eastAsia" w:ascii="宋体" w:hAnsi="宋体" w:eastAsia="宋体" w:cs="宋体"/>
          <w:b/>
          <w:bCs/>
          <w:color w:val="000000"/>
          <w:sz w:val="28"/>
          <w:szCs w:val="20"/>
        </w:rPr>
        <w:sectPr>
          <w:footerReference r:id="rId12" w:type="first"/>
          <w:footerReference r:id="rId11" w:type="default"/>
          <w:pgSz w:w="11906" w:h="16838"/>
          <w:pgMar w:top="1588" w:right="1418" w:bottom="1134" w:left="1418" w:header="851" w:footer="992" w:gutter="0"/>
          <w:cols w:space="720" w:num="1"/>
          <w:titlePg/>
          <w:docGrid w:type="lines" w:linePitch="312" w:charSpace="0"/>
        </w:sectPr>
      </w:pPr>
    </w:p>
    <w:p>
      <w:pPr>
        <w:keepNext/>
        <w:keepLines/>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附件4保密承诺函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lang w:eastAsia="zh-CN"/>
        </w:rPr>
      </w:pPr>
      <w:r>
        <w:rPr>
          <w:rFonts w:hint="eastAsia" w:ascii="宋体" w:hAnsi="宋体" w:eastAsia="宋体" w:cs="宋体"/>
          <w:sz w:val="24"/>
          <w:szCs w:val="20"/>
        </w:rPr>
        <w:t>项目名称：</w:t>
      </w:r>
      <w:r>
        <w:rPr>
          <w:rFonts w:hint="eastAsia" w:ascii="宋体" w:hAnsi="宋体" w:eastAsia="宋体" w:cs="宋体"/>
          <w:spacing w:val="-5"/>
          <w:sz w:val="24"/>
          <w:szCs w:val="24"/>
          <w:u w:val="single"/>
          <w:lang w:eastAsia="zh-CN"/>
        </w:rPr>
        <w:t>济南轻卡制造公司光伏发电系统增加“四可”装置项目</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中国重汽集团济南商用车有限公司：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我代表（投标人名称）对招标人的商业秘密作如下承诺：</w:t>
      </w:r>
    </w:p>
    <w:p>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日期：年月日</w:t>
      </w:r>
    </w:p>
    <w:p>
      <w:pPr>
        <w:rPr>
          <w:rFonts w:hint="eastAsia" w:ascii="宋体" w:hAnsi="宋体" w:eastAsia="宋体" w:cs="宋体"/>
          <w:b/>
          <w:bCs/>
          <w:color w:val="000000"/>
          <w:sz w:val="28"/>
          <w:szCs w:val="20"/>
        </w:rPr>
        <w:sectPr>
          <w:footerReference r:id="rId14" w:type="first"/>
          <w:footerReference r:id="rId13" w:type="default"/>
          <w:pgSz w:w="11906" w:h="16838"/>
          <w:pgMar w:top="1588" w:right="1418" w:bottom="1134" w:left="1418" w:header="851" w:footer="992" w:gutter="0"/>
          <w:cols w:space="720" w:num="1"/>
          <w:titlePg/>
          <w:docGrid w:type="lines" w:linePitch="312" w:charSpace="0"/>
        </w:sectPr>
      </w:pPr>
    </w:p>
    <w:p>
      <w:pPr>
        <w:keepNext/>
        <w:keepLines/>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附件5技术规格偏离表</w:t>
      </w:r>
    </w:p>
    <w:p>
      <w:pPr>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项目名称：</w:t>
      </w:r>
      <w:r>
        <w:rPr>
          <w:rFonts w:hint="eastAsia" w:ascii="宋体" w:hAnsi="宋体" w:eastAsia="宋体" w:cs="宋体"/>
          <w:spacing w:val="-5"/>
          <w:sz w:val="24"/>
          <w:szCs w:val="24"/>
          <w:u w:val="single"/>
          <w:lang w:eastAsia="zh-CN"/>
        </w:rPr>
        <w:t>济南轻卡制造公司光伏发电系统增加“四可”装置项目</w:t>
      </w:r>
    </w:p>
    <w:tbl>
      <w:tblPr>
        <w:tblStyle w:val="3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trPr>
        <w:tc>
          <w:tcPr>
            <w:tcW w:w="1585" w:type="dxa"/>
            <w:vAlign w:val="center"/>
          </w:tcPr>
          <w:p>
            <w:pPr>
              <w:jc w:val="center"/>
              <w:rPr>
                <w:rFonts w:hint="eastAsia" w:ascii="宋体" w:hAnsi="宋体" w:eastAsia="宋体" w:cs="宋体"/>
                <w:b/>
                <w:szCs w:val="20"/>
              </w:rPr>
            </w:pPr>
            <w:r>
              <w:rPr>
                <w:rFonts w:hint="eastAsia" w:ascii="宋体" w:hAnsi="宋体" w:eastAsia="宋体" w:cs="宋体"/>
                <w:b/>
                <w:szCs w:val="20"/>
              </w:rPr>
              <w:t>序号</w:t>
            </w:r>
          </w:p>
        </w:tc>
        <w:tc>
          <w:tcPr>
            <w:tcW w:w="3449" w:type="dxa"/>
            <w:vAlign w:val="center"/>
          </w:tcPr>
          <w:p>
            <w:pPr>
              <w:jc w:val="center"/>
              <w:rPr>
                <w:rFonts w:hint="eastAsia" w:ascii="宋体" w:hAnsi="宋体" w:eastAsia="宋体" w:cs="宋体"/>
                <w:b/>
                <w:szCs w:val="20"/>
              </w:rPr>
            </w:pPr>
            <w:r>
              <w:rPr>
                <w:rFonts w:hint="eastAsia" w:ascii="宋体" w:hAnsi="宋体" w:eastAsia="宋体" w:cs="宋体"/>
                <w:b/>
                <w:szCs w:val="20"/>
              </w:rPr>
              <w:t>招标要求</w:t>
            </w:r>
          </w:p>
        </w:tc>
        <w:tc>
          <w:tcPr>
            <w:tcW w:w="2414" w:type="dxa"/>
            <w:vAlign w:val="center"/>
          </w:tcPr>
          <w:p>
            <w:pPr>
              <w:jc w:val="center"/>
              <w:rPr>
                <w:rFonts w:hint="eastAsia" w:ascii="宋体" w:hAnsi="宋体" w:eastAsia="宋体" w:cs="宋体"/>
                <w:b/>
                <w:szCs w:val="20"/>
              </w:rPr>
            </w:pPr>
            <w:r>
              <w:rPr>
                <w:rFonts w:hint="eastAsia" w:ascii="宋体" w:hAnsi="宋体" w:eastAsia="宋体" w:cs="宋体"/>
                <w:b/>
                <w:szCs w:val="20"/>
              </w:rPr>
              <w:t>响应规格</w:t>
            </w:r>
          </w:p>
        </w:tc>
        <w:tc>
          <w:tcPr>
            <w:tcW w:w="1608" w:type="dxa"/>
            <w:vAlign w:val="center"/>
          </w:tcPr>
          <w:p>
            <w:pPr>
              <w:jc w:val="center"/>
              <w:rPr>
                <w:rFonts w:hint="eastAsia" w:ascii="宋体" w:hAnsi="宋体" w:eastAsia="宋体" w:cs="宋体"/>
                <w:b/>
                <w:szCs w:val="20"/>
              </w:rPr>
            </w:pPr>
            <w:r>
              <w:rPr>
                <w:rFonts w:hint="eastAsia" w:ascii="宋体" w:hAnsi="宋体" w:eastAsia="宋体" w:cs="宋体"/>
                <w:b/>
                <w:szCs w:val="20"/>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pPr>
              <w:jc w:val="center"/>
              <w:rPr>
                <w:rFonts w:hint="eastAsia" w:ascii="宋体" w:hAnsi="宋体" w:eastAsia="宋体" w:cs="宋体"/>
                <w:b/>
                <w:sz w:val="24"/>
                <w:szCs w:val="20"/>
              </w:rPr>
            </w:pPr>
          </w:p>
        </w:tc>
        <w:tc>
          <w:tcPr>
            <w:tcW w:w="3449" w:type="dxa"/>
          </w:tcPr>
          <w:p>
            <w:pPr>
              <w:jc w:val="center"/>
              <w:rPr>
                <w:rFonts w:hint="eastAsia" w:ascii="宋体" w:hAnsi="宋体" w:eastAsia="宋体" w:cs="宋体"/>
                <w:b/>
                <w:sz w:val="24"/>
                <w:szCs w:val="20"/>
              </w:rPr>
            </w:pPr>
          </w:p>
        </w:tc>
        <w:tc>
          <w:tcPr>
            <w:tcW w:w="2414" w:type="dxa"/>
          </w:tcPr>
          <w:p>
            <w:pPr>
              <w:jc w:val="center"/>
              <w:rPr>
                <w:rFonts w:hint="eastAsia" w:ascii="宋体" w:hAnsi="宋体" w:eastAsia="宋体" w:cs="宋体"/>
                <w:b/>
                <w:sz w:val="24"/>
                <w:szCs w:val="20"/>
              </w:rPr>
            </w:pPr>
          </w:p>
        </w:tc>
        <w:tc>
          <w:tcPr>
            <w:tcW w:w="1608" w:type="dxa"/>
          </w:tcPr>
          <w:p>
            <w:pPr>
              <w:jc w:val="center"/>
              <w:rPr>
                <w:rFonts w:hint="eastAsia" w:ascii="宋体" w:hAnsi="宋体" w:eastAsia="宋体" w:cs="宋体"/>
                <w:b/>
                <w:sz w:val="24"/>
                <w:szCs w:val="20"/>
              </w:rPr>
            </w:pPr>
          </w:p>
        </w:tc>
      </w:tr>
    </w:tbl>
    <w:p>
      <w:pPr>
        <w:spacing w:line="660" w:lineRule="exact"/>
        <w:rPr>
          <w:rFonts w:hint="eastAsia" w:ascii="宋体" w:hAnsi="宋体" w:eastAsia="宋体" w:cs="宋体"/>
          <w:sz w:val="24"/>
          <w:szCs w:val="20"/>
        </w:rPr>
      </w:pPr>
      <w:r>
        <w:rPr>
          <w:rFonts w:hint="eastAsia" w:ascii="宋体" w:hAnsi="宋体" w:eastAsia="宋体" w:cs="宋体"/>
          <w:sz w:val="24"/>
          <w:szCs w:val="20"/>
        </w:rPr>
        <w:t>投标人：（盖章）</w:t>
      </w:r>
    </w:p>
    <w:p>
      <w:pPr>
        <w:spacing w:line="660" w:lineRule="exact"/>
        <w:rPr>
          <w:rFonts w:hint="eastAsia" w:ascii="宋体" w:hAnsi="宋体" w:eastAsia="宋体" w:cs="宋体"/>
          <w:sz w:val="24"/>
          <w:szCs w:val="20"/>
        </w:rPr>
      </w:pPr>
      <w:r>
        <w:rPr>
          <w:rFonts w:hint="eastAsia" w:ascii="宋体" w:hAnsi="宋体" w:eastAsia="宋体" w:cs="宋体"/>
          <w:sz w:val="24"/>
          <w:szCs w:val="20"/>
        </w:rPr>
        <w:t>法定代表人（委托代理人）：（签字）</w:t>
      </w:r>
    </w:p>
    <w:p>
      <w:pPr>
        <w:rPr>
          <w:rFonts w:hint="eastAsia" w:ascii="宋体" w:hAnsi="宋体" w:eastAsia="宋体" w:cs="宋体"/>
          <w:b/>
          <w:bCs/>
          <w:color w:val="000000"/>
          <w:sz w:val="28"/>
          <w:szCs w:val="20"/>
        </w:rPr>
      </w:pPr>
    </w:p>
    <w:p>
      <w:pPr>
        <w:rPr>
          <w:rFonts w:hint="eastAsia" w:ascii="宋体" w:hAnsi="宋体" w:eastAsia="宋体" w:cs="宋体"/>
          <w:b/>
          <w:bCs/>
          <w:color w:val="000000"/>
          <w:sz w:val="28"/>
          <w:szCs w:val="20"/>
        </w:rPr>
        <w:sectPr>
          <w:footerReference r:id="rId16" w:type="first"/>
          <w:footerReference r:id="rId15" w:type="default"/>
          <w:pgSz w:w="11906" w:h="16838"/>
          <w:pgMar w:top="1588" w:right="1418" w:bottom="1134" w:left="1418" w:header="851" w:footer="992" w:gutter="0"/>
          <w:cols w:space="720" w:num="1"/>
          <w:titlePg/>
          <w:docGrid w:type="lines" w:linePitch="312" w:charSpace="0"/>
        </w:sectPr>
      </w:pPr>
    </w:p>
    <w:p>
      <w:pPr>
        <w:keepNext/>
        <w:keepLines/>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6：</w:t>
      </w:r>
      <w:r>
        <w:rPr>
          <w:rFonts w:hint="eastAsia" w:ascii="宋体" w:hAnsi="宋体" w:eastAsia="宋体" w:cs="宋体"/>
          <w:b/>
          <w:bCs/>
          <w:color w:val="000000"/>
          <w:sz w:val="24"/>
          <w:szCs w:val="24"/>
        </w:rPr>
        <w:t>设备质量承诺函</w:t>
      </w:r>
    </w:p>
    <w:p>
      <w:pPr>
        <w:spacing w:line="240" w:lineRule="exact"/>
        <w:rPr>
          <w:rFonts w:hint="eastAsia" w:ascii="宋体" w:hAnsi="宋体" w:eastAsia="宋体" w:cs="宋体"/>
          <w:szCs w:val="20"/>
        </w:rPr>
      </w:pPr>
    </w:p>
    <w:p>
      <w:pPr>
        <w:spacing w:line="360" w:lineRule="auto"/>
        <w:rPr>
          <w:rFonts w:hint="eastAsia" w:ascii="宋体" w:hAnsi="宋体" w:eastAsia="宋体" w:cs="宋体"/>
          <w:sz w:val="24"/>
          <w:szCs w:val="20"/>
          <w:u w:val="single"/>
          <w:lang w:eastAsia="zh-CN"/>
        </w:rPr>
      </w:pPr>
      <w:r>
        <w:rPr>
          <w:rFonts w:hint="eastAsia" w:ascii="宋体" w:hAnsi="宋体" w:eastAsia="宋体" w:cs="宋体"/>
          <w:sz w:val="24"/>
          <w:szCs w:val="20"/>
        </w:rPr>
        <w:t xml:space="preserve">项目名称: </w:t>
      </w:r>
      <w:r>
        <w:rPr>
          <w:rFonts w:hint="eastAsia" w:ascii="宋体" w:hAnsi="宋体" w:eastAsia="宋体" w:cs="宋体"/>
          <w:spacing w:val="-5"/>
          <w:sz w:val="24"/>
          <w:szCs w:val="24"/>
          <w:u w:val="single"/>
          <w:lang w:eastAsia="zh-CN"/>
        </w:rPr>
        <w:t>济南轻卡制造公司光伏发电系统增加“四可”装置项目</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中国重汽集团济南商用车有限公司：</w:t>
      </w:r>
    </w:p>
    <w:p>
      <w:pPr>
        <w:spacing w:line="360" w:lineRule="auto"/>
        <w:ind w:firstLine="480" w:firstLineChars="200"/>
        <w:rPr>
          <w:rFonts w:hint="eastAsia" w:ascii="宋体" w:hAnsi="宋体" w:eastAsia="宋体" w:cs="宋体"/>
          <w:sz w:val="24"/>
          <w:szCs w:val="20"/>
        </w:rPr>
      </w:pPr>
      <w:r>
        <w:rPr>
          <w:rFonts w:hint="eastAsia" w:ascii="宋体" w:hAnsi="宋体" w:eastAsia="宋体" w:cs="宋体"/>
          <w:sz w:val="24"/>
          <w:szCs w:val="20"/>
        </w:rPr>
        <w:t>我代表(投标人名称)为保证中标产品的质量特作如下承诺：</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left="480"/>
        <w:rPr>
          <w:rFonts w:hint="eastAsia" w:ascii="宋体" w:hAnsi="宋体" w:eastAsia="宋体" w:cs="宋体"/>
          <w:sz w:val="24"/>
          <w:szCs w:val="20"/>
        </w:rPr>
      </w:pPr>
    </w:p>
    <w:p>
      <w:pPr>
        <w:spacing w:line="660" w:lineRule="exact"/>
        <w:rPr>
          <w:rFonts w:hint="eastAsia" w:ascii="宋体" w:hAnsi="宋体" w:eastAsia="宋体" w:cs="宋体"/>
          <w:sz w:val="24"/>
          <w:szCs w:val="20"/>
        </w:rPr>
      </w:pPr>
      <w:r>
        <w:rPr>
          <w:rFonts w:hint="eastAsia" w:ascii="宋体" w:hAnsi="宋体" w:eastAsia="宋体" w:cs="宋体"/>
          <w:sz w:val="24"/>
          <w:szCs w:val="20"/>
        </w:rPr>
        <w:t>投标人：（盖章）</w:t>
      </w:r>
    </w:p>
    <w:p>
      <w:pPr>
        <w:spacing w:line="660" w:lineRule="exact"/>
        <w:rPr>
          <w:rFonts w:hint="eastAsia" w:ascii="宋体" w:hAnsi="宋体" w:eastAsia="宋体" w:cs="宋体"/>
          <w:sz w:val="24"/>
          <w:szCs w:val="20"/>
        </w:rPr>
      </w:pPr>
      <w:r>
        <w:rPr>
          <w:rFonts w:hint="eastAsia" w:ascii="宋体" w:hAnsi="宋体" w:eastAsia="宋体" w:cs="宋体"/>
          <w:sz w:val="24"/>
          <w:szCs w:val="20"/>
        </w:rPr>
        <w:t>法定代表人（委托代理人）：（签字）</w:t>
      </w:r>
    </w:p>
    <w:p>
      <w:pPr>
        <w:spacing w:line="660" w:lineRule="exact"/>
        <w:rPr>
          <w:rFonts w:hint="eastAsia" w:ascii="宋体" w:hAnsi="宋体" w:eastAsia="宋体" w:cs="宋体"/>
          <w:sz w:val="24"/>
          <w:szCs w:val="20"/>
        </w:rPr>
      </w:pPr>
      <w:r>
        <w:rPr>
          <w:rFonts w:hint="eastAsia" w:ascii="宋体" w:hAnsi="宋体" w:eastAsia="宋体" w:cs="宋体"/>
          <w:sz w:val="24"/>
          <w:szCs w:val="20"/>
        </w:rPr>
        <w:t>日期：年月日</w:t>
      </w:r>
    </w:p>
    <w:p>
      <w:pPr>
        <w:rPr>
          <w:rFonts w:hint="eastAsia" w:ascii="宋体" w:hAnsi="宋体" w:eastAsia="宋体" w:cs="宋体"/>
          <w:b/>
          <w:bCs/>
          <w:color w:val="000000"/>
          <w:sz w:val="28"/>
          <w:szCs w:val="20"/>
        </w:rPr>
        <w:sectPr>
          <w:footerReference r:id="rId18" w:type="first"/>
          <w:footerReference r:id="rId17" w:type="default"/>
          <w:pgSz w:w="11906" w:h="16838"/>
          <w:pgMar w:top="1588" w:right="1418" w:bottom="1134" w:left="1418" w:header="851" w:footer="992" w:gutter="0"/>
          <w:cols w:space="720" w:num="1"/>
          <w:titlePg/>
          <w:docGrid w:type="lines" w:linePitch="312" w:charSpace="0"/>
        </w:sectPr>
      </w:pPr>
    </w:p>
    <w:p>
      <w:pPr>
        <w:keepNext/>
        <w:keepLines/>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7：</w:t>
      </w:r>
      <w:r>
        <w:rPr>
          <w:rFonts w:hint="eastAsia" w:ascii="宋体" w:hAnsi="宋体" w:eastAsia="宋体" w:cs="宋体"/>
          <w:b/>
          <w:bCs/>
          <w:color w:val="000000"/>
          <w:sz w:val="24"/>
          <w:szCs w:val="24"/>
        </w:rPr>
        <w:t>开标一览表</w:t>
      </w:r>
    </w:p>
    <w:p>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《开标一览表》单独封存，以备唱标使用</w:t>
      </w:r>
    </w:p>
    <w:p>
      <w:pPr>
        <w:spacing w:line="360" w:lineRule="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项目名称：</w:t>
      </w:r>
      <w:r>
        <w:rPr>
          <w:rFonts w:hint="eastAsia" w:ascii="宋体" w:hAnsi="宋体" w:eastAsia="宋体" w:cs="宋体"/>
          <w:spacing w:val="-5"/>
          <w:sz w:val="24"/>
          <w:szCs w:val="24"/>
          <w:u w:val="single"/>
          <w:lang w:eastAsia="zh-CN"/>
        </w:rPr>
        <w:t>济南轻卡制造公司光伏发电系统增加“四可”装置项目</w:t>
      </w:r>
    </w:p>
    <w:tbl>
      <w:tblPr>
        <w:tblStyle w:val="30"/>
        <w:tblW w:w="9090" w:type="dxa"/>
        <w:tblInd w:w="0" w:type="dxa"/>
        <w:shd w:val="clear" w:color="auto" w:fill="auto"/>
        <w:tblLayout w:type="autofit"/>
        <w:tblCellMar>
          <w:top w:w="0" w:type="dxa"/>
          <w:left w:w="0" w:type="dxa"/>
          <w:bottom w:w="0" w:type="dxa"/>
          <w:right w:w="0" w:type="dxa"/>
        </w:tblCellMar>
      </w:tblPr>
      <w:tblGrid>
        <w:gridCol w:w="1065"/>
        <w:gridCol w:w="1065"/>
        <w:gridCol w:w="1874"/>
        <w:gridCol w:w="824"/>
        <w:gridCol w:w="1065"/>
        <w:gridCol w:w="1065"/>
        <w:gridCol w:w="1066"/>
        <w:gridCol w:w="1066"/>
      </w:tblGrid>
      <w:tr>
        <w:tblPrEx>
          <w:shd w:val="clear" w:color="auto" w:fill="auto"/>
          <w:tblCellMar>
            <w:top w:w="0" w:type="dxa"/>
            <w:left w:w="0" w:type="dxa"/>
            <w:bottom w:w="0" w:type="dxa"/>
            <w:right w:w="0" w:type="dxa"/>
          </w:tblCellMar>
        </w:tblPrEx>
        <w:trPr>
          <w:trHeight w:val="285" w:hRule="atLeast"/>
        </w:trPr>
        <w:tc>
          <w:tcPr>
            <w:tcW w:w="909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报价单</w:t>
            </w:r>
          </w:p>
        </w:tc>
      </w:tr>
      <w:tr>
        <w:tblPrEx>
          <w:shd w:val="clear" w:color="auto" w:fill="auto"/>
          <w:tblCellMar>
            <w:top w:w="0" w:type="dxa"/>
            <w:left w:w="0" w:type="dxa"/>
            <w:bottom w:w="0" w:type="dxa"/>
            <w:right w:w="0" w:type="dxa"/>
          </w:tblCellMar>
        </w:tblPrEx>
        <w:trPr>
          <w:trHeight w:val="570" w:hRule="atLeast"/>
        </w:trPr>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材料名称</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规格型号</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品牌</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单价（</w:t>
            </w:r>
            <w:r>
              <w:rPr>
                <w:rFonts w:hint="eastAsia" w:ascii="宋体" w:hAnsi="宋体" w:cs="宋体"/>
                <w:b/>
                <w:i w:val="0"/>
                <w:color w:val="000000"/>
                <w:kern w:val="0"/>
                <w:sz w:val="21"/>
                <w:szCs w:val="21"/>
                <w:u w:val="none"/>
                <w:lang w:val="en-US" w:eastAsia="zh-CN" w:bidi="ar"/>
              </w:rPr>
              <w:t xml:space="preserve">元 </w:t>
            </w:r>
            <w:r>
              <w:rPr>
                <w:rFonts w:hint="eastAsia" w:ascii="宋体" w:hAnsi="宋体" w:eastAsia="宋体" w:cs="宋体"/>
                <w:b/>
                <w:i w:val="0"/>
                <w:color w:val="000000"/>
                <w:kern w:val="0"/>
                <w:sz w:val="21"/>
                <w:szCs w:val="21"/>
                <w:u w:val="none"/>
                <w:lang w:val="en-US" w:eastAsia="zh-CN" w:bidi="ar"/>
              </w:rPr>
              <w:t>不含税）</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数量</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合计</w:t>
            </w:r>
            <w:r>
              <w:rPr>
                <w:rFonts w:hint="eastAsia" w:ascii="宋体" w:hAnsi="宋体" w:cs="宋体"/>
                <w:b/>
                <w:i w:val="0"/>
                <w:color w:val="000000"/>
                <w:kern w:val="0"/>
                <w:sz w:val="21"/>
                <w:szCs w:val="21"/>
                <w:u w:val="none"/>
                <w:lang w:val="en-US" w:eastAsia="zh-CN" w:bidi="ar"/>
              </w:rPr>
              <w:t>（元 不含税）</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备注</w:t>
            </w:r>
          </w:p>
        </w:tc>
      </w:tr>
      <w:tr>
        <w:tblPrEx>
          <w:shd w:val="clear" w:color="auto" w:fill="auto"/>
          <w:tblCellMar>
            <w:top w:w="0" w:type="dxa"/>
            <w:left w:w="0" w:type="dxa"/>
            <w:bottom w:w="0" w:type="dxa"/>
            <w:right w:w="0" w:type="dxa"/>
          </w:tblCellMar>
        </w:tblPrEx>
        <w:trPr>
          <w:trHeight w:val="285" w:hRule="atLeast"/>
        </w:trPr>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四可装置</w:t>
            </w:r>
          </w:p>
        </w:tc>
        <w:tc>
          <w:tcPr>
            <w:tcW w:w="1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非标</w:t>
            </w: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lang w:val="en-US" w:eastAsia="zh-CN"/>
              </w:rPr>
            </w:pPr>
            <w:r>
              <w:rPr>
                <w:rFonts w:hint="eastAsia" w:ascii="宋体" w:hAnsi="宋体" w:cs="宋体"/>
                <w:i w:val="0"/>
                <w:color w:val="000000"/>
                <w:sz w:val="21"/>
                <w:szCs w:val="21"/>
                <w:u w:val="none"/>
                <w:lang w:val="en-US" w:eastAsia="zh-CN"/>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285" w:hRule="atLeast"/>
        </w:trPr>
        <w:tc>
          <w:tcPr>
            <w:tcW w:w="695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小计</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bookmarkStart w:id="48" w:name="_GoBack"/>
            <w:r>
              <w:rPr>
                <w:rFonts w:hint="eastAsia" w:ascii="宋体" w:hAnsi="宋体" w:eastAsia="宋体" w:cs="宋体"/>
                <w:b/>
                <w:i w:val="0"/>
                <w:color w:val="000000"/>
                <w:kern w:val="0"/>
                <w:sz w:val="21"/>
                <w:szCs w:val="21"/>
                <w:u w:val="none"/>
                <w:lang w:val="en-US" w:eastAsia="zh-CN" w:bidi="ar"/>
              </w:rPr>
              <w:t>0</w:t>
            </w:r>
            <w:bookmarkEnd w:id="48"/>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r>
      <w:tr>
        <w:tblPrEx>
          <w:shd w:val="clear" w:color="auto" w:fill="auto"/>
          <w:tblCellMar>
            <w:top w:w="0" w:type="dxa"/>
            <w:left w:w="0" w:type="dxa"/>
            <w:bottom w:w="0" w:type="dxa"/>
            <w:right w:w="0" w:type="dxa"/>
          </w:tblCellMar>
        </w:tblPrEx>
        <w:trPr>
          <w:trHeight w:val="285" w:hRule="atLeast"/>
        </w:trPr>
        <w:tc>
          <w:tcPr>
            <w:tcW w:w="909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其他费用</w:t>
            </w:r>
          </w:p>
        </w:tc>
      </w:tr>
      <w:tr>
        <w:tblPrEx>
          <w:shd w:val="clear" w:color="auto" w:fill="auto"/>
          <w:tblCellMar>
            <w:top w:w="0" w:type="dxa"/>
            <w:left w:w="0" w:type="dxa"/>
            <w:bottom w:w="0" w:type="dxa"/>
            <w:right w:w="0" w:type="dxa"/>
          </w:tblCellMar>
        </w:tblPrEx>
        <w:trPr>
          <w:trHeight w:val="285" w:hRule="atLeast"/>
        </w:trPr>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3763" w:type="dxa"/>
            <w:gridSpan w:val="3"/>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项目</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单价（</w:t>
            </w:r>
            <w:r>
              <w:rPr>
                <w:rFonts w:hint="eastAsia" w:ascii="宋体" w:hAnsi="宋体" w:cs="宋体"/>
                <w:b/>
                <w:i w:val="0"/>
                <w:color w:val="000000"/>
                <w:kern w:val="0"/>
                <w:sz w:val="21"/>
                <w:szCs w:val="21"/>
                <w:u w:val="none"/>
                <w:lang w:val="en-US" w:eastAsia="zh-CN" w:bidi="ar"/>
              </w:rPr>
              <w:t xml:space="preserve">元 </w:t>
            </w:r>
            <w:r>
              <w:rPr>
                <w:rFonts w:hint="eastAsia" w:ascii="宋体" w:hAnsi="宋体" w:eastAsia="宋体" w:cs="宋体"/>
                <w:b/>
                <w:i w:val="0"/>
                <w:color w:val="000000"/>
                <w:kern w:val="0"/>
                <w:sz w:val="21"/>
                <w:szCs w:val="21"/>
                <w:u w:val="none"/>
                <w:lang w:val="en-US" w:eastAsia="zh-CN" w:bidi="ar"/>
              </w:rPr>
              <w:t>不含税</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数量</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合计</w:t>
            </w:r>
            <w:r>
              <w:rPr>
                <w:rFonts w:hint="eastAsia" w:ascii="宋体" w:hAnsi="宋体" w:cs="宋体"/>
                <w:b/>
                <w:i w:val="0"/>
                <w:color w:val="000000"/>
                <w:kern w:val="0"/>
                <w:sz w:val="21"/>
                <w:szCs w:val="21"/>
                <w:u w:val="none"/>
                <w:lang w:val="en-US" w:eastAsia="zh-CN" w:bidi="ar"/>
              </w:rPr>
              <w:t>（元 不含税）</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备注</w:t>
            </w:r>
          </w:p>
        </w:tc>
      </w:tr>
      <w:tr>
        <w:tblPrEx>
          <w:shd w:val="clear" w:color="auto" w:fill="auto"/>
          <w:tblCellMar>
            <w:top w:w="0" w:type="dxa"/>
            <w:left w:w="0" w:type="dxa"/>
            <w:bottom w:w="0" w:type="dxa"/>
            <w:right w:w="0" w:type="dxa"/>
          </w:tblCellMar>
        </w:tblPrEx>
        <w:trPr>
          <w:trHeight w:val="940" w:hRule="atLeast"/>
        </w:trPr>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376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现场安装，三方网关转发并调试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285" w:hRule="atLeast"/>
        </w:trPr>
        <w:tc>
          <w:tcPr>
            <w:tcW w:w="695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小计</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0</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r>
      <w:tr>
        <w:tblPrEx>
          <w:shd w:val="clear" w:color="auto" w:fill="auto"/>
          <w:tblCellMar>
            <w:top w:w="0" w:type="dxa"/>
            <w:left w:w="0" w:type="dxa"/>
            <w:bottom w:w="0" w:type="dxa"/>
            <w:right w:w="0" w:type="dxa"/>
          </w:tblCellMar>
        </w:tblPrEx>
        <w:trPr>
          <w:trHeight w:val="285" w:hRule="atLeast"/>
        </w:trPr>
        <w:tc>
          <w:tcPr>
            <w:tcW w:w="695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不含税总计</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 xml:space="preserve">0.00 </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r>
      <w:tr>
        <w:tblPrEx>
          <w:shd w:val="clear" w:color="auto" w:fill="auto"/>
          <w:tblCellMar>
            <w:top w:w="0" w:type="dxa"/>
            <w:left w:w="0" w:type="dxa"/>
            <w:bottom w:w="0" w:type="dxa"/>
            <w:right w:w="0" w:type="dxa"/>
          </w:tblCellMar>
        </w:tblPrEx>
        <w:trPr>
          <w:trHeight w:val="285" w:hRule="atLeast"/>
        </w:trPr>
        <w:tc>
          <w:tcPr>
            <w:tcW w:w="695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税费（税率13%）</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285" w:hRule="atLeast"/>
        </w:trPr>
        <w:tc>
          <w:tcPr>
            <w:tcW w:w="695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含税总计</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w:t>
            </w:r>
          </w:p>
        </w:tc>
        <w:tc>
          <w:tcPr>
            <w:tcW w:w="10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bl>
    <w:p>
      <w:pPr>
        <w:rPr>
          <w:rFonts w:hint="eastAsia" w:ascii="宋体" w:hAnsi="宋体" w:eastAsia="宋体" w:cs="宋体"/>
          <w:sz w:val="24"/>
          <w:szCs w:val="24"/>
        </w:rPr>
      </w:pPr>
    </w:p>
    <w:p>
      <w:pPr>
        <w:spacing w:line="400" w:lineRule="exact"/>
        <w:rPr>
          <w:rFonts w:hint="eastAsia" w:ascii="宋体" w:hAnsi="宋体" w:eastAsia="宋体" w:cs="宋体"/>
          <w:szCs w:val="21"/>
        </w:rPr>
      </w:pPr>
      <w:r>
        <w:rPr>
          <w:rFonts w:hint="eastAsia" w:ascii="宋体" w:hAnsi="宋体" w:eastAsia="宋体" w:cs="宋体"/>
          <w:b/>
          <w:bCs/>
          <w:szCs w:val="21"/>
        </w:rPr>
        <w:t>注：</w:t>
      </w:r>
    </w:p>
    <w:p>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pPr>
        <w:spacing w:line="300" w:lineRule="auto"/>
        <w:rPr>
          <w:rFonts w:hint="eastAsia" w:ascii="宋体" w:hAnsi="宋体" w:eastAsia="宋体" w:cs="宋体"/>
          <w:b/>
          <w:bCs/>
          <w:szCs w:val="21"/>
        </w:rPr>
      </w:pPr>
      <w:r>
        <w:rPr>
          <w:rFonts w:hint="eastAsia" w:ascii="宋体" w:hAnsi="宋体" w:eastAsia="宋体" w:cs="宋体"/>
          <w:b/>
          <w:bCs/>
          <w:szCs w:val="21"/>
        </w:rPr>
        <w:t>2.此表在投递标书时请单独密封两份，否则不予唱标。</w:t>
      </w:r>
    </w:p>
    <w:p>
      <w:pPr>
        <w:spacing w:line="300" w:lineRule="auto"/>
        <w:rPr>
          <w:rFonts w:hint="eastAsia" w:ascii="宋体" w:hAnsi="宋体" w:eastAsia="宋体" w:cs="宋体"/>
          <w:b/>
          <w:szCs w:val="20"/>
        </w:rPr>
      </w:pPr>
      <w:r>
        <w:rPr>
          <w:rFonts w:hint="eastAsia" w:ascii="宋体" w:hAnsi="宋体" w:eastAsia="宋体" w:cs="宋体"/>
          <w:b/>
          <w:szCs w:val="20"/>
        </w:rPr>
        <w:t>3.需写明含税价、不含税价格、税率。</w:t>
      </w:r>
    </w:p>
    <w:p>
      <w:pPr>
        <w:pStyle w:val="14"/>
        <w:rPr>
          <w:rFonts w:hint="eastAsia" w:ascii="宋体" w:hAnsi="宋体" w:eastAsia="宋体" w:cs="宋体"/>
          <w:b/>
          <w:bCs/>
          <w:szCs w:val="21"/>
          <w:highlight w:val="yellow"/>
        </w:rPr>
      </w:pPr>
      <w:r>
        <w:rPr>
          <w:rFonts w:hint="eastAsia" w:ascii="宋体" w:hAnsi="宋体" w:eastAsia="宋体" w:cs="宋体"/>
          <w:b/>
          <w:szCs w:val="20"/>
          <w:highlight w:val="yellow"/>
        </w:rPr>
        <w:t>4.</w:t>
      </w:r>
      <w:r>
        <w:rPr>
          <w:rFonts w:hint="eastAsia" w:ascii="宋体" w:hAnsi="宋体" w:eastAsia="宋体" w:cs="宋体"/>
          <w:b/>
          <w:bCs/>
          <w:szCs w:val="21"/>
          <w:highlight w:val="yellow"/>
        </w:rPr>
        <w:t>投标总价包括设备费、调试费、备品备件、特殊工具、运杂费、装卸费、技术服务费、保险费及增值税和其它税费。</w:t>
      </w:r>
    </w:p>
    <w:p>
      <w:pPr>
        <w:spacing w:line="660" w:lineRule="exact"/>
        <w:rPr>
          <w:rFonts w:hint="eastAsia" w:ascii="宋体" w:hAnsi="宋体" w:eastAsia="宋体" w:cs="宋体"/>
          <w:sz w:val="24"/>
          <w:szCs w:val="20"/>
        </w:rPr>
      </w:pPr>
      <w:r>
        <w:rPr>
          <w:rFonts w:hint="eastAsia" w:ascii="宋体" w:hAnsi="宋体" w:eastAsia="宋体" w:cs="宋体"/>
          <w:sz w:val="24"/>
          <w:szCs w:val="20"/>
        </w:rPr>
        <w:t>投标人：（盖章）</w:t>
      </w:r>
    </w:p>
    <w:p>
      <w:pPr>
        <w:spacing w:line="660" w:lineRule="exact"/>
        <w:rPr>
          <w:rFonts w:hint="eastAsia" w:ascii="宋体" w:hAnsi="宋体" w:eastAsia="宋体" w:cs="宋体"/>
          <w:sz w:val="24"/>
          <w:szCs w:val="20"/>
        </w:rPr>
      </w:pPr>
      <w:r>
        <w:rPr>
          <w:rFonts w:hint="eastAsia" w:ascii="宋体" w:hAnsi="宋体" w:eastAsia="宋体" w:cs="宋体"/>
          <w:sz w:val="24"/>
          <w:szCs w:val="20"/>
        </w:rPr>
        <w:t>法定代表人（委托代理人）：（签字）</w:t>
      </w:r>
    </w:p>
    <w:p>
      <w:pPr>
        <w:spacing w:line="660" w:lineRule="exact"/>
        <w:rPr>
          <w:rFonts w:hint="eastAsia" w:ascii="宋体" w:hAnsi="宋体" w:eastAsia="宋体" w:cs="宋体"/>
          <w:sz w:val="24"/>
          <w:szCs w:val="20"/>
        </w:rPr>
      </w:pPr>
      <w:r>
        <w:rPr>
          <w:rFonts w:hint="eastAsia" w:ascii="宋体" w:hAnsi="宋体" w:eastAsia="宋体" w:cs="宋体"/>
          <w:sz w:val="24"/>
          <w:szCs w:val="20"/>
        </w:rPr>
        <w:t>日期：年月日</w:t>
      </w:r>
    </w:p>
    <w:p>
      <w:pPr>
        <w:ind w:firstLine="480"/>
        <w:rPr>
          <w:rFonts w:hint="eastAsia" w:ascii="宋体" w:hAnsi="宋体" w:eastAsia="宋体" w:cs="宋体"/>
          <w:color w:val="000000"/>
          <w:sz w:val="24"/>
          <w:szCs w:val="24"/>
        </w:rPr>
      </w:pPr>
    </w:p>
    <w:p>
      <w:pPr>
        <w:pStyle w:val="14"/>
        <w:rPr>
          <w:rFonts w:hint="eastAsia" w:ascii="宋体" w:hAnsi="宋体" w:eastAsia="宋体" w:cs="宋体"/>
        </w:rPr>
        <w:sectPr>
          <w:pgSz w:w="11906" w:h="16838"/>
          <w:pgMar w:top="1588" w:right="1418" w:bottom="1134" w:left="1418" w:header="851" w:footer="992" w:gutter="0"/>
          <w:cols w:space="720" w:num="1"/>
          <w:titlePg/>
          <w:docGrid w:type="lines" w:linePitch="312" w:charSpace="0"/>
        </w:sectPr>
      </w:pPr>
    </w:p>
    <w:p>
      <w:pPr>
        <w:keepNext/>
        <w:keepLines/>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附件10商务条款偏离表</w:t>
      </w:r>
    </w:p>
    <w:p>
      <w:pPr>
        <w:rPr>
          <w:rFonts w:hint="eastAsia" w:ascii="宋体" w:hAnsi="宋体" w:eastAsia="宋体" w:cs="宋体"/>
          <w:szCs w:val="20"/>
        </w:rPr>
      </w:pP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hint="eastAsia" w:ascii="宋体" w:hAnsi="宋体" w:eastAsia="宋体" w:cs="宋体"/>
                <w:b/>
                <w:szCs w:val="20"/>
                <w:lang w:eastAsia="zh-CN"/>
              </w:rPr>
            </w:pPr>
            <w:r>
              <w:rPr>
                <w:rFonts w:hint="eastAsia" w:ascii="宋体" w:hAnsi="宋体" w:eastAsia="宋体" w:cs="宋体"/>
                <w:spacing w:val="-5"/>
                <w:sz w:val="24"/>
                <w:szCs w:val="24"/>
                <w:u w:val="single"/>
                <w:lang w:eastAsia="zh-CN"/>
              </w:rPr>
              <w:t>济南轻卡制造公司光伏发电系统增加“四可”装置项目</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pPr>
              <w:jc w:val="center"/>
              <w:rPr>
                <w:rFonts w:hint="eastAsia" w:ascii="宋体" w:hAnsi="宋体" w:eastAsia="宋体" w:cs="宋体"/>
                <w:b/>
                <w:szCs w:val="20"/>
              </w:rPr>
            </w:pPr>
            <w:r>
              <w:rPr>
                <w:rFonts w:hint="eastAsia" w:ascii="宋体" w:hAnsi="宋体" w:eastAsia="宋体" w:cs="宋体"/>
                <w:b/>
                <w:szCs w:val="20"/>
              </w:rPr>
              <w:t>是否偏离</w:t>
            </w:r>
          </w:p>
          <w:p>
            <w:pPr>
              <w:jc w:val="center"/>
              <w:rPr>
                <w:rFonts w:hint="eastAsia" w:ascii="宋体" w:hAnsi="宋体" w:eastAsia="宋体" w:cs="宋体"/>
                <w:b/>
                <w:szCs w:val="20"/>
              </w:rPr>
            </w:pPr>
            <w:r>
              <w:rPr>
                <w:rFonts w:hint="eastAsia" w:ascii="宋体" w:hAnsi="宋体" w:eastAsia="宋体" w:cs="宋体"/>
                <w:b/>
                <w:szCs w:val="20"/>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hint="eastAsia" w:ascii="宋体" w:hAnsi="宋体" w:eastAsia="宋体" w:cs="宋体"/>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p>
        </w:tc>
        <w:tc>
          <w:tcPr>
            <w:tcW w:w="1645" w:type="dxa"/>
            <w:tcBorders>
              <w:top w:val="single" w:color="auto" w:sz="4" w:space="0"/>
              <w:left w:val="single" w:color="auto" w:sz="4" w:space="0"/>
              <w:bottom w:val="single" w:color="auto" w:sz="4" w:space="0"/>
            </w:tcBorders>
            <w:vAlign w:val="center"/>
          </w:tcPr>
          <w:p>
            <w:pPr>
              <w:jc w:val="center"/>
              <w:rPr>
                <w:rFonts w:hint="eastAsia" w:ascii="宋体" w:hAnsi="宋体" w:eastAsia="宋体" w:cs="宋体"/>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hint="eastAsia" w:ascii="宋体" w:hAnsi="宋体" w:eastAsia="宋体" w:cs="宋体"/>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p>
        </w:tc>
        <w:tc>
          <w:tcPr>
            <w:tcW w:w="1645" w:type="dxa"/>
            <w:tcBorders>
              <w:top w:val="single" w:color="auto" w:sz="4" w:space="0"/>
              <w:left w:val="single" w:color="auto" w:sz="4" w:space="0"/>
              <w:bottom w:val="single" w:color="auto" w:sz="4" w:space="0"/>
            </w:tcBorders>
            <w:vAlign w:val="center"/>
          </w:tcPr>
          <w:p>
            <w:pPr>
              <w:jc w:val="center"/>
              <w:rPr>
                <w:rFonts w:hint="eastAsia" w:ascii="宋体" w:hAnsi="宋体" w:eastAsia="宋体" w:cs="宋体"/>
                <w:b/>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hint="eastAsia" w:ascii="宋体" w:hAnsi="宋体" w:eastAsia="宋体" w:cs="宋体"/>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b/>
                <w:szCs w:val="21"/>
              </w:rPr>
            </w:pPr>
          </w:p>
        </w:tc>
        <w:tc>
          <w:tcPr>
            <w:tcW w:w="2885"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b/>
                <w:szCs w:val="21"/>
              </w:rPr>
            </w:pPr>
          </w:p>
        </w:tc>
        <w:tc>
          <w:tcPr>
            <w:tcW w:w="1645" w:type="dxa"/>
            <w:tcBorders>
              <w:top w:val="single" w:color="auto" w:sz="4" w:space="0"/>
              <w:left w:val="single" w:color="auto" w:sz="4" w:space="0"/>
              <w:bottom w:val="single" w:color="auto" w:sz="4" w:space="0"/>
            </w:tcBorders>
            <w:vAlign w:val="center"/>
          </w:tcPr>
          <w:p>
            <w:pPr>
              <w:jc w:val="center"/>
              <w:rPr>
                <w:rFonts w:hint="eastAsia" w:ascii="宋体" w:hAnsi="宋体" w:eastAsia="宋体" w:cs="宋体"/>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hint="eastAsia" w:ascii="宋体" w:hAnsi="宋体" w:eastAsia="宋体" w:cs="宋体"/>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1"/>
              </w:rPr>
            </w:pPr>
          </w:p>
        </w:tc>
        <w:tc>
          <w:tcPr>
            <w:tcW w:w="1645" w:type="dxa"/>
            <w:tcBorders>
              <w:top w:val="single" w:color="auto" w:sz="4" w:space="0"/>
              <w:left w:val="single" w:color="auto" w:sz="4" w:space="0"/>
              <w:bottom w:val="single" w:color="auto" w:sz="4" w:space="0"/>
            </w:tcBorders>
            <w:vAlign w:val="center"/>
          </w:tcPr>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1"/>
              </w:rPr>
            </w:pPr>
          </w:p>
          <w:p>
            <w:pPr>
              <w:jc w:val="center"/>
              <w:rPr>
                <w:rFonts w:hint="eastAsia" w:ascii="宋体" w:hAnsi="宋体" w:eastAsia="宋体" w:cs="宋体"/>
                <w:b/>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pPr>
              <w:jc w:val="center"/>
              <w:rPr>
                <w:rFonts w:hint="eastAsia" w:ascii="宋体" w:hAnsi="宋体" w:eastAsia="宋体" w:cs="宋体"/>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szCs w:val="20"/>
              </w:rPr>
            </w:pPr>
          </w:p>
        </w:tc>
        <w:tc>
          <w:tcPr>
            <w:tcW w:w="1645" w:type="dxa"/>
            <w:tcBorders>
              <w:top w:val="single" w:color="auto" w:sz="4" w:space="0"/>
              <w:left w:val="single" w:color="auto" w:sz="4" w:space="0"/>
              <w:bottom w:val="single" w:color="auto" w:sz="4" w:space="0"/>
            </w:tcBorders>
            <w:vAlign w:val="center"/>
          </w:tcPr>
          <w:p>
            <w:pPr>
              <w:jc w:val="center"/>
              <w:rPr>
                <w:rFonts w:hint="eastAsia" w:ascii="宋体" w:hAnsi="宋体" w:eastAsia="宋体" w:cs="宋体"/>
                <w:b/>
                <w:szCs w:val="20"/>
              </w:rPr>
            </w:pPr>
          </w:p>
        </w:tc>
      </w:tr>
    </w:tbl>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投标人名称：授权代表签字：日期：</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注：为避免歧义，无偏离也应要提报该表，并注明“无”字。如无该表则即使在其它部分已反映，将也被视为“无偏离”。</w:t>
      </w:r>
    </w:p>
    <w:p>
      <w:pPr>
        <w:rPr>
          <w:rFonts w:hint="eastAsia" w:ascii="宋体" w:hAnsi="宋体" w:eastAsia="宋体" w:cs="宋体"/>
          <w:szCs w:val="20"/>
        </w:rPr>
      </w:pPr>
    </w:p>
    <w:p>
      <w:pPr>
        <w:rPr>
          <w:rFonts w:hint="eastAsia" w:ascii="宋体" w:hAnsi="宋体" w:eastAsia="宋体" w:cs="宋体"/>
          <w:b/>
          <w:bCs/>
          <w:color w:val="000000"/>
          <w:sz w:val="28"/>
          <w:szCs w:val="20"/>
        </w:rPr>
        <w:sectPr>
          <w:footerReference r:id="rId19" w:type="default"/>
          <w:pgSz w:w="11906" w:h="16838"/>
          <w:pgMar w:top="1588" w:right="1418" w:bottom="1134" w:left="1418" w:header="851" w:footer="992" w:gutter="0"/>
          <w:cols w:space="720" w:num="1"/>
          <w:titlePg/>
          <w:docGrid w:type="lines" w:linePitch="312" w:charSpace="0"/>
        </w:sectPr>
      </w:pPr>
    </w:p>
    <w:p>
      <w:pPr>
        <w:spacing w:before="110" w:line="227" w:lineRule="auto"/>
        <w:ind w:left="29"/>
        <w:outlineLvl w:val="2"/>
        <w:rPr>
          <w:rFonts w:hint="eastAsia" w:ascii="宋体" w:hAnsi="宋体" w:eastAsia="宋体" w:cs="宋体"/>
          <w:sz w:val="24"/>
          <w:szCs w:val="24"/>
        </w:rPr>
      </w:pPr>
      <w:r>
        <w:rPr>
          <w:rFonts w:hint="eastAsia" w:ascii="宋体" w:hAnsi="宋体" w:eastAsia="宋体" w:cs="宋体"/>
          <w:b/>
          <w:bCs/>
          <w:color w:val="000000"/>
          <w:sz w:val="24"/>
          <w:szCs w:val="24"/>
        </w:rPr>
        <w:t>附件11 投标人承诺</w:t>
      </w:r>
    </w:p>
    <w:p>
      <w:pPr>
        <w:spacing w:line="272" w:lineRule="auto"/>
        <w:rPr>
          <w:rFonts w:hint="eastAsia" w:ascii="宋体" w:hAnsi="宋体" w:eastAsia="宋体" w:cs="宋体"/>
        </w:rPr>
      </w:pPr>
    </w:p>
    <w:p>
      <w:pPr>
        <w:spacing w:before="75" w:line="228" w:lineRule="auto"/>
        <w:ind w:left="134"/>
        <w:rPr>
          <w:rFonts w:hint="eastAsia" w:ascii="宋体" w:hAnsi="宋体" w:eastAsia="宋体" w:cs="宋体"/>
          <w:sz w:val="24"/>
          <w:szCs w:val="24"/>
          <w:lang w:eastAsia="zh-CN"/>
        </w:rPr>
      </w:pPr>
      <w:r>
        <w:rPr>
          <w:rFonts w:hint="eastAsia" w:ascii="宋体" w:hAnsi="宋体" w:eastAsia="宋体" w:cs="宋体"/>
          <w:spacing w:val="-10"/>
          <w:sz w:val="24"/>
          <w:szCs w:val="24"/>
        </w:rPr>
        <w:t>项</w:t>
      </w:r>
      <w:r>
        <w:rPr>
          <w:rFonts w:hint="eastAsia" w:ascii="宋体" w:hAnsi="宋体" w:eastAsia="宋体" w:cs="宋体"/>
          <w:spacing w:val="-9"/>
          <w:sz w:val="24"/>
          <w:szCs w:val="24"/>
        </w:rPr>
        <w:t>目</w:t>
      </w:r>
      <w:r>
        <w:rPr>
          <w:rFonts w:hint="eastAsia" w:ascii="宋体" w:hAnsi="宋体" w:eastAsia="宋体" w:cs="宋体"/>
          <w:spacing w:val="-5"/>
          <w:sz w:val="24"/>
          <w:szCs w:val="24"/>
        </w:rPr>
        <w:t>名称：</w:t>
      </w:r>
      <w:r>
        <w:rPr>
          <w:rFonts w:hint="eastAsia" w:ascii="宋体" w:hAnsi="宋体" w:eastAsia="宋体" w:cs="宋体"/>
          <w:spacing w:val="-5"/>
          <w:sz w:val="24"/>
          <w:szCs w:val="24"/>
          <w:u w:val="single"/>
          <w:lang w:eastAsia="zh-CN"/>
        </w:rPr>
        <w:t>济南轻卡制造公司光伏发电系统增加“四可”装置项目</w:t>
      </w:r>
    </w:p>
    <w:p>
      <w:pPr>
        <w:spacing w:before="306" w:line="227" w:lineRule="auto"/>
        <w:ind w:left="205"/>
        <w:rPr>
          <w:rFonts w:hint="eastAsia" w:ascii="宋体" w:hAnsi="宋体" w:eastAsia="宋体" w:cs="宋体"/>
          <w:sz w:val="24"/>
          <w:szCs w:val="24"/>
        </w:rPr>
      </w:pPr>
      <w:r>
        <w:rPr>
          <w:rFonts w:hint="eastAsia" w:ascii="宋体" w:hAnsi="宋体" w:eastAsia="宋体" w:cs="宋体"/>
          <w:spacing w:val="-4"/>
          <w:sz w:val="24"/>
          <w:szCs w:val="24"/>
        </w:rPr>
        <w:t xml:space="preserve">日期： </w:t>
      </w:r>
      <w:r>
        <w:rPr>
          <w:rFonts w:hint="eastAsia" w:ascii="宋体" w:hAnsi="宋体" w:eastAsia="宋体" w:cs="宋体"/>
          <w:spacing w:val="-2"/>
          <w:sz w:val="24"/>
          <w:szCs w:val="24"/>
        </w:rPr>
        <w:t xml:space="preserve">   年   月   日</w:t>
      </w:r>
    </w:p>
    <w:p>
      <w:pPr>
        <w:rPr>
          <w:rFonts w:hint="eastAsia" w:ascii="宋体" w:hAnsi="宋体" w:eastAsia="宋体" w:cs="宋体"/>
        </w:rPr>
      </w:pPr>
    </w:p>
    <w:p>
      <w:pPr>
        <w:spacing w:line="109" w:lineRule="exact"/>
        <w:rPr>
          <w:rFonts w:hint="eastAsia" w:ascii="宋体" w:hAnsi="宋体" w:eastAsia="宋体" w:cs="宋体"/>
        </w:rPr>
      </w:pPr>
    </w:p>
    <w:tbl>
      <w:tblPr>
        <w:tblStyle w:val="117"/>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pPr>
              <w:spacing w:before="52" w:line="227" w:lineRule="auto"/>
              <w:ind w:left="128"/>
              <w:rPr>
                <w:rFonts w:hint="eastAsia" w:ascii="宋体" w:hAnsi="宋体" w:eastAsia="宋体" w:cs="宋体"/>
                <w:kern w:val="0"/>
                <w:sz w:val="24"/>
                <w:szCs w:val="24"/>
              </w:rPr>
            </w:pPr>
            <w:r>
              <w:rPr>
                <w:rFonts w:hint="eastAsia" w:ascii="宋体" w:hAnsi="宋体" w:eastAsia="宋体" w:cs="宋体"/>
                <w:spacing w:val="5"/>
                <w:kern w:val="0"/>
                <w:sz w:val="24"/>
                <w:szCs w:val="24"/>
              </w:rPr>
              <w:t>投</w:t>
            </w:r>
            <w:r>
              <w:rPr>
                <w:rFonts w:hint="eastAsia" w:ascii="宋体" w:hAnsi="宋体" w:eastAsia="宋体" w:cs="宋体"/>
                <w:spacing w:val="3"/>
                <w:kern w:val="0"/>
                <w:sz w:val="24"/>
                <w:szCs w:val="24"/>
              </w:rPr>
              <w:t>标人承诺：</w:t>
            </w:r>
          </w:p>
          <w:p>
            <w:pPr>
              <w:spacing w:before="48" w:line="391" w:lineRule="auto"/>
              <w:ind w:left="125" w:right="115" w:firstLine="491"/>
              <w:rPr>
                <w:rFonts w:hint="eastAsia" w:ascii="宋体" w:hAnsi="宋体" w:eastAsia="宋体" w:cs="宋体"/>
                <w:kern w:val="0"/>
                <w:sz w:val="23"/>
                <w:szCs w:val="23"/>
              </w:rPr>
            </w:pPr>
            <w:r>
              <w:rPr>
                <w:rFonts w:hint="eastAsia" w:ascii="宋体" w:hAnsi="宋体" w:eastAsia="宋体" w:cs="宋体"/>
                <w:spacing w:val="38"/>
                <w:kern w:val="0"/>
                <w:sz w:val="24"/>
                <w:szCs w:val="24"/>
              </w:rPr>
              <w:t>我</w:t>
            </w:r>
            <w:r>
              <w:rPr>
                <w:rFonts w:hint="eastAsia" w:ascii="宋体" w:hAnsi="宋体" w:eastAsia="宋体" w:cs="宋体"/>
                <w:spacing w:val="21"/>
                <w:kern w:val="0"/>
                <w:sz w:val="24"/>
                <w:szCs w:val="24"/>
              </w:rPr>
              <w:t>公司承诺遵守贵公司由于招标人公司政策变化引起的随时终止项目的要求并</w:t>
            </w:r>
            <w:r>
              <w:rPr>
                <w:rFonts w:hint="eastAsia" w:ascii="宋体" w:hAnsi="宋体" w:eastAsia="宋体" w:cs="宋体"/>
                <w:spacing w:val="12"/>
                <w:kern w:val="0"/>
                <w:sz w:val="24"/>
                <w:szCs w:val="24"/>
              </w:rPr>
              <w:t>承</w:t>
            </w:r>
            <w:r>
              <w:rPr>
                <w:rFonts w:hint="eastAsia" w:ascii="宋体" w:hAnsi="宋体" w:eastAsia="宋体" w:cs="宋体"/>
                <w:spacing w:val="6"/>
                <w:kern w:val="0"/>
                <w:sz w:val="24"/>
                <w:szCs w:val="24"/>
              </w:rPr>
              <w:t>担由此带来的一切损失</w:t>
            </w:r>
            <w:r>
              <w:rPr>
                <w:rFonts w:hint="eastAsia" w:ascii="宋体" w:hAnsi="宋体" w:eastAsia="宋体" w:cs="宋体"/>
                <w:spacing w:val="6"/>
                <w:kern w:val="0"/>
                <w:sz w:val="23"/>
                <w:szCs w:val="23"/>
              </w:rPr>
              <w:t>。</w:t>
            </w:r>
          </w:p>
        </w:tc>
      </w:tr>
    </w:tbl>
    <w:p>
      <w:pPr>
        <w:keepNext/>
        <w:keepLines/>
        <w:rPr>
          <w:rFonts w:hint="eastAsia" w:ascii="宋体" w:hAnsi="宋体" w:eastAsia="宋体" w:cs="宋体"/>
          <w:b/>
          <w:bCs/>
          <w:color w:val="000000"/>
          <w:sz w:val="24"/>
          <w:szCs w:val="24"/>
        </w:rPr>
      </w:pPr>
    </w:p>
    <w:p>
      <w:pPr>
        <w:spacing w:before="75" w:line="227" w:lineRule="auto"/>
        <w:ind w:left="135"/>
        <w:rPr>
          <w:rFonts w:hint="eastAsia" w:ascii="宋体" w:hAnsi="宋体" w:eastAsia="宋体" w:cs="宋体"/>
          <w:spacing w:val="-2"/>
          <w:sz w:val="24"/>
          <w:szCs w:val="24"/>
        </w:rPr>
      </w:pPr>
    </w:p>
    <w:p>
      <w:pPr>
        <w:spacing w:before="75" w:line="227" w:lineRule="auto"/>
        <w:ind w:left="135"/>
        <w:rPr>
          <w:rFonts w:hint="eastAsia" w:ascii="宋体" w:hAnsi="宋体" w:eastAsia="宋体" w:cs="宋体"/>
          <w:spacing w:val="-2"/>
          <w:sz w:val="24"/>
          <w:szCs w:val="24"/>
        </w:rPr>
      </w:pPr>
    </w:p>
    <w:p>
      <w:pPr>
        <w:spacing w:before="75" w:line="227" w:lineRule="auto"/>
        <w:ind w:left="135"/>
        <w:rPr>
          <w:rFonts w:hint="eastAsia" w:ascii="宋体" w:hAnsi="宋体" w:eastAsia="宋体" w:cs="宋体"/>
          <w:sz w:val="24"/>
          <w:szCs w:val="24"/>
        </w:rPr>
        <w:sectPr>
          <w:footerReference r:id="rId20" w:type="default"/>
          <w:pgSz w:w="11906" w:h="16839"/>
          <w:pgMar w:top="1431" w:right="1417" w:bottom="1179" w:left="1304" w:header="850" w:footer="992" w:gutter="0"/>
          <w:cols w:space="720" w:num="1"/>
        </w:sectPr>
      </w:pPr>
      <w:r>
        <w:rPr>
          <w:rFonts w:hint="eastAsia" w:ascii="宋体" w:hAnsi="宋体" w:eastAsia="宋体" w:cs="宋体"/>
          <w:spacing w:val="-2"/>
          <w:sz w:val="24"/>
          <w:szCs w:val="24"/>
        </w:rPr>
        <w:t>投标人名称 (盖章)：                法定代表人或授权代表(签字</w:t>
      </w:r>
      <w:r>
        <w:rPr>
          <w:rFonts w:hint="eastAsia" w:ascii="宋体" w:hAnsi="宋体" w:eastAsia="宋体" w:cs="宋体"/>
          <w:sz w:val="24"/>
          <w:szCs w:val="24"/>
        </w:rPr>
        <w:t>)：</w:t>
      </w:r>
    </w:p>
    <w:p>
      <w:pPr>
        <w:keepNext/>
        <w:keepLines/>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附件12服务承诺函</w:t>
      </w:r>
    </w:p>
    <w:p>
      <w:pPr>
        <w:spacing w:line="240" w:lineRule="exact"/>
        <w:jc w:val="center"/>
        <w:rPr>
          <w:rFonts w:hint="eastAsia" w:ascii="宋体" w:hAnsi="宋体" w:eastAsia="宋体" w:cs="宋体"/>
          <w:b/>
          <w:bCs/>
          <w:sz w:val="36"/>
          <w:szCs w:val="20"/>
        </w:rPr>
      </w:pPr>
    </w:p>
    <w:p>
      <w:pPr>
        <w:spacing w:line="360" w:lineRule="auto"/>
        <w:rPr>
          <w:rFonts w:hint="eastAsia" w:ascii="宋体" w:hAnsi="宋体" w:eastAsia="宋体" w:cs="宋体"/>
          <w:sz w:val="24"/>
          <w:szCs w:val="20"/>
          <w:lang w:eastAsia="zh-CN"/>
        </w:rPr>
      </w:pPr>
      <w:r>
        <w:rPr>
          <w:rFonts w:hint="eastAsia" w:ascii="宋体" w:hAnsi="宋体" w:eastAsia="宋体" w:cs="宋体"/>
          <w:sz w:val="24"/>
          <w:szCs w:val="20"/>
        </w:rPr>
        <w:t>项目名称：</w:t>
      </w:r>
      <w:r>
        <w:rPr>
          <w:rFonts w:hint="eastAsia" w:ascii="宋体" w:hAnsi="宋体" w:eastAsia="宋体" w:cs="宋体"/>
          <w:spacing w:val="-5"/>
          <w:sz w:val="24"/>
          <w:szCs w:val="24"/>
          <w:u w:val="single"/>
          <w:lang w:eastAsia="zh-CN"/>
        </w:rPr>
        <w:t>济南轻卡制造公司光伏发电系统增加“四可”装置项目</w:t>
      </w:r>
    </w:p>
    <w:p>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中国重汽集团济南商用车有限公司：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我代表（投标人名称）对中标合同产品的服务作如下承诺：</w:t>
      </w: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sz w:val="24"/>
          <w:szCs w:val="20"/>
          <w:u w:val="single"/>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日期：年月日</w:t>
      </w:r>
    </w:p>
    <w:p>
      <w:pPr>
        <w:rPr>
          <w:rFonts w:hint="eastAsia" w:ascii="宋体" w:hAnsi="宋体" w:eastAsia="宋体" w:cs="宋体"/>
          <w:b/>
          <w:bCs/>
          <w:color w:val="000000"/>
          <w:sz w:val="28"/>
          <w:szCs w:val="20"/>
        </w:rPr>
      </w:pPr>
    </w:p>
    <w:p>
      <w:pPr>
        <w:pStyle w:val="14"/>
        <w:rPr>
          <w:rFonts w:hint="eastAsia" w:ascii="宋体" w:hAnsi="宋体" w:eastAsia="宋体" w:cs="宋体"/>
          <w:b/>
          <w:bCs/>
          <w:color w:val="000000"/>
          <w:sz w:val="28"/>
          <w:szCs w:val="20"/>
        </w:rPr>
      </w:pPr>
    </w:p>
    <w:p>
      <w:pPr>
        <w:outlineLvl w:val="2"/>
        <w:rPr>
          <w:rFonts w:hint="eastAsia" w:ascii="宋体" w:hAnsi="宋体" w:eastAsia="宋体" w:cs="宋体"/>
          <w:szCs w:val="20"/>
        </w:rPr>
      </w:pPr>
      <w:r>
        <w:rPr>
          <w:rFonts w:hint="eastAsia" w:ascii="宋体" w:hAnsi="宋体" w:eastAsia="宋体" w:cs="宋体"/>
          <w:szCs w:val="20"/>
        </w:rPr>
        <w:br w:type="page"/>
      </w:r>
      <w:r>
        <w:rPr>
          <w:rFonts w:hint="eastAsia" w:ascii="宋体" w:hAnsi="宋体" w:eastAsia="宋体" w:cs="宋体"/>
          <w:b/>
          <w:bCs/>
          <w:color w:val="000000"/>
          <w:sz w:val="24"/>
          <w:szCs w:val="24"/>
        </w:rPr>
        <w:t>附件13 投标文件封面及封口格式</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封面格式：</w:t>
      </w:r>
    </w:p>
    <w:tbl>
      <w:tblPr>
        <w:tblStyle w:val="3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60" w:type="dxa"/>
          </w:tcPr>
          <w:p>
            <w:pPr>
              <w:jc w:val="center"/>
              <w:rPr>
                <w:rFonts w:hint="eastAsia" w:ascii="宋体" w:hAnsi="宋体" w:eastAsia="宋体" w:cs="宋体"/>
                <w:b/>
                <w:szCs w:val="20"/>
              </w:rPr>
            </w:pPr>
          </w:p>
          <w:p>
            <w:pPr>
              <w:jc w:val="center"/>
              <w:rPr>
                <w:rFonts w:hint="eastAsia" w:ascii="宋体" w:hAnsi="宋体" w:eastAsia="宋体" w:cs="宋体"/>
                <w:b/>
                <w:sz w:val="30"/>
                <w:szCs w:val="30"/>
              </w:rPr>
            </w:pPr>
            <w:r>
              <w:rPr>
                <w:rFonts w:hint="eastAsia" w:ascii="宋体" w:hAnsi="宋体" w:eastAsia="宋体" w:cs="宋体"/>
                <w:b/>
                <w:sz w:val="30"/>
                <w:szCs w:val="30"/>
              </w:rPr>
              <w:t>技术/资质/商务文件</w:t>
            </w:r>
          </w:p>
          <w:p>
            <w:pPr>
              <w:rPr>
                <w:rFonts w:hint="eastAsia" w:ascii="宋体" w:hAnsi="宋体" w:eastAsia="宋体" w:cs="宋体"/>
                <w:b/>
                <w:sz w:val="30"/>
                <w:szCs w:val="30"/>
              </w:rPr>
            </w:pPr>
          </w:p>
          <w:p>
            <w:pPr>
              <w:jc w:val="center"/>
              <w:rPr>
                <w:rFonts w:hint="eastAsia" w:ascii="宋体" w:hAnsi="宋体" w:eastAsia="宋体" w:cs="宋体"/>
                <w:b/>
                <w:sz w:val="30"/>
                <w:szCs w:val="30"/>
              </w:rPr>
            </w:pPr>
            <w:r>
              <w:rPr>
                <w:rFonts w:hint="eastAsia" w:ascii="宋体" w:hAnsi="宋体" w:eastAsia="宋体" w:cs="宋体"/>
                <w:b/>
                <w:sz w:val="30"/>
                <w:szCs w:val="30"/>
              </w:rPr>
              <w:t>（1正本/</w:t>
            </w:r>
            <w:r>
              <w:rPr>
                <w:rFonts w:hint="eastAsia" w:ascii="宋体" w:hAnsi="宋体" w:eastAsia="宋体" w:cs="宋体"/>
                <w:b/>
                <w:sz w:val="30"/>
                <w:szCs w:val="30"/>
                <w:u w:val="single"/>
              </w:rPr>
              <w:t>0</w:t>
            </w:r>
            <w:r>
              <w:rPr>
                <w:rFonts w:hint="eastAsia" w:ascii="宋体" w:hAnsi="宋体" w:eastAsia="宋体" w:cs="宋体"/>
                <w:b/>
                <w:sz w:val="30"/>
                <w:szCs w:val="30"/>
              </w:rPr>
              <w:t>副本）</w:t>
            </w:r>
          </w:p>
          <w:p>
            <w:pPr>
              <w:jc w:val="center"/>
              <w:rPr>
                <w:rFonts w:hint="eastAsia" w:ascii="宋体" w:hAnsi="宋体" w:eastAsia="宋体" w:cs="宋体"/>
                <w:b/>
                <w:szCs w:val="20"/>
              </w:rPr>
            </w:pPr>
          </w:p>
          <w:p>
            <w:pPr>
              <w:jc w:val="center"/>
              <w:rPr>
                <w:rFonts w:hint="eastAsia" w:ascii="宋体" w:hAnsi="宋体" w:eastAsia="宋体" w:cs="宋体"/>
                <w:b/>
                <w:szCs w:val="20"/>
              </w:rPr>
            </w:pPr>
          </w:p>
          <w:p>
            <w:pPr>
              <w:jc w:val="center"/>
              <w:rPr>
                <w:rFonts w:hint="eastAsia" w:ascii="宋体" w:hAnsi="宋体" w:eastAsia="宋体" w:cs="宋体"/>
                <w:sz w:val="24"/>
                <w:szCs w:val="20"/>
                <w:u w:val="single"/>
                <w:lang w:eastAsia="zh-CN"/>
              </w:rPr>
            </w:pPr>
            <w:r>
              <w:rPr>
                <w:rFonts w:hint="eastAsia" w:ascii="宋体" w:hAnsi="宋体" w:eastAsia="宋体" w:cs="宋体"/>
                <w:b/>
                <w:szCs w:val="20"/>
              </w:rPr>
              <w:t>项目名称：</w:t>
            </w:r>
            <w:r>
              <w:rPr>
                <w:rFonts w:hint="eastAsia" w:ascii="宋体" w:hAnsi="宋体" w:eastAsia="宋体" w:cs="宋体"/>
                <w:spacing w:val="-5"/>
                <w:sz w:val="24"/>
                <w:szCs w:val="24"/>
                <w:u w:val="single"/>
                <w:lang w:eastAsia="zh-CN"/>
              </w:rPr>
              <w:t>济南轻卡制造公司光伏发电系统增加“四可”装置项目</w:t>
            </w:r>
          </w:p>
          <w:p>
            <w:pPr>
              <w:jc w:val="center"/>
              <w:rPr>
                <w:rFonts w:hint="eastAsia" w:ascii="宋体" w:hAnsi="宋体" w:eastAsia="宋体" w:cs="宋体"/>
                <w:b/>
                <w:szCs w:val="20"/>
              </w:rPr>
            </w:pPr>
            <w:r>
              <w:rPr>
                <w:rFonts w:hint="eastAsia" w:ascii="宋体" w:hAnsi="宋体" w:eastAsia="宋体" w:cs="宋体"/>
                <w:b/>
                <w:szCs w:val="20"/>
              </w:rPr>
              <w:t>投标人名称（公章）：</w:t>
            </w:r>
          </w:p>
          <w:p>
            <w:pPr>
              <w:jc w:val="center"/>
              <w:rPr>
                <w:rFonts w:hint="eastAsia" w:ascii="宋体" w:hAnsi="宋体" w:eastAsia="宋体" w:cs="宋体"/>
                <w:b/>
                <w:szCs w:val="20"/>
              </w:rPr>
            </w:pPr>
            <w:r>
              <w:rPr>
                <w:rFonts w:hint="eastAsia" w:ascii="宋体" w:hAnsi="宋体" w:eastAsia="宋体" w:cs="宋体"/>
                <w:b/>
                <w:szCs w:val="20"/>
              </w:rPr>
              <w:t>地址：</w:t>
            </w:r>
          </w:p>
          <w:p>
            <w:pPr>
              <w:jc w:val="center"/>
              <w:rPr>
                <w:rFonts w:hint="eastAsia" w:ascii="宋体" w:hAnsi="宋体" w:eastAsia="宋体" w:cs="宋体"/>
                <w:b/>
                <w:szCs w:val="20"/>
              </w:rPr>
            </w:pPr>
            <w:r>
              <w:rPr>
                <w:rFonts w:hint="eastAsia" w:ascii="宋体" w:hAnsi="宋体" w:eastAsia="宋体" w:cs="宋体"/>
                <w:b/>
                <w:szCs w:val="20"/>
              </w:rPr>
              <w:t>授权代表电话：</w:t>
            </w:r>
          </w:p>
          <w:p>
            <w:pPr>
              <w:jc w:val="center"/>
              <w:rPr>
                <w:rFonts w:hint="eastAsia" w:ascii="宋体" w:hAnsi="宋体" w:eastAsia="宋体" w:cs="宋体"/>
                <w:b/>
                <w:szCs w:val="20"/>
              </w:rPr>
            </w:pPr>
            <w:r>
              <w:rPr>
                <w:rFonts w:hint="eastAsia" w:ascii="宋体" w:hAnsi="宋体" w:eastAsia="宋体" w:cs="宋体"/>
                <w:b/>
                <w:szCs w:val="20"/>
              </w:rPr>
              <w:t>传真：</w:t>
            </w:r>
          </w:p>
          <w:p>
            <w:pPr>
              <w:jc w:val="center"/>
              <w:rPr>
                <w:rFonts w:hint="eastAsia" w:ascii="宋体" w:hAnsi="宋体" w:eastAsia="宋体" w:cs="宋体"/>
                <w:b/>
                <w:szCs w:val="20"/>
              </w:rPr>
            </w:pPr>
          </w:p>
          <w:p>
            <w:pPr>
              <w:jc w:val="center"/>
              <w:rPr>
                <w:rFonts w:hint="eastAsia" w:ascii="宋体" w:hAnsi="宋体" w:eastAsia="宋体" w:cs="宋体"/>
                <w:b/>
                <w:szCs w:val="20"/>
              </w:rPr>
            </w:pPr>
          </w:p>
        </w:tc>
      </w:tr>
    </w:tbl>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投标人名称：授权代表签字：日期：</w:t>
      </w:r>
    </w:p>
    <w:p>
      <w:pPr>
        <w:pStyle w:val="14"/>
        <w:rPr>
          <w:rFonts w:hint="eastAsia" w:ascii="宋体" w:hAnsi="宋体" w:eastAsia="宋体" w:cs="宋体"/>
        </w:rPr>
      </w:pPr>
    </w:p>
    <w:p>
      <w:pPr>
        <w:spacing w:line="360" w:lineRule="auto"/>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附件14技术要求承诺书</w:t>
      </w:r>
    </w:p>
    <w:p>
      <w:pPr>
        <w:spacing w:line="360" w:lineRule="auto"/>
        <w:rPr>
          <w:rFonts w:hint="eastAsia" w:ascii="宋体" w:hAnsi="宋体" w:eastAsia="宋体" w:cs="宋体"/>
          <w:sz w:val="24"/>
          <w:szCs w:val="20"/>
          <w:u w:val="single"/>
          <w:lang w:eastAsia="zh-CN"/>
        </w:rPr>
      </w:pPr>
      <w:r>
        <w:rPr>
          <w:rFonts w:hint="eastAsia" w:ascii="宋体" w:hAnsi="宋体" w:eastAsia="宋体" w:cs="宋体"/>
          <w:sz w:val="24"/>
          <w:szCs w:val="20"/>
        </w:rPr>
        <w:t>项目名称：</w:t>
      </w:r>
      <w:r>
        <w:rPr>
          <w:rFonts w:hint="eastAsia" w:ascii="宋体" w:hAnsi="宋体" w:eastAsia="宋体" w:cs="宋体"/>
          <w:spacing w:val="-5"/>
          <w:sz w:val="24"/>
          <w:szCs w:val="24"/>
          <w:u w:val="single"/>
          <w:lang w:eastAsia="zh-CN"/>
        </w:rPr>
        <w:t>济南轻卡制造公司光伏发电系统增加“四可”装置项目</w:t>
      </w:r>
    </w:p>
    <w:p>
      <w:pPr>
        <w:spacing w:line="360" w:lineRule="auto"/>
        <w:rPr>
          <w:rFonts w:hint="eastAsia" w:ascii="宋体" w:hAnsi="宋体" w:eastAsia="宋体" w:cs="宋体"/>
          <w:b/>
          <w:bCs/>
          <w:sz w:val="24"/>
          <w:szCs w:val="20"/>
          <w:highlight w:val="red"/>
        </w:rPr>
      </w:pPr>
      <w:r>
        <w:rPr>
          <w:rFonts w:hint="eastAsia" w:ascii="宋体" w:hAnsi="宋体" w:eastAsia="宋体" w:cs="宋体"/>
          <w:b/>
          <w:bCs/>
          <w:sz w:val="24"/>
          <w:szCs w:val="20"/>
        </w:rPr>
        <w:t>中国重汽集团济南商用车有限公司：</w:t>
      </w:r>
    </w:p>
    <w:p>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我代表（投标单位名称）对中标合同产品的服务作如下承诺：</w:t>
      </w:r>
    </w:p>
    <w:p>
      <w:pPr>
        <w:pStyle w:val="4"/>
        <w:tabs>
          <w:tab w:val="right" w:leader="dot" w:pos="9061"/>
        </w:tabs>
        <w:rPr>
          <w:rFonts w:hint="eastAsia" w:ascii="宋体" w:hAnsi="宋体" w:eastAsia="宋体" w:cs="宋体"/>
          <w:szCs w:val="24"/>
        </w:rPr>
      </w:pPr>
      <w:r>
        <w:rPr>
          <w:rFonts w:hint="eastAsia" w:ascii="宋体" w:hAnsi="宋体" w:eastAsia="宋体" w:cs="宋体"/>
          <w:szCs w:val="24"/>
        </w:rPr>
        <w:t>我司提供的产品完全相应并满足本次项目招标文件的技术要求。</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pPr>
        <w:pStyle w:val="4"/>
        <w:tabs>
          <w:tab w:val="right" w:leader="dot" w:pos="9061"/>
        </w:tabs>
        <w:rPr>
          <w:rFonts w:hint="eastAsia" w:ascii="宋体" w:hAnsi="宋体" w:eastAsia="宋体" w:cs="宋体"/>
        </w:rPr>
      </w:pP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pPr>
        <w:spacing w:line="360" w:lineRule="auto"/>
        <w:ind w:firstLine="480" w:firstLineChars="200"/>
        <w:rPr>
          <w:rFonts w:hint="eastAsia" w:ascii="宋体" w:hAnsi="宋体" w:eastAsia="宋体" w:cs="宋体"/>
          <w:color w:val="000000"/>
          <w:sz w:val="24"/>
          <w:szCs w:val="24"/>
          <w:lang w:val="en-US"/>
        </w:rPr>
      </w:pPr>
      <w:r>
        <w:rPr>
          <w:rFonts w:hint="eastAsia" w:ascii="宋体" w:hAnsi="宋体" w:eastAsia="宋体" w:cs="宋体"/>
          <w:color w:val="000000"/>
          <w:sz w:val="24"/>
          <w:szCs w:val="24"/>
        </w:rPr>
        <w:t>日  期：       年    月    日</w:t>
      </w:r>
    </w:p>
    <w:sectPr>
      <w:headerReference r:id="rId22" w:type="first"/>
      <w:footerReference r:id="rId24" w:type="first"/>
      <w:headerReference r:id="rId21" w:type="default"/>
      <w:footerReference r:id="rId23"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oYlDwQAgAACQQAAA4AAABkcnMvZTJvRG9jLnhtbK1TzY7TMBC+I/EO&#10;lu80aVes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KGJQ8EAIAAAkEAAAOAAAAAAAAAAEAIAAA&#10;AB8BAABkcnMvZTJvRG9jLnhtbFBLBQYAAAAABgAGAFkBAACh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20650" cy="15494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20650" cy="154940"/>
                      </a:xfrm>
                      <a:prstGeom prst="rect">
                        <a:avLst/>
                      </a:prstGeom>
                      <a:noFill/>
                      <a:ln w="6350">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2pt;width:9.5pt;mso-position-horizontal:center;mso-position-horizontal-relative:margin;mso-wrap-style:none;z-index:251666432;mso-width-relative:page;mso-height-relative:page;" filled="f" stroked="f" coordsize="21600,21600" o:gfxdata="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lX4/fRAAAAAwEAAA8AAAAAAAAAAQAgAAAAIgAA&#10;AGRycy9kb3ducmV2LnhtbFBLAQIUABQAAAAIAIdO4kCoSSHeDwIAAAcEAAAOAAAAAAAAAAEAIAAA&#10;ACABAABkcnMvZTJvRG9jLnhtbFBLBQYAAAAABgAGAFkBAACh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ANl+6YPAgAACQQAAA4AAAAAAAAAAQAgAAAA&#10;HwEAAGRycy9lMm9Eb2MueG1sUEsFBgAAAAAGAAYAWQEAAKA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20650" cy="15494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20650" cy="154940"/>
                      </a:xfrm>
                      <a:prstGeom prst="rect">
                        <a:avLst/>
                      </a:prstGeom>
                      <a:noFill/>
                      <a:ln w="6350">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2pt;width:9.5pt;mso-position-horizontal:center;mso-position-horizontal-relative:margin;mso-wrap-style:none;z-index:251667456;mso-width-relative:page;mso-height-relative:page;" filled="f" stroked="f" coordsize="21600,21600" o:gfxdata="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JV+P30QAAAAMBAAAPAAAAAAAAAAEAIAAAACIA&#10;AABkcnMvZG93bnJldi54bWxQSwECFAAUAAAACACHTuJAsAvdgBACAAAHBAAADgAAAAAAAAABACAA&#10;AAAgAQAAZHJzL2Uyb0RvYy54bWxQSwUGAAAAAAYABgBZAQAAog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17</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ind w:left="6857"/>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20650" cy="15494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20650" cy="154940"/>
                      </a:xfrm>
                      <a:prstGeom prst="rect">
                        <a:avLst/>
                      </a:prstGeom>
                      <a:noFill/>
                      <a:ln w="6350">
                        <a:noFill/>
                      </a:ln>
                    </wps:spPr>
                    <wps:txbx>
                      <w:txbxContent>
                        <w:p>
                          <w:pPr>
                            <w:pStyle w:val="18"/>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2pt;width:9.5pt;mso-position-horizontal:center;mso-position-horizontal-relative:margin;mso-wrap-style:none;z-index:251668480;mso-width-relative:page;mso-height-relative:page;" filled="f" stroked="f" coordsize="21600,21600" o:gfxdata="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Vfj99EAAAADAQAADwAAAAAAAAABACAAAAAi&#10;AAAAZHJzL2Rvd25yZXYueG1sUEsBAhQAFAAAAAgAh07iQLY5fpsRAgAABwQAAA4AAAAAAAAAAQAg&#10;AAAAIAEAAGRycy9lMm9Eb2MueG1sUEsFBgAAAAAGAAYAWQEAAKMFA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rFonts w:hint="eastAsia"/>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pPr>
      <w:pStyle w:val="18"/>
      <w:jc w:val="center"/>
    </w:pPr>
  </w:p>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4"/>
      </w:rPr>
    </w:pPr>
    <w:r>
      <w:fldChar w:fldCharType="begin"/>
    </w:r>
    <w:r>
      <w:rPr>
        <w:rStyle w:val="34"/>
      </w:rPr>
      <w:instrText xml:space="preserve">PAGE  </w:instrText>
    </w:r>
    <w:r>
      <w:fldChar w:fldCharType="end"/>
    </w:r>
  </w:p>
  <w:p>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rPr>
                              <w:rFonts w:hint="eastAsia"/>
                            </w:rPr>
                          </w:pPr>
                          <w:r>
                            <w:fldChar w:fldCharType="begin"/>
                          </w:r>
                          <w:r>
                            <w:instrText xml:space="preserve"> PAGE  \* MERGEFORMAT </w:instrText>
                          </w:r>
                          <w:r>
                            <w:fldChar w:fldCharType="separate"/>
                          </w:r>
                          <w:r>
                            <w:t>- 165 -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PippUISAgAACQQAAA4AAAAAAAAAAQAg&#10;AAAAHwEAAGRycy9lMm9Eb2MueG1sUEsFBgAAAAAGAAYAWQEAAKMFAAAAAA==&#10;">
              <v:fill on="f" focussize="0,0"/>
              <v:stroke on="f" weight="0.5pt"/>
              <v:imagedata o:title=""/>
              <o:lock v:ext="edit" aspectratio="f"/>
              <v:textbox inset="0mm,0mm,0mm,0mm" style="mso-fit-shape-to-text:t;">
                <w:txbxContent>
                  <w:p>
                    <w:pPr>
                      <w:pStyle w:val="18"/>
                      <w:rPr>
                        <w:rFonts w:hint="eastAsia"/>
                      </w:rPr>
                    </w:pPr>
                    <w:r>
                      <w:fldChar w:fldCharType="begin"/>
                    </w:r>
                    <w:r>
                      <w:instrText xml:space="preserve"> PAGE  \* MERGEFORMAT </w:instrText>
                    </w:r>
                    <w:r>
                      <w:fldChar w:fldCharType="separate"/>
                    </w:r>
                    <w:r>
                      <w:t>- 165 -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rPr>
                              <w:rFonts w:hint="eastAsia"/>
                            </w:rPr>
                          </w:pPr>
                          <w:r>
                            <w:fldChar w:fldCharType="begin"/>
                          </w:r>
                          <w:r>
                            <w:instrText xml:space="preserve"> PAGE  \* MERGEFORMAT </w:instrText>
                          </w:r>
                          <w:r>
                            <w:fldChar w:fldCharType="separate"/>
                          </w:r>
                          <w:r>
                            <w:t>- 163 -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e13J/BECAAAJBAAADgAAAAAAAAABACAA&#10;AAAfAQAAZHJzL2Uyb0RvYy54bWxQSwUGAAAAAAYABgBZAQAAogUAAAAA&#10;">
              <v:fill on="f" focussize="0,0"/>
              <v:stroke on="f" weight="0.5pt"/>
              <v:imagedata o:title=""/>
              <o:lock v:ext="edit" aspectratio="f"/>
              <v:textbox inset="0mm,0mm,0mm,0mm" style="mso-fit-shape-to-text:t;">
                <w:txbxContent>
                  <w:p>
                    <w:pPr>
                      <w:pStyle w:val="18"/>
                      <w:rPr>
                        <w:rFonts w:hint="eastAsia"/>
                      </w:rPr>
                    </w:pPr>
                    <w:r>
                      <w:fldChar w:fldCharType="begin"/>
                    </w:r>
                    <w:r>
                      <w:instrText xml:space="preserve"> PAGE  \* MERGEFORMAT </w:instrText>
                    </w:r>
                    <w:r>
                      <w:fldChar w:fldCharType="separate"/>
                    </w:r>
                    <w:r>
                      <w:t>- 163 -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20650" cy="15494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20650" cy="154940"/>
                      </a:xfrm>
                      <a:prstGeom prst="rect">
                        <a:avLst/>
                      </a:prstGeom>
                      <a:noFill/>
                      <a:ln w="6350">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2pt;width:9.5pt;mso-position-horizontal:center;mso-position-horizontal-relative:margin;mso-wrap-style:none;z-index:251660288;mso-width-relative:page;mso-height-relative:page;" filled="f" stroked="f" coordsize="21600,21600" o:gfxdata="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JV+P30QAAAAMBAAAPAAAAAAAAAAEAIAAAACIA&#10;AABkcnMvZG93bnJldi54bWxQSwECFAAUAAAACACHTuJA5wSYwxACAAAFBAAADgAAAAAAAAABACAA&#10;AAAgAQAAZHJzL2Uyb0RvYy54bWxQSwUGAAAAAAYABgBZAQAAog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20650" cy="15494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20650" cy="154940"/>
                      </a:xfrm>
                      <a:prstGeom prst="rect">
                        <a:avLst/>
                      </a:prstGeom>
                      <a:noFill/>
                      <a:ln w="6350">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2pt;width:9.5pt;mso-position-horizontal:center;mso-position-horizontal-relative:margin;mso-wrap-style:none;z-index:251664384;mso-width-relative:page;mso-height-relative:page;" filled="f" stroked="f" coordsize="21600,21600" o:gfxdata="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lX4/fRAAAAAwEAAA8AAAAAAAAAAQAgAAAAIgAA&#10;AGRycy9kb3ducmV2LnhtbFBLAQIUABQAAAAIAIdO4kCby/tFDwIAAAUEAAAOAAAAAAAAAAEAIAAA&#10;ACABAABkcnMvZTJvRG9jLnhtbFBLBQYAAAAABgAGAFkBAAChBQ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DMrwO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&#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GoMyvA4CAAAJ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20650" cy="15494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20650" cy="154940"/>
                      </a:xfrm>
                      <a:prstGeom prst="rect">
                        <a:avLst/>
                      </a:prstGeom>
                      <a:noFill/>
                      <a:ln w="6350">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2pt;width:9.5pt;mso-position-horizontal:center;mso-position-horizontal-relative:margin;mso-wrap-style:none;z-index:251665408;mso-width-relative:page;mso-height-relative:page;" filled="f" stroked="f" coordsize="21600,21600" o:gfxdata="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Vfj99EAAAADAQAADwAAAAAAAAABACAAAAAi&#10;AAAAZHJzL2Rvd25yZXYueG1sUEsBAhQAFAAAAAgAh07iQFV9NC4RAgAABwQAAA4AAAAAAAAAAQAg&#10;AAAAIAEAAGRycy9lMm9Eb2MueG1sUEsFBgAAAAAGAAYAWQEAAKM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rFonts w:hint="eastAsia"/>
      </w:rPr>
    </w:pPr>
  </w:p>
  <w:p>
    <w:pPr>
      <w:pStyle w:val="19"/>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single" w:color="auto" w:sz="12" w:space="9"/>
      </w:pBdr>
      <w:jc w:val="both"/>
    </w:pPr>
    <w:r>
      <w:object>
        <v:shape id="_x0000_i1025" o:spt="75" type="#_x0000_t75" style="height:28.5pt;width:112.9pt;" o:ole="t" filled="f" stroked="f" coordsize="21600,21600">
          <v:path/>
          <v:fill on="f" focussize="0,0"/>
          <v:stroke on="f"/>
          <v:imagedata r:id="rId2" o:title=""/>
          <o:lock v:ext="edit" grouping="f" rotation="f" text="f" aspectratio="t"/>
          <w10:wrap type="none"/>
          <w10:anchorlock/>
        </v:shape>
        <o:OLEObject Type="Embed" ProgID="PBrush" ShapeID="_x0000_i1025" DrawAspect="Content" ObjectID="_1468075725" r:id="rId1">
          <o:LockedField>false</o:LockedField>
        </o:OLEObject>
      </w:object>
    </w:r>
    <w:r>
      <w:rPr>
        <w:rFonts w:hint="eastAsia" w:ascii="黑体" w:eastAsia="黑体"/>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12BCEB"/>
    <w:multiLevelType w:val="singleLevel"/>
    <w:tmpl w:val="8612BCEB"/>
    <w:lvl w:ilvl="0" w:tentative="0">
      <w:start w:val="2"/>
      <w:numFmt w:val="decimal"/>
      <w:lvlText w:val="%1."/>
      <w:lvlJc w:val="left"/>
      <w:pPr>
        <w:tabs>
          <w:tab w:val="left" w:pos="312"/>
        </w:tabs>
      </w:pPr>
    </w:lvl>
  </w:abstractNum>
  <w:abstractNum w:abstractNumId="2">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B85E5BE"/>
    <w:multiLevelType w:val="multilevel"/>
    <w:tmpl w:val="9B85E5BE"/>
    <w:lvl w:ilvl="0" w:tentative="0">
      <w:start w:val="1"/>
      <w:numFmt w:val="decimal"/>
      <w:lvlText w:val="%1、"/>
      <w:lvlJc w:val="left"/>
      <w:pPr>
        <w:tabs>
          <w:tab w:val="left" w:pos="840"/>
        </w:tabs>
        <w:ind w:left="840" w:hanging="36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6">
    <w:nsid w:val="B12C4597"/>
    <w:multiLevelType w:val="singleLevel"/>
    <w:tmpl w:val="B12C4597"/>
    <w:lvl w:ilvl="0" w:tentative="0">
      <w:start w:val="1"/>
      <w:numFmt w:val="decimal"/>
      <w:lvlText w:val="%1."/>
      <w:lvlJc w:val="left"/>
      <w:pPr>
        <w:ind w:left="425" w:hanging="425"/>
      </w:pPr>
      <w:rPr>
        <w:rFonts w:hint="default"/>
      </w:rPr>
    </w:lvl>
  </w:abstractNum>
  <w:abstractNum w:abstractNumId="7">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8">
    <w:nsid w:val="BD4C6742"/>
    <w:multiLevelType w:val="singleLevel"/>
    <w:tmpl w:val="BD4C6742"/>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B894AE2"/>
    <w:multiLevelType w:val="singleLevel"/>
    <w:tmpl w:val="FB894AE2"/>
    <w:lvl w:ilvl="0" w:tentative="0">
      <w:start w:val="3"/>
      <w:numFmt w:val="chineseCounting"/>
      <w:suff w:val="nothing"/>
      <w:lvlText w:val="第%1部分　"/>
      <w:lvlJc w:val="left"/>
      <w:rPr>
        <w:rFonts w:hint="eastAsia"/>
      </w:rPr>
    </w:lvl>
  </w:abstractNum>
  <w:abstractNum w:abstractNumId="12">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3">
    <w:nsid w:val="06882CE3"/>
    <w:multiLevelType w:val="multilevel"/>
    <w:tmpl w:val="06882CE3"/>
    <w:lvl w:ilvl="0" w:tentative="0">
      <w:start w:val="1"/>
      <w:numFmt w:val="decimal"/>
      <w:pStyle w:val="7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080F9E25"/>
    <w:multiLevelType w:val="singleLevel"/>
    <w:tmpl w:val="080F9E25"/>
    <w:lvl w:ilvl="0" w:tentative="0">
      <w:start w:val="1"/>
      <w:numFmt w:val="decimal"/>
      <w:lvlText w:val="%1."/>
      <w:lvlJc w:val="left"/>
      <w:pPr>
        <w:tabs>
          <w:tab w:val="left" w:pos="312"/>
        </w:tabs>
      </w:pPr>
    </w:lvl>
  </w:abstractNum>
  <w:abstractNum w:abstractNumId="15">
    <w:nsid w:val="178D3D0E"/>
    <w:multiLevelType w:val="multilevel"/>
    <w:tmpl w:val="178D3D0E"/>
    <w:lvl w:ilvl="0" w:tentative="0">
      <w:start w:val="1"/>
      <w:numFmt w:val="bullet"/>
      <w:pStyle w:val="92"/>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B770AB8"/>
    <w:multiLevelType w:val="multilevel"/>
    <w:tmpl w:val="1B770AB8"/>
    <w:lvl w:ilvl="0" w:tentative="0">
      <w:start w:val="1"/>
      <w:numFmt w:val="decimal"/>
      <w:lvlText w:val="%1、"/>
      <w:lvlJc w:val="left"/>
      <w:pPr>
        <w:tabs>
          <w:tab w:val="left" w:pos="840"/>
        </w:tabs>
        <w:ind w:left="840" w:hanging="36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7">
    <w:nsid w:val="1E7B065C"/>
    <w:multiLevelType w:val="multilevel"/>
    <w:tmpl w:val="1E7B065C"/>
    <w:lvl w:ilvl="0" w:tentative="0">
      <w:start w:val="1"/>
      <w:numFmt w:val="decimal"/>
      <w:pStyle w:val="9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8">
    <w:nsid w:val="2F477434"/>
    <w:multiLevelType w:val="multilevel"/>
    <w:tmpl w:val="2F477434"/>
    <w:lvl w:ilvl="0" w:tentative="0">
      <w:start w:val="1"/>
      <w:numFmt w:val="japaneseCounting"/>
      <w:lvlText w:val="%1、"/>
      <w:lvlJc w:val="left"/>
      <w:pPr>
        <w:ind w:left="953" w:hanging="471"/>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9">
    <w:nsid w:val="3265E1EC"/>
    <w:multiLevelType w:val="singleLevel"/>
    <w:tmpl w:val="3265E1EC"/>
    <w:lvl w:ilvl="0" w:tentative="0">
      <w:start w:val="1"/>
      <w:numFmt w:val="decimal"/>
      <w:lvlText w:val="(%1)"/>
      <w:lvlJc w:val="left"/>
      <w:pPr>
        <w:ind w:left="425" w:hanging="425"/>
      </w:pPr>
      <w:rPr>
        <w:rFonts w:hint="default"/>
      </w:rPr>
    </w:lvl>
  </w:abstractNum>
  <w:abstractNum w:abstractNumId="20">
    <w:nsid w:val="3CF6EF77"/>
    <w:multiLevelType w:val="singleLevel"/>
    <w:tmpl w:val="3CF6EF77"/>
    <w:lvl w:ilvl="0" w:tentative="0">
      <w:start w:val="1"/>
      <w:numFmt w:val="decimal"/>
      <w:lvlText w:val="%1."/>
      <w:lvlJc w:val="left"/>
      <w:pPr>
        <w:ind w:left="425" w:hanging="425"/>
      </w:pPr>
      <w:rPr>
        <w:rFonts w:hint="default"/>
      </w:rPr>
    </w:lvl>
  </w:abstractNum>
  <w:abstractNum w:abstractNumId="21">
    <w:nsid w:val="3D2537F8"/>
    <w:multiLevelType w:val="singleLevel"/>
    <w:tmpl w:val="3D2537F8"/>
    <w:lvl w:ilvl="0" w:tentative="0">
      <w:start w:val="1"/>
      <w:numFmt w:val="decimal"/>
      <w:lvlText w:val="%1."/>
      <w:lvlJc w:val="left"/>
      <w:pPr>
        <w:ind w:left="425" w:hanging="425"/>
      </w:pPr>
      <w:rPr>
        <w:rFonts w:hint="default"/>
        <w:b w:val="0"/>
        <w:bCs w:val="0"/>
        <w:color w:val="auto"/>
      </w:rPr>
    </w:lvl>
  </w:abstractNum>
  <w:abstractNum w:abstractNumId="22">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3">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520018B0"/>
    <w:multiLevelType w:val="multilevel"/>
    <w:tmpl w:val="520018B0"/>
    <w:lvl w:ilvl="0" w:tentative="0">
      <w:start w:val="1"/>
      <w:numFmt w:val="decimal"/>
      <w:pStyle w:val="75"/>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5">
    <w:nsid w:val="560F40FB"/>
    <w:multiLevelType w:val="multilevel"/>
    <w:tmpl w:val="560F40FB"/>
    <w:lvl w:ilvl="0" w:tentative="0">
      <w:start w:val="1"/>
      <w:numFmt w:val="lowerLetter"/>
      <w:pStyle w:val="102"/>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6">
    <w:nsid w:val="56D20133"/>
    <w:multiLevelType w:val="multilevel"/>
    <w:tmpl w:val="56D20133"/>
    <w:lvl w:ilvl="0" w:tentative="0">
      <w:start w:val="1"/>
      <w:numFmt w:val="chineseCountingThousand"/>
      <w:pStyle w:val="74"/>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7">
    <w:nsid w:val="5983D379"/>
    <w:multiLevelType w:val="singleLevel"/>
    <w:tmpl w:val="5983D379"/>
    <w:lvl w:ilvl="0" w:tentative="0">
      <w:start w:val="1"/>
      <w:numFmt w:val="decimal"/>
      <w:lvlText w:val="(%1)"/>
      <w:lvlJc w:val="left"/>
      <w:pPr>
        <w:ind w:left="425" w:hanging="425"/>
      </w:pPr>
      <w:rPr>
        <w:rFonts w:hint="default"/>
      </w:rPr>
    </w:lvl>
  </w:abstractNum>
  <w:abstractNum w:abstractNumId="28">
    <w:nsid w:val="656A6EAE"/>
    <w:multiLevelType w:val="multilevel"/>
    <w:tmpl w:val="656A6EAE"/>
    <w:lvl w:ilvl="0" w:tentative="0">
      <w:start w:val="1"/>
      <w:numFmt w:val="chineseCountingThousand"/>
      <w:pStyle w:val="73"/>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9">
    <w:nsid w:val="679ACEA8"/>
    <w:multiLevelType w:val="singleLevel"/>
    <w:tmpl w:val="679ACEA8"/>
    <w:lvl w:ilvl="0" w:tentative="0">
      <w:start w:val="4"/>
      <w:numFmt w:val="chineseCounting"/>
      <w:suff w:val="nothing"/>
      <w:lvlText w:val="第%1部分　"/>
      <w:lvlJc w:val="left"/>
      <w:rPr>
        <w:rFonts w:hint="eastAsia"/>
      </w:rPr>
    </w:lvl>
  </w:abstractNum>
  <w:abstractNum w:abstractNumId="30">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3"/>
  </w:num>
  <w:num w:numId="2">
    <w:abstractNumId w:val="28"/>
  </w:num>
  <w:num w:numId="3">
    <w:abstractNumId w:val="26"/>
  </w:num>
  <w:num w:numId="4">
    <w:abstractNumId w:val="24"/>
  </w:num>
  <w:num w:numId="5">
    <w:abstractNumId w:val="13"/>
  </w:num>
  <w:num w:numId="6">
    <w:abstractNumId w:val="15"/>
  </w:num>
  <w:num w:numId="7">
    <w:abstractNumId w:val="17"/>
  </w:num>
  <w:num w:numId="8">
    <w:abstractNumId w:val="25"/>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6"/>
  </w:num>
  <w:num w:numId="14">
    <w:abstractNumId w:val="0"/>
  </w:num>
  <w:num w:numId="15">
    <w:abstractNumId w:val="3"/>
  </w:num>
  <w:num w:numId="16">
    <w:abstractNumId w:val="27"/>
  </w:num>
  <w:num w:numId="17">
    <w:abstractNumId w:val="30"/>
  </w:num>
  <w:num w:numId="18">
    <w:abstractNumId w:val="19"/>
  </w:num>
  <w:num w:numId="19">
    <w:abstractNumId w:val="9"/>
  </w:num>
  <w:num w:numId="20">
    <w:abstractNumId w:val="14"/>
  </w:num>
  <w:num w:numId="21">
    <w:abstractNumId w:val="5"/>
  </w:num>
  <w:num w:numId="22">
    <w:abstractNumId w:val="2"/>
  </w:num>
  <w:num w:numId="23">
    <w:abstractNumId w:val="7"/>
  </w:num>
  <w:num w:numId="24">
    <w:abstractNumId w:val="12"/>
  </w:num>
  <w:num w:numId="25">
    <w:abstractNumId w:val="10"/>
  </w:num>
  <w:num w:numId="26">
    <w:abstractNumId w:val="22"/>
  </w:num>
  <w:num w:numId="27">
    <w:abstractNumId w:val="20"/>
  </w:num>
  <w:num w:numId="28">
    <w:abstractNumId w:val="16"/>
  </w:num>
  <w:num w:numId="29">
    <w:abstractNumId w:val="4"/>
  </w:num>
  <w:num w:numId="30">
    <w:abstractNumId w:val="1"/>
  </w:num>
  <w:num w:numId="31">
    <w:abstractNumId w:val="18"/>
  </w:num>
  <w:num w:numId="32">
    <w:abstractNumId w:val="11"/>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5NzVkY2ZiNmVhZjEwNmU0Nzc3NzJiMDMzOTNhN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2F8F"/>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317"/>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778"/>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A62"/>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6DC"/>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0A12EB"/>
    <w:rsid w:val="01317F69"/>
    <w:rsid w:val="01A670C5"/>
    <w:rsid w:val="01D34B7C"/>
    <w:rsid w:val="02CC3DCA"/>
    <w:rsid w:val="02FE76EF"/>
    <w:rsid w:val="03074550"/>
    <w:rsid w:val="03917A68"/>
    <w:rsid w:val="03F033B0"/>
    <w:rsid w:val="04365445"/>
    <w:rsid w:val="043A62FE"/>
    <w:rsid w:val="04677A9E"/>
    <w:rsid w:val="04D255BF"/>
    <w:rsid w:val="04E6106A"/>
    <w:rsid w:val="04EA2A9E"/>
    <w:rsid w:val="05097CA3"/>
    <w:rsid w:val="05115B61"/>
    <w:rsid w:val="053F30D3"/>
    <w:rsid w:val="057C1D39"/>
    <w:rsid w:val="05891259"/>
    <w:rsid w:val="061E64BE"/>
    <w:rsid w:val="06454517"/>
    <w:rsid w:val="06473D8B"/>
    <w:rsid w:val="06712F61"/>
    <w:rsid w:val="06935222"/>
    <w:rsid w:val="06DB0A8F"/>
    <w:rsid w:val="07C35693"/>
    <w:rsid w:val="08624EAC"/>
    <w:rsid w:val="08633479"/>
    <w:rsid w:val="08AC7BAA"/>
    <w:rsid w:val="08B64998"/>
    <w:rsid w:val="08D7099C"/>
    <w:rsid w:val="09576A76"/>
    <w:rsid w:val="0A811A91"/>
    <w:rsid w:val="0AA80FD1"/>
    <w:rsid w:val="0ABD3DBD"/>
    <w:rsid w:val="0ACE6829"/>
    <w:rsid w:val="0AEE0402"/>
    <w:rsid w:val="0B2414BE"/>
    <w:rsid w:val="0B2F721A"/>
    <w:rsid w:val="0B672133"/>
    <w:rsid w:val="0B6D5BA0"/>
    <w:rsid w:val="0B7A250D"/>
    <w:rsid w:val="0B842B1A"/>
    <w:rsid w:val="0BA26FE6"/>
    <w:rsid w:val="0BB2614A"/>
    <w:rsid w:val="0BC813B2"/>
    <w:rsid w:val="0BE37AEB"/>
    <w:rsid w:val="0C1B4E2D"/>
    <w:rsid w:val="0C29479A"/>
    <w:rsid w:val="0C3A4C9D"/>
    <w:rsid w:val="0C4B4DB9"/>
    <w:rsid w:val="0C560A4C"/>
    <w:rsid w:val="0CAD425D"/>
    <w:rsid w:val="0CB51572"/>
    <w:rsid w:val="0D013BBD"/>
    <w:rsid w:val="0D215336"/>
    <w:rsid w:val="0D49467A"/>
    <w:rsid w:val="0D8D4779"/>
    <w:rsid w:val="0D922EAE"/>
    <w:rsid w:val="0DA84C44"/>
    <w:rsid w:val="0DA87805"/>
    <w:rsid w:val="0DBF2A5A"/>
    <w:rsid w:val="0DE87C01"/>
    <w:rsid w:val="0DF8750B"/>
    <w:rsid w:val="0E1529C0"/>
    <w:rsid w:val="0E1F1160"/>
    <w:rsid w:val="0E4D31E3"/>
    <w:rsid w:val="0E687FA4"/>
    <w:rsid w:val="0E7A2AF5"/>
    <w:rsid w:val="0EB36946"/>
    <w:rsid w:val="0F363083"/>
    <w:rsid w:val="0F470D9F"/>
    <w:rsid w:val="0F5F0397"/>
    <w:rsid w:val="0FBA737B"/>
    <w:rsid w:val="0FF46710"/>
    <w:rsid w:val="104A11DC"/>
    <w:rsid w:val="104D78DD"/>
    <w:rsid w:val="106A7BFD"/>
    <w:rsid w:val="108D0FF4"/>
    <w:rsid w:val="10A33CD2"/>
    <w:rsid w:val="10D30D7F"/>
    <w:rsid w:val="10DC2AA3"/>
    <w:rsid w:val="10FA7C8C"/>
    <w:rsid w:val="1180177F"/>
    <w:rsid w:val="121C0361"/>
    <w:rsid w:val="12250DAF"/>
    <w:rsid w:val="12564291"/>
    <w:rsid w:val="1279575E"/>
    <w:rsid w:val="128275B2"/>
    <w:rsid w:val="12DE6AF4"/>
    <w:rsid w:val="12EC7C9C"/>
    <w:rsid w:val="130B198F"/>
    <w:rsid w:val="136E5F18"/>
    <w:rsid w:val="13767A5D"/>
    <w:rsid w:val="13F56435"/>
    <w:rsid w:val="13FF20B8"/>
    <w:rsid w:val="157E0E4B"/>
    <w:rsid w:val="15825FE4"/>
    <w:rsid w:val="16285A20"/>
    <w:rsid w:val="165A18B8"/>
    <w:rsid w:val="16750147"/>
    <w:rsid w:val="16887A83"/>
    <w:rsid w:val="16A918E4"/>
    <w:rsid w:val="16E120C9"/>
    <w:rsid w:val="16F27231"/>
    <w:rsid w:val="16F37B9A"/>
    <w:rsid w:val="16F844B6"/>
    <w:rsid w:val="174F6F43"/>
    <w:rsid w:val="17D966D6"/>
    <w:rsid w:val="17E7439E"/>
    <w:rsid w:val="184C3995"/>
    <w:rsid w:val="184F4A8A"/>
    <w:rsid w:val="185276F3"/>
    <w:rsid w:val="18736C61"/>
    <w:rsid w:val="18840350"/>
    <w:rsid w:val="18B37CB0"/>
    <w:rsid w:val="19383771"/>
    <w:rsid w:val="19533227"/>
    <w:rsid w:val="19B71113"/>
    <w:rsid w:val="19C21FF7"/>
    <w:rsid w:val="19D25732"/>
    <w:rsid w:val="1A894841"/>
    <w:rsid w:val="1A952EBF"/>
    <w:rsid w:val="1B100169"/>
    <w:rsid w:val="1B197539"/>
    <w:rsid w:val="1B6E35FC"/>
    <w:rsid w:val="1BC670A8"/>
    <w:rsid w:val="1BC71D3B"/>
    <w:rsid w:val="1C59115B"/>
    <w:rsid w:val="1C712DD7"/>
    <w:rsid w:val="1C880AA8"/>
    <w:rsid w:val="1CB34D75"/>
    <w:rsid w:val="1D6C118D"/>
    <w:rsid w:val="1DF84773"/>
    <w:rsid w:val="1E313A9F"/>
    <w:rsid w:val="1EA94B68"/>
    <w:rsid w:val="1EE44415"/>
    <w:rsid w:val="1EE65489"/>
    <w:rsid w:val="1F37270B"/>
    <w:rsid w:val="1FB23E60"/>
    <w:rsid w:val="2009229D"/>
    <w:rsid w:val="20147AF1"/>
    <w:rsid w:val="209B1C3A"/>
    <w:rsid w:val="20BB73F7"/>
    <w:rsid w:val="219C02C4"/>
    <w:rsid w:val="21AB5586"/>
    <w:rsid w:val="21D32D3B"/>
    <w:rsid w:val="21EB5ABA"/>
    <w:rsid w:val="21F00100"/>
    <w:rsid w:val="22497556"/>
    <w:rsid w:val="22896798"/>
    <w:rsid w:val="22C5630B"/>
    <w:rsid w:val="234B5430"/>
    <w:rsid w:val="235F4A5D"/>
    <w:rsid w:val="23C0352F"/>
    <w:rsid w:val="23EC0BA6"/>
    <w:rsid w:val="23F635E7"/>
    <w:rsid w:val="24613E12"/>
    <w:rsid w:val="24701A48"/>
    <w:rsid w:val="24D33BBD"/>
    <w:rsid w:val="24D44C08"/>
    <w:rsid w:val="2501253F"/>
    <w:rsid w:val="25182F2D"/>
    <w:rsid w:val="253F421C"/>
    <w:rsid w:val="25B14925"/>
    <w:rsid w:val="26094761"/>
    <w:rsid w:val="261849A4"/>
    <w:rsid w:val="26280FB8"/>
    <w:rsid w:val="2671601B"/>
    <w:rsid w:val="268B0052"/>
    <w:rsid w:val="26B40D32"/>
    <w:rsid w:val="26C9722F"/>
    <w:rsid w:val="26D741E1"/>
    <w:rsid w:val="26DD48D6"/>
    <w:rsid w:val="27743C90"/>
    <w:rsid w:val="27C2034A"/>
    <w:rsid w:val="27F43225"/>
    <w:rsid w:val="284B70D0"/>
    <w:rsid w:val="28924FC7"/>
    <w:rsid w:val="28E726AB"/>
    <w:rsid w:val="291718D0"/>
    <w:rsid w:val="29171EFA"/>
    <w:rsid w:val="29893B45"/>
    <w:rsid w:val="29B11398"/>
    <w:rsid w:val="29CA2459"/>
    <w:rsid w:val="29E8697B"/>
    <w:rsid w:val="29FF6315"/>
    <w:rsid w:val="2A994FFC"/>
    <w:rsid w:val="2A9C5BA4"/>
    <w:rsid w:val="2AAF2465"/>
    <w:rsid w:val="2ADF7238"/>
    <w:rsid w:val="2AE02E94"/>
    <w:rsid w:val="2B061D34"/>
    <w:rsid w:val="2B271A58"/>
    <w:rsid w:val="2B6304A7"/>
    <w:rsid w:val="2B822FEC"/>
    <w:rsid w:val="2B850EC3"/>
    <w:rsid w:val="2BBA7BCA"/>
    <w:rsid w:val="2C0F23A5"/>
    <w:rsid w:val="2C471F66"/>
    <w:rsid w:val="2CD02F96"/>
    <w:rsid w:val="2CF6734C"/>
    <w:rsid w:val="2CF77D44"/>
    <w:rsid w:val="2D48234A"/>
    <w:rsid w:val="2D663463"/>
    <w:rsid w:val="2D745436"/>
    <w:rsid w:val="2D7B555D"/>
    <w:rsid w:val="2DDB5965"/>
    <w:rsid w:val="2DE637F8"/>
    <w:rsid w:val="2DFB2CA9"/>
    <w:rsid w:val="2E086E00"/>
    <w:rsid w:val="2E953036"/>
    <w:rsid w:val="2EC21BE6"/>
    <w:rsid w:val="2ECB7427"/>
    <w:rsid w:val="2EF96EE4"/>
    <w:rsid w:val="3003358B"/>
    <w:rsid w:val="309E4D9E"/>
    <w:rsid w:val="30E4474C"/>
    <w:rsid w:val="30E919D6"/>
    <w:rsid w:val="30F061B7"/>
    <w:rsid w:val="310B6FCD"/>
    <w:rsid w:val="322C7769"/>
    <w:rsid w:val="328B5727"/>
    <w:rsid w:val="32E969FF"/>
    <w:rsid w:val="334577C8"/>
    <w:rsid w:val="338B2C59"/>
    <w:rsid w:val="33962B7F"/>
    <w:rsid w:val="340C2973"/>
    <w:rsid w:val="34551465"/>
    <w:rsid w:val="349F69BC"/>
    <w:rsid w:val="34B14942"/>
    <w:rsid w:val="34FE5709"/>
    <w:rsid w:val="35374E47"/>
    <w:rsid w:val="35831E3A"/>
    <w:rsid w:val="358C1F5D"/>
    <w:rsid w:val="36254FE4"/>
    <w:rsid w:val="36824F19"/>
    <w:rsid w:val="36DD66B8"/>
    <w:rsid w:val="36F9612C"/>
    <w:rsid w:val="372F537F"/>
    <w:rsid w:val="372F61E0"/>
    <w:rsid w:val="3747215A"/>
    <w:rsid w:val="385B4AD4"/>
    <w:rsid w:val="38636B0E"/>
    <w:rsid w:val="38A969F2"/>
    <w:rsid w:val="38FF3ECD"/>
    <w:rsid w:val="39177242"/>
    <w:rsid w:val="392C16C8"/>
    <w:rsid w:val="39322FCA"/>
    <w:rsid w:val="394E09B1"/>
    <w:rsid w:val="399E4428"/>
    <w:rsid w:val="3A654204"/>
    <w:rsid w:val="3AB07A8F"/>
    <w:rsid w:val="3AB90991"/>
    <w:rsid w:val="3ABA2429"/>
    <w:rsid w:val="3AF96E7D"/>
    <w:rsid w:val="3B706131"/>
    <w:rsid w:val="3B7235DF"/>
    <w:rsid w:val="3B747B99"/>
    <w:rsid w:val="3B984590"/>
    <w:rsid w:val="3BD51207"/>
    <w:rsid w:val="3BF42731"/>
    <w:rsid w:val="3C0453B5"/>
    <w:rsid w:val="3C6E7312"/>
    <w:rsid w:val="3C940DD1"/>
    <w:rsid w:val="3CC86A34"/>
    <w:rsid w:val="3CD62286"/>
    <w:rsid w:val="3CE468F1"/>
    <w:rsid w:val="3CE57A4A"/>
    <w:rsid w:val="3CEA63B8"/>
    <w:rsid w:val="3D2D1F6F"/>
    <w:rsid w:val="3D90564C"/>
    <w:rsid w:val="3E3A5BA6"/>
    <w:rsid w:val="3E5C1DEB"/>
    <w:rsid w:val="3E6F041E"/>
    <w:rsid w:val="3EFD2E9B"/>
    <w:rsid w:val="3F6B5F18"/>
    <w:rsid w:val="3F9E121D"/>
    <w:rsid w:val="3FC343A8"/>
    <w:rsid w:val="404843AC"/>
    <w:rsid w:val="40667434"/>
    <w:rsid w:val="406C0273"/>
    <w:rsid w:val="408E08DA"/>
    <w:rsid w:val="408E5B37"/>
    <w:rsid w:val="40CD56BD"/>
    <w:rsid w:val="40E439A9"/>
    <w:rsid w:val="41AC44C7"/>
    <w:rsid w:val="41F83BB0"/>
    <w:rsid w:val="42036B7C"/>
    <w:rsid w:val="42242F01"/>
    <w:rsid w:val="423821FE"/>
    <w:rsid w:val="42497BD2"/>
    <w:rsid w:val="426E4935"/>
    <w:rsid w:val="4275481E"/>
    <w:rsid w:val="428B617A"/>
    <w:rsid w:val="42D50DF4"/>
    <w:rsid w:val="42F90809"/>
    <w:rsid w:val="4320784B"/>
    <w:rsid w:val="433D7BDC"/>
    <w:rsid w:val="4364101B"/>
    <w:rsid w:val="437E1813"/>
    <w:rsid w:val="43A01F56"/>
    <w:rsid w:val="43A32416"/>
    <w:rsid w:val="43A41F82"/>
    <w:rsid w:val="448740F3"/>
    <w:rsid w:val="448B2315"/>
    <w:rsid w:val="44965297"/>
    <w:rsid w:val="44A771C7"/>
    <w:rsid w:val="45122971"/>
    <w:rsid w:val="45570C6D"/>
    <w:rsid w:val="455B31E2"/>
    <w:rsid w:val="45A81449"/>
    <w:rsid w:val="45BD47FC"/>
    <w:rsid w:val="45BF1EAB"/>
    <w:rsid w:val="45C476F1"/>
    <w:rsid w:val="45CC5FB2"/>
    <w:rsid w:val="45F91CA4"/>
    <w:rsid w:val="46477E22"/>
    <w:rsid w:val="46B75BA8"/>
    <w:rsid w:val="46BD0003"/>
    <w:rsid w:val="470B1C8F"/>
    <w:rsid w:val="470B3E00"/>
    <w:rsid w:val="4710374A"/>
    <w:rsid w:val="47245F94"/>
    <w:rsid w:val="47392CA0"/>
    <w:rsid w:val="476C2821"/>
    <w:rsid w:val="47AA7075"/>
    <w:rsid w:val="47DA11DC"/>
    <w:rsid w:val="47EB6E27"/>
    <w:rsid w:val="480F37BF"/>
    <w:rsid w:val="485B09F4"/>
    <w:rsid w:val="48C97955"/>
    <w:rsid w:val="48D01FAD"/>
    <w:rsid w:val="48D736D7"/>
    <w:rsid w:val="491F16E4"/>
    <w:rsid w:val="49880C8F"/>
    <w:rsid w:val="4A35073E"/>
    <w:rsid w:val="4A484FA8"/>
    <w:rsid w:val="4A5F2154"/>
    <w:rsid w:val="4A8204BA"/>
    <w:rsid w:val="4A8835F7"/>
    <w:rsid w:val="4AC705C3"/>
    <w:rsid w:val="4AC82096"/>
    <w:rsid w:val="4AEA4312"/>
    <w:rsid w:val="4AEB42B2"/>
    <w:rsid w:val="4AF93B3A"/>
    <w:rsid w:val="4B35377F"/>
    <w:rsid w:val="4B592E71"/>
    <w:rsid w:val="4B8464B4"/>
    <w:rsid w:val="4BB74582"/>
    <w:rsid w:val="4BE16AFA"/>
    <w:rsid w:val="4BFF5B3B"/>
    <w:rsid w:val="4C211F55"/>
    <w:rsid w:val="4CF00151"/>
    <w:rsid w:val="4D332868"/>
    <w:rsid w:val="4D6D5F10"/>
    <w:rsid w:val="4D8465BE"/>
    <w:rsid w:val="4D8E1120"/>
    <w:rsid w:val="4DAF4A8F"/>
    <w:rsid w:val="4E292F25"/>
    <w:rsid w:val="4E340CEB"/>
    <w:rsid w:val="4E52584F"/>
    <w:rsid w:val="4E654BAE"/>
    <w:rsid w:val="4E967856"/>
    <w:rsid w:val="4E973A8F"/>
    <w:rsid w:val="4EF61477"/>
    <w:rsid w:val="4F8922EB"/>
    <w:rsid w:val="4FC421F7"/>
    <w:rsid w:val="4FD92484"/>
    <w:rsid w:val="50152F21"/>
    <w:rsid w:val="506D3A82"/>
    <w:rsid w:val="507D4DC9"/>
    <w:rsid w:val="50AA12A8"/>
    <w:rsid w:val="50B93AB0"/>
    <w:rsid w:val="50DD28EE"/>
    <w:rsid w:val="50EC0D83"/>
    <w:rsid w:val="50F0041E"/>
    <w:rsid w:val="51635294"/>
    <w:rsid w:val="51986815"/>
    <w:rsid w:val="51B353FD"/>
    <w:rsid w:val="526229B6"/>
    <w:rsid w:val="529939BE"/>
    <w:rsid w:val="529B2C23"/>
    <w:rsid w:val="52B9239A"/>
    <w:rsid w:val="536A7BE8"/>
    <w:rsid w:val="537F2A9A"/>
    <w:rsid w:val="539E3807"/>
    <w:rsid w:val="53D21987"/>
    <w:rsid w:val="540754E7"/>
    <w:rsid w:val="54212AB3"/>
    <w:rsid w:val="542B4EF0"/>
    <w:rsid w:val="54330D3A"/>
    <w:rsid w:val="54495794"/>
    <w:rsid w:val="54BD78FD"/>
    <w:rsid w:val="54C31CBC"/>
    <w:rsid w:val="54CF1C08"/>
    <w:rsid w:val="54D01E19"/>
    <w:rsid w:val="54F42598"/>
    <w:rsid w:val="54F97E18"/>
    <w:rsid w:val="552A539D"/>
    <w:rsid w:val="556F5EDE"/>
    <w:rsid w:val="557E4224"/>
    <w:rsid w:val="558C3A94"/>
    <w:rsid w:val="5591033D"/>
    <w:rsid w:val="55A2552E"/>
    <w:rsid w:val="55D84CFA"/>
    <w:rsid w:val="55E31575"/>
    <w:rsid w:val="560C7B9C"/>
    <w:rsid w:val="56156687"/>
    <w:rsid w:val="564B02FA"/>
    <w:rsid w:val="56543EDC"/>
    <w:rsid w:val="56D0377C"/>
    <w:rsid w:val="56FD1B88"/>
    <w:rsid w:val="589D2963"/>
    <w:rsid w:val="58A86DDE"/>
    <w:rsid w:val="58B73F0F"/>
    <w:rsid w:val="58CB22DD"/>
    <w:rsid w:val="590503A9"/>
    <w:rsid w:val="59070080"/>
    <w:rsid w:val="59154AD7"/>
    <w:rsid w:val="59475576"/>
    <w:rsid w:val="594F0101"/>
    <w:rsid w:val="598F3390"/>
    <w:rsid w:val="59CB39C9"/>
    <w:rsid w:val="59D81D4B"/>
    <w:rsid w:val="5A306226"/>
    <w:rsid w:val="5A444F4F"/>
    <w:rsid w:val="5A4562A7"/>
    <w:rsid w:val="5A52477E"/>
    <w:rsid w:val="5A64198B"/>
    <w:rsid w:val="5A7E7700"/>
    <w:rsid w:val="5A8E0A57"/>
    <w:rsid w:val="5A9263A6"/>
    <w:rsid w:val="5AAC641F"/>
    <w:rsid w:val="5AB346C0"/>
    <w:rsid w:val="5ABF016F"/>
    <w:rsid w:val="5ADF548D"/>
    <w:rsid w:val="5B547A4C"/>
    <w:rsid w:val="5B641FD2"/>
    <w:rsid w:val="5B8D0269"/>
    <w:rsid w:val="5BA945D7"/>
    <w:rsid w:val="5BAB047B"/>
    <w:rsid w:val="5BEF5C4B"/>
    <w:rsid w:val="5C10117F"/>
    <w:rsid w:val="5C37648D"/>
    <w:rsid w:val="5C414404"/>
    <w:rsid w:val="5C967DF5"/>
    <w:rsid w:val="5CAB5675"/>
    <w:rsid w:val="5CC61D78"/>
    <w:rsid w:val="5D074BB1"/>
    <w:rsid w:val="5D121B72"/>
    <w:rsid w:val="5D283143"/>
    <w:rsid w:val="5D5C60B4"/>
    <w:rsid w:val="5D69030C"/>
    <w:rsid w:val="5D796CB4"/>
    <w:rsid w:val="5D7B2C4E"/>
    <w:rsid w:val="5FCF7699"/>
    <w:rsid w:val="60251BBC"/>
    <w:rsid w:val="603452EB"/>
    <w:rsid w:val="607434AD"/>
    <w:rsid w:val="607A22D9"/>
    <w:rsid w:val="608C28CB"/>
    <w:rsid w:val="609B1E7E"/>
    <w:rsid w:val="60E252D7"/>
    <w:rsid w:val="61434CD1"/>
    <w:rsid w:val="61555058"/>
    <w:rsid w:val="6189189A"/>
    <w:rsid w:val="625D436D"/>
    <w:rsid w:val="62836762"/>
    <w:rsid w:val="62A414BE"/>
    <w:rsid w:val="62A53817"/>
    <w:rsid w:val="63F04A69"/>
    <w:rsid w:val="64137F7D"/>
    <w:rsid w:val="6466331F"/>
    <w:rsid w:val="6468632E"/>
    <w:rsid w:val="647749B0"/>
    <w:rsid w:val="647F6BFD"/>
    <w:rsid w:val="64E17965"/>
    <w:rsid w:val="64E9765C"/>
    <w:rsid w:val="64FD275F"/>
    <w:rsid w:val="650B1E72"/>
    <w:rsid w:val="65304EF6"/>
    <w:rsid w:val="65870384"/>
    <w:rsid w:val="659607ED"/>
    <w:rsid w:val="65FD637A"/>
    <w:rsid w:val="66293A88"/>
    <w:rsid w:val="665412EB"/>
    <w:rsid w:val="66771D72"/>
    <w:rsid w:val="66A50B1E"/>
    <w:rsid w:val="66DC29BC"/>
    <w:rsid w:val="67703441"/>
    <w:rsid w:val="6793706B"/>
    <w:rsid w:val="67B2063C"/>
    <w:rsid w:val="67C97AC3"/>
    <w:rsid w:val="67E30EC1"/>
    <w:rsid w:val="67EA6438"/>
    <w:rsid w:val="67FC5B25"/>
    <w:rsid w:val="68264053"/>
    <w:rsid w:val="695B21AB"/>
    <w:rsid w:val="69601EB7"/>
    <w:rsid w:val="69BC71DC"/>
    <w:rsid w:val="69D64EFC"/>
    <w:rsid w:val="69EE1271"/>
    <w:rsid w:val="6A1119AC"/>
    <w:rsid w:val="6A4E3B2B"/>
    <w:rsid w:val="6A53622A"/>
    <w:rsid w:val="6A7942BE"/>
    <w:rsid w:val="6ABC7CFD"/>
    <w:rsid w:val="6AD82C42"/>
    <w:rsid w:val="6AF73560"/>
    <w:rsid w:val="6B344D5F"/>
    <w:rsid w:val="6B481C3B"/>
    <w:rsid w:val="6B8F22D3"/>
    <w:rsid w:val="6BAB6BFA"/>
    <w:rsid w:val="6C1331A3"/>
    <w:rsid w:val="6C200A7C"/>
    <w:rsid w:val="6CA84BC1"/>
    <w:rsid w:val="6CAA5315"/>
    <w:rsid w:val="6D3E4756"/>
    <w:rsid w:val="6D92578D"/>
    <w:rsid w:val="6DB91B96"/>
    <w:rsid w:val="6DC55665"/>
    <w:rsid w:val="6DE500F1"/>
    <w:rsid w:val="6DE63302"/>
    <w:rsid w:val="6E1E6B37"/>
    <w:rsid w:val="6E434A07"/>
    <w:rsid w:val="6EAB7671"/>
    <w:rsid w:val="6EBD3BE6"/>
    <w:rsid w:val="6EC16F54"/>
    <w:rsid w:val="6EC67DFF"/>
    <w:rsid w:val="6F241A20"/>
    <w:rsid w:val="6F260569"/>
    <w:rsid w:val="6F5B773E"/>
    <w:rsid w:val="6F643647"/>
    <w:rsid w:val="6F9B379B"/>
    <w:rsid w:val="6FC523EB"/>
    <w:rsid w:val="702B124D"/>
    <w:rsid w:val="70B31C70"/>
    <w:rsid w:val="717B538E"/>
    <w:rsid w:val="718F222F"/>
    <w:rsid w:val="72083740"/>
    <w:rsid w:val="721513B0"/>
    <w:rsid w:val="72402CA9"/>
    <w:rsid w:val="727C2292"/>
    <w:rsid w:val="72895F2E"/>
    <w:rsid w:val="728C7879"/>
    <w:rsid w:val="729558E2"/>
    <w:rsid w:val="72C02EBE"/>
    <w:rsid w:val="72C507AD"/>
    <w:rsid w:val="72D028D8"/>
    <w:rsid w:val="737A249D"/>
    <w:rsid w:val="73CC7170"/>
    <w:rsid w:val="73D51A19"/>
    <w:rsid w:val="73F2211E"/>
    <w:rsid w:val="73F64F05"/>
    <w:rsid w:val="74031361"/>
    <w:rsid w:val="745D47C3"/>
    <w:rsid w:val="74A24D5F"/>
    <w:rsid w:val="755A715C"/>
    <w:rsid w:val="757B0F4D"/>
    <w:rsid w:val="75835602"/>
    <w:rsid w:val="7583754D"/>
    <w:rsid w:val="75AB0240"/>
    <w:rsid w:val="762E512C"/>
    <w:rsid w:val="7696711C"/>
    <w:rsid w:val="76AC3757"/>
    <w:rsid w:val="76EA420F"/>
    <w:rsid w:val="7701204E"/>
    <w:rsid w:val="774249AA"/>
    <w:rsid w:val="77733C50"/>
    <w:rsid w:val="77C637B6"/>
    <w:rsid w:val="77D17A87"/>
    <w:rsid w:val="77F23AE0"/>
    <w:rsid w:val="78054355"/>
    <w:rsid w:val="781127C1"/>
    <w:rsid w:val="78507033"/>
    <w:rsid w:val="789C769B"/>
    <w:rsid w:val="78F37394"/>
    <w:rsid w:val="797423F7"/>
    <w:rsid w:val="79B850D2"/>
    <w:rsid w:val="79CC544E"/>
    <w:rsid w:val="79D436CC"/>
    <w:rsid w:val="7A5D6204"/>
    <w:rsid w:val="7A613399"/>
    <w:rsid w:val="7A9C36A5"/>
    <w:rsid w:val="7AAB3D4E"/>
    <w:rsid w:val="7AC91B56"/>
    <w:rsid w:val="7B447E3A"/>
    <w:rsid w:val="7B6465C2"/>
    <w:rsid w:val="7B6C452B"/>
    <w:rsid w:val="7B874528"/>
    <w:rsid w:val="7BAF56E2"/>
    <w:rsid w:val="7C0B5D89"/>
    <w:rsid w:val="7C106E98"/>
    <w:rsid w:val="7CB93F8E"/>
    <w:rsid w:val="7CF66B46"/>
    <w:rsid w:val="7D0019DC"/>
    <w:rsid w:val="7D2428A3"/>
    <w:rsid w:val="7DBD28BA"/>
    <w:rsid w:val="7DC120E2"/>
    <w:rsid w:val="7DE42847"/>
    <w:rsid w:val="7E2E5075"/>
    <w:rsid w:val="7E3D4F43"/>
    <w:rsid w:val="7E4F3708"/>
    <w:rsid w:val="7ED00AED"/>
    <w:rsid w:val="7EF014CF"/>
    <w:rsid w:val="7F567F7A"/>
    <w:rsid w:val="7F817C59"/>
    <w:rsid w:val="7F87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8"/>
    <w:semiHidden/>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0"/>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4"/>
    <w:semiHidden/>
    <w:qFormat/>
    <w:uiPriority w:val="0"/>
    <w:pPr>
      <w:keepNext/>
      <w:keepLines/>
      <w:spacing w:line="416" w:lineRule="auto"/>
      <w:outlineLvl w:val="2"/>
    </w:pPr>
    <w:rPr>
      <w:b/>
      <w:bCs/>
      <w:sz w:val="32"/>
      <w:szCs w:val="32"/>
    </w:rPr>
  </w:style>
  <w:style w:type="paragraph" w:styleId="6">
    <w:name w:val="heading 4"/>
    <w:basedOn w:val="1"/>
    <w:next w:val="1"/>
    <w:link w:val="78"/>
    <w:semiHidden/>
    <w:qFormat/>
    <w:uiPriority w:val="0"/>
    <w:pPr>
      <w:keepNext/>
      <w:keepLines/>
      <w:spacing w:line="360" w:lineRule="auto"/>
      <w:outlineLvl w:val="3"/>
    </w:pPr>
    <w:rPr>
      <w:rFonts w:ascii="Arial" w:hAnsi="Arial"/>
      <w:b/>
      <w:bCs/>
      <w:szCs w:val="28"/>
    </w:rPr>
  </w:style>
  <w:style w:type="paragraph" w:styleId="7">
    <w:name w:val="heading 5"/>
    <w:basedOn w:val="1"/>
    <w:next w:val="1"/>
    <w:link w:val="79"/>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2"/>
    <w:semiHidden/>
    <w:qFormat/>
    <w:uiPriority w:val="98"/>
    <w:rPr>
      <w:rFonts w:ascii="仿宋_GB2312" w:eastAsia="仿宋_GB2312"/>
      <w:sz w:val="32"/>
    </w:rPr>
  </w:style>
  <w:style w:type="paragraph" w:styleId="8">
    <w:name w:val="E-mail Signature"/>
    <w:basedOn w:val="1"/>
    <w:link w:val="105"/>
    <w:semiHidden/>
    <w:qFormat/>
    <w:uiPriority w:val="99"/>
    <w:pPr>
      <w:spacing w:after="200" w:line="276" w:lineRule="auto"/>
      <w:jc w:val="left"/>
    </w:pPr>
    <w:rPr>
      <w:rFonts w:ascii="Calibri" w:hAnsi="Calibri"/>
      <w:kern w:val="0"/>
      <w:szCs w:val="21"/>
    </w:rPr>
  </w:style>
  <w:style w:type="paragraph" w:styleId="9">
    <w:name w:val="caption"/>
    <w:basedOn w:val="1"/>
    <w:next w:val="1"/>
    <w:semiHidden/>
    <w:qFormat/>
    <w:uiPriority w:val="98"/>
    <w:pPr>
      <w:spacing w:before="152" w:after="160"/>
    </w:pPr>
    <w:rPr>
      <w:rFonts w:ascii="Arial" w:hAnsi="Arial" w:eastAsia="黑体" w:cs="Arial"/>
      <w:sz w:val="20"/>
    </w:rPr>
  </w:style>
  <w:style w:type="paragraph" w:styleId="10">
    <w:name w:val="Document Map"/>
    <w:basedOn w:val="1"/>
    <w:link w:val="94"/>
    <w:semiHidden/>
    <w:qFormat/>
    <w:uiPriority w:val="0"/>
    <w:pPr>
      <w:adjustRightInd w:val="0"/>
      <w:spacing w:line="312" w:lineRule="atLeast"/>
      <w:textAlignment w:val="baseline"/>
    </w:pPr>
    <w:rPr>
      <w:rFonts w:ascii="宋体"/>
      <w:kern w:val="0"/>
      <w:sz w:val="18"/>
      <w:szCs w:val="18"/>
    </w:rPr>
  </w:style>
  <w:style w:type="paragraph" w:styleId="11">
    <w:name w:val="annotation text"/>
    <w:basedOn w:val="1"/>
    <w:link w:val="46"/>
    <w:qFormat/>
    <w:uiPriority w:val="99"/>
    <w:pPr>
      <w:jc w:val="left"/>
    </w:pPr>
  </w:style>
  <w:style w:type="paragraph" w:styleId="12">
    <w:name w:val="Body Text Indent"/>
    <w:basedOn w:val="1"/>
    <w:next w:val="1"/>
    <w:link w:val="49"/>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1"/>
    <w:qFormat/>
    <w:uiPriority w:val="0"/>
    <w:rPr>
      <w:rFonts w:ascii="宋体" w:hAnsi="Courier New"/>
    </w:rPr>
  </w:style>
  <w:style w:type="paragraph" w:styleId="15">
    <w:name w:val="Date"/>
    <w:basedOn w:val="1"/>
    <w:next w:val="1"/>
    <w:link w:val="88"/>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7"/>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8"/>
    <w:semiHidden/>
    <w:qFormat/>
    <w:uiPriority w:val="0"/>
    <w:rPr>
      <w:sz w:val="18"/>
      <w:szCs w:val="18"/>
    </w:rPr>
  </w:style>
  <w:style w:type="paragraph" w:styleId="18">
    <w:name w:val="footer"/>
    <w:basedOn w:val="1"/>
    <w:link w:val="43"/>
    <w:semiHidden/>
    <w:qFormat/>
    <w:uiPriority w:val="0"/>
    <w:pPr>
      <w:tabs>
        <w:tab w:val="center" w:pos="4153"/>
        <w:tab w:val="right" w:pos="8306"/>
      </w:tabs>
      <w:snapToGrid w:val="0"/>
      <w:jc w:val="left"/>
    </w:pPr>
    <w:rPr>
      <w:sz w:val="18"/>
      <w:szCs w:val="18"/>
    </w:rPr>
  </w:style>
  <w:style w:type="paragraph" w:styleId="19">
    <w:name w:val="header"/>
    <w:basedOn w:val="1"/>
    <w:link w:val="53"/>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link w:val="115"/>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4"/>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9"/>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1"/>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1"/>
    <w:next w:val="11"/>
    <w:link w:val="54"/>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paragraph" w:customStyle="1" w:styleId="39">
    <w:name w:val="Fließtext"/>
    <w:basedOn w:val="1"/>
    <w:qFormat/>
    <w:uiPriority w:val="99"/>
    <w:pPr>
      <w:widowControl/>
      <w:jc w:val="center"/>
    </w:pPr>
    <w:rPr>
      <w:rFonts w:ascii="Arial" w:hAnsi="Arial"/>
      <w:kern w:val="0"/>
      <w:szCs w:val="20"/>
      <w:lang w:val="de-DE" w:eastAsia="de-DE"/>
    </w:rPr>
  </w:style>
  <w:style w:type="character" w:customStyle="1" w:styleId="40">
    <w:name w:val="Char Char3"/>
    <w:semiHidden/>
    <w:qFormat/>
    <w:uiPriority w:val="98"/>
    <w:rPr>
      <w:rFonts w:ascii="宋体" w:hAnsi="Courier New" w:eastAsia="宋体"/>
      <w:kern w:val="2"/>
      <w:sz w:val="21"/>
      <w:lang w:val="en-US" w:eastAsia="zh-CN" w:bidi="ar-SA"/>
    </w:rPr>
  </w:style>
  <w:style w:type="character" w:customStyle="1" w:styleId="41">
    <w:name w:val="纯文本 Char"/>
    <w:semiHidden/>
    <w:qFormat/>
    <w:uiPriority w:val="98"/>
    <w:rPr>
      <w:rFonts w:ascii="宋体" w:hAnsi="Courier New" w:eastAsia="宋体"/>
      <w:kern w:val="2"/>
      <w:sz w:val="21"/>
      <w:lang w:val="en-US" w:eastAsia="zh-CN" w:bidi="ar-SA"/>
    </w:rPr>
  </w:style>
  <w:style w:type="character" w:customStyle="1" w:styleId="42">
    <w:name w:val="正文文本 字符"/>
    <w:link w:val="2"/>
    <w:semiHidden/>
    <w:qFormat/>
    <w:uiPriority w:val="98"/>
    <w:rPr>
      <w:rFonts w:ascii="仿宋_GB2312" w:eastAsia="仿宋_GB2312"/>
      <w:kern w:val="2"/>
      <w:sz w:val="32"/>
    </w:rPr>
  </w:style>
  <w:style w:type="character" w:customStyle="1" w:styleId="43">
    <w:name w:val="页脚 字符"/>
    <w:link w:val="18"/>
    <w:semiHidden/>
    <w:qFormat/>
    <w:uiPriority w:val="0"/>
    <w:rPr>
      <w:kern w:val="2"/>
      <w:sz w:val="18"/>
      <w:szCs w:val="18"/>
    </w:rPr>
  </w:style>
  <w:style w:type="character" w:customStyle="1" w:styleId="44">
    <w:name w:val="标题 3 字符"/>
    <w:link w:val="5"/>
    <w:semiHidden/>
    <w:qFormat/>
    <w:uiPriority w:val="0"/>
    <w:rPr>
      <w:b/>
      <w:bCs/>
      <w:kern w:val="2"/>
      <w:sz w:val="32"/>
      <w:szCs w:val="32"/>
    </w:rPr>
  </w:style>
  <w:style w:type="character" w:customStyle="1" w:styleId="45">
    <w:name w:val="正文文本 Char"/>
    <w:semiHidden/>
    <w:qFormat/>
    <w:uiPriority w:val="98"/>
    <w:rPr>
      <w:rFonts w:ascii="仿宋_GB2312" w:eastAsia="仿宋_GB2312"/>
      <w:kern w:val="2"/>
      <w:sz w:val="32"/>
    </w:rPr>
  </w:style>
  <w:style w:type="character" w:customStyle="1" w:styleId="46">
    <w:name w:val="批注文字 字符"/>
    <w:link w:val="11"/>
    <w:qFormat/>
    <w:uiPriority w:val="99"/>
    <w:rPr>
      <w:kern w:val="2"/>
      <w:sz w:val="21"/>
    </w:rPr>
  </w:style>
  <w:style w:type="character" w:customStyle="1" w:styleId="47">
    <w:name w:val="apple-converted-space"/>
    <w:basedOn w:val="32"/>
    <w:semiHidden/>
    <w:qFormat/>
    <w:uiPriority w:val="98"/>
  </w:style>
  <w:style w:type="character" w:customStyle="1" w:styleId="48">
    <w:name w:val="批注框文本 字符"/>
    <w:link w:val="17"/>
    <w:semiHidden/>
    <w:qFormat/>
    <w:uiPriority w:val="98"/>
    <w:rPr>
      <w:kern w:val="2"/>
      <w:sz w:val="18"/>
      <w:szCs w:val="18"/>
    </w:rPr>
  </w:style>
  <w:style w:type="character" w:customStyle="1" w:styleId="49">
    <w:name w:val="正文文本缩进 字符"/>
    <w:link w:val="12"/>
    <w:semiHidden/>
    <w:qFormat/>
    <w:uiPriority w:val="0"/>
    <w:rPr>
      <w:rFonts w:ascii="Calibri" w:hAnsi="Calibri"/>
      <w:kern w:val="2"/>
      <w:sz w:val="21"/>
      <w:szCs w:val="22"/>
    </w:rPr>
  </w:style>
  <w:style w:type="character" w:customStyle="1" w:styleId="50">
    <w:name w:val="Char Char5"/>
    <w:semiHidden/>
    <w:qFormat/>
    <w:uiPriority w:val="98"/>
    <w:rPr>
      <w:rFonts w:ascii="宋体" w:hAnsi="Courier New" w:eastAsia="宋体"/>
      <w:kern w:val="2"/>
      <w:sz w:val="21"/>
      <w:lang w:val="en-US" w:eastAsia="zh-CN" w:bidi="ar-SA"/>
    </w:rPr>
  </w:style>
  <w:style w:type="character" w:customStyle="1" w:styleId="51">
    <w:name w:val="纯文本 字符1"/>
    <w:link w:val="14"/>
    <w:semiHidden/>
    <w:qFormat/>
    <w:uiPriority w:val="0"/>
    <w:rPr>
      <w:rFonts w:ascii="宋体" w:hAnsi="Courier New"/>
      <w:kern w:val="2"/>
      <w:sz w:val="21"/>
    </w:rPr>
  </w:style>
  <w:style w:type="character" w:customStyle="1" w:styleId="52">
    <w:name w:val="纯文本 字符"/>
    <w:semiHidden/>
    <w:qFormat/>
    <w:uiPriority w:val="98"/>
    <w:rPr>
      <w:rFonts w:ascii="宋体" w:hAnsi="Courier New" w:eastAsia="宋体"/>
    </w:rPr>
  </w:style>
  <w:style w:type="character" w:customStyle="1" w:styleId="53">
    <w:name w:val="页眉 字符"/>
    <w:link w:val="19"/>
    <w:semiHidden/>
    <w:qFormat/>
    <w:uiPriority w:val="0"/>
    <w:rPr>
      <w:kern w:val="2"/>
      <w:sz w:val="18"/>
      <w:szCs w:val="18"/>
    </w:rPr>
  </w:style>
  <w:style w:type="character" w:customStyle="1" w:styleId="54">
    <w:name w:val="批注主题 字符"/>
    <w:link w:val="28"/>
    <w:semiHidden/>
    <w:qFormat/>
    <w:uiPriority w:val="98"/>
    <w:rPr>
      <w:b/>
      <w:bCs/>
      <w:kern w:val="2"/>
      <w:sz w:val="21"/>
    </w:rPr>
  </w:style>
  <w:style w:type="character" w:customStyle="1" w:styleId="55">
    <w:name w:val="Char Char2"/>
    <w:semiHidden/>
    <w:qFormat/>
    <w:uiPriority w:val="98"/>
    <w:rPr>
      <w:rFonts w:ascii="宋体" w:hAnsi="Courier New" w:cs="宋体"/>
      <w:kern w:val="2"/>
      <w:sz w:val="21"/>
      <w:szCs w:val="21"/>
    </w:rPr>
  </w:style>
  <w:style w:type="character" w:customStyle="1" w:styleId="56">
    <w:name w:val="HTML Markup"/>
    <w:semiHidden/>
    <w:qFormat/>
    <w:uiPriority w:val="98"/>
    <w:rPr>
      <w:vanish/>
      <w:color w:val="FF0000"/>
    </w:rPr>
  </w:style>
  <w:style w:type="character" w:customStyle="1" w:styleId="57">
    <w:name w:val="纯文本 Char3"/>
    <w:semiHidden/>
    <w:qFormat/>
    <w:uiPriority w:val="98"/>
    <w:rPr>
      <w:rFonts w:ascii="宋体" w:hAnsi="Courier New" w:eastAsia="宋体"/>
      <w:kern w:val="2"/>
      <w:sz w:val="21"/>
      <w:lang w:val="en-US" w:eastAsia="zh-CN" w:bidi="ar-SA"/>
    </w:rPr>
  </w:style>
  <w:style w:type="character" w:customStyle="1" w:styleId="58">
    <w:name w:val="正文文本缩进 Char"/>
    <w:link w:val="59"/>
    <w:semiHidden/>
    <w:qFormat/>
    <w:uiPriority w:val="98"/>
    <w:rPr>
      <w:kern w:val="2"/>
      <w:sz w:val="21"/>
    </w:rPr>
  </w:style>
  <w:style w:type="paragraph" w:customStyle="1" w:styleId="59">
    <w:name w:val="正文文本缩进1"/>
    <w:basedOn w:val="1"/>
    <w:link w:val="58"/>
    <w:semiHidden/>
    <w:qFormat/>
    <w:uiPriority w:val="98"/>
    <w:pPr>
      <w:spacing w:after="120"/>
      <w:ind w:left="420" w:leftChars="200"/>
    </w:pPr>
  </w:style>
  <w:style w:type="paragraph" w:customStyle="1" w:styleId="60">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1">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3">
    <w:name w:val="List Paragraph"/>
    <w:basedOn w:val="1"/>
    <w:semiHidden/>
    <w:qFormat/>
    <w:uiPriority w:val="98"/>
    <w:pPr>
      <w:ind w:firstLine="420" w:firstLineChars="200"/>
    </w:pPr>
    <w:rPr>
      <w:rFonts w:ascii="Calibri" w:hAnsi="Calibri"/>
      <w:szCs w:val="22"/>
    </w:rPr>
  </w:style>
  <w:style w:type="paragraph" w:customStyle="1" w:styleId="64">
    <w:name w:val="列出段落1"/>
    <w:basedOn w:val="1"/>
    <w:semiHidden/>
    <w:qFormat/>
    <w:uiPriority w:val="98"/>
    <w:pPr>
      <w:ind w:firstLine="420" w:firstLineChars="200"/>
    </w:pPr>
    <w:rPr>
      <w:rFonts w:ascii="Calibri" w:hAnsi="Calibri"/>
      <w:szCs w:val="22"/>
    </w:rPr>
  </w:style>
  <w:style w:type="paragraph" w:customStyle="1" w:styleId="65">
    <w:name w:val="二级列表 Char"/>
    <w:basedOn w:val="1"/>
    <w:semiHidden/>
    <w:qFormat/>
    <w:uiPriority w:val="98"/>
    <w:rPr>
      <w:rFonts w:ascii="Calibri" w:hAnsi="Calibri"/>
    </w:rPr>
  </w:style>
  <w:style w:type="paragraph" w:customStyle="1" w:styleId="6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7">
    <w:name w:val="style61"/>
    <w:semiHidden/>
    <w:qFormat/>
    <w:uiPriority w:val="98"/>
  </w:style>
  <w:style w:type="character" w:customStyle="1" w:styleId="68">
    <w:name w:val="标题 1 字符"/>
    <w:basedOn w:val="32"/>
    <w:link w:val="3"/>
    <w:semiHidden/>
    <w:qFormat/>
    <w:uiPriority w:val="0"/>
    <w:rPr>
      <w:b/>
      <w:bCs/>
      <w:kern w:val="44"/>
      <w:sz w:val="44"/>
      <w:szCs w:val="44"/>
    </w:rPr>
  </w:style>
  <w:style w:type="paragraph" w:customStyle="1" w:styleId="69">
    <w:name w:val="TOC 标题1"/>
    <w:basedOn w:val="3"/>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0">
    <w:name w:val="标题 2 字符"/>
    <w:basedOn w:val="32"/>
    <w:link w:val="4"/>
    <w:semiHidden/>
    <w:qFormat/>
    <w:uiPriority w:val="0"/>
    <w:rPr>
      <w:rFonts w:asciiTheme="majorHAnsi" w:hAnsiTheme="majorHAnsi" w:eastAsiaTheme="majorEastAsia" w:cstheme="majorBidi"/>
      <w:b/>
      <w:bCs/>
      <w:kern w:val="2"/>
      <w:sz w:val="32"/>
      <w:szCs w:val="32"/>
    </w:rPr>
  </w:style>
  <w:style w:type="character" w:customStyle="1" w:styleId="71">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2">
    <w:name w:val="章节"/>
    <w:basedOn w:val="14"/>
    <w:qFormat/>
    <w:uiPriority w:val="0"/>
    <w:pPr>
      <w:spacing w:line="360" w:lineRule="auto"/>
      <w:jc w:val="center"/>
      <w:outlineLvl w:val="0"/>
    </w:pPr>
    <w:rPr>
      <w:rFonts w:ascii="黑体" w:eastAsia="黑体"/>
      <w:b/>
      <w:bCs/>
      <w:sz w:val="36"/>
      <w:szCs w:val="36"/>
    </w:rPr>
  </w:style>
  <w:style w:type="paragraph" w:customStyle="1" w:styleId="73">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4">
    <w:name w:val="（二）级标题"/>
    <w:basedOn w:val="14"/>
    <w:qFormat/>
    <w:uiPriority w:val="2"/>
    <w:pPr>
      <w:numPr>
        <w:ilvl w:val="0"/>
        <w:numId w:val="3"/>
      </w:numPr>
      <w:spacing w:line="360" w:lineRule="auto"/>
      <w:outlineLvl w:val="2"/>
    </w:pPr>
    <w:rPr>
      <w:b/>
    </w:rPr>
  </w:style>
  <w:style w:type="paragraph" w:customStyle="1" w:styleId="75">
    <w:name w:val="3级标题"/>
    <w:basedOn w:val="14"/>
    <w:link w:val="103"/>
    <w:qFormat/>
    <w:uiPriority w:val="3"/>
    <w:pPr>
      <w:numPr>
        <w:ilvl w:val="0"/>
        <w:numId w:val="4"/>
      </w:numPr>
      <w:spacing w:line="360" w:lineRule="auto"/>
      <w:outlineLvl w:val="3"/>
    </w:pPr>
    <w:rPr>
      <w:b/>
    </w:rPr>
  </w:style>
  <w:style w:type="paragraph" w:customStyle="1" w:styleId="76">
    <w:name w:val="（4）级标题"/>
    <w:basedOn w:val="14"/>
    <w:qFormat/>
    <w:uiPriority w:val="8"/>
    <w:pPr>
      <w:numPr>
        <w:ilvl w:val="0"/>
        <w:numId w:val="5"/>
      </w:numPr>
      <w:spacing w:line="360" w:lineRule="auto"/>
      <w:outlineLvl w:val="4"/>
    </w:pPr>
  </w:style>
  <w:style w:type="paragraph" w:customStyle="1" w:styleId="77">
    <w:name w:val="标书正文"/>
    <w:basedOn w:val="14"/>
    <w:link w:val="98"/>
    <w:qFormat/>
    <w:uiPriority w:val="9"/>
    <w:pPr>
      <w:spacing w:line="360" w:lineRule="auto"/>
      <w:jc w:val="left"/>
    </w:pPr>
  </w:style>
  <w:style w:type="character" w:customStyle="1" w:styleId="78">
    <w:name w:val="标题 4 字符"/>
    <w:basedOn w:val="32"/>
    <w:link w:val="6"/>
    <w:semiHidden/>
    <w:qFormat/>
    <w:uiPriority w:val="0"/>
    <w:rPr>
      <w:rFonts w:ascii="Arial" w:hAnsi="Arial"/>
      <w:b/>
      <w:bCs/>
      <w:kern w:val="2"/>
      <w:sz w:val="21"/>
      <w:szCs w:val="28"/>
    </w:rPr>
  </w:style>
  <w:style w:type="character" w:customStyle="1" w:styleId="79">
    <w:name w:val="标题 5 字符"/>
    <w:basedOn w:val="32"/>
    <w:link w:val="7"/>
    <w:semiHidden/>
    <w:qFormat/>
    <w:uiPriority w:val="0"/>
    <w:rPr>
      <w:rFonts w:ascii="宋体" w:hAnsi="宋体"/>
      <w:bCs/>
      <w:iCs/>
      <w:color w:val="000000"/>
      <w:sz w:val="28"/>
      <w:szCs w:val="28"/>
    </w:rPr>
  </w:style>
  <w:style w:type="paragraph" w:customStyle="1" w:styleId="80">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1">
    <w:name w:val="case31"/>
    <w:qFormat/>
    <w:uiPriority w:val="0"/>
    <w:rPr>
      <w:rFonts w:hint="default" w:ascii="ˎ̥" w:hAnsi="ˎ̥"/>
      <w:sz w:val="21"/>
      <w:szCs w:val="21"/>
    </w:rPr>
  </w:style>
  <w:style w:type="character" w:customStyle="1" w:styleId="82">
    <w:name w:val="标题 2 Char"/>
    <w:qFormat/>
    <w:uiPriority w:val="0"/>
    <w:rPr>
      <w:rFonts w:ascii="宋体" w:hAnsi="宋体"/>
      <w:bCs/>
      <w:sz w:val="24"/>
      <w:szCs w:val="32"/>
    </w:rPr>
  </w:style>
  <w:style w:type="character" w:customStyle="1" w:styleId="83">
    <w:name w:val="标题 Char"/>
    <w:qFormat/>
    <w:uiPriority w:val="0"/>
    <w:rPr>
      <w:rFonts w:ascii="宋体" w:hAnsi="宋体" w:cs="Times New Roman"/>
      <w:b/>
      <w:bCs/>
      <w:sz w:val="24"/>
      <w:szCs w:val="32"/>
    </w:rPr>
  </w:style>
  <w:style w:type="character" w:customStyle="1" w:styleId="84">
    <w:name w:val="正文文本缩进 3 字符"/>
    <w:basedOn w:val="32"/>
    <w:link w:val="22"/>
    <w:semiHidden/>
    <w:qFormat/>
    <w:uiPriority w:val="0"/>
    <w:rPr>
      <w:rFonts w:ascii="宋体" w:hAnsi="宋体"/>
      <w:color w:val="FF0000"/>
      <w:kern w:val="2"/>
      <w:sz w:val="24"/>
      <w:szCs w:val="24"/>
    </w:rPr>
  </w:style>
  <w:style w:type="paragraph" w:customStyle="1" w:styleId="85">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6">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7">
    <w:name w:val="正文文本缩进 2 字符"/>
    <w:basedOn w:val="32"/>
    <w:link w:val="16"/>
    <w:semiHidden/>
    <w:qFormat/>
    <w:uiPriority w:val="0"/>
    <w:rPr>
      <w:sz w:val="24"/>
    </w:rPr>
  </w:style>
  <w:style w:type="character" w:customStyle="1" w:styleId="88">
    <w:name w:val="日期 字符"/>
    <w:basedOn w:val="32"/>
    <w:link w:val="15"/>
    <w:semiHidden/>
    <w:qFormat/>
    <w:uiPriority w:val="0"/>
    <w:rPr>
      <w:sz w:val="24"/>
    </w:rPr>
  </w:style>
  <w:style w:type="paragraph" w:customStyle="1" w:styleId="89">
    <w:name w:val="Char1 Char Char Char Char Char Char"/>
    <w:basedOn w:val="1"/>
    <w:qFormat/>
    <w:uiPriority w:val="0"/>
    <w:rPr>
      <w:rFonts w:ascii="Tahoma" w:hAnsi="Tahoma"/>
      <w:sz w:val="24"/>
    </w:rPr>
  </w:style>
  <w:style w:type="paragraph" w:customStyle="1" w:styleId="90">
    <w:name w:val="样式1"/>
    <w:basedOn w:val="1"/>
    <w:qFormat/>
    <w:uiPriority w:val="0"/>
    <w:pPr>
      <w:adjustRightInd w:val="0"/>
      <w:spacing w:line="420" w:lineRule="auto"/>
      <w:jc w:val="center"/>
      <w:textAlignment w:val="baseline"/>
    </w:pPr>
    <w:rPr>
      <w:rFonts w:ascii="宋体"/>
      <w:kern w:val="0"/>
      <w:sz w:val="24"/>
    </w:rPr>
  </w:style>
  <w:style w:type="paragraph" w:customStyle="1" w:styleId="91">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2">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3">
    <w:name w:val="文档结构图 字符"/>
    <w:basedOn w:val="32"/>
    <w:semiHidden/>
    <w:qFormat/>
    <w:uiPriority w:val="98"/>
    <w:rPr>
      <w:rFonts w:ascii="Microsoft YaHei UI" w:eastAsia="Microsoft YaHei UI"/>
      <w:kern w:val="2"/>
      <w:sz w:val="18"/>
      <w:szCs w:val="18"/>
    </w:rPr>
  </w:style>
  <w:style w:type="character" w:customStyle="1" w:styleId="94">
    <w:name w:val="文档结构图 字符1"/>
    <w:basedOn w:val="32"/>
    <w:link w:val="10"/>
    <w:semiHidden/>
    <w:qFormat/>
    <w:uiPriority w:val="0"/>
    <w:rPr>
      <w:rFonts w:ascii="宋体"/>
      <w:sz w:val="18"/>
      <w:szCs w:val="18"/>
    </w:rPr>
  </w:style>
  <w:style w:type="paragraph" w:customStyle="1" w:styleId="95">
    <w:name w:val="表格"/>
    <w:basedOn w:val="1"/>
    <w:link w:val="96"/>
    <w:qFormat/>
    <w:uiPriority w:val="10"/>
    <w:rPr>
      <w:rFonts w:ascii="宋体" w:hAnsi="宋体"/>
      <w:szCs w:val="30"/>
    </w:rPr>
  </w:style>
  <w:style w:type="character" w:customStyle="1" w:styleId="96">
    <w:name w:val="表格 字符"/>
    <w:basedOn w:val="32"/>
    <w:link w:val="95"/>
    <w:qFormat/>
    <w:uiPriority w:val="10"/>
    <w:rPr>
      <w:rFonts w:ascii="宋体" w:hAnsi="宋体"/>
      <w:kern w:val="2"/>
      <w:sz w:val="21"/>
      <w:szCs w:val="30"/>
    </w:rPr>
  </w:style>
  <w:style w:type="paragraph" w:customStyle="1" w:styleId="97">
    <w:name w:val="5）级标题"/>
    <w:basedOn w:val="77"/>
    <w:link w:val="99"/>
    <w:qFormat/>
    <w:uiPriority w:val="11"/>
    <w:pPr>
      <w:numPr>
        <w:ilvl w:val="0"/>
        <w:numId w:val="7"/>
      </w:numPr>
      <w:ind w:firstLine="0"/>
    </w:pPr>
  </w:style>
  <w:style w:type="character" w:customStyle="1" w:styleId="98">
    <w:name w:val="标书正文 字符"/>
    <w:basedOn w:val="51"/>
    <w:link w:val="77"/>
    <w:qFormat/>
    <w:uiPriority w:val="9"/>
    <w:rPr>
      <w:rFonts w:ascii="宋体" w:hAnsi="Courier New"/>
      <w:kern w:val="2"/>
      <w:sz w:val="21"/>
    </w:rPr>
  </w:style>
  <w:style w:type="character" w:customStyle="1" w:styleId="99">
    <w:name w:val="5）级标题 字符"/>
    <w:basedOn w:val="98"/>
    <w:link w:val="97"/>
    <w:qFormat/>
    <w:uiPriority w:val="11"/>
    <w:rPr>
      <w:rFonts w:ascii="宋体" w:hAnsi="Courier New"/>
      <w:kern w:val="2"/>
      <w:sz w:val="21"/>
    </w:rPr>
  </w:style>
  <w:style w:type="paragraph" w:customStyle="1" w:styleId="100">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1">
    <w:name w:val="Subtle Emphasis"/>
    <w:basedOn w:val="32"/>
    <w:qFormat/>
    <w:uiPriority w:val="19"/>
    <w:rPr>
      <w:rFonts w:eastAsia="宋体"/>
      <w:i/>
      <w:iCs/>
      <w:color w:val="auto"/>
      <w:sz w:val="21"/>
    </w:rPr>
  </w:style>
  <w:style w:type="paragraph" w:customStyle="1" w:styleId="102">
    <w:name w:val="⑥级标题"/>
    <w:basedOn w:val="75"/>
    <w:link w:val="104"/>
    <w:qFormat/>
    <w:uiPriority w:val="12"/>
    <w:pPr>
      <w:numPr>
        <w:numId w:val="8"/>
      </w:numPr>
    </w:pPr>
  </w:style>
  <w:style w:type="character" w:customStyle="1" w:styleId="103">
    <w:name w:val="3级标题 字符"/>
    <w:basedOn w:val="51"/>
    <w:link w:val="75"/>
    <w:qFormat/>
    <w:uiPriority w:val="3"/>
    <w:rPr>
      <w:rFonts w:ascii="宋体" w:hAnsi="Courier New"/>
      <w:b/>
      <w:kern w:val="2"/>
      <w:sz w:val="21"/>
    </w:rPr>
  </w:style>
  <w:style w:type="character" w:customStyle="1" w:styleId="104">
    <w:name w:val="⑥级标题 字符"/>
    <w:basedOn w:val="103"/>
    <w:link w:val="102"/>
    <w:qFormat/>
    <w:uiPriority w:val="12"/>
    <w:rPr>
      <w:rFonts w:ascii="宋体" w:hAnsi="Courier New"/>
      <w:kern w:val="2"/>
      <w:sz w:val="21"/>
    </w:rPr>
  </w:style>
  <w:style w:type="character" w:customStyle="1" w:styleId="105">
    <w:name w:val="电子邮件签名 字符"/>
    <w:link w:val="8"/>
    <w:semiHidden/>
    <w:qFormat/>
    <w:locked/>
    <w:uiPriority w:val="99"/>
    <w:rPr>
      <w:sz w:val="21"/>
      <w:szCs w:val="21"/>
    </w:rPr>
  </w:style>
  <w:style w:type="character" w:customStyle="1" w:styleId="106">
    <w:name w:val="电子邮件签名 字符1"/>
    <w:basedOn w:val="32"/>
    <w:semiHidden/>
    <w:qFormat/>
    <w:uiPriority w:val="98"/>
    <w:rPr>
      <w:rFonts w:ascii="Times New Roman" w:hAnsi="Times New Roman"/>
      <w:kern w:val="2"/>
      <w:sz w:val="21"/>
    </w:rPr>
  </w:style>
  <w:style w:type="character" w:customStyle="1" w:styleId="107">
    <w:name w:val="HR正文 Char"/>
    <w:link w:val="108"/>
    <w:qFormat/>
    <w:uiPriority w:val="0"/>
    <w:rPr>
      <w:kern w:val="2"/>
      <w:sz w:val="24"/>
      <w:szCs w:val="24"/>
    </w:rPr>
  </w:style>
  <w:style w:type="paragraph" w:customStyle="1" w:styleId="108">
    <w:name w:val="HR正文"/>
    <w:basedOn w:val="1"/>
    <w:link w:val="107"/>
    <w:qFormat/>
    <w:uiPriority w:val="0"/>
    <w:pPr>
      <w:spacing w:line="300" w:lineRule="auto"/>
      <w:ind w:firstLine="200" w:firstLineChars="200"/>
    </w:pPr>
    <w:rPr>
      <w:rFonts w:ascii="Calibri" w:hAnsi="Calibri"/>
      <w:sz w:val="24"/>
      <w:szCs w:val="24"/>
    </w:rPr>
  </w:style>
  <w:style w:type="character" w:customStyle="1" w:styleId="109">
    <w:name w:val="信息标题 字符"/>
    <w:link w:val="25"/>
    <w:semiHidden/>
    <w:qFormat/>
    <w:locked/>
    <w:uiPriority w:val="99"/>
    <w:rPr>
      <w:rFonts w:ascii="Cambria" w:hAnsi="Cambria" w:cs="Cambria"/>
      <w:sz w:val="24"/>
      <w:szCs w:val="24"/>
      <w:shd w:val="pct20" w:color="auto" w:fill="auto"/>
    </w:rPr>
  </w:style>
  <w:style w:type="character" w:customStyle="1" w:styleId="110">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1">
    <w:name w:val="页眉 Char1"/>
    <w:semiHidden/>
    <w:qFormat/>
    <w:locked/>
    <w:uiPriority w:val="0"/>
    <w:rPr>
      <w:rFonts w:ascii="Calibri" w:hAnsi="Calibri"/>
      <w:sz w:val="18"/>
      <w:szCs w:val="18"/>
    </w:rPr>
  </w:style>
  <w:style w:type="paragraph" w:customStyle="1" w:styleId="112">
    <w:name w:val="1正文段落"/>
    <w:basedOn w:val="1"/>
    <w:qFormat/>
    <w:uiPriority w:val="0"/>
    <w:pPr>
      <w:spacing w:line="360" w:lineRule="auto"/>
      <w:ind w:firstLine="480" w:firstLineChars="200"/>
      <w:jc w:val="left"/>
    </w:pPr>
    <w:rPr>
      <w:kern w:val="0"/>
      <w:szCs w:val="20"/>
    </w:rPr>
  </w:style>
  <w:style w:type="paragraph" w:customStyle="1" w:styleId="113">
    <w:name w:val="标书二级标题"/>
    <w:basedOn w:val="4"/>
    <w:qFormat/>
    <w:uiPriority w:val="0"/>
    <w:pPr>
      <w:spacing w:line="240" w:lineRule="auto"/>
      <w:jc w:val="left"/>
    </w:pPr>
    <w:rPr>
      <w:rFonts w:ascii="宋体" w:hAnsi="宋体" w:eastAsia="黑体"/>
      <w:b w:val="0"/>
      <w:sz w:val="28"/>
      <w:szCs w:val="30"/>
      <w14:ligatures w14:val="standardContextual"/>
    </w:rPr>
  </w:style>
  <w:style w:type="paragraph" w:customStyle="1" w:styleId="114">
    <w:name w:val="标书三级标题"/>
    <w:basedOn w:val="5"/>
    <w:next w:val="1"/>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15">
    <w:name w:val="目录 1 Char"/>
    <w:link w:val="20"/>
    <w:qFormat/>
    <w:uiPriority w:val="39"/>
    <w:rPr>
      <w:rFonts w:ascii="宋体" w:hAnsi="宋体"/>
      <w:b/>
      <w:caps/>
      <w:sz w:val="28"/>
      <w:szCs w:val="28"/>
    </w:rPr>
  </w:style>
  <w:style w:type="paragraph" w:customStyle="1" w:styleId="116">
    <w:name w:val="Table Paragraph"/>
    <w:basedOn w:val="1"/>
    <w:qFormat/>
    <w:uiPriority w:val="1"/>
    <w:rPr>
      <w:rFonts w:ascii="宋体" w:hAnsi="宋体" w:eastAsia="宋体" w:cs="宋体"/>
    </w:rPr>
  </w:style>
  <w:style w:type="table" w:customStyle="1" w:styleId="117">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118">
    <w:name w:val="正文内容"/>
    <w:qFormat/>
    <w:uiPriority w:val="0"/>
    <w:pPr>
      <w:widowControl w:val="0"/>
      <w:ind w:firstLine="200" w:firstLineChars="200"/>
      <w:jc w:val="both"/>
    </w:pPr>
    <w:rPr>
      <w:rFonts w:ascii="Times New Roman" w:hAnsi="Times New Roman" w:eastAsia="仿宋_GB2312" w:cs="Times New Roman"/>
      <w:bCs/>
      <w:kern w:val="2"/>
      <w:sz w:val="2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jpeg"/><Relationship Id="rId25" Type="http://schemas.openxmlformats.org/officeDocument/2006/relationships/theme" Target="theme/theme1.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header" Target="header5.xml"/><Relationship Id="rId21" Type="http://schemas.openxmlformats.org/officeDocument/2006/relationships/header" Target="header4.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50</Pages>
  <Words>16397</Words>
  <Characters>17277</Characters>
  <Lines>127</Lines>
  <Paragraphs>35</Paragraphs>
  <TotalTime>1</TotalTime>
  <ScaleCrop>false</ScaleCrop>
  <LinksUpToDate>false</LinksUpToDate>
  <CharactersWithSpaces>17955</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hxz</cp:lastModifiedBy>
  <cp:lastPrinted>2020-06-28T02:28:00Z</cp:lastPrinted>
  <dcterms:modified xsi:type="dcterms:W3CDTF">2026-09-14T05:29:44Z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C4E667CF26604F52AD561790FE42A8A8_13</vt:lpwstr>
  </property>
</Properties>
</file>