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DB005">
      <w:pPr>
        <w:jc w:val="center"/>
        <w:rPr>
          <w:rFonts w:hint="default" w:ascii="微软雅黑" w:hAnsi="微软雅黑" w:eastAsia="微软雅黑" w:cs="微软雅黑"/>
          <w:color w:val="000000" w:themeColor="text1"/>
          <w:sz w:val="52"/>
          <w:szCs w:val="52"/>
          <w:highlight w:val="none"/>
          <w:lang w:val="en-US" w:eastAsia="zh-CN"/>
          <w14:textFill>
            <w14:solidFill>
              <w14:schemeClr w14:val="tx1"/>
            </w14:solidFill>
          </w14:textFill>
        </w:rPr>
      </w:pPr>
      <w:bookmarkStart w:id="0" w:name="OLE_LINK31"/>
      <w:bookmarkStart w:id="1" w:name="OLE_LINK30"/>
      <w:r>
        <w:rPr>
          <w:rFonts w:hint="eastAsia" w:ascii="微软雅黑" w:hAnsi="微软雅黑" w:eastAsia="微软雅黑" w:cs="微软雅黑"/>
          <w:color w:val="000000" w:themeColor="text1"/>
          <w:sz w:val="52"/>
          <w:szCs w:val="52"/>
          <w:highlight w:val="none"/>
          <w14:textFill>
            <w14:solidFill>
              <w14:schemeClr w14:val="tx1"/>
            </w14:solidFill>
          </w14:textFill>
        </w:rPr>
        <w:t>中国重汽集团</w:t>
      </w:r>
      <w:r>
        <w:rPr>
          <w:rFonts w:hint="eastAsia" w:ascii="微软雅黑" w:hAnsi="微软雅黑" w:eastAsia="微软雅黑" w:cs="微软雅黑"/>
          <w:color w:val="000000" w:themeColor="text1"/>
          <w:sz w:val="52"/>
          <w:szCs w:val="52"/>
          <w:highlight w:val="none"/>
          <w:lang w:val="en-US" w:eastAsia="zh-CN"/>
          <w14:textFill>
            <w14:solidFill>
              <w14:schemeClr w14:val="tx1"/>
            </w14:solidFill>
          </w14:textFill>
        </w:rPr>
        <w:t>济南专用车有限公司</w:t>
      </w:r>
    </w:p>
    <w:p w14:paraId="0176A3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lang w:val="en-US" w:eastAsia="zh-CN"/>
        </w:rPr>
        <w:t>挂车产线技改项目-涂装生产线采购</w:t>
      </w:r>
      <w:r>
        <w:rPr>
          <w:rFonts w:hint="eastAsia" w:ascii="微软雅黑" w:hAnsi="微软雅黑" w:eastAsia="微软雅黑" w:cs="微软雅黑"/>
          <w:sz w:val="52"/>
          <w:szCs w:val="52"/>
        </w:rPr>
        <w:t>项目</w:t>
      </w:r>
    </w:p>
    <w:p w14:paraId="4818C4CC">
      <w:pPr>
        <w:jc w:val="center"/>
        <w:rPr>
          <w:rFonts w:hint="eastAsia" w:ascii="微软雅黑" w:hAnsi="微软雅黑" w:eastAsia="微软雅黑" w:cs="微软雅黑"/>
          <w:sz w:val="52"/>
          <w:szCs w:val="52"/>
        </w:rPr>
      </w:pPr>
    </w:p>
    <w:p w14:paraId="2EE3CFD2">
      <w:pPr>
        <w:jc w:val="center"/>
        <w:rPr>
          <w:rFonts w:hint="eastAsia" w:ascii="微软雅黑" w:hAnsi="微软雅黑" w:eastAsia="微软雅黑" w:cs="微软雅黑"/>
          <w:sz w:val="52"/>
          <w:szCs w:val="52"/>
        </w:rPr>
      </w:pP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9"/>
        <w:rPr>
          <w:b/>
          <w:bCs/>
        </w:rPr>
      </w:pPr>
    </w:p>
    <w:p w14:paraId="1A0FB442">
      <w:pPr>
        <w:jc w:val="center"/>
        <w:outlineLvl w:val="0"/>
        <w:rPr>
          <w:rFonts w:hint="eastAsia"/>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000000" w:themeColor="text1"/>
          <w:sz w:val="32"/>
          <w:szCs w:val="36"/>
          <w:highlight w:val="none"/>
          <w14:textFill>
            <w14:solidFill>
              <w14:schemeClr w14:val="tx1"/>
            </w14:solidFill>
          </w14:textFill>
        </w:rPr>
        <w:t>中国重汽集团济南专用车有限公司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6"/>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6"/>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6"/>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6"/>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6"/>
            <w:tabs>
              <w:tab w:val="right" w:leader="dot" w:pos="9071"/>
            </w:tabs>
            <w:spacing w:line="480" w:lineRule="auto"/>
            <w:rPr>
              <w:rFonts w:hint="eastAsia"/>
              <w:color w:val="auto"/>
              <w:sz w:val="32"/>
              <w:szCs w:val="32"/>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rPr>
            <w:t>92</w:t>
          </w:r>
        </w:p>
        <w:p w14:paraId="43B5949E">
          <w:pPr>
            <w:pStyle w:val="26"/>
            <w:tabs>
              <w:tab w:val="right" w:leader="dot" w:pos="9071"/>
            </w:tabs>
            <w:spacing w:line="480" w:lineRule="auto"/>
            <w:rPr>
              <w:rFonts w:hint="eastAsia"/>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rPr>
            <w:t>109</w:t>
          </w:r>
        </w:p>
        <w:p w14:paraId="7D27744B">
          <w:pPr>
            <w:pStyle w:val="19"/>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2"/>
        <w:numPr>
          <w:ilvl w:val="0"/>
          <w:numId w:val="1"/>
        </w:numPr>
        <w:rPr>
          <w:rFonts w:hint="eastAsia"/>
        </w:rPr>
      </w:pPr>
      <w:bookmarkStart w:id="2" w:name="_Toc25915"/>
      <w:r>
        <w:rPr>
          <w:rFonts w:hint="eastAsia"/>
        </w:rPr>
        <w:t xml:space="preserve"> 投标须知前附表</w:t>
      </w:r>
      <w:bookmarkEnd w:id="2"/>
    </w:p>
    <w:p w14:paraId="6B2B07CA">
      <w:pPr>
        <w:pStyle w:val="19"/>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40"/>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8"/>
                <w:rFonts w:hint="eastAsia" w:ascii="宋体" w:hAnsi="宋体" w:eastAsia="宋体" w:cs="宋体"/>
                <w:b/>
                <w:sz w:val="28"/>
                <w:szCs w:val="28"/>
              </w:rPr>
            </w:pPr>
            <w:bookmarkStart w:id="3" w:name="_Toc346372875"/>
            <w:r>
              <w:rPr>
                <w:rStyle w:val="138"/>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8"/>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w:t>
            </w:r>
            <w:r>
              <w:rPr>
                <w:rFonts w:hint="eastAsia" w:ascii="宋体" w:hAnsi="宋体" w:eastAsia="宋体" w:cs="宋体"/>
                <w:sz w:val="24"/>
                <w:szCs w:val="24"/>
                <w:u w:val="single"/>
                <w:lang w:eastAsia="zh-CN"/>
              </w:rPr>
              <w:t>挂车产线技改项目</w:t>
            </w:r>
            <w:r>
              <w:rPr>
                <w:rFonts w:hint="eastAsia" w:ascii="宋体" w:hAnsi="宋体" w:eastAsia="宋体" w:cs="宋体"/>
                <w:sz w:val="24"/>
                <w:szCs w:val="24"/>
                <w:u w:val="single"/>
                <w:lang w:val="en-US" w:eastAsia="zh-CN"/>
              </w:rPr>
              <w:t>-涂装</w:t>
            </w:r>
            <w:r>
              <w:rPr>
                <w:rFonts w:hint="eastAsia" w:ascii="宋体" w:hAnsi="宋体" w:eastAsia="宋体" w:cs="宋体"/>
                <w:sz w:val="24"/>
                <w:szCs w:val="24"/>
                <w:u w:val="single"/>
              </w:rPr>
              <w:t>生产线</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采购形式编号：</w:t>
            </w:r>
            <w:r>
              <w:rPr>
                <w:rFonts w:hint="eastAsia" w:ascii="宋体" w:hAnsi="宋体" w:eastAsia="宋体" w:cs="宋体"/>
                <w:color w:val="FF0000"/>
                <w:sz w:val="24"/>
                <w:szCs w:val="24"/>
                <w:highlight w:val="yellow"/>
                <w:u w:val="single"/>
                <w:lang w:val="en-US" w:eastAsia="zh-CN"/>
              </w:rPr>
              <w:t>ZBGL2026090197</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11E1AF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lang w:eastAsia="zh-CN"/>
              </w:rPr>
              <w:t>涂装</w:t>
            </w:r>
            <w:r>
              <w:rPr>
                <w:rFonts w:hint="eastAsia" w:ascii="宋体" w:hAnsi="宋体" w:eastAsia="宋体" w:cs="宋体"/>
                <w:sz w:val="24"/>
                <w:szCs w:val="24"/>
                <w:u w:val="single"/>
              </w:rPr>
              <w:t>生产线</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19E8FD2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 xml:space="preserve">中国重汽集团济南专用车有限公司 </w:t>
            </w:r>
          </w:p>
          <w:p w14:paraId="00EB1192">
            <w:pPr>
              <w:keepNext w:val="0"/>
              <w:keepLines w:val="0"/>
              <w:suppressLineNumbers w:val="0"/>
              <w:spacing w:before="0" w:beforeAutospacing="0" w:after="0" w:afterAutospacing="0"/>
              <w:ind w:left="0" w:right="0" w:firstLine="482" w:firstLineChars="200"/>
              <w:rPr>
                <w:rFonts w:hint="eastAsia" w:ascii="宋体" w:hAnsi="宋体" w:eastAsia="宋体" w:cs="宋体"/>
                <w:b w:val="0"/>
                <w:bCs/>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r>
              <w:rPr>
                <w:rFonts w:hint="eastAsia" w:ascii="宋体" w:hAnsi="宋体" w:eastAsia="宋体" w:cs="宋体"/>
                <w:b w:val="0"/>
                <w:bCs/>
                <w:sz w:val="24"/>
                <w:szCs w:val="24"/>
                <w:u w:val="single"/>
              </w:rPr>
              <w:t xml:space="preserve"> </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
                <w:snapToGrid w:val="0"/>
                <w:color w:val="C00000"/>
                <w:kern w:val="0"/>
                <w:sz w:val="24"/>
                <w:szCs w:val="24"/>
                <w:highlight w:val="yellow"/>
                <w:lang w:val="en-US" w:eastAsia="zh-CN"/>
              </w:rPr>
              <w:t>李帅威</w:t>
            </w:r>
          </w:p>
          <w:p w14:paraId="5B662617">
            <w:pPr>
              <w:pStyle w:val="19"/>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
                <w:snapToGrid w:val="0"/>
                <w:color w:val="C00000"/>
                <w:kern w:val="0"/>
                <w:sz w:val="24"/>
                <w:szCs w:val="24"/>
                <w:highlight w:val="yellow"/>
                <w:lang w:val="en-US" w:eastAsia="zh-CN"/>
              </w:rPr>
              <w:t>17860605079</w:t>
            </w:r>
          </w:p>
          <w:p w14:paraId="1935FE13">
            <w:pPr>
              <w:keepNext w:val="0"/>
              <w:keepLines w:val="0"/>
              <w:suppressLineNumbers w:val="0"/>
              <w:spacing w:before="0" w:beforeAutospacing="0" w:after="0" w:afterAutospacing="0"/>
              <w:ind w:left="0" w:right="0" w:firstLine="482" w:firstLineChars="200"/>
              <w:rPr>
                <w:rFonts w:hint="default" w:ascii="宋体" w:hAnsi="宋体" w:eastAsia="宋体" w:cs="宋体"/>
                <w:b/>
                <w:snapToGrid w:val="0"/>
                <w:color w:val="C00000"/>
                <w:kern w:val="0"/>
                <w:sz w:val="24"/>
                <w:szCs w:val="24"/>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rPr>
              <w:t xml:space="preserve"> </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9"/>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9"/>
              <w:keepNext w:val="0"/>
              <w:keepLines w:val="0"/>
              <w:suppressLineNumbers w:val="0"/>
              <w:shd w:val="clear"/>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4F8DC173">
            <w:pPr>
              <w:pStyle w:val="19"/>
              <w:keepNext w:val="0"/>
              <w:keepLines w:val="0"/>
              <w:numPr>
                <w:ilvl w:val="0"/>
                <w:numId w:val="0"/>
              </w:numPr>
              <w:suppressLineNumbers w:val="0"/>
              <w:shd w:val="clear"/>
              <w:spacing w:before="0" w:beforeAutospacing="0" w:after="0" w:afterAutospacing="0"/>
              <w:ind w:left="0" w:right="0" w:rightChars="0"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yellow"/>
              </w:rPr>
              <w:t>拟</w:t>
            </w:r>
            <w:r>
              <w:rPr>
                <w:rFonts w:hint="eastAsia" w:hAnsi="宋体" w:eastAsia="宋体" w:cs="宋体"/>
                <w:color w:val="000000"/>
                <w:sz w:val="24"/>
                <w:szCs w:val="24"/>
                <w:highlight w:val="yellow"/>
                <w:lang w:val="en-US" w:eastAsia="zh-CN"/>
              </w:rPr>
              <w:t>投标</w:t>
            </w:r>
            <w:r>
              <w:rPr>
                <w:rFonts w:hint="eastAsia" w:hAnsi="宋体" w:eastAsia="宋体" w:cs="宋体"/>
                <w:color w:val="000000"/>
                <w:sz w:val="24"/>
                <w:szCs w:val="24"/>
                <w:highlight w:val="yellow"/>
              </w:rPr>
              <w:t>人必须是在中华人民共和国境内注册的独立法人机构，具有独立承担民事责任能力；注册资金</w:t>
            </w:r>
            <w:r>
              <w:rPr>
                <w:rFonts w:hint="eastAsia" w:hAnsi="宋体" w:eastAsia="宋体" w:cs="宋体"/>
                <w:color w:val="000000"/>
                <w:sz w:val="24"/>
                <w:szCs w:val="24"/>
                <w:highlight w:val="yellow"/>
                <w:lang w:val="en-US" w:eastAsia="zh-CN"/>
              </w:rPr>
              <w:t>不少于5000</w:t>
            </w:r>
            <w:r>
              <w:rPr>
                <w:rFonts w:hint="eastAsia" w:hAnsi="宋体" w:eastAsia="宋体" w:cs="宋体"/>
                <w:color w:val="000000"/>
                <w:sz w:val="24"/>
                <w:szCs w:val="24"/>
                <w:highlight w:val="yellow"/>
              </w:rPr>
              <w:t>万人民币（或等值其他货币）</w:t>
            </w:r>
            <w:r>
              <w:rPr>
                <w:rFonts w:hint="eastAsia" w:hAnsi="宋体" w:eastAsia="宋体" w:cs="宋体"/>
                <w:color w:val="000000"/>
                <w:sz w:val="24"/>
                <w:szCs w:val="24"/>
                <w:highlight w:val="yellow"/>
                <w:lang w:val="en-US" w:eastAsia="zh-CN"/>
              </w:rPr>
              <w:t>以上</w:t>
            </w:r>
            <w:r>
              <w:rPr>
                <w:rFonts w:hint="eastAsia" w:hAnsi="宋体" w:eastAsia="宋体" w:cs="宋体"/>
                <w:color w:val="000000"/>
                <w:sz w:val="24"/>
                <w:szCs w:val="24"/>
                <w:highlight w:val="yellow"/>
              </w:rPr>
              <w:t>；</w:t>
            </w:r>
            <w:r>
              <w:rPr>
                <w:rFonts w:hint="eastAsia" w:hAnsi="宋体" w:eastAsia="宋体" w:cs="宋体"/>
                <w:color w:val="000000"/>
                <w:sz w:val="24"/>
                <w:szCs w:val="24"/>
                <w:highlight w:val="yellow"/>
                <w:lang w:val="en-US" w:eastAsia="zh-CN"/>
              </w:rPr>
              <w:t>拟投标人</w:t>
            </w:r>
            <w:r>
              <w:rPr>
                <w:rFonts w:hint="eastAsia" w:hAnsi="宋体" w:eastAsia="宋体" w:cs="宋体"/>
                <w:color w:val="000000"/>
                <w:sz w:val="24"/>
                <w:szCs w:val="24"/>
                <w:highlight w:val="yellow"/>
              </w:rPr>
              <w:t>近5年以内承包并实施的汽车、改装车</w:t>
            </w:r>
            <w:r>
              <w:rPr>
                <w:rFonts w:hint="eastAsia" w:hAnsi="宋体" w:eastAsia="宋体" w:cs="宋体"/>
                <w:color w:val="000000"/>
                <w:sz w:val="24"/>
                <w:szCs w:val="24"/>
                <w:highlight w:val="yellow"/>
                <w:lang w:val="en-US" w:eastAsia="zh-CN"/>
              </w:rPr>
              <w:t>行业</w:t>
            </w:r>
            <w:r>
              <w:rPr>
                <w:rFonts w:hint="eastAsia" w:hAnsi="宋体" w:eastAsia="宋体" w:cs="宋体"/>
                <w:color w:val="000000"/>
                <w:sz w:val="24"/>
                <w:szCs w:val="24"/>
                <w:highlight w:val="yellow"/>
              </w:rPr>
              <w:t>涂装</w:t>
            </w:r>
            <w:r>
              <w:rPr>
                <w:rFonts w:hint="eastAsia" w:hAnsi="宋体" w:eastAsia="宋体" w:cs="宋体"/>
                <w:color w:val="000000"/>
                <w:sz w:val="24"/>
                <w:szCs w:val="24"/>
                <w:highlight w:val="yellow"/>
                <w:lang w:val="en-US" w:eastAsia="zh-CN"/>
              </w:rPr>
              <w:t>产线</w:t>
            </w:r>
            <w:r>
              <w:rPr>
                <w:rFonts w:hint="eastAsia" w:hAnsi="宋体" w:eastAsia="宋体" w:cs="宋体"/>
                <w:color w:val="000000"/>
                <w:sz w:val="24"/>
                <w:szCs w:val="24"/>
                <w:highlight w:val="yellow"/>
              </w:rPr>
              <w:t>≥</w:t>
            </w:r>
            <w:r>
              <w:rPr>
                <w:rFonts w:hint="eastAsia" w:hAnsi="宋体" w:eastAsia="宋体" w:cs="宋体"/>
                <w:color w:val="000000"/>
                <w:sz w:val="24"/>
                <w:szCs w:val="24"/>
                <w:highlight w:val="yellow"/>
                <w:lang w:val="en-US" w:eastAsia="zh-CN"/>
              </w:rPr>
              <w:t>5000万元人民币</w:t>
            </w:r>
            <w:r>
              <w:rPr>
                <w:rFonts w:hint="eastAsia" w:hAnsi="宋体" w:eastAsia="宋体" w:cs="宋体"/>
                <w:color w:val="000000"/>
                <w:sz w:val="24"/>
                <w:szCs w:val="24"/>
                <w:highlight w:val="yellow"/>
              </w:rPr>
              <w:t>（或等值其他货币）</w:t>
            </w:r>
            <w:r>
              <w:rPr>
                <w:rFonts w:hint="eastAsia" w:hAnsi="宋体" w:eastAsia="宋体" w:cs="宋体"/>
                <w:color w:val="000000"/>
                <w:sz w:val="24"/>
                <w:szCs w:val="24"/>
                <w:highlight w:val="yellow"/>
                <w:lang w:val="en-US" w:eastAsia="zh-CN"/>
              </w:rPr>
              <w:t>以上</w:t>
            </w:r>
            <w:r>
              <w:rPr>
                <w:rFonts w:hint="eastAsia" w:hAnsi="宋体" w:eastAsia="宋体" w:cs="宋体"/>
                <w:color w:val="000000"/>
                <w:sz w:val="24"/>
                <w:szCs w:val="24"/>
                <w:highlight w:val="yellow"/>
              </w:rPr>
              <w:t>的设备类项目，总合同金额要求</w:t>
            </w:r>
            <w:r>
              <w:rPr>
                <w:rFonts w:hint="eastAsia" w:hAnsi="宋体" w:eastAsia="宋体" w:cs="宋体"/>
                <w:color w:val="000000"/>
                <w:sz w:val="24"/>
                <w:szCs w:val="24"/>
                <w:highlight w:val="yellow"/>
                <w:lang w:val="en-US" w:eastAsia="zh-CN"/>
              </w:rPr>
              <w:t>不低于100000</w:t>
            </w:r>
            <w:r>
              <w:rPr>
                <w:rFonts w:hint="eastAsia" w:hAnsi="宋体" w:eastAsia="宋体" w:cs="宋体"/>
                <w:color w:val="000000"/>
                <w:sz w:val="24"/>
                <w:szCs w:val="24"/>
                <w:highlight w:val="yellow"/>
              </w:rPr>
              <w:t>万</w:t>
            </w:r>
            <w:r>
              <w:rPr>
                <w:rFonts w:hint="eastAsia" w:hAnsi="宋体" w:eastAsia="宋体" w:cs="宋体"/>
                <w:color w:val="000000"/>
                <w:sz w:val="24"/>
                <w:szCs w:val="24"/>
                <w:highlight w:val="yellow"/>
                <w:lang w:val="en-US" w:eastAsia="zh-CN"/>
              </w:rPr>
              <w:t>元</w:t>
            </w:r>
            <w:r>
              <w:rPr>
                <w:rFonts w:hint="eastAsia" w:hAnsi="宋体" w:eastAsia="宋体" w:cs="宋体"/>
                <w:color w:val="000000"/>
                <w:sz w:val="24"/>
                <w:szCs w:val="24"/>
                <w:highlight w:val="yellow"/>
              </w:rPr>
              <w:t>人民币</w:t>
            </w:r>
          </w:p>
          <w:p w14:paraId="2DB13200">
            <w:pPr>
              <w:pStyle w:val="19"/>
              <w:keepNext w:val="0"/>
              <w:keepLines w:val="0"/>
              <w:numPr>
                <w:ilvl w:val="0"/>
                <w:numId w:val="0"/>
              </w:numPr>
              <w:suppressLineNumbers w:val="0"/>
              <w:shd w:val="clear"/>
              <w:spacing w:before="0" w:beforeAutospacing="0" w:after="0" w:afterAutospacing="0"/>
              <w:ind w:left="0" w:right="0" w:rightChars="0"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yellow"/>
              </w:rPr>
              <w:t>公司成立</w:t>
            </w:r>
            <w:r>
              <w:rPr>
                <w:rFonts w:hint="eastAsia" w:hAnsi="宋体" w:eastAsia="宋体" w:cs="宋体"/>
                <w:color w:val="000000"/>
                <w:sz w:val="24"/>
                <w:szCs w:val="24"/>
                <w:highlight w:val="yellow"/>
                <w:lang w:val="en-US" w:eastAsia="zh-CN"/>
              </w:rPr>
              <w:t>三</w:t>
            </w:r>
            <w:r>
              <w:rPr>
                <w:rFonts w:hint="eastAsia" w:hAnsi="宋体" w:eastAsia="宋体" w:cs="宋体"/>
                <w:color w:val="000000"/>
                <w:sz w:val="24"/>
                <w:szCs w:val="24"/>
                <w:highlight w:val="yellow"/>
              </w:rPr>
              <w:t>年以上（以营业执照成立日期到开标当日满</w:t>
            </w:r>
            <w:r>
              <w:rPr>
                <w:rFonts w:hint="eastAsia" w:hAnsi="宋体" w:eastAsia="宋体" w:cs="宋体"/>
                <w:color w:val="000000"/>
                <w:sz w:val="24"/>
                <w:szCs w:val="24"/>
                <w:highlight w:val="yellow"/>
                <w:lang w:val="en-US" w:eastAsia="zh-CN"/>
              </w:rPr>
              <w:t>三</w:t>
            </w:r>
            <w:r>
              <w:rPr>
                <w:rFonts w:hint="eastAsia" w:hAnsi="宋体" w:eastAsia="宋体" w:cs="宋体"/>
                <w:color w:val="000000"/>
                <w:sz w:val="24"/>
                <w:szCs w:val="24"/>
                <w:highlight w:val="yellow"/>
              </w:rPr>
              <w:t>年为准），且经营范围满足招标人需求；并在人员、设备、资金等方面具有承担本项目的能力；</w:t>
            </w:r>
          </w:p>
          <w:p w14:paraId="127A6FE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7D799A01">
            <w:pPr>
              <w:pStyle w:val="19"/>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9"/>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eastAsia" w:ascii="宋体" w:hAnsi="宋体" w:eastAsia="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21</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u w:val="single"/>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28 </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u w:val="single"/>
                <w:lang w:val="en-US" w:eastAsia="zh-CN"/>
              </w:rPr>
              <w:t>9</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u w:val="single"/>
                <w:lang w:val="en-US" w:eastAsia="zh-CN"/>
              </w:rPr>
              <w:t xml:space="preserve"> 28 </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21"/>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21"/>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9</w:t>
            </w:r>
            <w:r>
              <w:rPr>
                <w:rFonts w:hint="eastAsia" w:eastAsia="宋体" w:cs="宋体"/>
                <w:color w:val="C00000"/>
                <w:highlight w:val="yellow"/>
              </w:rPr>
              <w:t>月</w:t>
            </w:r>
            <w:r>
              <w:rPr>
                <w:rFonts w:hint="eastAsia" w:eastAsia="宋体" w:cs="宋体"/>
                <w:color w:val="C00000"/>
                <w:highlight w:val="yellow"/>
                <w:lang w:val="en-US" w:eastAsia="zh-CN"/>
              </w:rPr>
              <w:t xml:space="preserve"> 28 </w:t>
            </w:r>
            <w:r>
              <w:rPr>
                <w:rFonts w:hint="eastAsia" w:eastAsia="宋体" w:cs="宋体"/>
                <w:color w:val="C00000"/>
                <w:highlight w:val="yellow"/>
              </w:rPr>
              <w:t>日</w:t>
            </w:r>
            <w:r>
              <w:rPr>
                <w:rFonts w:hint="eastAsia" w:eastAsia="宋体" w:cs="宋体"/>
              </w:rPr>
              <w:t>17时00分00秒</w:t>
            </w:r>
          </w:p>
          <w:p w14:paraId="2215D66E">
            <w:pPr>
              <w:pStyle w:val="121"/>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9"/>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eastAsia="zh-CN"/>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9"/>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14"/>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9"/>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10</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 xml:space="preserve"> 8 </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9</w:t>
            </w:r>
            <w:r>
              <w:rPr>
                <w:rFonts w:hint="eastAsia" w:hAnsi="宋体" w:eastAsia="宋体" w:cs="宋体"/>
                <w:sz w:val="24"/>
                <w:szCs w:val="24"/>
              </w:rPr>
              <w:t>:00:00（北京时间）</w:t>
            </w:r>
          </w:p>
          <w:p w14:paraId="0779A71C">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0CC60C2D">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highlight w:val="yellow"/>
              </w:rPr>
              <w:t>人民币</w:t>
            </w:r>
            <w:r>
              <w:rPr>
                <w:rFonts w:hint="eastAsia" w:ascii="宋体" w:hAnsi="宋体" w:eastAsia="宋体" w:cs="宋体"/>
                <w:sz w:val="24"/>
                <w:szCs w:val="24"/>
                <w:highlight w:val="yellow"/>
                <w:lang w:val="en-US" w:eastAsia="zh-CN"/>
              </w:rPr>
              <w:t>3</w:t>
            </w:r>
            <w:r>
              <w:rPr>
                <w:rFonts w:hint="eastAsia" w:ascii="宋体" w:hAnsi="宋体" w:eastAsia="宋体" w:cs="宋体"/>
                <w:b/>
                <w:bCs/>
                <w:sz w:val="24"/>
                <w:szCs w:val="24"/>
                <w:highlight w:val="yellow"/>
                <w:lang w:val="en-US" w:eastAsia="zh-CN"/>
              </w:rPr>
              <w:t>0</w:t>
            </w:r>
            <w:r>
              <w:rPr>
                <w:rFonts w:hint="eastAsia" w:ascii="宋体" w:hAnsi="宋体" w:eastAsia="宋体" w:cs="宋体"/>
                <w:b/>
                <w:bCs/>
                <w:sz w:val="24"/>
                <w:szCs w:val="24"/>
                <w:highlight w:val="yellow"/>
              </w:rPr>
              <w:t>0000</w:t>
            </w:r>
            <w:r>
              <w:rPr>
                <w:rFonts w:hint="eastAsia" w:ascii="宋体" w:hAnsi="宋体" w:eastAsia="宋体" w:cs="宋体"/>
                <w:sz w:val="24"/>
                <w:szCs w:val="24"/>
                <w:highlight w:val="yellow"/>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0CE7C23E">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50E1216E">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9"/>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10</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 xml:space="preserve"> 7 </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9"/>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9"/>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8 </w:t>
            </w:r>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lang w:val="en-US" w:eastAsia="zh-CN"/>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华奥路777号重汽科技</w:t>
            </w:r>
            <w:r>
              <w:rPr>
                <w:rFonts w:hint="eastAsia" w:ascii="宋体" w:hAnsi="宋体" w:eastAsia="宋体" w:cs="宋体"/>
                <w:sz w:val="24"/>
                <w:szCs w:val="24"/>
                <w:lang w:val="en-US" w:eastAsia="zh-CN"/>
              </w:rPr>
              <w:t>大厦</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9"/>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z w:val="24"/>
                <w:szCs w:val="24"/>
                <w:highlight w:val="yellow"/>
                <w:lang w:val="en-US" w:eastAsia="zh-CN"/>
              </w:rPr>
              <w:t>6</w:t>
            </w:r>
            <w:r>
              <w:rPr>
                <w:rFonts w:hint="eastAsia" w:ascii="宋体" w:hAnsi="宋体" w:eastAsia="宋体" w:cs="宋体"/>
                <w:strike w:val="0"/>
                <w:dstrike w:val="0"/>
                <w:sz w:val="24"/>
                <w:szCs w:val="24"/>
                <w:highlight w:val="yellow"/>
                <w:u w:val="single"/>
                <w:lang w:val="en-US" w:eastAsia="zh-CN"/>
              </w:rPr>
              <w:t>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30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9"/>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2"/>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15</w:t>
            </w:r>
            <w:r>
              <w:rPr>
                <w:rFonts w:hint="eastAsia" w:ascii="宋体" w:hAnsi="宋体" w:eastAsia="宋体" w:cs="宋体"/>
                <w:sz w:val="24"/>
                <w:szCs w:val="24"/>
              </w:rPr>
              <w:t>日内需根据设计</w:t>
            </w:r>
            <w:r>
              <w:rPr>
                <w:rStyle w:val="47"/>
                <w:rFonts w:hint="eastAsia" w:ascii="宋体" w:hAnsi="宋体" w:eastAsia="宋体" w:cs="宋体"/>
                <w:sz w:val="24"/>
                <w:szCs w:val="24"/>
              </w:rPr>
              <w:t>提资</w:t>
            </w:r>
            <w:r>
              <w:rPr>
                <w:rFonts w:hint="eastAsia" w:ascii="宋体" w:hAnsi="宋体" w:eastAsia="宋体" w:cs="宋体"/>
                <w:sz w:val="24"/>
                <w:szCs w:val="24"/>
              </w:rPr>
              <w:t>要求提供详细的</w:t>
            </w:r>
            <w:r>
              <w:rPr>
                <w:rStyle w:val="47"/>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7"/>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7"/>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p>
    <w:p w14:paraId="6C3E6368">
      <w:pPr>
        <w:pStyle w:val="2"/>
        <w:rPr>
          <w:rFonts w:hint="eastAsia"/>
        </w:rPr>
      </w:pPr>
      <w:r>
        <w:rPr>
          <w:rFonts w:hint="eastAsia"/>
        </w:rPr>
        <w:t>第二部分 投标须知</w:t>
      </w:r>
      <w:bookmarkEnd w:id="4"/>
    </w:p>
    <w:p w14:paraId="65E3C619">
      <w:pPr>
        <w:pStyle w:val="3"/>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3"/>
        <w:numPr>
          <w:ilvl w:val="0"/>
          <w:numId w:val="2"/>
        </w:numPr>
      </w:pPr>
      <w:r>
        <w:rPr>
          <w:rFonts w:hint="eastAsia"/>
        </w:rPr>
        <w:t>招标内容及形式</w:t>
      </w:r>
    </w:p>
    <w:p w14:paraId="5BDC2D15">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6"/>
          <w:rFonts w:hint="eastAsia"/>
        </w:rPr>
        <w:t>交货及付款</w:t>
      </w:r>
      <w:r>
        <w:rPr>
          <w:rFonts w:hint="eastAsia" w:ascii="宋体" w:hAnsi="宋体" w:eastAsia="宋体" w:cs="宋体"/>
          <w:b/>
          <w:bCs/>
          <w:sz w:val="24"/>
          <w:szCs w:val="24"/>
        </w:rPr>
        <w:tab/>
      </w:r>
    </w:p>
    <w:p w14:paraId="116CEE2E">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3"/>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9"/>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w:t>
      </w:r>
      <w:r>
        <w:rPr>
          <w:rFonts w:hint="eastAsia" w:ascii="宋体" w:hAnsi="宋体" w:eastAsia="宋体" w:cs="宋体"/>
          <w:color w:val="000000"/>
          <w:sz w:val="24"/>
          <w:szCs w:val="24"/>
          <w:lang w:val="en-US" w:eastAsia="zh-CN"/>
        </w:rPr>
        <w:t>预防</w:t>
      </w:r>
      <w:r>
        <w:rPr>
          <w:rFonts w:hint="eastAsia" w:ascii="宋体" w:hAnsi="宋体" w:eastAsia="宋体" w:cs="宋体"/>
          <w:color w:val="000000"/>
          <w:sz w:val="24"/>
          <w:szCs w:val="24"/>
        </w:rPr>
        <w:t>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9"/>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6914"/>
      <w:bookmarkStart w:id="7" w:name="_Toc33265653"/>
      <w:bookmarkStart w:id="8" w:name="_Toc33266627"/>
      <w:bookmarkStart w:id="9" w:name="_Toc33267001"/>
      <w:bookmarkStart w:id="10" w:name="_Toc33266950"/>
      <w:bookmarkStart w:id="11" w:name="_Toc33285487"/>
      <w:bookmarkStart w:id="12" w:name="_Toc33265752"/>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95116634"/>
      <w:bookmarkStart w:id="15" w:name="_Toc33266628"/>
      <w:bookmarkStart w:id="16" w:name="_Toc33267002"/>
      <w:bookmarkStart w:id="17" w:name="_Toc33266915"/>
      <w:bookmarkStart w:id="18" w:name="_Toc33266951"/>
      <w:bookmarkStart w:id="19" w:name="_Toc33265654"/>
      <w:bookmarkStart w:id="20" w:name="_Toc33265753"/>
      <w:bookmarkStart w:id="21" w:name="_Toc33285489"/>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9"/>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DEFB5DF">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55803451">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78EC9F50">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sz w:val="24"/>
          <w:szCs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9"/>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7"/>
      <w:bookmarkStart w:id="23" w:name="OLE_LINK28"/>
      <w:bookmarkStart w:id="24" w:name="OLE_LINK26"/>
      <w:bookmarkStart w:id="25" w:name="OLE_LINK25"/>
      <w:bookmarkStart w:id="26" w:name="OLE_LINK29"/>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9"/>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9"/>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2"/>
        <w:rPr>
          <w:rFonts w:hint="eastAsia"/>
        </w:rPr>
      </w:pPr>
      <w:bookmarkStart w:id="27" w:name="_Toc22879"/>
      <w:r>
        <w:rPr>
          <w:rFonts w:hint="eastAsia"/>
        </w:rPr>
        <w:t>第三部分 投标文件编制</w:t>
      </w:r>
      <w:bookmarkEnd w:id="27"/>
    </w:p>
    <w:p w14:paraId="4B160A07">
      <w:pPr>
        <w:pStyle w:val="3"/>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3"/>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w:t>
      </w:r>
      <w:r>
        <w:rPr>
          <w:rFonts w:hint="eastAsia" w:ascii="宋体" w:hAnsi="宋体" w:eastAsia="宋体" w:cs="宋体"/>
          <w:bCs/>
          <w:color w:val="000000"/>
          <w:sz w:val="24"/>
          <w:szCs w:val="24"/>
          <w:highlight w:val="yellow"/>
        </w:rPr>
        <w:t>1—12</w:t>
      </w:r>
      <w:r>
        <w:rPr>
          <w:rFonts w:hint="eastAsia" w:ascii="宋体" w:hAnsi="宋体" w:eastAsia="宋体" w:cs="宋体"/>
          <w:bCs/>
          <w:color w:val="000000"/>
          <w:sz w:val="24"/>
          <w:szCs w:val="24"/>
        </w:rPr>
        <w:t>，其余未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2A0D409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w:t>
      </w:r>
      <w:r>
        <w:rPr>
          <w:rFonts w:hint="eastAsia" w:ascii="宋体" w:hAnsi="宋体" w:eastAsia="宋体" w:cs="宋体"/>
          <w:color w:val="000000"/>
          <w:sz w:val="24"/>
          <w:szCs w:val="24"/>
          <w:highlight w:val="yellow"/>
        </w:rPr>
        <w:t>附件格式1—13</w:t>
      </w:r>
      <w:r>
        <w:rPr>
          <w:rFonts w:hint="eastAsia" w:ascii="宋体" w:hAnsi="宋体" w:eastAsia="宋体" w:cs="宋体"/>
          <w:color w:val="000000"/>
          <w:sz w:val="24"/>
          <w:szCs w:val="24"/>
        </w:rPr>
        <w:t>，其余未尽事宜请按各单位习惯制定即可。</w:t>
      </w:r>
    </w:p>
    <w:p w14:paraId="021965FA">
      <w:pPr>
        <w:pStyle w:val="19"/>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C91429F">
      <w:pPr>
        <w:keepNext/>
        <w:keepLines/>
        <w:jc w:val="center"/>
        <w:outlineLvl w:val="0"/>
        <w:rPr>
          <w:rFonts w:ascii="Calibri" w:hAnsi="Calibri" w:eastAsia="宋体" w:cs="Times New Roman"/>
          <w:b/>
          <w:bCs/>
          <w:kern w:val="44"/>
          <w:sz w:val="36"/>
          <w:szCs w:val="44"/>
        </w:rPr>
      </w:pPr>
      <w:bookmarkStart w:id="32" w:name="_Toc9849"/>
      <w:bookmarkStart w:id="33" w:name="_Toc465187648"/>
      <w:bookmarkStart w:id="34" w:name="_Toc169605877"/>
      <w:r>
        <w:rPr>
          <w:rFonts w:hint="eastAsia" w:ascii="Calibri" w:hAnsi="Calibri" w:eastAsia="宋体" w:cs="Times New Roman"/>
          <w:b/>
          <w:bCs/>
          <w:kern w:val="44"/>
          <w:sz w:val="36"/>
          <w:szCs w:val="44"/>
        </w:rPr>
        <w:t>第四部分 技术标书</w:t>
      </w:r>
      <w:bookmarkEnd w:id="32"/>
    </w:p>
    <w:p w14:paraId="0461347C">
      <w:pPr>
        <w:pStyle w:val="19"/>
      </w:pPr>
    </w:p>
    <w:p w14:paraId="569825A3">
      <w:pPr>
        <w:jc w:val="center"/>
        <w:rPr>
          <w:rFonts w:hint="default" w:ascii="Calibri" w:hAnsi="宋体" w:eastAsia="宋体" w:cs="Times New Roman"/>
          <w:b/>
          <w:bCs/>
          <w:color w:val="000000"/>
          <w:spacing w:val="-8"/>
          <w:sz w:val="48"/>
          <w:szCs w:val="44"/>
          <w:lang w:val="en-US" w:eastAsia="zh-CN"/>
        </w:rPr>
      </w:pPr>
      <w:r>
        <w:rPr>
          <w:rFonts w:hint="eastAsia" w:ascii="Calibri" w:hAnsi="宋体" w:eastAsia="宋体" w:cs="Times New Roman"/>
          <w:b/>
          <w:bCs/>
          <w:color w:val="000000"/>
          <w:spacing w:val="-8"/>
          <w:sz w:val="48"/>
          <w:szCs w:val="44"/>
        </w:rPr>
        <w:t>中国重汽集团</w:t>
      </w:r>
      <w:r>
        <w:rPr>
          <w:rFonts w:hint="eastAsia" w:ascii="Calibri" w:hAnsi="宋体" w:eastAsia="宋体" w:cs="Times New Roman"/>
          <w:b/>
          <w:bCs/>
          <w:color w:val="000000"/>
          <w:spacing w:val="-8"/>
          <w:sz w:val="48"/>
          <w:szCs w:val="44"/>
          <w:lang w:val="en-US" w:eastAsia="zh-CN"/>
        </w:rPr>
        <w:t>济南专用车有限公司</w:t>
      </w:r>
    </w:p>
    <w:p w14:paraId="47AB39D4">
      <w:pPr>
        <w:pStyle w:val="19"/>
        <w:jc w:val="center"/>
      </w:pPr>
      <w:r>
        <w:rPr>
          <w:rFonts w:hint="eastAsia" w:ascii="Calibri" w:hAnsi="宋体" w:eastAsia="宋体" w:cs="Times New Roman"/>
          <w:b/>
          <w:bCs/>
          <w:color w:val="000000"/>
          <w:spacing w:val="-8"/>
          <w:sz w:val="48"/>
          <w:szCs w:val="44"/>
          <w:lang w:val="en-US" w:eastAsia="zh-CN"/>
        </w:rPr>
        <w:t>挂车产线技改项目-涂装生产线</w:t>
      </w:r>
    </w:p>
    <w:p w14:paraId="36472165">
      <w:pPr>
        <w:jc w:val="center"/>
        <w:rPr>
          <w:rFonts w:ascii="黑体" w:hAnsi="宋体" w:eastAsia="黑体" w:cs="Times New Roman"/>
          <w:color w:val="000000"/>
          <w:sz w:val="72"/>
          <w:szCs w:val="72"/>
        </w:rPr>
      </w:pPr>
    </w:p>
    <w:p w14:paraId="5C3326F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512F38F6">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4C9FE88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15C6D60E">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0FB46F66">
      <w:pPr>
        <w:pStyle w:val="19"/>
      </w:pPr>
    </w:p>
    <w:p w14:paraId="506F0E3E">
      <w:pPr>
        <w:pStyle w:val="19"/>
        <w:rPr>
          <w:rFonts w:ascii="黑体" w:hAnsi="宋体" w:eastAsia="黑体" w:cs="Times New Roman"/>
          <w:color w:val="000000"/>
          <w:sz w:val="72"/>
          <w:szCs w:val="72"/>
        </w:rPr>
      </w:pPr>
    </w:p>
    <w:p w14:paraId="25B6B6B4">
      <w:pPr>
        <w:pStyle w:val="19"/>
        <w:rPr>
          <w:rFonts w:ascii="黑体" w:hAnsi="宋体" w:eastAsia="黑体" w:cs="Times New Roman"/>
          <w:color w:val="000000"/>
          <w:sz w:val="72"/>
          <w:szCs w:val="72"/>
        </w:rPr>
      </w:pPr>
    </w:p>
    <w:p w14:paraId="3597CE56">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020CCC6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审核：             </w:t>
      </w:r>
    </w:p>
    <w:p w14:paraId="502FDD8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批准：     </w:t>
      </w:r>
    </w:p>
    <w:p w14:paraId="7D03B08A">
      <w:pPr>
        <w:pStyle w:val="19"/>
        <w:rPr>
          <w:b/>
          <w:bCs/>
        </w:rPr>
      </w:pPr>
    </w:p>
    <w:p w14:paraId="43AC239B">
      <w:pPr>
        <w:jc w:val="center"/>
        <w:rPr>
          <w:rFonts w:hint="default" w:ascii="宋体" w:hAnsi="Calibri" w:eastAsia="宋体" w:cs="Times New Roman"/>
          <w:color w:val="000000"/>
          <w:sz w:val="28"/>
          <w:szCs w:val="28"/>
          <w:lang w:val="en-US"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w:t>
      </w:r>
      <w:r>
        <w:rPr>
          <w:rFonts w:hint="eastAsia" w:ascii="宋体" w:hAnsi="宋体" w:eastAsia="宋体" w:cs="Times New Roman"/>
          <w:color w:val="000000"/>
          <w:sz w:val="28"/>
          <w:szCs w:val="28"/>
          <w:lang w:val="en-US" w:eastAsia="zh-CN"/>
        </w:rPr>
        <w:t>济南专用车有限公司</w:t>
      </w:r>
    </w:p>
    <w:p w14:paraId="4DC0B03F">
      <w:pPr>
        <w:jc w:val="center"/>
        <w:rPr>
          <w:rFonts w:ascii="Calibri" w:hAnsi="Calibri" w:eastAsia="宋体" w:cs="Times New Roman"/>
          <w:b/>
          <w:bCs/>
          <w:kern w:val="44"/>
          <w:sz w:val="36"/>
          <w:szCs w:val="44"/>
        </w:rPr>
      </w:pPr>
      <w:r>
        <w:rPr>
          <w:rFonts w:hint="eastAsia" w:ascii="Calibri" w:hAnsi="Calibri" w:eastAsia="宋体" w:cs="Times New Roman"/>
          <w:color w:val="000000"/>
          <w:sz w:val="28"/>
          <w:szCs w:val="28"/>
        </w:rPr>
        <w:t>202</w:t>
      </w:r>
      <w:r>
        <w:rPr>
          <w:rFonts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hint="eastAsia" w:ascii="宋体" w:hAnsi="宋体"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77C5E165">
      <w:pPr>
        <w:tabs>
          <w:tab w:val="left" w:pos="426"/>
        </w:tabs>
        <w:rPr>
          <w:rFonts w:ascii="黑体" w:hAnsi="宋体" w:eastAsia="黑体"/>
          <w:sz w:val="44"/>
          <w:szCs w:val="44"/>
        </w:rPr>
      </w:pPr>
    </w:p>
    <w:p w14:paraId="346FD31B">
      <w:pPr>
        <w:spacing w:line="480" w:lineRule="exact"/>
        <w:jc w:val="center"/>
        <w:rPr>
          <w:rFonts w:ascii="宋体" w:hAnsi="宋体"/>
        </w:rPr>
      </w:pPr>
      <w:r>
        <w:rPr>
          <w:rFonts w:hint="eastAsia" w:ascii="黑体" w:hAnsi="宋体" w:eastAsia="黑体"/>
        </w:rPr>
        <w:t>目        录</w:t>
      </w:r>
    </w:p>
    <w:p w14:paraId="57E0946C">
      <w:pPr>
        <w:spacing w:line="480" w:lineRule="exact"/>
        <w:rPr>
          <w:rFonts w:ascii="宋体" w:hAnsi="宋体"/>
        </w:rPr>
      </w:pPr>
    </w:p>
    <w:p w14:paraId="33A8110F">
      <w:pPr>
        <w:pStyle w:val="26"/>
        <w:tabs>
          <w:tab w:val="right" w:leader="dot" w:pos="8787"/>
        </w:tabs>
        <w:spacing w:line="480" w:lineRule="auto"/>
        <w:rPr>
          <w:color w:val="auto"/>
        </w:rPr>
      </w:pPr>
      <w:r>
        <w:rPr>
          <w:rFonts w:hint="eastAsia"/>
          <w:color w:val="auto"/>
          <w:sz w:val="24"/>
          <w:szCs w:val="24"/>
        </w:rPr>
        <w:fldChar w:fldCharType="begin"/>
      </w:r>
      <w:r>
        <w:rPr>
          <w:rFonts w:hint="eastAsia"/>
          <w:color w:val="auto"/>
          <w:sz w:val="24"/>
          <w:szCs w:val="24"/>
        </w:rPr>
        <w:instrText xml:space="preserve"> TOC \o "1-2" \h \z \u </w:instrText>
      </w:r>
      <w:r>
        <w:rPr>
          <w:rFonts w:hint="eastAsia"/>
          <w:color w:val="auto"/>
          <w:sz w:val="24"/>
          <w:szCs w:val="24"/>
        </w:rPr>
        <w:fldChar w:fldCharType="separate"/>
      </w:r>
      <w:r>
        <w:fldChar w:fldCharType="begin"/>
      </w:r>
      <w:r>
        <w:instrText xml:space="preserve"> HYPERLINK \l "_Toc2567" </w:instrText>
      </w:r>
      <w:r>
        <w:fldChar w:fldCharType="separate"/>
      </w:r>
      <w:r>
        <w:rPr>
          <w:rFonts w:hint="eastAsia" w:ascii="黑体" w:eastAsia="黑体"/>
          <w:color w:val="auto"/>
          <w:szCs w:val="24"/>
        </w:rPr>
        <w:t>第一章  采购货物概况</w:t>
      </w:r>
      <w:r>
        <w:rPr>
          <w:color w:val="auto"/>
        </w:rPr>
        <w:tab/>
      </w:r>
      <w:r>
        <w:rPr>
          <w:color w:val="auto"/>
        </w:rPr>
        <w:fldChar w:fldCharType="begin"/>
      </w:r>
      <w:r>
        <w:rPr>
          <w:color w:val="auto"/>
        </w:rPr>
        <w:instrText xml:space="preserve"> PAGEREF _Toc2567 </w:instrText>
      </w:r>
      <w:r>
        <w:rPr>
          <w:color w:val="auto"/>
        </w:rPr>
        <w:fldChar w:fldCharType="separate"/>
      </w:r>
      <w:r>
        <w:rPr>
          <w:color w:val="auto"/>
        </w:rPr>
        <w:t>1</w:t>
      </w:r>
      <w:r>
        <w:rPr>
          <w:color w:val="auto"/>
        </w:rPr>
        <w:fldChar w:fldCharType="end"/>
      </w:r>
      <w:r>
        <w:rPr>
          <w:color w:val="auto"/>
        </w:rPr>
        <w:fldChar w:fldCharType="end"/>
      </w:r>
    </w:p>
    <w:p w14:paraId="182FBA72">
      <w:pPr>
        <w:pStyle w:val="26"/>
        <w:tabs>
          <w:tab w:val="right" w:leader="dot" w:pos="8787"/>
        </w:tabs>
        <w:spacing w:line="480" w:lineRule="auto"/>
        <w:rPr>
          <w:color w:val="auto"/>
        </w:rPr>
      </w:pPr>
      <w:r>
        <w:fldChar w:fldCharType="begin"/>
      </w:r>
      <w:r>
        <w:instrText xml:space="preserve"> HYPERLINK \l "_Toc32262" </w:instrText>
      </w:r>
      <w:r>
        <w:fldChar w:fldCharType="separate"/>
      </w:r>
      <w:r>
        <w:rPr>
          <w:rFonts w:hint="eastAsia" w:ascii="黑体" w:eastAsia="黑体"/>
          <w:color w:val="auto"/>
          <w:szCs w:val="24"/>
        </w:rPr>
        <w:t>第二章  技术要求</w:t>
      </w:r>
      <w:r>
        <w:rPr>
          <w:color w:val="auto"/>
        </w:rPr>
        <w:tab/>
      </w:r>
      <w:r>
        <w:rPr>
          <w:color w:val="auto"/>
        </w:rPr>
        <w:fldChar w:fldCharType="begin"/>
      </w:r>
      <w:r>
        <w:rPr>
          <w:color w:val="auto"/>
        </w:rPr>
        <w:instrText xml:space="preserve"> PAGEREF _Toc32262 </w:instrText>
      </w:r>
      <w:r>
        <w:rPr>
          <w:color w:val="auto"/>
        </w:rPr>
        <w:fldChar w:fldCharType="separate"/>
      </w:r>
      <w:r>
        <w:rPr>
          <w:color w:val="auto"/>
        </w:rPr>
        <w:t>5</w:t>
      </w:r>
      <w:r>
        <w:rPr>
          <w:color w:val="auto"/>
        </w:rPr>
        <w:fldChar w:fldCharType="end"/>
      </w:r>
      <w:r>
        <w:rPr>
          <w:color w:val="auto"/>
        </w:rPr>
        <w:fldChar w:fldCharType="end"/>
      </w:r>
    </w:p>
    <w:p w14:paraId="111CB90C">
      <w:pPr>
        <w:pStyle w:val="26"/>
        <w:tabs>
          <w:tab w:val="right" w:leader="dot" w:pos="8787"/>
        </w:tabs>
        <w:spacing w:line="480" w:lineRule="auto"/>
        <w:rPr>
          <w:color w:val="auto"/>
        </w:rPr>
      </w:pPr>
      <w:r>
        <w:fldChar w:fldCharType="begin"/>
      </w:r>
      <w:r>
        <w:instrText xml:space="preserve"> HYPERLINK \l "_Toc10963" </w:instrText>
      </w:r>
      <w:r>
        <w:fldChar w:fldCharType="separate"/>
      </w:r>
      <w:r>
        <w:rPr>
          <w:rFonts w:hint="eastAsia" w:ascii="黑体" w:eastAsia="黑体"/>
          <w:color w:val="auto"/>
          <w:szCs w:val="24"/>
        </w:rPr>
        <w:t>第三章  供货范围及供货方式</w:t>
      </w:r>
      <w:r>
        <w:rPr>
          <w:color w:val="auto"/>
        </w:rPr>
        <w:tab/>
      </w:r>
      <w:r>
        <w:rPr>
          <w:color w:val="auto"/>
        </w:rPr>
        <w:fldChar w:fldCharType="begin"/>
      </w:r>
      <w:r>
        <w:rPr>
          <w:color w:val="auto"/>
        </w:rPr>
        <w:instrText xml:space="preserve"> PAGEREF _Toc10963 </w:instrText>
      </w:r>
      <w:r>
        <w:rPr>
          <w:color w:val="auto"/>
        </w:rPr>
        <w:fldChar w:fldCharType="separate"/>
      </w:r>
      <w:r>
        <w:rPr>
          <w:color w:val="auto"/>
        </w:rPr>
        <w:t>18</w:t>
      </w:r>
      <w:r>
        <w:rPr>
          <w:color w:val="auto"/>
        </w:rPr>
        <w:fldChar w:fldCharType="end"/>
      </w:r>
      <w:r>
        <w:rPr>
          <w:color w:val="auto"/>
        </w:rPr>
        <w:fldChar w:fldCharType="end"/>
      </w:r>
    </w:p>
    <w:p w14:paraId="02513C2F">
      <w:pPr>
        <w:pStyle w:val="26"/>
        <w:tabs>
          <w:tab w:val="right" w:leader="dot" w:pos="8787"/>
        </w:tabs>
        <w:spacing w:line="480" w:lineRule="auto"/>
        <w:rPr>
          <w:color w:val="auto"/>
        </w:rPr>
      </w:pPr>
      <w:r>
        <w:fldChar w:fldCharType="begin"/>
      </w:r>
      <w:r>
        <w:instrText xml:space="preserve"> HYPERLINK \l "_Toc30960" </w:instrText>
      </w:r>
      <w:r>
        <w:fldChar w:fldCharType="separate"/>
      </w:r>
      <w:r>
        <w:rPr>
          <w:rFonts w:hint="eastAsia" w:ascii="黑体" w:eastAsia="黑体"/>
          <w:color w:val="auto"/>
          <w:szCs w:val="24"/>
        </w:rPr>
        <w:t>第四章  售中售后服务</w:t>
      </w:r>
      <w:r>
        <w:rPr>
          <w:color w:val="auto"/>
        </w:rPr>
        <w:tab/>
      </w:r>
      <w:r>
        <w:rPr>
          <w:color w:val="auto"/>
        </w:rPr>
        <w:fldChar w:fldCharType="begin"/>
      </w:r>
      <w:r>
        <w:rPr>
          <w:color w:val="auto"/>
        </w:rPr>
        <w:instrText xml:space="preserve"> PAGEREF _Toc30960 </w:instrText>
      </w:r>
      <w:r>
        <w:rPr>
          <w:color w:val="auto"/>
        </w:rPr>
        <w:fldChar w:fldCharType="separate"/>
      </w:r>
      <w:r>
        <w:rPr>
          <w:color w:val="auto"/>
        </w:rPr>
        <w:t>23</w:t>
      </w:r>
      <w:r>
        <w:rPr>
          <w:color w:val="auto"/>
        </w:rPr>
        <w:fldChar w:fldCharType="end"/>
      </w:r>
      <w:r>
        <w:rPr>
          <w:color w:val="auto"/>
        </w:rPr>
        <w:fldChar w:fldCharType="end"/>
      </w:r>
    </w:p>
    <w:p w14:paraId="43147CE3">
      <w:pPr>
        <w:pStyle w:val="26"/>
        <w:tabs>
          <w:tab w:val="right" w:leader="dot" w:pos="8787"/>
        </w:tabs>
        <w:spacing w:line="480" w:lineRule="auto"/>
        <w:rPr>
          <w:color w:val="auto"/>
        </w:rPr>
      </w:pPr>
      <w:r>
        <w:fldChar w:fldCharType="begin"/>
      </w:r>
      <w:r>
        <w:instrText xml:space="preserve"> HYPERLINK \l "_Toc21539" </w:instrText>
      </w:r>
      <w:r>
        <w:fldChar w:fldCharType="separate"/>
      </w:r>
      <w:r>
        <w:rPr>
          <w:rFonts w:hint="eastAsia" w:ascii="黑体" w:eastAsia="黑体"/>
          <w:color w:val="auto"/>
          <w:szCs w:val="24"/>
        </w:rPr>
        <w:t>第五章  预验收和终验收</w:t>
      </w:r>
      <w:r>
        <w:rPr>
          <w:color w:val="auto"/>
        </w:rPr>
        <w:tab/>
      </w:r>
      <w:r>
        <w:rPr>
          <w:color w:val="auto"/>
        </w:rPr>
        <w:fldChar w:fldCharType="begin"/>
      </w:r>
      <w:r>
        <w:rPr>
          <w:color w:val="auto"/>
        </w:rPr>
        <w:instrText xml:space="preserve"> PAGEREF _Toc21539 </w:instrText>
      </w:r>
      <w:r>
        <w:rPr>
          <w:color w:val="auto"/>
        </w:rPr>
        <w:fldChar w:fldCharType="separate"/>
      </w:r>
      <w:r>
        <w:rPr>
          <w:color w:val="auto"/>
        </w:rPr>
        <w:t>25</w:t>
      </w:r>
      <w:r>
        <w:rPr>
          <w:color w:val="auto"/>
        </w:rPr>
        <w:fldChar w:fldCharType="end"/>
      </w:r>
      <w:r>
        <w:rPr>
          <w:color w:val="auto"/>
        </w:rPr>
        <w:fldChar w:fldCharType="end"/>
      </w:r>
    </w:p>
    <w:p w14:paraId="07233C85">
      <w:pPr>
        <w:pStyle w:val="26"/>
        <w:tabs>
          <w:tab w:val="right" w:leader="dot" w:pos="8787"/>
        </w:tabs>
        <w:spacing w:line="480" w:lineRule="auto"/>
        <w:rPr>
          <w:color w:val="auto"/>
        </w:rPr>
      </w:pPr>
      <w:r>
        <w:fldChar w:fldCharType="begin"/>
      </w:r>
      <w:r>
        <w:instrText xml:space="preserve"> HYPERLINK \l "_Toc12996" </w:instrText>
      </w:r>
      <w:r>
        <w:fldChar w:fldCharType="separate"/>
      </w:r>
      <w:r>
        <w:rPr>
          <w:rFonts w:hint="eastAsia" w:ascii="黑体" w:eastAsia="黑体"/>
          <w:color w:val="auto"/>
          <w:szCs w:val="24"/>
        </w:rPr>
        <w:t>第六章  投标技术文件一般要求</w:t>
      </w:r>
      <w:r>
        <w:rPr>
          <w:color w:val="auto"/>
        </w:rPr>
        <w:tab/>
      </w:r>
      <w:r>
        <w:rPr>
          <w:color w:val="auto"/>
        </w:rPr>
        <w:fldChar w:fldCharType="begin"/>
      </w:r>
      <w:r>
        <w:rPr>
          <w:color w:val="auto"/>
        </w:rPr>
        <w:instrText xml:space="preserve"> PAGEREF _Toc12996 </w:instrText>
      </w:r>
      <w:r>
        <w:rPr>
          <w:color w:val="auto"/>
        </w:rPr>
        <w:fldChar w:fldCharType="separate"/>
      </w:r>
      <w:r>
        <w:rPr>
          <w:color w:val="auto"/>
        </w:rPr>
        <w:t>28</w:t>
      </w:r>
      <w:r>
        <w:rPr>
          <w:color w:val="auto"/>
        </w:rPr>
        <w:fldChar w:fldCharType="end"/>
      </w:r>
      <w:r>
        <w:rPr>
          <w:color w:val="auto"/>
        </w:rPr>
        <w:fldChar w:fldCharType="end"/>
      </w:r>
    </w:p>
    <w:p w14:paraId="22271CD3">
      <w:pPr>
        <w:pStyle w:val="26"/>
        <w:tabs>
          <w:tab w:val="right" w:leader="dot" w:pos="8787"/>
        </w:tabs>
        <w:spacing w:line="480" w:lineRule="auto"/>
        <w:rPr>
          <w:color w:val="auto"/>
        </w:rPr>
      </w:pPr>
      <w:r>
        <w:fldChar w:fldCharType="begin"/>
      </w:r>
      <w:r>
        <w:instrText xml:space="preserve"> HYPERLINK \l "_Toc31849" </w:instrText>
      </w:r>
      <w:r>
        <w:fldChar w:fldCharType="separate"/>
      </w:r>
      <w:r>
        <w:rPr>
          <w:rFonts w:hint="eastAsia" w:ascii="黑体" w:eastAsia="黑体"/>
          <w:color w:val="auto"/>
          <w:szCs w:val="24"/>
        </w:rPr>
        <w:t>第七章  其它要求及说明</w:t>
      </w:r>
      <w:r>
        <w:rPr>
          <w:color w:val="auto"/>
        </w:rPr>
        <w:tab/>
      </w:r>
      <w:r>
        <w:rPr>
          <w:color w:val="auto"/>
        </w:rPr>
        <w:fldChar w:fldCharType="begin"/>
      </w:r>
      <w:r>
        <w:rPr>
          <w:color w:val="auto"/>
        </w:rPr>
        <w:instrText xml:space="preserve"> PAGEREF _Toc31849 </w:instrText>
      </w:r>
      <w:r>
        <w:rPr>
          <w:color w:val="auto"/>
        </w:rPr>
        <w:fldChar w:fldCharType="separate"/>
      </w:r>
      <w:r>
        <w:rPr>
          <w:color w:val="auto"/>
        </w:rPr>
        <w:t>30</w:t>
      </w:r>
      <w:r>
        <w:rPr>
          <w:color w:val="auto"/>
        </w:rPr>
        <w:fldChar w:fldCharType="end"/>
      </w:r>
      <w:r>
        <w:rPr>
          <w:color w:val="auto"/>
        </w:rPr>
        <w:fldChar w:fldCharType="end"/>
      </w:r>
    </w:p>
    <w:p w14:paraId="06DE40E2">
      <w:pPr>
        <w:spacing w:line="480" w:lineRule="auto"/>
        <w:rPr>
          <w:rFonts w:ascii="宋体" w:hAnsi="宋体"/>
        </w:rPr>
      </w:pPr>
      <w:r>
        <w:rPr>
          <w:rFonts w:hint="eastAsia" w:ascii="宋体" w:hAnsi="宋体"/>
        </w:rPr>
        <w:fldChar w:fldCharType="end"/>
      </w:r>
    </w:p>
    <w:p w14:paraId="6F48C6B5">
      <w:pPr>
        <w:spacing w:line="480" w:lineRule="exact"/>
        <w:ind w:firstLine="840" w:firstLineChars="400"/>
        <w:rPr>
          <w:rFonts w:ascii="黑体" w:hAnsi="宋体" w:eastAsia="黑体"/>
        </w:rPr>
      </w:pPr>
    </w:p>
    <w:p w14:paraId="334FCF78">
      <w:pPr>
        <w:spacing w:line="480" w:lineRule="exact"/>
        <w:ind w:firstLine="840" w:firstLineChars="400"/>
        <w:rPr>
          <w:rFonts w:ascii="黑体" w:hAnsi="宋体" w:eastAsia="黑体"/>
        </w:rPr>
      </w:pPr>
    </w:p>
    <w:p w14:paraId="30850650">
      <w:pPr>
        <w:spacing w:line="480" w:lineRule="exact"/>
        <w:ind w:firstLine="840" w:firstLineChars="400"/>
        <w:rPr>
          <w:rFonts w:ascii="黑体" w:hAnsi="宋体" w:eastAsia="黑体"/>
        </w:rPr>
        <w:sectPr>
          <w:headerReference r:id="rId11" w:type="default"/>
          <w:footerReference r:id="rId12" w:type="default"/>
          <w:pgSz w:w="11906" w:h="16838"/>
          <w:pgMar w:top="1701" w:right="1418" w:bottom="1134" w:left="1701" w:header="1021" w:footer="680" w:gutter="0"/>
          <w:pgNumType w:start="1"/>
          <w:cols w:space="720" w:num="1"/>
          <w:docGrid w:type="lines" w:linePitch="312" w:charSpace="0"/>
        </w:sectPr>
      </w:pPr>
    </w:p>
    <w:p w14:paraId="4A1E716F">
      <w:pPr>
        <w:pStyle w:val="2"/>
        <w:spacing w:before="120" w:after="120" w:line="480" w:lineRule="exact"/>
        <w:rPr>
          <w:rFonts w:ascii="黑体" w:eastAsia="黑体"/>
          <w:b w:val="0"/>
          <w:sz w:val="24"/>
          <w:szCs w:val="24"/>
        </w:rPr>
      </w:pPr>
      <w:r>
        <w:rPr>
          <w:rFonts w:hint="eastAsia" w:ascii="黑体" w:eastAsia="黑体"/>
          <w:b w:val="0"/>
          <w:sz w:val="24"/>
          <w:szCs w:val="24"/>
        </w:rPr>
        <w:t>第一章  采购货物概况</w:t>
      </w:r>
    </w:p>
    <w:p w14:paraId="49F921EA">
      <w:pPr>
        <w:spacing w:line="480" w:lineRule="exact"/>
        <w:rPr>
          <w:rFonts w:ascii="黑体" w:hAnsi="宋体" w:eastAsia="黑体"/>
        </w:rPr>
      </w:pPr>
    </w:p>
    <w:p w14:paraId="4A5CEEFE">
      <w:pPr>
        <w:pStyle w:val="3"/>
        <w:spacing w:before="120" w:after="120" w:line="480" w:lineRule="exact"/>
        <w:jc w:val="center"/>
        <w:rPr>
          <w:b/>
          <w:szCs w:val="24"/>
        </w:rPr>
      </w:pPr>
      <w:r>
        <w:rPr>
          <w:rFonts w:hint="eastAsia"/>
          <w:b/>
          <w:szCs w:val="24"/>
        </w:rPr>
        <w:t>第一节  使用环境</w:t>
      </w:r>
    </w:p>
    <w:p w14:paraId="09DC2137">
      <w:pPr>
        <w:spacing w:line="480" w:lineRule="exact"/>
        <w:ind w:firstLine="420" w:firstLineChars="200"/>
        <w:rPr>
          <w:rFonts w:ascii="黑体" w:hAnsi="宋体" w:eastAsia="黑体"/>
          <w:u w:val="single"/>
          <w:shd w:val="pct10" w:color="auto" w:fill="FFFFFF"/>
        </w:rPr>
      </w:pPr>
      <w:r>
        <w:rPr>
          <w:rFonts w:hint="eastAsia" w:ascii="黑体" w:hAnsi="宋体" w:eastAsia="黑体"/>
        </w:rPr>
        <w:t>一、项目名称：</w:t>
      </w:r>
      <w:r>
        <w:rPr>
          <w:rFonts w:hint="eastAsia" w:ascii="宋体" w:hAnsi="宋体"/>
          <w:u w:val="single"/>
          <w:shd w:val="pct10" w:color="auto" w:fill="FFFFFF"/>
        </w:rPr>
        <w:t>挂车</w:t>
      </w:r>
      <w:r>
        <w:rPr>
          <w:rFonts w:hint="eastAsia" w:ascii="宋体" w:hAnsi="宋体"/>
          <w:u w:val="single"/>
          <w:shd w:val="pct10" w:color="auto" w:fill="FFFFFF"/>
          <w:lang w:val="en-US" w:eastAsia="zh-CN"/>
        </w:rPr>
        <w:t>涂装</w:t>
      </w:r>
      <w:r>
        <w:rPr>
          <w:rFonts w:hint="eastAsia" w:ascii="宋体" w:hAnsi="宋体"/>
          <w:u w:val="single"/>
          <w:shd w:val="pct10" w:color="auto" w:fill="FFFFFF"/>
        </w:rPr>
        <w:t>生产线项目</w:t>
      </w:r>
    </w:p>
    <w:p w14:paraId="3526CBB3">
      <w:pPr>
        <w:spacing w:line="480" w:lineRule="exact"/>
        <w:ind w:firstLine="420" w:firstLineChars="200"/>
        <w:rPr>
          <w:rFonts w:ascii="宋体" w:hAnsi="宋体"/>
        </w:rPr>
      </w:pPr>
      <w:r>
        <w:rPr>
          <w:rFonts w:hint="eastAsia" w:ascii="黑体" w:hAnsi="宋体" w:eastAsia="黑体"/>
        </w:rPr>
        <w:t>二、建设地点：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3C521D40">
      <w:pPr>
        <w:spacing w:line="480" w:lineRule="exact"/>
        <w:ind w:firstLine="420" w:firstLineChars="200"/>
        <w:rPr>
          <w:rFonts w:hint="eastAsia" w:ascii="宋体" w:hAnsi="宋体"/>
          <w:u w:val="single"/>
          <w:shd w:val="pct10" w:color="auto" w:fill="FFFFFF"/>
          <w:lang w:val="en-US" w:eastAsia="zh-CN"/>
        </w:rPr>
      </w:pPr>
      <w:r>
        <w:rPr>
          <w:rFonts w:hint="eastAsia" w:ascii="黑体" w:hAnsi="宋体" w:eastAsia="黑体"/>
        </w:rPr>
        <w:t>三、使用地点：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42C332B7">
      <w:pPr>
        <w:spacing w:line="480" w:lineRule="exact"/>
        <w:ind w:firstLine="420" w:firstLineChars="200"/>
        <w:rPr>
          <w:rFonts w:ascii="宋体" w:hAnsi="宋体"/>
        </w:rPr>
      </w:pPr>
      <w:r>
        <w:rPr>
          <w:rFonts w:hint="eastAsia" w:ascii="黑体" w:hAnsi="宋体" w:eastAsia="黑体"/>
        </w:rPr>
        <w:t>四、工作制度：</w:t>
      </w:r>
      <w:r>
        <w:rPr>
          <w:rFonts w:hint="eastAsia" w:ascii="宋体" w:hAnsi="宋体"/>
        </w:rPr>
        <w:t>全年工作</w:t>
      </w:r>
      <w:r>
        <w:rPr>
          <w:rFonts w:hint="eastAsia" w:ascii="宋体" w:hAnsi="宋体"/>
          <w:lang w:val="en-US" w:eastAsia="zh-CN"/>
        </w:rPr>
        <w:t>30</w:t>
      </w:r>
      <w:r>
        <w:rPr>
          <w:rFonts w:hint="eastAsia" w:ascii="宋体" w:hAnsi="宋体"/>
        </w:rPr>
        <w:t>0天、</w:t>
      </w:r>
      <w:r>
        <w:rPr>
          <w:rFonts w:hint="eastAsia" w:ascii="宋体" w:hAnsi="宋体"/>
          <w:u w:val="single"/>
          <w:shd w:val="pct10" w:color="auto" w:fill="FFFFFF"/>
        </w:rPr>
        <w:t xml:space="preserve">   2  </w:t>
      </w:r>
      <w:r>
        <w:rPr>
          <w:rFonts w:hint="eastAsia" w:ascii="宋体" w:hAnsi="宋体"/>
        </w:rPr>
        <w:t>班制、设备年时基数</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6</w:t>
      </w:r>
      <w:r>
        <w:rPr>
          <w:rFonts w:hint="eastAsia" w:ascii="宋体" w:hAnsi="宋体"/>
          <w:u w:val="single"/>
          <w:shd w:val="pct10" w:color="auto" w:fill="FFFFFF"/>
        </w:rPr>
        <w:t xml:space="preserve">000 </w:t>
      </w:r>
      <w:r>
        <w:rPr>
          <w:rFonts w:hint="eastAsia" w:ascii="宋体" w:hAnsi="宋体"/>
        </w:rPr>
        <w:t>小时</w:t>
      </w:r>
    </w:p>
    <w:p w14:paraId="2AEB4AD5">
      <w:pPr>
        <w:spacing w:line="480" w:lineRule="exact"/>
        <w:ind w:firstLine="420" w:firstLineChars="200"/>
        <w:rPr>
          <w:rFonts w:ascii="黑体" w:hAnsi="宋体" w:eastAsia="黑体"/>
        </w:rPr>
      </w:pPr>
      <w:r>
        <w:rPr>
          <w:rFonts w:hint="eastAsia" w:ascii="黑体" w:hAnsi="宋体" w:eastAsia="黑体"/>
        </w:rPr>
        <w:t>五、使用地点区域自然环境：</w:t>
      </w:r>
    </w:p>
    <w:p w14:paraId="1F8EBCE3">
      <w:pPr>
        <w:spacing w:line="360" w:lineRule="auto"/>
        <w:ind w:firstLine="480" w:firstLineChars="200"/>
        <w:rPr>
          <w:rFonts w:hint="eastAsia" w:ascii="仿宋" w:hAnsi="仿宋" w:eastAsia="仿宋" w:cs="仿宋"/>
          <w:sz w:val="24"/>
        </w:rPr>
      </w:pPr>
      <w:r>
        <w:rPr>
          <w:rFonts w:hint="eastAsia" w:ascii="仿宋" w:hAnsi="仿宋" w:eastAsia="仿宋" w:cs="仿宋"/>
          <w:sz w:val="24"/>
        </w:rPr>
        <w:t>1、海拨高度：1500m以下</w:t>
      </w:r>
    </w:p>
    <w:p w14:paraId="48533BBD">
      <w:pPr>
        <w:spacing w:line="360" w:lineRule="auto"/>
        <w:ind w:firstLine="480" w:firstLineChars="200"/>
        <w:rPr>
          <w:rFonts w:hint="eastAsia" w:ascii="仿宋" w:hAnsi="仿宋" w:eastAsia="仿宋" w:cs="仿宋"/>
          <w:sz w:val="24"/>
        </w:rPr>
      </w:pPr>
      <w:r>
        <w:rPr>
          <w:rFonts w:hint="eastAsia" w:ascii="仿宋" w:hAnsi="仿宋" w:eastAsia="仿宋" w:cs="仿宋"/>
          <w:sz w:val="24"/>
        </w:rPr>
        <w:t>2、环境温度：室外极端最低温度-19.7℃、极端最高温度42℃，昼夜最大温差25℃；室内温度5～40℃。</w:t>
      </w:r>
    </w:p>
    <w:p w14:paraId="7FA130AF">
      <w:pPr>
        <w:spacing w:line="360" w:lineRule="auto"/>
        <w:ind w:firstLine="480" w:firstLineChars="200"/>
        <w:rPr>
          <w:rFonts w:hint="eastAsia" w:ascii="仿宋" w:hAnsi="仿宋" w:eastAsia="仿宋" w:cs="仿宋"/>
          <w:sz w:val="24"/>
        </w:rPr>
      </w:pPr>
      <w:r>
        <w:rPr>
          <w:rFonts w:hint="eastAsia" w:ascii="仿宋" w:hAnsi="仿宋" w:eastAsia="仿宋" w:cs="仿宋"/>
          <w:sz w:val="24"/>
        </w:rPr>
        <w:t>3、相对湿度：年平均59%，最大95%、最小15%。</w:t>
      </w:r>
    </w:p>
    <w:p w14:paraId="6A0AF40D">
      <w:pPr>
        <w:spacing w:line="360" w:lineRule="auto"/>
        <w:ind w:firstLine="480" w:firstLineChars="200"/>
        <w:rPr>
          <w:rFonts w:hint="eastAsia" w:ascii="仿宋" w:hAnsi="仿宋" w:eastAsia="仿宋" w:cs="仿宋"/>
          <w:sz w:val="24"/>
        </w:rPr>
      </w:pPr>
      <w:r>
        <w:rPr>
          <w:rFonts w:hint="eastAsia" w:ascii="仿宋" w:hAnsi="仿宋" w:eastAsia="仿宋" w:cs="仿宋"/>
          <w:sz w:val="24"/>
        </w:rPr>
        <w:t>4、降雨量：日最大降雨量300mm、时最大降雨量100mm。</w:t>
      </w:r>
    </w:p>
    <w:p w14:paraId="7D93C76C">
      <w:pPr>
        <w:spacing w:line="360" w:lineRule="auto"/>
        <w:ind w:firstLine="480" w:firstLineChars="200"/>
        <w:rPr>
          <w:rFonts w:hint="eastAsia" w:ascii="仿宋" w:hAnsi="仿宋" w:eastAsia="仿宋" w:cs="仿宋"/>
          <w:sz w:val="24"/>
        </w:rPr>
      </w:pPr>
      <w:r>
        <w:rPr>
          <w:rFonts w:hint="eastAsia" w:ascii="仿宋" w:hAnsi="仿宋" w:eastAsia="仿宋" w:cs="仿宋"/>
          <w:sz w:val="24"/>
        </w:rPr>
        <w:t>5、最大风速：33.3m/s。</w:t>
      </w:r>
    </w:p>
    <w:p w14:paraId="36E728E7">
      <w:pPr>
        <w:spacing w:line="360" w:lineRule="auto"/>
        <w:ind w:firstLine="480" w:firstLineChars="200"/>
        <w:rPr>
          <w:rFonts w:hint="eastAsia" w:ascii="仿宋" w:hAnsi="仿宋" w:eastAsia="仿宋" w:cs="仿宋"/>
          <w:sz w:val="24"/>
        </w:rPr>
      </w:pPr>
      <w:r>
        <w:rPr>
          <w:rFonts w:hint="eastAsia" w:ascii="仿宋" w:hAnsi="仿宋" w:eastAsia="仿宋" w:cs="仿宋"/>
          <w:sz w:val="24"/>
        </w:rPr>
        <w:t>6、最大积雪厚度：200mm。</w:t>
      </w:r>
    </w:p>
    <w:p w14:paraId="6A5EB021">
      <w:pPr>
        <w:spacing w:line="360" w:lineRule="auto"/>
        <w:ind w:firstLine="480" w:firstLineChars="200"/>
        <w:rPr>
          <w:rFonts w:hint="eastAsia" w:ascii="仿宋" w:hAnsi="仿宋" w:eastAsia="仿宋" w:cs="仿宋"/>
          <w:sz w:val="24"/>
        </w:rPr>
      </w:pPr>
      <w:r>
        <w:rPr>
          <w:rFonts w:hint="eastAsia" w:ascii="仿宋" w:hAnsi="仿宋" w:eastAsia="仿宋" w:cs="仿宋"/>
          <w:sz w:val="24"/>
        </w:rPr>
        <w:t>7、最大冻土深度：450mm。</w:t>
      </w:r>
    </w:p>
    <w:p w14:paraId="0EA3B5DA">
      <w:pPr>
        <w:spacing w:line="360" w:lineRule="auto"/>
        <w:ind w:firstLine="480" w:firstLineChars="200"/>
        <w:rPr>
          <w:rFonts w:hint="eastAsia" w:ascii="仿宋" w:hAnsi="仿宋" w:eastAsia="仿宋" w:cs="仿宋"/>
          <w:sz w:val="24"/>
        </w:rPr>
      </w:pPr>
      <w:r>
        <w:rPr>
          <w:rFonts w:hint="eastAsia" w:ascii="仿宋" w:hAnsi="仿宋" w:eastAsia="仿宋" w:cs="仿宋"/>
          <w:sz w:val="24"/>
        </w:rPr>
        <w:t>8、地震设防裂度：七度。</w:t>
      </w:r>
    </w:p>
    <w:p w14:paraId="0903F34C">
      <w:pPr>
        <w:spacing w:line="480" w:lineRule="exact"/>
        <w:ind w:firstLine="420" w:firstLineChars="200"/>
        <w:rPr>
          <w:rFonts w:ascii="宋体" w:hAnsi="宋体"/>
        </w:rPr>
      </w:pPr>
      <w:r>
        <w:rPr>
          <w:rFonts w:hint="eastAsia" w:ascii="黑体" w:hAnsi="宋体" w:eastAsia="黑体"/>
        </w:rPr>
        <w:t>六、能源环境：</w:t>
      </w:r>
    </w:p>
    <w:p w14:paraId="78232B07">
      <w:pPr>
        <w:spacing w:line="360" w:lineRule="auto"/>
        <w:ind w:firstLine="480" w:firstLineChars="200"/>
        <w:rPr>
          <w:rFonts w:hint="eastAsia" w:ascii="仿宋" w:hAnsi="仿宋" w:eastAsia="仿宋" w:cs="仿宋"/>
          <w:sz w:val="24"/>
        </w:rPr>
      </w:pPr>
      <w:r>
        <w:rPr>
          <w:rFonts w:hint="eastAsia" w:ascii="仿宋" w:hAnsi="仿宋" w:eastAsia="仿宋" w:cs="仿宋"/>
          <w:sz w:val="24"/>
        </w:rPr>
        <w:t>1、电力：中国制式，供电电压380V±15%/220V±15%，供电频率50Hz±2%。</w:t>
      </w:r>
    </w:p>
    <w:p w14:paraId="1076A936">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2、供应天然气热值8500Kcal/Nm3。</w:t>
      </w:r>
    </w:p>
    <w:p w14:paraId="5E9C91A3">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3、压缩空气压力：0.6-0.7Mpa。</w:t>
      </w:r>
    </w:p>
    <w:p w14:paraId="1790F67A">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、给水：市政自来水或软化水，0.2-0.4MPa</w:t>
      </w:r>
    </w:p>
    <w:p w14:paraId="5B90A1EC">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5、厂房照明条件：不低于150LX。</w:t>
      </w:r>
    </w:p>
    <w:p w14:paraId="3F8D6D84">
      <w:pPr>
        <w:spacing w:line="360" w:lineRule="auto"/>
        <w:ind w:firstLine="480" w:firstLineChars="200"/>
        <w:rPr>
          <w:rFonts w:hint="eastAsia" w:ascii="仿宋" w:hAnsi="仿宋" w:eastAsia="仿宋" w:cs="仿宋"/>
          <w:sz w:val="24"/>
        </w:rPr>
      </w:pPr>
    </w:p>
    <w:p w14:paraId="464C7F4D">
      <w:pPr>
        <w:spacing w:line="360" w:lineRule="auto"/>
        <w:ind w:firstLine="480" w:firstLineChars="200"/>
        <w:rPr>
          <w:rFonts w:hint="eastAsia" w:ascii="仿宋" w:hAnsi="仿宋" w:eastAsia="仿宋" w:cs="仿宋"/>
          <w:sz w:val="24"/>
        </w:rPr>
      </w:pPr>
    </w:p>
    <w:p w14:paraId="6E03CFFD">
      <w:pPr>
        <w:spacing w:line="360" w:lineRule="auto"/>
        <w:ind w:firstLine="480" w:firstLineChars="200"/>
        <w:rPr>
          <w:rFonts w:hint="eastAsia" w:ascii="仿宋" w:hAnsi="仿宋" w:eastAsia="仿宋" w:cs="仿宋"/>
          <w:sz w:val="24"/>
        </w:rPr>
      </w:pPr>
    </w:p>
    <w:p w14:paraId="4FFB5456">
      <w:pPr>
        <w:spacing w:line="360" w:lineRule="auto"/>
        <w:ind w:firstLine="480" w:firstLineChars="200"/>
        <w:rPr>
          <w:rFonts w:hint="eastAsia" w:ascii="仿宋" w:hAnsi="仿宋" w:eastAsia="仿宋" w:cs="仿宋"/>
          <w:sz w:val="24"/>
        </w:rPr>
      </w:pPr>
    </w:p>
    <w:p w14:paraId="6E9DDBEE">
      <w:pPr>
        <w:spacing w:line="480" w:lineRule="exact"/>
        <w:rPr>
          <w:rFonts w:ascii="宋体" w:hAnsi="宋体"/>
        </w:rPr>
      </w:pPr>
    </w:p>
    <w:p w14:paraId="28A2937E">
      <w:pPr>
        <w:pStyle w:val="3"/>
        <w:spacing w:before="120" w:after="120" w:line="480" w:lineRule="exact"/>
        <w:jc w:val="center"/>
        <w:rPr>
          <w:b/>
          <w:szCs w:val="24"/>
        </w:rPr>
      </w:pPr>
      <w:r>
        <w:rPr>
          <w:rFonts w:hint="eastAsia"/>
          <w:b/>
          <w:szCs w:val="24"/>
        </w:rPr>
        <w:t>第二节  采购货物概况</w:t>
      </w:r>
    </w:p>
    <w:p w14:paraId="6019C967">
      <w:pPr>
        <w:spacing w:line="480" w:lineRule="exact"/>
        <w:ind w:firstLine="420" w:firstLineChars="200"/>
        <w:jc w:val="left"/>
        <w:rPr>
          <w:rFonts w:ascii="宋体" w:hAnsi="宋体"/>
        </w:rPr>
      </w:pPr>
      <w:r>
        <w:rPr>
          <w:rFonts w:hint="eastAsia" w:ascii="黑体" w:hAnsi="宋体" w:eastAsia="黑体"/>
        </w:rPr>
        <w:t>一、设备名称：</w:t>
      </w:r>
      <w:r>
        <w:rPr>
          <w:rFonts w:hint="eastAsia" w:ascii="仿宋" w:hAnsi="仿宋" w:eastAsia="仿宋" w:cs="仿宋"/>
          <w:u w:val="single"/>
          <w:shd w:val="pct10" w:color="auto" w:fill="FFFFFF"/>
          <w:lang w:val="en-US" w:eastAsia="zh-CN"/>
        </w:rPr>
        <w:t>挂车涂装生产线</w:t>
      </w:r>
      <w:r>
        <w:rPr>
          <w:rFonts w:hint="eastAsia" w:ascii="宋体" w:hAnsi="宋体"/>
        </w:rPr>
        <w:t>（详见下表）</w:t>
      </w:r>
    </w:p>
    <w:p w14:paraId="2A91BF72">
      <w:pPr>
        <w:spacing w:line="480" w:lineRule="exact"/>
        <w:ind w:firstLine="420" w:firstLineChars="200"/>
        <w:rPr>
          <w:rFonts w:ascii="宋体" w:hAnsi="宋体"/>
        </w:rPr>
      </w:pPr>
      <w:r>
        <w:rPr>
          <w:rFonts w:hint="eastAsia" w:ascii="黑体" w:hAnsi="宋体" w:eastAsia="黑体"/>
        </w:rPr>
        <w:t>二、设备数量：</w:t>
      </w:r>
      <w:r>
        <w:rPr>
          <w:rFonts w:hint="eastAsia" w:ascii="仿宋" w:hAnsi="仿宋" w:eastAsia="仿宋" w:cs="仿宋"/>
          <w:u w:val="single"/>
          <w:shd w:val="pct10" w:color="auto" w:fill="FFFFFF"/>
          <w:lang w:val="en-US" w:eastAsia="zh-CN"/>
        </w:rPr>
        <w:t>详见下表</w:t>
      </w:r>
    </w:p>
    <w:p w14:paraId="2E345F86">
      <w:pPr>
        <w:spacing w:line="560" w:lineRule="exact"/>
        <w:ind w:firstLine="420" w:firstLineChars="200"/>
      </w:pPr>
      <w:r>
        <w:rPr>
          <w:rFonts w:hint="eastAsia" w:ascii="黑体" w:hAnsi="宋体" w:eastAsia="黑体"/>
        </w:rPr>
        <w:t>三、分投分中：</w:t>
      </w:r>
      <w:r>
        <w:rPr>
          <w:rFonts w:hint="eastAsia" w:ascii="宋体" w:hAnsi="宋体"/>
        </w:rPr>
        <w:t>不允许。</w:t>
      </w:r>
    </w:p>
    <w:p w14:paraId="43656A6A">
      <w:pPr>
        <w:widowControl/>
        <w:jc w:val="center"/>
        <w:rPr>
          <w:rFonts w:ascii="宋体" w:hAnsi="宋体"/>
        </w:rPr>
      </w:pPr>
      <w:r>
        <w:rPr>
          <w:rFonts w:hint="eastAsia" w:ascii="宋体" w:hAnsi="宋体"/>
        </w:rPr>
        <w:t>采购货物主要构成一览表</w:t>
      </w:r>
    </w:p>
    <w:tbl>
      <w:tblPr>
        <w:tblStyle w:val="40"/>
        <w:tblpPr w:leftFromText="180" w:rightFromText="180" w:vertAnchor="text" w:horzAnchor="page" w:tblpXSpec="center" w:tblpY="431"/>
        <w:tblOverlap w:val="never"/>
        <w:tblW w:w="9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4"/>
        <w:gridCol w:w="1596"/>
        <w:gridCol w:w="776"/>
        <w:gridCol w:w="776"/>
        <w:gridCol w:w="1216"/>
        <w:gridCol w:w="3216"/>
      </w:tblGrid>
      <w:tr w14:paraId="577C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0" w:type="auto"/>
            <w:vAlign w:val="center"/>
          </w:tcPr>
          <w:p w14:paraId="48E2C73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设备名称</w:t>
            </w:r>
          </w:p>
        </w:tc>
        <w:tc>
          <w:tcPr>
            <w:tcW w:w="1596" w:type="dxa"/>
            <w:vAlign w:val="center"/>
          </w:tcPr>
          <w:p w14:paraId="205532E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规格型号</w:t>
            </w:r>
          </w:p>
        </w:tc>
        <w:tc>
          <w:tcPr>
            <w:tcW w:w="776" w:type="dxa"/>
            <w:vAlign w:val="center"/>
          </w:tcPr>
          <w:p w14:paraId="1FAB8AE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单位</w:t>
            </w:r>
          </w:p>
        </w:tc>
        <w:tc>
          <w:tcPr>
            <w:tcW w:w="776" w:type="dxa"/>
            <w:vAlign w:val="center"/>
          </w:tcPr>
          <w:p w14:paraId="0D1255B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数量</w:t>
            </w:r>
          </w:p>
        </w:tc>
        <w:tc>
          <w:tcPr>
            <w:tcW w:w="1216" w:type="dxa"/>
            <w:vAlign w:val="center"/>
          </w:tcPr>
          <w:p w14:paraId="7C1BE34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供货方式</w:t>
            </w:r>
          </w:p>
        </w:tc>
        <w:tc>
          <w:tcPr>
            <w:tcW w:w="3216" w:type="dxa"/>
            <w:vAlign w:val="center"/>
          </w:tcPr>
          <w:p w14:paraId="128847A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备注</w:t>
            </w:r>
          </w:p>
        </w:tc>
      </w:tr>
      <w:tr w14:paraId="00C4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0" w:type="auto"/>
            <w:vAlign w:val="center"/>
          </w:tcPr>
          <w:p w14:paraId="0E97275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工件识别及跟踪</w:t>
            </w:r>
            <w:r>
              <w:rPr>
                <w:rFonts w:hint="eastAsia" w:ascii="仿宋" w:hAnsi="仿宋" w:eastAsia="仿宋" w:cs="仿宋"/>
                <w:sz w:val="22"/>
                <w:szCs w:val="21"/>
                <w:lang w:val="en-US" w:eastAsia="zh-CN"/>
              </w:rPr>
              <w:t>模块</w:t>
            </w:r>
          </w:p>
        </w:tc>
        <w:tc>
          <w:tcPr>
            <w:tcW w:w="1596" w:type="dxa"/>
            <w:shd w:val="clear" w:color="auto" w:fill="auto"/>
            <w:vAlign w:val="center"/>
          </w:tcPr>
          <w:p w14:paraId="6B6F305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详见技术要求</w:t>
            </w:r>
          </w:p>
        </w:tc>
        <w:tc>
          <w:tcPr>
            <w:tcW w:w="776" w:type="dxa"/>
            <w:shd w:val="clear" w:color="auto" w:fill="auto"/>
            <w:vAlign w:val="center"/>
          </w:tcPr>
          <w:p w14:paraId="3ADC887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套</w:t>
            </w:r>
          </w:p>
        </w:tc>
        <w:tc>
          <w:tcPr>
            <w:tcW w:w="776" w:type="dxa"/>
            <w:shd w:val="clear" w:color="auto" w:fill="auto"/>
            <w:vAlign w:val="center"/>
          </w:tcPr>
          <w:p w14:paraId="5C9883B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1</w:t>
            </w:r>
          </w:p>
        </w:tc>
        <w:tc>
          <w:tcPr>
            <w:tcW w:w="1216" w:type="dxa"/>
            <w:vMerge w:val="restart"/>
            <w:vAlign w:val="center"/>
          </w:tcPr>
          <w:p w14:paraId="696D6F8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交钥匙</w:t>
            </w:r>
          </w:p>
        </w:tc>
        <w:tc>
          <w:tcPr>
            <w:tcW w:w="3216" w:type="dxa"/>
            <w:vAlign w:val="center"/>
          </w:tcPr>
          <w:p w14:paraId="0CB4B52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r>
      <w:tr w14:paraId="26F9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0" w:type="auto"/>
            <w:shd w:val="clear" w:color="auto" w:fill="auto"/>
            <w:vAlign w:val="center"/>
          </w:tcPr>
          <w:p w14:paraId="39C8A40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焊接至涂装线EMS</w:t>
            </w:r>
            <w:r>
              <w:rPr>
                <w:rFonts w:hint="eastAsia" w:ascii="仿宋" w:hAnsi="仿宋" w:eastAsia="仿宋" w:cs="仿宋"/>
                <w:sz w:val="22"/>
                <w:szCs w:val="21"/>
                <w:lang w:val="en-US" w:eastAsia="zh-CN"/>
              </w:rPr>
              <w:t>及控制系统</w:t>
            </w:r>
          </w:p>
        </w:tc>
        <w:tc>
          <w:tcPr>
            <w:tcW w:w="1596" w:type="dxa"/>
            <w:shd w:val="clear" w:color="auto" w:fill="auto"/>
            <w:vAlign w:val="center"/>
          </w:tcPr>
          <w:p w14:paraId="32F5CCF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vAlign w:val="center"/>
          </w:tcPr>
          <w:p w14:paraId="193B32D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4A22787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F30E8E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center"/>
          </w:tcPr>
          <w:p w14:paraId="0242BD1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含焊后存储工位</w:t>
            </w:r>
          </w:p>
        </w:tc>
      </w:tr>
      <w:tr w14:paraId="43B5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847962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通过式抛丸</w:t>
            </w:r>
            <w:r>
              <w:rPr>
                <w:rFonts w:hint="eastAsia" w:ascii="仿宋" w:hAnsi="仿宋" w:eastAsia="仿宋" w:cs="仿宋"/>
                <w:sz w:val="22"/>
                <w:szCs w:val="21"/>
                <w:lang w:val="en-US" w:eastAsia="zh-CN"/>
              </w:rPr>
              <w:t>线</w:t>
            </w:r>
          </w:p>
        </w:tc>
        <w:tc>
          <w:tcPr>
            <w:tcW w:w="1596" w:type="dxa"/>
            <w:shd w:val="clear" w:color="auto" w:fill="auto"/>
            <w:vAlign w:val="center"/>
          </w:tcPr>
          <w:p w14:paraId="74F2F59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vAlign w:val="center"/>
          </w:tcPr>
          <w:p w14:paraId="1140A55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lang w:val="en-US" w:eastAsia="zh-CN"/>
              </w:rPr>
              <w:t>套</w:t>
            </w:r>
          </w:p>
        </w:tc>
        <w:tc>
          <w:tcPr>
            <w:tcW w:w="776" w:type="dxa"/>
            <w:shd w:val="clear" w:color="auto" w:fill="auto"/>
            <w:vAlign w:val="center"/>
          </w:tcPr>
          <w:p w14:paraId="7F443E6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13FDCD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57D6ED9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5A6F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B8F6CA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电泳烘干强冷室</w:t>
            </w:r>
          </w:p>
        </w:tc>
        <w:tc>
          <w:tcPr>
            <w:tcW w:w="1596" w:type="dxa"/>
            <w:shd w:val="clear" w:color="auto" w:fill="auto"/>
            <w:vAlign w:val="center"/>
          </w:tcPr>
          <w:p w14:paraId="7905234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1CC9583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F2FE7E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740B6A0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13664AD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利用现有加热系统、废气处理系统</w:t>
            </w:r>
          </w:p>
        </w:tc>
      </w:tr>
      <w:tr w14:paraId="3B7B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C9A9C3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喷淋前处理</w:t>
            </w:r>
            <w:r>
              <w:rPr>
                <w:rFonts w:hint="eastAsia" w:ascii="仿宋" w:hAnsi="仿宋" w:eastAsia="仿宋" w:cs="仿宋"/>
                <w:sz w:val="22"/>
                <w:szCs w:val="21"/>
                <w:lang w:val="en-US" w:eastAsia="zh-CN"/>
              </w:rPr>
              <w:t>线</w:t>
            </w:r>
          </w:p>
        </w:tc>
        <w:tc>
          <w:tcPr>
            <w:tcW w:w="1596" w:type="dxa"/>
            <w:shd w:val="clear" w:color="auto" w:fill="auto"/>
            <w:vAlign w:val="center"/>
          </w:tcPr>
          <w:p w14:paraId="3B79381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DDF51A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2E0E82C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7DECB8E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2BE837F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用于自卸车及罐车</w:t>
            </w:r>
          </w:p>
        </w:tc>
      </w:tr>
      <w:tr w14:paraId="7861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4EB0276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水分烘干</w:t>
            </w:r>
            <w:r>
              <w:rPr>
                <w:rFonts w:hint="eastAsia" w:ascii="仿宋" w:hAnsi="仿宋" w:eastAsia="仿宋" w:cs="仿宋"/>
                <w:sz w:val="22"/>
                <w:szCs w:val="21"/>
                <w:lang w:eastAsia="zh-CN"/>
              </w:rPr>
              <w:t>、</w:t>
            </w:r>
            <w:r>
              <w:rPr>
                <w:rFonts w:hint="eastAsia" w:ascii="仿宋" w:hAnsi="仿宋" w:eastAsia="仿宋" w:cs="仿宋"/>
                <w:sz w:val="22"/>
                <w:szCs w:val="21"/>
              </w:rPr>
              <w:t>强冷</w:t>
            </w:r>
          </w:p>
        </w:tc>
        <w:tc>
          <w:tcPr>
            <w:tcW w:w="1596" w:type="dxa"/>
            <w:shd w:val="clear" w:color="auto" w:fill="auto"/>
            <w:vAlign w:val="center"/>
          </w:tcPr>
          <w:p w14:paraId="60350CE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6F70E0D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5E52A6A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A07AB9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3A15484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用于自卸车及罐车</w:t>
            </w:r>
          </w:p>
        </w:tc>
      </w:tr>
      <w:tr w14:paraId="14A9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4B9AFE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车架自动静电喷粉室</w:t>
            </w:r>
          </w:p>
        </w:tc>
        <w:tc>
          <w:tcPr>
            <w:tcW w:w="1596" w:type="dxa"/>
            <w:shd w:val="clear" w:color="auto" w:fill="auto"/>
            <w:vAlign w:val="center"/>
          </w:tcPr>
          <w:p w14:paraId="3B0F76D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1770208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9C9694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2</w:t>
            </w:r>
          </w:p>
        </w:tc>
        <w:tc>
          <w:tcPr>
            <w:tcW w:w="1216" w:type="dxa"/>
            <w:vMerge w:val="continue"/>
            <w:vAlign w:val="center"/>
          </w:tcPr>
          <w:p w14:paraId="70FB6C3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288D884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4CC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348C632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罐车、自卸车自动静电喷粉室</w:t>
            </w:r>
          </w:p>
        </w:tc>
        <w:tc>
          <w:tcPr>
            <w:tcW w:w="1596" w:type="dxa"/>
            <w:shd w:val="clear" w:color="auto" w:fill="auto"/>
            <w:vAlign w:val="center"/>
          </w:tcPr>
          <w:p w14:paraId="6F1183C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2ED767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19F7705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3</w:t>
            </w:r>
          </w:p>
        </w:tc>
        <w:tc>
          <w:tcPr>
            <w:tcW w:w="1216" w:type="dxa"/>
            <w:vMerge w:val="continue"/>
            <w:vAlign w:val="center"/>
          </w:tcPr>
          <w:p w14:paraId="20E595E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6222B46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1套底粉粉房，2套面粉粉房</w:t>
            </w:r>
          </w:p>
        </w:tc>
      </w:tr>
      <w:tr w14:paraId="7630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0E6D108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套色人工喷粉室</w:t>
            </w:r>
          </w:p>
        </w:tc>
        <w:tc>
          <w:tcPr>
            <w:tcW w:w="1596" w:type="dxa"/>
            <w:shd w:val="clear" w:color="auto" w:fill="auto"/>
            <w:vAlign w:val="center"/>
          </w:tcPr>
          <w:p w14:paraId="0E80A05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24A56F1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37FA5A8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1</w:t>
            </w:r>
          </w:p>
        </w:tc>
        <w:tc>
          <w:tcPr>
            <w:tcW w:w="1216" w:type="dxa"/>
            <w:vMerge w:val="continue"/>
            <w:vAlign w:val="center"/>
          </w:tcPr>
          <w:p w14:paraId="6F5CD1A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01213E2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19CD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3EBDF8E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粉房隔离间</w:t>
            </w:r>
          </w:p>
        </w:tc>
        <w:tc>
          <w:tcPr>
            <w:tcW w:w="1596" w:type="dxa"/>
            <w:shd w:val="clear" w:color="auto" w:fill="auto"/>
            <w:vAlign w:val="center"/>
          </w:tcPr>
          <w:p w14:paraId="791766B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1A2C5F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7ABEF0A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2</w:t>
            </w:r>
          </w:p>
        </w:tc>
        <w:tc>
          <w:tcPr>
            <w:tcW w:w="1216" w:type="dxa"/>
            <w:vMerge w:val="continue"/>
            <w:vAlign w:val="center"/>
          </w:tcPr>
          <w:p w14:paraId="3EC600B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3096D9E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FCE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5BCB1D3">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底粉</w:t>
            </w:r>
            <w:r>
              <w:rPr>
                <w:rFonts w:hint="eastAsia" w:ascii="仿宋" w:hAnsi="仿宋" w:eastAsia="仿宋" w:cs="仿宋"/>
                <w:sz w:val="22"/>
                <w:szCs w:val="21"/>
                <w:lang w:val="en-US" w:eastAsia="zh-CN"/>
              </w:rPr>
              <w:t>胶化烘烤、</w:t>
            </w:r>
            <w:r>
              <w:rPr>
                <w:rFonts w:hint="eastAsia" w:ascii="仿宋" w:hAnsi="仿宋" w:eastAsia="仿宋" w:cs="仿宋"/>
                <w:sz w:val="22"/>
                <w:szCs w:val="21"/>
              </w:rPr>
              <w:t>强冷</w:t>
            </w:r>
            <w:r>
              <w:rPr>
                <w:rFonts w:hint="eastAsia" w:ascii="仿宋" w:hAnsi="仿宋" w:eastAsia="仿宋" w:cs="仿宋"/>
                <w:sz w:val="22"/>
                <w:szCs w:val="21"/>
                <w:lang w:val="en-US" w:eastAsia="zh-CN"/>
              </w:rPr>
              <w:t>室</w:t>
            </w:r>
          </w:p>
        </w:tc>
        <w:tc>
          <w:tcPr>
            <w:tcW w:w="1596" w:type="dxa"/>
            <w:shd w:val="clear" w:color="auto" w:fill="auto"/>
            <w:vAlign w:val="center"/>
          </w:tcPr>
          <w:p w14:paraId="755A669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D22DF4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2F740A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176BA9C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1D6D0196">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p>
        </w:tc>
      </w:tr>
      <w:tr w14:paraId="598A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5C208B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车架粉末固化强冷室</w:t>
            </w:r>
          </w:p>
        </w:tc>
        <w:tc>
          <w:tcPr>
            <w:tcW w:w="1596" w:type="dxa"/>
            <w:shd w:val="clear" w:color="auto" w:fill="auto"/>
            <w:vAlign w:val="center"/>
          </w:tcPr>
          <w:p w14:paraId="0D353B4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0C9E832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76EF680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8176F4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2B2C5FD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7BC3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28C23A1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罐车、自卸粉末固化强冷室</w:t>
            </w:r>
          </w:p>
        </w:tc>
        <w:tc>
          <w:tcPr>
            <w:tcW w:w="1596" w:type="dxa"/>
            <w:shd w:val="clear" w:color="auto" w:fill="auto"/>
            <w:vAlign w:val="center"/>
          </w:tcPr>
          <w:p w14:paraId="070532B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989ABE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71874D0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1</w:t>
            </w:r>
          </w:p>
        </w:tc>
        <w:tc>
          <w:tcPr>
            <w:tcW w:w="1216" w:type="dxa"/>
            <w:vMerge w:val="continue"/>
            <w:vAlign w:val="center"/>
          </w:tcPr>
          <w:p w14:paraId="4A0D079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3BB46F4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730E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3549A75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套色粉末固化强冷</w:t>
            </w:r>
          </w:p>
        </w:tc>
        <w:tc>
          <w:tcPr>
            <w:tcW w:w="1596" w:type="dxa"/>
            <w:shd w:val="clear" w:color="auto" w:fill="auto"/>
            <w:vAlign w:val="center"/>
          </w:tcPr>
          <w:p w14:paraId="17571CD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C6A0F6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329D6B7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1</w:t>
            </w:r>
          </w:p>
        </w:tc>
        <w:tc>
          <w:tcPr>
            <w:tcW w:w="1216" w:type="dxa"/>
            <w:vMerge w:val="continue"/>
            <w:vAlign w:val="center"/>
          </w:tcPr>
          <w:p w14:paraId="7EC155D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7D2550E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648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14:paraId="049D0D0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遮蔽及去遮蔽工位</w:t>
            </w:r>
          </w:p>
        </w:tc>
        <w:tc>
          <w:tcPr>
            <w:tcW w:w="1596" w:type="dxa"/>
            <w:shd w:val="clear" w:color="auto" w:fill="auto"/>
            <w:vAlign w:val="center"/>
          </w:tcPr>
          <w:p w14:paraId="0FA1566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74EBDC4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B2BE16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4</w:t>
            </w:r>
          </w:p>
        </w:tc>
        <w:tc>
          <w:tcPr>
            <w:tcW w:w="1216" w:type="dxa"/>
            <w:vMerge w:val="continue"/>
            <w:vAlign w:val="center"/>
          </w:tcPr>
          <w:p w14:paraId="5A3CF2F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79A99AE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5C32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FD09A1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打胶工位</w:t>
            </w:r>
          </w:p>
        </w:tc>
        <w:tc>
          <w:tcPr>
            <w:tcW w:w="1596" w:type="dxa"/>
            <w:shd w:val="clear" w:color="auto" w:fill="auto"/>
            <w:vAlign w:val="center"/>
          </w:tcPr>
          <w:p w14:paraId="65793DB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26DA55D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081A5AC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1D17BA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5E5150D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F2F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C686D5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积放式重型悬挂输送</w:t>
            </w:r>
            <w:r>
              <w:rPr>
                <w:rFonts w:hint="eastAsia" w:ascii="仿宋" w:hAnsi="仿宋" w:eastAsia="仿宋" w:cs="仿宋"/>
                <w:sz w:val="22"/>
                <w:szCs w:val="21"/>
                <w:lang w:val="en-US" w:eastAsia="zh-CN"/>
              </w:rPr>
              <w:t>系统</w:t>
            </w:r>
          </w:p>
        </w:tc>
        <w:tc>
          <w:tcPr>
            <w:tcW w:w="1596" w:type="dxa"/>
            <w:shd w:val="clear" w:color="auto" w:fill="auto"/>
            <w:vAlign w:val="center"/>
          </w:tcPr>
          <w:p w14:paraId="1D9B67C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1569239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DE2BF5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468F5E4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6B8D9C6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全线</w:t>
            </w:r>
          </w:p>
        </w:tc>
      </w:tr>
      <w:tr w14:paraId="7DAE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6403489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电气控制系统</w:t>
            </w:r>
          </w:p>
        </w:tc>
        <w:tc>
          <w:tcPr>
            <w:tcW w:w="1596" w:type="dxa"/>
            <w:shd w:val="clear" w:color="auto" w:fill="auto"/>
            <w:vAlign w:val="center"/>
          </w:tcPr>
          <w:p w14:paraId="585AAE3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331FBDA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57A24870">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shd w:val="clear" w:color="auto" w:fill="auto"/>
            <w:vAlign w:val="center"/>
          </w:tcPr>
          <w:p w14:paraId="6F58049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center"/>
          </w:tcPr>
          <w:p w14:paraId="4119556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含中控</w:t>
            </w:r>
          </w:p>
        </w:tc>
      </w:tr>
      <w:tr w14:paraId="7CB8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6DE1481">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热洁炉</w:t>
            </w:r>
          </w:p>
        </w:tc>
        <w:tc>
          <w:tcPr>
            <w:tcW w:w="1596" w:type="dxa"/>
            <w:shd w:val="clear" w:color="auto" w:fill="auto"/>
            <w:vAlign w:val="center"/>
          </w:tcPr>
          <w:p w14:paraId="653B9C5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375C2F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2EF909E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E552AD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75A3A4B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6338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0" w:type="auto"/>
            <w:shd w:val="clear" w:color="auto" w:fill="auto"/>
            <w:vAlign w:val="center"/>
          </w:tcPr>
          <w:p w14:paraId="40598AC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前处理电泳改造</w:t>
            </w:r>
          </w:p>
        </w:tc>
        <w:tc>
          <w:tcPr>
            <w:tcW w:w="1596" w:type="dxa"/>
            <w:shd w:val="clear" w:color="auto" w:fill="auto"/>
            <w:vAlign w:val="center"/>
          </w:tcPr>
          <w:p w14:paraId="199C6CB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A0122A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26E8A71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D200D1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050693F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1.利用原有设备进行改造、恢复补齐；</w:t>
            </w:r>
          </w:p>
          <w:p w14:paraId="5786F98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2.含双轨自行小车</w:t>
            </w:r>
            <w:r>
              <w:rPr>
                <w:rFonts w:hint="eastAsia" w:ascii="仿宋" w:hAnsi="仿宋" w:eastAsia="仿宋" w:cs="仿宋"/>
                <w:sz w:val="22"/>
                <w:szCs w:val="21"/>
                <w:lang w:eastAsia="zh-CN"/>
              </w:rPr>
              <w:t>，</w:t>
            </w:r>
            <w:r>
              <w:rPr>
                <w:rFonts w:hint="eastAsia" w:ascii="仿宋" w:hAnsi="仿宋" w:eastAsia="仿宋" w:cs="仿宋"/>
                <w:sz w:val="22"/>
                <w:szCs w:val="21"/>
              </w:rPr>
              <w:t>增加车组、改造吊具；</w:t>
            </w:r>
          </w:p>
        </w:tc>
      </w:tr>
      <w:tr w14:paraId="3AB5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1E13AA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前处理电泳双轨自行小车</w:t>
            </w:r>
            <w:r>
              <w:rPr>
                <w:rFonts w:hint="eastAsia" w:ascii="仿宋" w:hAnsi="仿宋" w:eastAsia="仿宋" w:cs="仿宋"/>
                <w:sz w:val="22"/>
                <w:szCs w:val="21"/>
                <w:lang w:val="en-US" w:eastAsia="zh-CN"/>
              </w:rPr>
              <w:t>及吊具</w:t>
            </w:r>
          </w:p>
        </w:tc>
        <w:tc>
          <w:tcPr>
            <w:tcW w:w="1596" w:type="dxa"/>
            <w:shd w:val="clear" w:color="auto" w:fill="auto"/>
            <w:vAlign w:val="center"/>
          </w:tcPr>
          <w:p w14:paraId="13559C2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9DADC7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4FD7314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15DC55D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7CB2AFE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5FAB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46C9AED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超滤、纯水、阳极</w:t>
            </w:r>
          </w:p>
        </w:tc>
        <w:tc>
          <w:tcPr>
            <w:tcW w:w="1596" w:type="dxa"/>
            <w:shd w:val="clear" w:color="auto" w:fill="auto"/>
            <w:vAlign w:val="center"/>
          </w:tcPr>
          <w:p w14:paraId="24F1C25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26CBA95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1D2483F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879FD6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6F97D98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6D9C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675E897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冷水、热水</w:t>
            </w:r>
          </w:p>
        </w:tc>
        <w:tc>
          <w:tcPr>
            <w:tcW w:w="1596" w:type="dxa"/>
            <w:shd w:val="clear" w:color="auto" w:fill="auto"/>
            <w:vAlign w:val="center"/>
          </w:tcPr>
          <w:p w14:paraId="78657D5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0E61464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18BD14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00C96C8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3F649DE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45B6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73B8B78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污水处理站</w:t>
            </w:r>
            <w:r>
              <w:rPr>
                <w:rFonts w:hint="eastAsia" w:ascii="仿宋" w:hAnsi="仿宋" w:eastAsia="仿宋" w:cs="仿宋"/>
                <w:sz w:val="22"/>
                <w:szCs w:val="21"/>
              </w:rPr>
              <w:t>改造</w:t>
            </w:r>
          </w:p>
        </w:tc>
        <w:tc>
          <w:tcPr>
            <w:tcW w:w="1596" w:type="dxa"/>
            <w:shd w:val="clear" w:color="auto" w:fill="auto"/>
            <w:vAlign w:val="center"/>
          </w:tcPr>
          <w:p w14:paraId="7823D7D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3422724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0824BFE">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shd w:val="clear" w:color="auto" w:fill="auto"/>
            <w:vAlign w:val="center"/>
          </w:tcPr>
          <w:p w14:paraId="56B7894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31F09A3B">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highlight w:val="none"/>
                <w:lang w:val="en-US" w:eastAsia="zh-CN"/>
              </w:rPr>
            </w:pPr>
            <w:r>
              <w:rPr>
                <w:rFonts w:hint="eastAsia" w:ascii="仿宋" w:hAnsi="仿宋" w:eastAsia="仿宋" w:cs="仿宋"/>
                <w:sz w:val="22"/>
                <w:szCs w:val="21"/>
                <w:highlight w:val="none"/>
                <w:lang w:val="en-US" w:eastAsia="zh-CN"/>
              </w:rPr>
              <w:t>投标方现场勘测</w:t>
            </w:r>
          </w:p>
        </w:tc>
      </w:tr>
      <w:tr w14:paraId="1111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294216EC">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危废间、危化品库改造</w:t>
            </w:r>
          </w:p>
        </w:tc>
        <w:tc>
          <w:tcPr>
            <w:tcW w:w="1596" w:type="dxa"/>
            <w:shd w:val="clear" w:color="auto" w:fill="auto"/>
            <w:vAlign w:val="center"/>
          </w:tcPr>
          <w:p w14:paraId="4787F13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详见技术要求</w:t>
            </w:r>
          </w:p>
        </w:tc>
        <w:tc>
          <w:tcPr>
            <w:tcW w:w="776" w:type="dxa"/>
            <w:shd w:val="clear" w:color="auto" w:fill="auto"/>
            <w:vAlign w:val="center"/>
          </w:tcPr>
          <w:p w14:paraId="5FDAB7C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套</w:t>
            </w:r>
          </w:p>
        </w:tc>
        <w:tc>
          <w:tcPr>
            <w:tcW w:w="776" w:type="dxa"/>
            <w:shd w:val="clear" w:color="auto" w:fill="auto"/>
            <w:vAlign w:val="center"/>
          </w:tcPr>
          <w:p w14:paraId="605E0A0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1</w:t>
            </w:r>
          </w:p>
        </w:tc>
        <w:tc>
          <w:tcPr>
            <w:tcW w:w="1216" w:type="dxa"/>
            <w:shd w:val="clear" w:color="auto" w:fill="auto"/>
            <w:vAlign w:val="center"/>
          </w:tcPr>
          <w:p w14:paraId="6E3A08E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2AB5B7F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highlight w:val="none"/>
                <w:lang w:val="en-US" w:eastAsia="zh-CN"/>
              </w:rPr>
            </w:pPr>
            <w:r>
              <w:rPr>
                <w:rFonts w:hint="eastAsia" w:ascii="仿宋" w:hAnsi="仿宋" w:eastAsia="仿宋" w:cs="仿宋"/>
                <w:sz w:val="22"/>
                <w:szCs w:val="21"/>
                <w:highlight w:val="none"/>
                <w:lang w:val="en-US" w:eastAsia="zh-CN"/>
              </w:rPr>
              <w:t>投标方现场勘测</w:t>
            </w:r>
          </w:p>
        </w:tc>
      </w:tr>
      <w:tr w14:paraId="5BEC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CE94FA7">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5t转运AGV</w:t>
            </w:r>
          </w:p>
        </w:tc>
        <w:tc>
          <w:tcPr>
            <w:tcW w:w="1596" w:type="dxa"/>
            <w:shd w:val="clear" w:color="auto" w:fill="auto"/>
            <w:vAlign w:val="center"/>
          </w:tcPr>
          <w:p w14:paraId="3A90196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详见技术要求</w:t>
            </w:r>
          </w:p>
        </w:tc>
        <w:tc>
          <w:tcPr>
            <w:tcW w:w="776" w:type="dxa"/>
            <w:shd w:val="clear" w:color="auto" w:fill="auto"/>
            <w:vAlign w:val="center"/>
          </w:tcPr>
          <w:p w14:paraId="7564773E">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台</w:t>
            </w:r>
          </w:p>
        </w:tc>
        <w:tc>
          <w:tcPr>
            <w:tcW w:w="776" w:type="dxa"/>
            <w:shd w:val="clear" w:color="auto" w:fill="auto"/>
            <w:vAlign w:val="center"/>
          </w:tcPr>
          <w:p w14:paraId="10BE558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2</w:t>
            </w:r>
          </w:p>
        </w:tc>
        <w:tc>
          <w:tcPr>
            <w:tcW w:w="1216" w:type="dxa"/>
            <w:shd w:val="clear" w:color="auto" w:fill="auto"/>
            <w:vAlign w:val="center"/>
          </w:tcPr>
          <w:p w14:paraId="6C1E8B5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20F6455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highlight w:val="none"/>
                <w:lang w:val="en-US" w:eastAsia="zh-CN"/>
              </w:rPr>
            </w:pPr>
          </w:p>
        </w:tc>
      </w:tr>
      <w:tr w14:paraId="7B3A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6621ED61">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10t转运AGV</w:t>
            </w:r>
          </w:p>
        </w:tc>
        <w:tc>
          <w:tcPr>
            <w:tcW w:w="1596" w:type="dxa"/>
            <w:shd w:val="clear" w:color="auto" w:fill="auto"/>
            <w:vAlign w:val="center"/>
          </w:tcPr>
          <w:p w14:paraId="677490F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详见技术要求</w:t>
            </w:r>
          </w:p>
        </w:tc>
        <w:tc>
          <w:tcPr>
            <w:tcW w:w="776" w:type="dxa"/>
            <w:shd w:val="clear" w:color="auto" w:fill="auto"/>
            <w:vAlign w:val="center"/>
          </w:tcPr>
          <w:p w14:paraId="3BE588F7">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台</w:t>
            </w:r>
          </w:p>
        </w:tc>
        <w:tc>
          <w:tcPr>
            <w:tcW w:w="776" w:type="dxa"/>
            <w:shd w:val="clear" w:color="auto" w:fill="auto"/>
            <w:vAlign w:val="center"/>
          </w:tcPr>
          <w:p w14:paraId="189AE52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8</w:t>
            </w:r>
          </w:p>
        </w:tc>
        <w:tc>
          <w:tcPr>
            <w:tcW w:w="1216" w:type="dxa"/>
            <w:shd w:val="clear" w:color="auto" w:fill="auto"/>
            <w:vAlign w:val="center"/>
          </w:tcPr>
          <w:p w14:paraId="5A275D9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7427751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highlight w:val="none"/>
                <w:lang w:val="en-US" w:eastAsia="zh-CN"/>
              </w:rPr>
            </w:pPr>
          </w:p>
        </w:tc>
      </w:tr>
    </w:tbl>
    <w:p w14:paraId="12DD00A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p w14:paraId="60137CD3">
      <w:pPr>
        <w:spacing w:line="360" w:lineRule="auto"/>
        <w:ind w:firstLine="480" w:firstLineChars="200"/>
        <w:rPr>
          <w:rFonts w:hint="eastAsia" w:ascii="仿宋" w:hAnsi="仿宋" w:eastAsia="仿宋" w:cs="仿宋"/>
          <w:sz w:val="24"/>
        </w:rPr>
      </w:pPr>
      <w:r>
        <w:rPr>
          <w:rFonts w:hint="eastAsia" w:ascii="仿宋" w:hAnsi="仿宋" w:eastAsia="仿宋" w:cs="仿宋"/>
          <w:sz w:val="24"/>
        </w:rPr>
        <w:t>备注：</w:t>
      </w:r>
    </w:p>
    <w:p w14:paraId="005FC676">
      <w:pPr>
        <w:spacing w:line="360" w:lineRule="auto"/>
        <w:ind w:firstLine="480" w:firstLineChars="200"/>
        <w:rPr>
          <w:rFonts w:hint="eastAsia" w:ascii="仿宋" w:hAnsi="仿宋" w:eastAsia="仿宋" w:cs="仿宋"/>
          <w:sz w:val="24"/>
        </w:rPr>
      </w:pPr>
      <w:r>
        <w:rPr>
          <w:rFonts w:hint="eastAsia" w:ascii="仿宋" w:hAnsi="仿宋" w:eastAsia="仿宋" w:cs="仿宋"/>
          <w:sz w:val="24"/>
        </w:rPr>
        <w:t>1.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443FAB11">
      <w:pPr>
        <w:spacing w:line="360" w:lineRule="auto"/>
        <w:ind w:firstLine="480" w:firstLineChars="200"/>
        <w:rPr>
          <w:rFonts w:hint="eastAsia" w:ascii="仿宋" w:hAnsi="仿宋" w:eastAsia="仿宋" w:cs="仿宋"/>
          <w:sz w:val="24"/>
        </w:rPr>
      </w:pPr>
      <w:r>
        <w:rPr>
          <w:rFonts w:hint="eastAsia" w:ascii="仿宋" w:hAnsi="仿宋" w:eastAsia="仿宋" w:cs="仿宋"/>
          <w:sz w:val="24"/>
        </w:rPr>
        <w:t>2.本表“供货方式”指：交钥匙方式——包括设计、制造、运输、安装、调试和验收直到交付使用以及培训等。</w:t>
      </w:r>
    </w:p>
    <w:p w14:paraId="7E005DC9">
      <w:pPr>
        <w:spacing w:line="360" w:lineRule="auto"/>
        <w:ind w:firstLine="480" w:firstLineChars="200"/>
        <w:rPr>
          <w:rFonts w:hint="eastAsia" w:ascii="仿宋" w:hAnsi="仿宋" w:eastAsia="仿宋" w:cs="仿宋"/>
          <w:sz w:val="24"/>
        </w:rPr>
      </w:pPr>
      <w:r>
        <w:rPr>
          <w:rFonts w:hint="eastAsia" w:ascii="仿宋" w:hAnsi="仿宋" w:eastAsia="仿宋" w:cs="仿宋"/>
          <w:sz w:val="24"/>
        </w:rPr>
        <w:t>3.以上内容仅对设备的基本功能进行了描述和建议，表中所列内容仅供参考，投标方投标前需对生产现场工艺环境进行充分调研与了解，确保投标方案满足工艺、产品、节拍、功能等要求，投标方对投标方案负责。</w:t>
      </w:r>
    </w:p>
    <w:p w14:paraId="4AF360A0">
      <w:pPr>
        <w:overflowPunct w:val="0"/>
        <w:spacing w:line="360" w:lineRule="auto"/>
        <w:ind w:firstLine="482" w:firstLineChars="200"/>
        <w:rPr>
          <w:rFonts w:hint="eastAsia" w:ascii="仿宋" w:hAnsi="仿宋" w:eastAsia="仿宋" w:cs="仿宋"/>
          <w:b/>
          <w:sz w:val="24"/>
          <w:szCs w:val="28"/>
        </w:rPr>
      </w:pPr>
      <w:r>
        <w:rPr>
          <w:rFonts w:hint="eastAsia" w:ascii="仿宋" w:hAnsi="仿宋" w:eastAsia="仿宋" w:cs="仿宋"/>
          <w:b/>
          <w:sz w:val="24"/>
          <w:szCs w:val="28"/>
        </w:rPr>
        <w:t>四、采购货物特别说明</w:t>
      </w:r>
    </w:p>
    <w:p w14:paraId="5E115F25">
      <w:pPr>
        <w:spacing w:line="360" w:lineRule="auto"/>
        <w:ind w:firstLine="480" w:firstLineChars="200"/>
        <w:rPr>
          <w:rFonts w:hint="eastAsia" w:ascii="仿宋" w:hAnsi="仿宋" w:eastAsia="仿宋" w:cs="仿宋"/>
          <w:sz w:val="24"/>
        </w:rPr>
      </w:pPr>
      <w:r>
        <w:rPr>
          <w:rFonts w:hint="eastAsia" w:ascii="仿宋" w:hAnsi="仿宋" w:eastAsia="仿宋" w:cs="仿宋"/>
          <w:sz w:val="24"/>
        </w:rPr>
        <w:t>招标人所列货物的名称和规格型号，如为某一供应商所特有，则该名称和规格型号可作参考，但要求投标人所提供的货物必须满足本技术标书实质性要求。</w:t>
      </w:r>
    </w:p>
    <w:p w14:paraId="66D427E0">
      <w:pPr>
        <w:pStyle w:val="2"/>
        <w:spacing w:before="120" w:after="120"/>
        <w:rPr>
          <w:rFonts w:ascii="黑体" w:eastAsia="黑体"/>
          <w:sz w:val="24"/>
          <w:szCs w:val="24"/>
        </w:rPr>
      </w:pPr>
      <w:r>
        <w:rPr>
          <w:rFonts w:hint="eastAsia" w:ascii="黑体" w:eastAsia="黑体"/>
          <w:sz w:val="24"/>
          <w:szCs w:val="24"/>
        </w:rPr>
        <w:t>第二章  技术要求</w:t>
      </w:r>
    </w:p>
    <w:p w14:paraId="12ED942D">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outlineLvl w:val="1"/>
        <w:rPr>
          <w:rFonts w:ascii="黑体" w:hAnsi="宋体" w:eastAsia="黑体"/>
          <w:sz w:val="28"/>
          <w:szCs w:val="32"/>
        </w:rPr>
      </w:pPr>
      <w:r>
        <w:rPr>
          <w:rFonts w:hint="eastAsia" w:ascii="黑体" w:hAnsi="宋体" w:eastAsia="黑体"/>
          <w:sz w:val="28"/>
          <w:szCs w:val="32"/>
        </w:rPr>
        <w:t>一、基本要求</w:t>
      </w:r>
    </w:p>
    <w:p w14:paraId="3AE16BA9">
      <w:pPr>
        <w:spacing w:line="360" w:lineRule="auto"/>
        <w:ind w:firstLine="480" w:firstLineChars="200"/>
        <w:rPr>
          <w:rFonts w:hint="eastAsia" w:ascii="仿宋" w:hAnsi="仿宋" w:eastAsia="仿宋" w:cs="仿宋"/>
          <w:sz w:val="24"/>
        </w:rPr>
      </w:pPr>
      <w:r>
        <w:rPr>
          <w:rFonts w:hint="eastAsia" w:ascii="仿宋" w:hAnsi="仿宋" w:eastAsia="仿宋" w:cs="仿宋"/>
          <w:sz w:val="24"/>
        </w:rPr>
        <w:t>1、投标方所供的设备，必须符合中国最新版的法律、法规和相关标准、规范的要求，符合项目所在地政府有关特殊要求。</w:t>
      </w:r>
    </w:p>
    <w:p w14:paraId="57A03F80">
      <w:pPr>
        <w:spacing w:line="360" w:lineRule="auto"/>
        <w:ind w:firstLine="480" w:firstLineChars="200"/>
        <w:rPr>
          <w:rFonts w:hint="eastAsia" w:ascii="仿宋" w:hAnsi="仿宋" w:eastAsia="仿宋" w:cs="仿宋"/>
          <w:sz w:val="24"/>
        </w:rPr>
      </w:pPr>
      <w:r>
        <w:rPr>
          <w:rFonts w:hint="eastAsia" w:ascii="仿宋" w:hAnsi="仿宋" w:eastAsia="仿宋" w:cs="仿宋"/>
          <w:sz w:val="24"/>
        </w:rPr>
        <w:t>2、投标方所供设备涉及的专利权技术以及知识产权保护的其它技术等，应保证招标方不因此受到任何侵权指控以及实际损失。</w:t>
      </w:r>
    </w:p>
    <w:p w14:paraId="450B6917">
      <w:pPr>
        <w:spacing w:line="360" w:lineRule="auto"/>
        <w:ind w:firstLine="480" w:firstLineChars="200"/>
        <w:rPr>
          <w:rFonts w:hint="eastAsia" w:ascii="仿宋" w:hAnsi="仿宋" w:eastAsia="仿宋" w:cs="仿宋"/>
          <w:sz w:val="24"/>
        </w:rPr>
      </w:pPr>
      <w:r>
        <w:rPr>
          <w:rFonts w:hint="eastAsia" w:ascii="仿宋" w:hAnsi="仿宋" w:eastAsia="仿宋" w:cs="仿宋"/>
          <w:sz w:val="24"/>
        </w:rPr>
        <w:t>3、投标方应保证所供设备的先进性、可靠性、经济性和实用性，并为全新设备。</w:t>
      </w:r>
    </w:p>
    <w:p w14:paraId="40D7EBA7">
      <w:pPr>
        <w:spacing w:line="360" w:lineRule="auto"/>
        <w:ind w:firstLine="480" w:firstLineChars="200"/>
        <w:rPr>
          <w:rFonts w:hint="eastAsia" w:ascii="仿宋" w:hAnsi="仿宋" w:eastAsia="仿宋" w:cs="仿宋"/>
          <w:sz w:val="24"/>
        </w:rPr>
      </w:pPr>
      <w:r>
        <w:rPr>
          <w:rFonts w:hint="eastAsia" w:ascii="仿宋" w:hAnsi="仿宋" w:eastAsia="仿宋" w:cs="仿宋"/>
          <w:sz w:val="24"/>
        </w:rPr>
        <w:t>4、投标方应满足招标方提出的各项技术要求，必要时应当免费提供技术承诺或担保。</w:t>
      </w:r>
    </w:p>
    <w:p w14:paraId="4E9E6BF0">
      <w:pPr>
        <w:spacing w:line="360" w:lineRule="auto"/>
        <w:ind w:firstLine="480" w:firstLineChars="200"/>
        <w:rPr>
          <w:rFonts w:hint="eastAsia" w:ascii="仿宋" w:hAnsi="仿宋" w:eastAsia="仿宋" w:cs="仿宋"/>
          <w:sz w:val="24"/>
        </w:rPr>
      </w:pPr>
      <w:r>
        <w:rPr>
          <w:rFonts w:hint="eastAsia" w:ascii="仿宋" w:hAnsi="仿宋" w:eastAsia="仿宋" w:cs="仿宋"/>
          <w:sz w:val="24"/>
        </w:rPr>
        <w:t>5、投标方应保证所供设备为中国公布的非淘汰设备，并为中国指定或规定的主管部门认可的环保型和节能型设备。</w:t>
      </w:r>
    </w:p>
    <w:p w14:paraId="5D060A55">
      <w:pPr>
        <w:spacing w:line="360" w:lineRule="auto"/>
        <w:ind w:firstLine="480" w:firstLineChars="200"/>
        <w:rPr>
          <w:rFonts w:hint="eastAsia" w:ascii="仿宋" w:hAnsi="仿宋" w:eastAsia="仿宋" w:cs="仿宋"/>
          <w:sz w:val="24"/>
        </w:rPr>
      </w:pPr>
      <w:r>
        <w:rPr>
          <w:rFonts w:hint="eastAsia" w:ascii="仿宋" w:hAnsi="仿宋" w:eastAsia="仿宋" w:cs="仿宋"/>
          <w:sz w:val="24"/>
        </w:rPr>
        <w:t>6、投标方应保证所供设备的完整性和成套性，能保证设备的正常运行、使用。</w:t>
      </w:r>
    </w:p>
    <w:p w14:paraId="230F6542">
      <w:pPr>
        <w:spacing w:line="360" w:lineRule="auto"/>
        <w:ind w:firstLine="480" w:firstLineChars="200"/>
        <w:rPr>
          <w:rFonts w:hint="eastAsia" w:ascii="仿宋" w:hAnsi="仿宋" w:eastAsia="仿宋" w:cs="仿宋"/>
          <w:sz w:val="24"/>
        </w:rPr>
      </w:pPr>
      <w:r>
        <w:rPr>
          <w:rFonts w:hint="eastAsia" w:ascii="仿宋" w:hAnsi="仿宋" w:eastAsia="仿宋" w:cs="仿宋"/>
          <w:sz w:val="24"/>
        </w:rPr>
        <w:t>7、投标方应对招标方采购的设备所涉及的技术、产能等信息负有保密义务，招标方拥有追究投标方泄密责任的权利；招标方如有需要，投标方应无条件签署保密协议。</w:t>
      </w:r>
    </w:p>
    <w:p w14:paraId="72662474">
      <w:pPr>
        <w:spacing w:line="360" w:lineRule="auto"/>
        <w:ind w:firstLine="480" w:firstLineChars="200"/>
        <w:rPr>
          <w:rFonts w:hint="eastAsia" w:ascii="仿宋" w:hAnsi="仿宋" w:eastAsia="仿宋" w:cs="仿宋"/>
          <w:sz w:val="24"/>
        </w:rPr>
      </w:pPr>
      <w:r>
        <w:rPr>
          <w:rFonts w:hint="eastAsia" w:ascii="仿宋" w:hAnsi="仿宋" w:eastAsia="仿宋" w:cs="仿宋"/>
          <w:sz w:val="24"/>
        </w:rPr>
        <w:t>8、投标方需提供近三年内</w:t>
      </w:r>
      <w:r>
        <w:rPr>
          <w:rFonts w:hint="eastAsia" w:ascii="仿宋" w:hAnsi="仿宋" w:eastAsia="仿宋" w:cs="仿宋"/>
          <w:sz w:val="24"/>
          <w:lang w:val="en-US" w:eastAsia="zh-CN"/>
        </w:rPr>
        <w:t>类似规格设备</w:t>
      </w:r>
      <w:r>
        <w:rPr>
          <w:rFonts w:hint="eastAsia" w:ascii="仿宋" w:hAnsi="仿宋" w:eastAsia="仿宋" w:cs="仿宋"/>
          <w:sz w:val="24"/>
        </w:rPr>
        <w:t>项目业绩证明。</w:t>
      </w:r>
    </w:p>
    <w:p w14:paraId="03BCC4C1">
      <w:pPr>
        <w:spacing w:line="360" w:lineRule="auto"/>
        <w:ind w:firstLine="480" w:firstLineChars="200"/>
        <w:rPr>
          <w:rFonts w:hint="eastAsia" w:ascii="仿宋" w:hAnsi="仿宋" w:eastAsia="仿宋" w:cs="仿宋"/>
          <w:color w:val="000000" w:themeColor="text1"/>
          <w:sz w:val="24"/>
          <w:lang w:val="en-US" w:eastAsia="zh-CN"/>
          <w14:textFill>
            <w14:solidFill>
              <w14:schemeClr w14:val="tx1"/>
            </w14:solidFill>
          </w14:textFill>
        </w:rPr>
      </w:pPr>
      <w:bookmarkStart w:id="35" w:name="OLE_LINK32"/>
      <w:r>
        <w:rPr>
          <w:rFonts w:hint="eastAsia" w:ascii="仿宋" w:hAnsi="仿宋" w:eastAsia="仿宋" w:cs="仿宋"/>
          <w:sz w:val="24"/>
          <w:lang w:val="en-US" w:eastAsia="zh-CN"/>
        </w:rPr>
        <w:t>9、</w:t>
      </w:r>
      <w:bookmarkEnd w:id="35"/>
      <w:bookmarkStart w:id="36" w:name="OLE_LINK33"/>
      <w:r>
        <w:rPr>
          <w:rFonts w:hint="eastAsia" w:ascii="仿宋" w:hAnsi="仿宋" w:eastAsia="仿宋" w:cs="仿宋"/>
          <w:sz w:val="24"/>
        </w:rPr>
        <w:t>投标方应保证所供设备的完整性和成套性，</w:t>
      </w:r>
      <w:r>
        <w:rPr>
          <w:rFonts w:hint="eastAsia" w:ascii="仿宋" w:hAnsi="仿宋" w:eastAsia="仿宋" w:cs="仿宋"/>
          <w:sz w:val="24"/>
          <w:lang w:val="en-US" w:eastAsia="zh-CN"/>
        </w:rPr>
        <w:t>在设备正常使用情况下，本设备必须具有持久的精度与优良的稳定性。</w:t>
      </w:r>
    </w:p>
    <w:p w14:paraId="09432C1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设备对操作人员的职业健康应有完善的设计保护。室内粉尘满足职业卫生要求。</w:t>
      </w:r>
    </w:p>
    <w:bookmarkEnd w:id="36"/>
    <w:p w14:paraId="5B0712E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货物使用的不同功率的电动机必须满足《电动机能效限定值及能效等级》（GB18613-2020）标准的机械效率表格中对应一级标准，等同于欧洲标准IEC60034-01中的IE5级别。本标准适用于国产或进口三相异步电动机、单相异步电动机、空调器风扇用电动机的能效等级、能效限定值和试验方法。</w:t>
      </w:r>
    </w:p>
    <w:p w14:paraId="5C15382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lang w:eastAsia="zh-CN"/>
        </w:rPr>
        <w:t>、</w:t>
      </w:r>
      <w:r>
        <w:rPr>
          <w:rFonts w:hint="eastAsia" w:ascii="仿宋" w:hAnsi="仿宋" w:eastAsia="仿宋" w:cs="仿宋"/>
          <w:sz w:val="24"/>
        </w:rPr>
        <w:t>程序图纸要求：供方必须提供所有设备程序的源代码，包括但不限于PLC程序、HMI程序、机器人程序、视觉程序、伺服等。供方所提供的程序不得设置任何密码、保护等限制手段，PLC不得设置修改下载权限，功能块不得设置密码保护。HMI界面等需要密码保护的程序，供方必须提供所有级别的用户名、密码。供方需在设备入场前提供设备程序源码，HMI界面各级用户名和密码，并保证与现场程序一致。供方需在终验收前提供最新的设备程序源码和电气图纸，图纸要求为可编辑原格式（EPLAN、CAD格式）且与实际接线一致。</w:t>
      </w:r>
    </w:p>
    <w:p w14:paraId="1CFA0752">
      <w:pPr>
        <w:spacing w:line="360" w:lineRule="auto"/>
        <w:ind w:firstLine="480" w:firstLineChars="200"/>
        <w:rPr>
          <w:rFonts w:hint="eastAsia" w:ascii="仿宋" w:hAnsi="仿宋" w:eastAsia="仿宋" w:cs="仿宋"/>
          <w:sz w:val="24"/>
          <w:highlight w:val="yellow"/>
        </w:rPr>
      </w:pPr>
      <w:r>
        <w:rPr>
          <w:rFonts w:hint="eastAsia" w:ascii="仿宋" w:hAnsi="仿宋" w:eastAsia="仿宋" w:cs="仿宋"/>
          <w:sz w:val="24"/>
          <w:lang w:val="en-US" w:eastAsia="zh-CN"/>
        </w:rPr>
        <w:t>13、</w:t>
      </w:r>
      <w:r>
        <w:rPr>
          <w:rFonts w:hint="eastAsia" w:ascii="仿宋" w:hAnsi="仿宋" w:eastAsia="仿宋" w:cs="仿宋"/>
          <w:sz w:val="24"/>
        </w:rPr>
        <w:t>接口协议要求：供方免费开放所有通讯接口，包括但不限于以太网、RS232、RS485、PROFIBUS、PROFINET、MODBUS等常见接口，以及设备特有的专用接口。供方免费提供数据交互功能，交互数据包括但不限于实时数据、历史数据、报警信息等。供方在设备入场前提供接口的技术文档和参数说明，包括但不限于接口协议、通讯速率、数据格式等</w:t>
      </w:r>
      <w:r>
        <w:rPr>
          <w:rFonts w:hint="eastAsia" w:ascii="仿宋" w:hAnsi="仿宋" w:eastAsia="仿宋" w:cs="仿宋"/>
          <w:sz w:val="24"/>
          <w:highlight w:val="yellow"/>
        </w:rPr>
        <w:t>。设备使用周期内，供方免费派遣技术人员与甲方调试团队共同进行设备通讯接口的调试工作。</w:t>
      </w:r>
    </w:p>
    <w:p w14:paraId="2463459C">
      <w:pPr>
        <w:spacing w:line="360" w:lineRule="auto"/>
        <w:ind w:firstLine="480" w:firstLineChars="200"/>
        <w:rPr>
          <w:rFonts w:hint="eastAsia" w:ascii="仿宋" w:hAnsi="仿宋" w:eastAsia="仿宋" w:cs="仿宋"/>
          <w:sz w:val="24"/>
          <w:highlight w:val="yellow"/>
        </w:rPr>
      </w:pPr>
      <w:r>
        <w:rPr>
          <w:rFonts w:hint="eastAsia" w:ascii="仿宋" w:hAnsi="仿宋" w:eastAsia="仿宋" w:cs="仿宋"/>
          <w:sz w:val="24"/>
          <w:lang w:val="en-US" w:eastAsia="zh-CN"/>
        </w:rPr>
        <w:t>14、</w:t>
      </w:r>
      <w:r>
        <w:rPr>
          <w:rFonts w:hint="eastAsia" w:ascii="仿宋" w:hAnsi="仿宋" w:eastAsia="仿宋" w:cs="仿宋"/>
          <w:sz w:val="24"/>
          <w:highlight w:val="yellow"/>
        </w:rPr>
        <w:t>标书中需增加备配件目录价格及折扣，该项作为重要评标依据。</w:t>
      </w:r>
    </w:p>
    <w:p w14:paraId="46F74EBA">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15、动能要求：根据现场安装位置</w:t>
      </w:r>
      <w:r>
        <w:rPr>
          <w:rFonts w:hint="eastAsia" w:ascii="仿宋" w:hAnsi="仿宋" w:eastAsia="仿宋" w:cs="仿宋"/>
          <w:sz w:val="24"/>
          <w:highlight w:val="yellow"/>
          <w:lang w:val="en-US" w:eastAsia="zh-CN"/>
        </w:rPr>
        <w:t>（投标前必须现场勘测）</w:t>
      </w:r>
      <w:r>
        <w:rPr>
          <w:rFonts w:hint="eastAsia" w:ascii="仿宋" w:hAnsi="仿宋" w:eastAsia="仿宋" w:cs="仿宋"/>
          <w:sz w:val="24"/>
          <w:lang w:val="en-US" w:eastAsia="zh-CN"/>
        </w:rPr>
        <w:t>，确认动力柜至设备接线需求，并负责整体施工；根据现场安装位置</w:t>
      </w:r>
      <w:r>
        <w:rPr>
          <w:rFonts w:hint="eastAsia" w:ascii="仿宋" w:hAnsi="仿宋" w:eastAsia="仿宋" w:cs="仿宋"/>
          <w:sz w:val="24"/>
          <w:highlight w:val="yellow"/>
          <w:lang w:val="en-US" w:eastAsia="zh-CN"/>
        </w:rPr>
        <w:t>（投标前必须现场勘测）</w:t>
      </w:r>
      <w:r>
        <w:rPr>
          <w:rFonts w:hint="eastAsia" w:ascii="仿宋" w:hAnsi="仿宋" w:eastAsia="仿宋" w:cs="仿宋"/>
          <w:sz w:val="24"/>
          <w:lang w:val="en-US" w:eastAsia="zh-CN"/>
        </w:rPr>
        <w:t>，确认压缩空气供气点，负责接入设备。</w:t>
      </w:r>
    </w:p>
    <w:p w14:paraId="308BCD85">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16.安全要求：</w:t>
      </w:r>
    </w:p>
    <w:p w14:paraId="407E8C98">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设备必须符合国家安全生产标准，特种设备需提供特种设备制造许可证，防爆设备需提供防爆认证证书、检测报告；设备设计、制造、安装需符合国家、地方法律、法规、规范及GB系列安全国标的要求，提供安全合格证明、检验检测报告。</w:t>
      </w:r>
    </w:p>
    <w:p w14:paraId="70D93449">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选型前期，可实地考察设备样机或在用同型号设备，排查安全隐患；核对设备安全操作规程、应急处置方案，供应商需配合完善设备安全管控措施，不符合安全要求的设备，一律排除选型范围。</w:t>
      </w:r>
    </w:p>
    <w:p w14:paraId="2075EC94">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设备整机及零部件应为全新未使用产品,无质量缺陷。设备质量须同时满足国标、行标、供应商企标及双方约定要求（按最高标准执行），符合国内安全、卫生、环保法律法规。因设备设计、制造、安装调试缺陷引发现场安全事故（人为因素除外），全部责任由供应商承担。</w:t>
      </w:r>
    </w:p>
    <w:p w14:paraId="4BF2AB3F">
      <w:pPr>
        <w:spacing w:line="360" w:lineRule="auto"/>
        <w:ind w:firstLine="240" w:firstLineChars="100"/>
        <w:rPr>
          <w:rFonts w:hint="eastAsia" w:ascii="仿宋" w:hAnsi="仿宋" w:eastAsia="仿宋" w:cs="仿宋"/>
          <w:sz w:val="24"/>
          <w:lang w:val="en-US" w:eastAsia="zh-CN"/>
        </w:rPr>
      </w:pPr>
      <w:r>
        <w:rPr>
          <w:rFonts w:hint="eastAsia" w:ascii="仿宋" w:hAnsi="仿宋" w:eastAsia="仿宋" w:cs="仿宋"/>
          <w:sz w:val="24"/>
          <w:lang w:val="en-US" w:eastAsia="zh-CN"/>
        </w:rPr>
        <w:t xml:space="preserve"> 所有消防监控及报警装置需接入我司消防中控室，</w:t>
      </w:r>
      <w:r>
        <w:rPr>
          <w:rFonts w:hint="eastAsia" w:ascii="仿宋" w:hAnsi="仿宋" w:eastAsia="仿宋" w:cs="仿宋"/>
          <w:sz w:val="24"/>
          <w:highlight w:val="yellow"/>
          <w:lang w:val="en-US" w:eastAsia="zh-CN"/>
        </w:rPr>
        <w:t>现场勘查确认具体内容。</w:t>
      </w:r>
    </w:p>
    <w:p w14:paraId="7FE05926">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17.所有设备均具备自动润滑系统，对滑块直线导轨、齿轮齿条等运动部件进行自动润滑。</w:t>
      </w:r>
    </w:p>
    <w:p w14:paraId="7166C7D6">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outlineLvl w:val="1"/>
        <w:rPr>
          <w:rFonts w:ascii="黑体" w:hAnsi="宋体" w:eastAsia="黑体"/>
          <w:sz w:val="28"/>
          <w:szCs w:val="32"/>
        </w:rPr>
      </w:pPr>
      <w:r>
        <w:rPr>
          <w:rFonts w:hint="eastAsia" w:ascii="黑体" w:hAnsi="宋体" w:eastAsia="黑体"/>
          <w:sz w:val="28"/>
          <w:szCs w:val="32"/>
        </w:rPr>
        <w:t>二、执行标准</w:t>
      </w:r>
    </w:p>
    <w:p w14:paraId="3068C91C">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1、招标方此处所列标准仅为涉及的主要标准，而且不保证其为最新版执行标准；投标方应当在投标文件中认真予以填写、补充和修改完善。</w:t>
      </w:r>
    </w:p>
    <w:p w14:paraId="76F38DA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2、投标方需要执行的标准，应当采用所供货物（或生产线）通过买方组织的最终验收之日已经开始执行的最新标准。</w:t>
      </w:r>
    </w:p>
    <w:p w14:paraId="4B26369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3、采购货物（或生产线）的产品质量、技术标准如在招投标文件中无相应说明，则按中华人民共和国有关部门颁发的最新的国标或专业（部）标准执行及相应的国际标准。</w:t>
      </w:r>
    </w:p>
    <w:p w14:paraId="09DB90E0">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4、采购货物（或生产线）没有国家或专业（部）标准的，按企业标准执行时，卖方应在合同签署之前，将所涉及的企业标准提供给买方确认。</w:t>
      </w:r>
    </w:p>
    <w:p w14:paraId="2FBAE7E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5、采购货物（或生产线）如果采用国际标准，其执行标准由投标方提供、招标方确认。</w:t>
      </w:r>
    </w:p>
    <w:p w14:paraId="5062A43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6、采购货物（或生产线）所涉及的标准不统一时，原则上按照最严格标准执行。</w:t>
      </w:r>
    </w:p>
    <w:p w14:paraId="22A7470F">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7、涉及的主要标准表（最新发布标准为准）</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2"/>
        <w:gridCol w:w="4726"/>
        <w:gridCol w:w="2316"/>
        <w:gridCol w:w="924"/>
      </w:tblGrid>
      <w:tr w14:paraId="26F9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FAF9BFE">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rPr>
            </w:pPr>
            <w:bookmarkStart w:id="37" w:name="_Toc150411855"/>
            <w:r>
              <w:rPr>
                <w:rFonts w:hint="eastAsia" w:ascii="方正仿宋_GB2312" w:hAnsi="方正仿宋_GB2312" w:eastAsia="方正仿宋_GB2312" w:cs="方正仿宋_GB2312"/>
                <w:b/>
                <w:bCs/>
                <w:kern w:val="2"/>
                <w:sz w:val="21"/>
                <w:szCs w:val="21"/>
                <w:lang w:val="en-US" w:eastAsia="zh-CN" w:bidi="ar"/>
              </w:rPr>
              <w:t>序号</w:t>
            </w:r>
            <w:bookmarkEnd w:id="37"/>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D94543F">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rPr>
            </w:pPr>
            <w:r>
              <w:rPr>
                <w:rFonts w:hint="eastAsia" w:ascii="方正仿宋_GB2312" w:hAnsi="方正仿宋_GB2312" w:eastAsia="方正仿宋_GB2312" w:cs="方正仿宋_GB2312"/>
                <w:b/>
                <w:bCs/>
                <w:kern w:val="2"/>
                <w:sz w:val="21"/>
                <w:szCs w:val="21"/>
                <w:lang w:val="en-US" w:eastAsia="zh-CN" w:bidi="ar"/>
              </w:rPr>
              <w:t>标准名称</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0A133A2">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lang w:val="en-US" w:eastAsia="zh-CN" w:bidi="ar"/>
              </w:rPr>
            </w:pPr>
            <w:r>
              <w:rPr>
                <w:rFonts w:hint="eastAsia" w:ascii="方正仿宋_GB2312" w:hAnsi="方正仿宋_GB2312" w:eastAsia="方正仿宋_GB2312" w:cs="方正仿宋_GB2312"/>
                <w:b/>
                <w:bCs/>
                <w:kern w:val="2"/>
                <w:sz w:val="21"/>
                <w:szCs w:val="21"/>
                <w:lang w:val="en-US" w:eastAsia="zh-CN" w:bidi="ar"/>
              </w:rPr>
              <w:t>标准编号</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7BC0410">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lang w:val="en-US" w:eastAsia="zh-CN" w:bidi="ar"/>
              </w:rPr>
            </w:pPr>
            <w:r>
              <w:rPr>
                <w:rFonts w:hint="eastAsia" w:ascii="方正仿宋_GB2312" w:hAnsi="方正仿宋_GB2312" w:eastAsia="方正仿宋_GB2312" w:cs="方正仿宋_GB2312"/>
                <w:b/>
                <w:bCs/>
                <w:kern w:val="2"/>
                <w:sz w:val="21"/>
                <w:szCs w:val="21"/>
                <w:lang w:val="en-US" w:eastAsia="zh-CN" w:bidi="ar"/>
              </w:rPr>
              <w:t>备注</w:t>
            </w:r>
          </w:p>
        </w:tc>
      </w:tr>
      <w:tr w14:paraId="4BB7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411F5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555EAB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山东省区域性大气污染综合排放标准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626A02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DB37/2376-2013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17303D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BE4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389FB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6FB8F2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挥发性有机物排放标准 第 1 部分：汽车制造业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070F22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DB37/2801.1-2016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0D2DAD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E96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76E42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DAE5A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涂层烘干室安全技术要求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4C623A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GB14443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9C119B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D0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2980D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1DA604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粉末静电喷涂工艺安全</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139FF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GB15607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D3B8D8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978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62358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93CC5C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粉尘防爆安全规程</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FC8058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GB15577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3D31DC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53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7BC0B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9FFA8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爆炸性环境 第 15 部分：电气装置设计、选型、安装规范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09BA21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GB3836.15-2024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56A6DC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08E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68BE2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036E1E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涂漆工艺安全及其通风</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137025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GB6514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C7800F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8EE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51386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3DE033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安全管理通则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D668FC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GB7691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A5E6FA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8A6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50BB6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C2C008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涂装工程安全设施验收规范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E66957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AQ5201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11C09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DB3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B0809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831958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污水综合排放标准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3E66E8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GB8978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F266F7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F85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FB5E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B997EF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污水排入城镇下水道水质标准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8C1DDB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GB/T31962-2015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0DFFD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DD9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2A49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10B386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抛喷丸设备通用技术条件</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7A9775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JB/T8355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92349A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77D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FABC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79A852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涂装前钢材表面粗糙度的评定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16B444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GB/T13288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8C81F3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F73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5544C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6AD54C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大气污染物综合排放标准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A51BF1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GB16297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F4D784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EA3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6C579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4232CF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工业炉窑大气污染物排放标准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3C3B9A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GB9078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D52100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FF2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3A6F8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70D5FF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工业企业厂界噪声标准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893D79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GB12348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2FE601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A17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EB212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E069BB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生产过程安全基本要求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3876D22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GB/T12801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7EBE3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D42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87CD1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DD851F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 防止上下肢触及危险区的安全距离</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6F674A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GB23821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F3FCB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B3E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CDF4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EA342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 急停 设计原则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9D6C8B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GB16754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831E6F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E9D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34BD0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424B04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 防止人体部位挤压的最小间距</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E244B7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GB/T12265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5ED6D7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D1B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87AFD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27D766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钢质压力容器焊接工艺评定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40AEDA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JB/T4709</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FA0272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E70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0421A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C59991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电气设备安全设计导则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CF2807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GB/T25295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567484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A79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B4492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FC9270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爆炸危险环境电力装置设计规范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C07E5A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GB50058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7C8B65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C3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E8C5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E1BD99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低压配电设计规范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E01580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GB50054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639DE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912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68A23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984555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钢结构设计规范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8B2468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GB50017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6974BF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19F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6C70D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9D784C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电气装置安装工程低压电器施工及验收规程</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29247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GB50254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3B1E49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AFD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059EC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BD174E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机械设备安装工程施工及验收通用规范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8F29A2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GB50231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5814D5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5F7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FF05F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471EA3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钢结构工程施工质量验收规范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6008D5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GB50205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171C7E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298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1D727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D69960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输送设备安装工程施工及验收规范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5D3261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GB50270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CCA7AC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0A9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91C0D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9FAFF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风机、压缩机、泵安装工程施工及验收规范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21909A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GB50275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46BB2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690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664A0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159852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生产设备安全卫生设计总则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B9C844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GB5083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D91CD0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70B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26AF7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32F040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机械电气安全 机械电气设备 第 1 部分：通用技术条件</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4961BA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GB5226.1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1963F3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B8C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08591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1B8DEA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机械安全防护装置 固定式和活动式防护装置设计与制造一般要求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A4966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GB/T8196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23D51A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D3B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9FA8D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B0627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一般用途离心通风机技术要求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11FE1D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JB/T10563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341AB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FF9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C0EA1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9D4AE9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工业企业设计卫生标准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2D8B33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01BC8E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043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99A9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9C6EB4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工作场所有害因素职业接触限值 第 1 部分：化学有害因素</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0F2B22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 2.1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28DA98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560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5BF71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973201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工作场所有害因素职业接触限值 第 2 部分：物理有害因素</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A36593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 2.2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97D100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598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38312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D2047B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工业企业噪声控制设计规范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D1E0BD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GB/T50087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462294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38C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5B74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BDCF2B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积放式悬挂输送机技术条件</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558F99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 5321-2008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D8B6B4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308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A80EE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F3A9E7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单轨小车悬挂输送机</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5DD0E9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 7336-2020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39D578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B52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28EF4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906134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工业炉窑大气污染物排放标准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D4B0D2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9078-1996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849229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45C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140C0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7463DB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挥发性有机物无组织排放控制标准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9B4244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37822-2019</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DBFF86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8AC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2E504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C03294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蓄热燃烧法工业有机废气治理工程技术规范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E7E5FE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HJ 1093-2020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CA5987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22A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04C27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F41978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催化燃烧法工业有机废气治理工程技术规范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F7D440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HJ 1094-2020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EB7212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F51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0CE7F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B2BD7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电泳涂漆安全规范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C192BA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46759-2025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DDB5A7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67A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F4F2D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448331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危险废物贮存污染控制标准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DE98EF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18597-2023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192D91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57C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615E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A80783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排污单位自行监测技术指南 涂装</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303FA86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HJ 1086-2020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2CABE7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B27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3376B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20703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术语</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487A13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14441-2008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60C2E4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96F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FC1C9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33AF13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安全色和安全标志</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1F3AC2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2894-2025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A0CC80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79D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85BE0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A5F205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消防设施通用规范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245D88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55036-2022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52A9FC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33E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F2812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7E183C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气体灭火系统施工及验收规范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D834CD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50263-2007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838818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55D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4735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7DD154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气体灭火系统设计规范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716818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50370-2005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9AB817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066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3FC2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26B7A0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悬挂式气体灭火装置</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6E1E5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47485-2026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3E807A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7D6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920C1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7A1B54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七氟丙烷灭火剂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E0924F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40664-2021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729158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3B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208CE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B8067F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涂装职业健康安全通用要求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7B21C1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AQ 5208-2011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03F0B7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81D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A872C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F848FE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建设项目职业病危害预评价技术标准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A59493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GBZ/T 196-2025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0E6A35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21C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BCEFB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4A85E0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建设项目职业病危害控制效果评价技术标准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573AC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GBZ/T 197-2025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4516A9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3A2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DE8F7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CF3C96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职业病危害作业分级</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EB23B6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GBZ/T 229.1~229.3-2025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46C57E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2EE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E06DB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981FFA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有机废气净化装置安全技术规定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EDE1E6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20101-2006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D23A87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EAF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D9B98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273AF2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工业金属管道工程施工规范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0F7653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50235-2010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471A1E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CDF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06747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D429F2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工业金属管道工程施工质量验收规范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398C1AA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50184-2011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E5FD71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4FF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B4BB7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6C87EB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现场设备、工业管道焊接工程施工规范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96AA09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50236-2011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84D991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437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A9B96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EB5A00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通风与空调工程施工质量验收规范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580F60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50243-2016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F2FEBD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4E1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C2D42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3DDB2E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风机、压缩机、泵安装工程施工及验收规范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11A917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50275-2010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1A31C1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7BA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FF278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96CFC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固定式钢梯及平台安全要求 </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B13B4B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4053-2009</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88C620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352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24032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717FB6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涂装设备通用技术条件 </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5E2061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 10394-2002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4EE925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DC1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6737A3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349990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1kV 及以下配线工程施工与验收规范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C6047F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50575-2010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E56295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A81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58B5ED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85F9C0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电气装置安装工程电气设备交接试验标准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0181A3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50150-2016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D80548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B17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224BE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D03785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电气装置安装工程接地装置施工验收规范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561A87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50169-2016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A424EB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0BB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D98D42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000FC7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电气装置安装工程盘柜及二次回路施工和验收规范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3C12C4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50171-2012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35D51C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676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347411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AD7A8F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低压成套开关设备和控制设备</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6C785D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7251.1-2017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E776B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D7D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D4B902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C20E4F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钢制电缆桥架工程设计规范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AE7503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CECS31-2017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CD3714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6AD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648F9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A3083A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自动化仪表工程施工及质量验收规范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A1FBEE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50093-2013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113C87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bl>
    <w:p w14:paraId="3E3F3068">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outlineLvl w:val="1"/>
        <w:rPr>
          <w:rFonts w:hint="eastAsia" w:ascii="黑体" w:hAnsi="宋体" w:eastAsia="黑体"/>
          <w:sz w:val="28"/>
          <w:szCs w:val="32"/>
        </w:rPr>
      </w:pPr>
      <w:r>
        <w:rPr>
          <w:rFonts w:hint="eastAsia" w:ascii="黑体" w:hAnsi="宋体" w:eastAsia="黑体"/>
          <w:sz w:val="28"/>
          <w:szCs w:val="32"/>
          <w:lang w:val="en-US" w:eastAsia="zh-CN"/>
        </w:rPr>
        <w:t>三、</w:t>
      </w:r>
      <w:r>
        <w:rPr>
          <w:rFonts w:hint="eastAsia" w:ascii="黑体" w:hAnsi="宋体" w:eastAsia="黑体"/>
          <w:sz w:val="28"/>
          <w:szCs w:val="32"/>
        </w:rPr>
        <w:t>技术要求</w:t>
      </w:r>
    </w:p>
    <w:p w14:paraId="46E6BEF9">
      <w:pPr>
        <w:pStyle w:val="196"/>
        <w:bidi w:val="0"/>
        <w:outlineLvl w:val="2"/>
        <w:rPr>
          <w:rFonts w:hint="default"/>
          <w:lang w:val="en-US" w:eastAsia="zh-CN"/>
        </w:rPr>
      </w:pPr>
      <w:r>
        <w:rPr>
          <w:rFonts w:hint="eastAsia"/>
          <w:lang w:val="en-US" w:eastAsia="zh-CN"/>
        </w:rPr>
        <w:t>1项目总述</w:t>
      </w:r>
    </w:p>
    <w:p w14:paraId="14777A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98"/>
          <w:rFonts w:hint="eastAsia"/>
          <w:b w:val="0"/>
          <w:bCs/>
          <w:lang w:val="en-US" w:eastAsia="zh-CN"/>
        </w:rPr>
      </w:pPr>
      <w:r>
        <w:rPr>
          <w:rStyle w:val="198"/>
          <w:rFonts w:hint="eastAsia"/>
          <w:b w:val="0"/>
          <w:bCs/>
          <w:lang w:val="en-US" w:eastAsia="zh-CN"/>
        </w:rPr>
        <w:t>中国重汽集团规划在原有厂房内改造现有一条客车阴极电泳涂装产线，设计、制作新增通过式抛丸线、喷淋式前处理线、喷粉生产线等，通过电泳+面粉、前处理+底粉+面粉、专用涂装工艺等，实现各类半挂专用车、自卸车的结构件、覆盖件及上装总成等的差异化涂装，以满足不同产品结构、使用工况及外观等级要求。</w:t>
      </w:r>
    </w:p>
    <w:p w14:paraId="6449BFC8">
      <w:pPr>
        <w:pStyle w:val="196"/>
        <w:bidi w:val="0"/>
        <w:outlineLvl w:val="2"/>
        <w:rPr>
          <w:rFonts w:hint="default"/>
          <w:lang w:val="en-US" w:eastAsia="zh-CN"/>
        </w:rPr>
      </w:pPr>
      <w:r>
        <w:rPr>
          <w:rFonts w:hint="eastAsia"/>
          <w:lang w:val="en-US" w:eastAsia="zh-CN"/>
        </w:rPr>
        <w:t>2产品信息</w:t>
      </w:r>
    </w:p>
    <w:p w14:paraId="1370C91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Style w:val="198"/>
          <w:rFonts w:hint="eastAsia"/>
          <w:b w:val="0"/>
          <w:bCs/>
          <w:lang w:val="en-US" w:eastAsia="zh-CN"/>
        </w:rPr>
      </w:pPr>
    </w:p>
    <w:p w14:paraId="234773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Style w:val="198"/>
          <w:rFonts w:hint="eastAsia"/>
          <w:b w:val="0"/>
          <w:bCs/>
          <w:lang w:val="en-US" w:eastAsia="zh-CN"/>
        </w:rPr>
      </w:pPr>
    </w:p>
    <w:p w14:paraId="058DC1A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3"/>
        <w:rPr>
          <w:rStyle w:val="198"/>
          <w:rFonts w:hint="eastAsia"/>
          <w:b w:val="0"/>
          <w:bCs/>
          <w:lang w:val="en-US" w:eastAsia="zh-CN"/>
        </w:rPr>
      </w:pPr>
      <w:r>
        <w:rPr>
          <w:rStyle w:val="198"/>
          <w:rFonts w:hint="eastAsia"/>
          <w:b w:val="0"/>
          <w:bCs/>
          <w:lang w:val="en-US" w:eastAsia="zh-CN"/>
        </w:rPr>
        <w:t>2.1工作制度和年时基数</w:t>
      </w:r>
    </w:p>
    <w:tbl>
      <w:tblPr>
        <w:tblStyle w:val="40"/>
        <w:tblW w:w="885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2252"/>
        <w:gridCol w:w="2732"/>
        <w:gridCol w:w="1290"/>
        <w:gridCol w:w="1612"/>
      </w:tblGrid>
      <w:tr w14:paraId="7A548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tcBorders>
            <w:vAlign w:val="center"/>
          </w:tcPr>
          <w:p w14:paraId="5ABDF3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0" w:type="auto"/>
            <w:tcBorders>
              <w:top w:val="single" w:color="auto" w:sz="4" w:space="0"/>
            </w:tcBorders>
            <w:vAlign w:val="center"/>
          </w:tcPr>
          <w:p w14:paraId="06B641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产线名称</w:t>
            </w:r>
          </w:p>
        </w:tc>
        <w:tc>
          <w:tcPr>
            <w:tcW w:w="0" w:type="auto"/>
            <w:tcBorders>
              <w:top w:val="single" w:color="auto" w:sz="4" w:space="0"/>
            </w:tcBorders>
            <w:vAlign w:val="center"/>
          </w:tcPr>
          <w:p w14:paraId="47B025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全年工作日（d）</w:t>
            </w:r>
          </w:p>
        </w:tc>
        <w:tc>
          <w:tcPr>
            <w:tcW w:w="0" w:type="auto"/>
            <w:tcBorders>
              <w:top w:val="single" w:color="auto" w:sz="4" w:space="0"/>
              <w:right w:val="single" w:color="auto" w:sz="4" w:space="0"/>
            </w:tcBorders>
            <w:vAlign w:val="center"/>
          </w:tcPr>
          <w:p w14:paraId="4EFB186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工作制</w:t>
            </w:r>
          </w:p>
        </w:tc>
        <w:tc>
          <w:tcPr>
            <w:tcW w:w="1612" w:type="dxa"/>
            <w:tcBorders>
              <w:top w:val="single" w:color="auto" w:sz="4" w:space="0"/>
              <w:right w:val="single" w:color="auto" w:sz="4" w:space="0"/>
            </w:tcBorders>
            <w:vAlign w:val="center"/>
          </w:tcPr>
          <w:p w14:paraId="3A5FC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每班小时</w:t>
            </w:r>
          </w:p>
        </w:tc>
      </w:tr>
      <w:tr w14:paraId="68AE3F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4" w:space="0"/>
            </w:tcBorders>
            <w:vAlign w:val="center"/>
          </w:tcPr>
          <w:p w14:paraId="3AC7B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0" w:type="auto"/>
            <w:vAlign w:val="center"/>
          </w:tcPr>
          <w:p w14:paraId="7426691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半挂车涂装线</w:t>
            </w:r>
          </w:p>
        </w:tc>
        <w:tc>
          <w:tcPr>
            <w:tcW w:w="0" w:type="auto"/>
            <w:vAlign w:val="center"/>
          </w:tcPr>
          <w:p w14:paraId="02B6BC9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w:t>
            </w:r>
          </w:p>
        </w:tc>
        <w:tc>
          <w:tcPr>
            <w:tcW w:w="0" w:type="auto"/>
            <w:tcBorders>
              <w:right w:val="single" w:color="auto" w:sz="4" w:space="0"/>
            </w:tcBorders>
            <w:vAlign w:val="center"/>
          </w:tcPr>
          <w:p w14:paraId="2F2348B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单班</w:t>
            </w:r>
          </w:p>
        </w:tc>
        <w:tc>
          <w:tcPr>
            <w:tcW w:w="1612" w:type="dxa"/>
            <w:tcBorders>
              <w:right w:val="single" w:color="auto" w:sz="4" w:space="0"/>
            </w:tcBorders>
            <w:vAlign w:val="center"/>
          </w:tcPr>
          <w:p w14:paraId="5713868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r>
      <w:tr w14:paraId="7BFD50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9" w:type="dxa"/>
            <w:tcBorders>
              <w:left w:val="single" w:color="auto" w:sz="4" w:space="0"/>
            </w:tcBorders>
            <w:vAlign w:val="center"/>
          </w:tcPr>
          <w:p w14:paraId="10C985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2252" w:type="dxa"/>
            <w:vAlign w:val="center"/>
          </w:tcPr>
          <w:p w14:paraId="2712091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抛丸线</w:t>
            </w:r>
          </w:p>
        </w:tc>
        <w:tc>
          <w:tcPr>
            <w:tcW w:w="2732" w:type="dxa"/>
            <w:vAlign w:val="center"/>
          </w:tcPr>
          <w:p w14:paraId="600868F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w:t>
            </w:r>
          </w:p>
        </w:tc>
        <w:tc>
          <w:tcPr>
            <w:tcW w:w="1290" w:type="dxa"/>
            <w:tcBorders>
              <w:right w:val="single" w:color="auto" w:sz="4" w:space="0"/>
            </w:tcBorders>
            <w:vAlign w:val="center"/>
          </w:tcPr>
          <w:p w14:paraId="69AF80E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双班</w:t>
            </w:r>
          </w:p>
        </w:tc>
        <w:tc>
          <w:tcPr>
            <w:tcW w:w="1612" w:type="dxa"/>
            <w:tcBorders>
              <w:right w:val="single" w:color="auto" w:sz="4" w:space="0"/>
            </w:tcBorders>
            <w:vAlign w:val="center"/>
          </w:tcPr>
          <w:p w14:paraId="5B44EC1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r>
    </w:tbl>
    <w:p w14:paraId="232CBB8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3"/>
        <w:rPr>
          <w:rStyle w:val="198"/>
          <w:rFonts w:hint="eastAsia"/>
          <w:b w:val="0"/>
          <w:bCs/>
          <w:lang w:val="en-US" w:eastAsia="zh-CN"/>
        </w:rPr>
      </w:pPr>
      <w:r>
        <w:rPr>
          <w:rStyle w:val="198"/>
          <w:rFonts w:hint="eastAsia"/>
          <w:b w:val="0"/>
          <w:bCs/>
          <w:lang w:val="en-US" w:eastAsia="zh-CN"/>
        </w:rPr>
        <w:t>2.2生产纲领及节拍</w:t>
      </w:r>
    </w:p>
    <w:p w14:paraId="167F8BB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98"/>
          <w:rFonts w:hint="eastAsia"/>
          <w:b w:val="0"/>
          <w:bCs/>
          <w:lang w:val="en-US" w:eastAsia="zh-CN"/>
        </w:rPr>
      </w:pPr>
      <w:r>
        <w:rPr>
          <w:rStyle w:val="198"/>
          <w:rFonts w:hint="eastAsia"/>
          <w:b w:val="0"/>
          <w:bCs/>
          <w:lang w:val="en-US" w:eastAsia="zh-CN"/>
        </w:rPr>
        <w:t>本项目的工作制度、产能、节拍及效率如下，投标方提供的设施、设备必须满足此要求:</w:t>
      </w:r>
    </w:p>
    <w:tbl>
      <w:tblPr>
        <w:tblStyle w:val="40"/>
        <w:tblW w:w="950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56"/>
        <w:gridCol w:w="1618"/>
        <w:gridCol w:w="1281"/>
        <w:gridCol w:w="1176"/>
        <w:gridCol w:w="966"/>
        <w:gridCol w:w="756"/>
        <w:gridCol w:w="2954"/>
      </w:tblGrid>
      <w:tr w14:paraId="3F50097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blHeader/>
          <w:jc w:val="center"/>
        </w:trPr>
        <w:tc>
          <w:tcPr>
            <w:tcW w:w="756" w:type="dxa"/>
            <w:tcBorders>
              <w:top w:val="single" w:color="auto" w:sz="4" w:space="0"/>
              <w:left w:val="single" w:color="auto" w:sz="4" w:space="0"/>
              <w:bottom w:val="single" w:color="auto" w:sz="4" w:space="0"/>
              <w:right w:val="single" w:color="auto" w:sz="4" w:space="0"/>
            </w:tcBorders>
            <w:vAlign w:val="center"/>
          </w:tcPr>
          <w:p w14:paraId="117B25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561C11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主体工程</w:t>
            </w:r>
          </w:p>
        </w:tc>
        <w:tc>
          <w:tcPr>
            <w:tcW w:w="1281" w:type="dxa"/>
            <w:tcBorders>
              <w:top w:val="single" w:color="auto" w:sz="4" w:space="0"/>
              <w:left w:val="single" w:color="auto" w:sz="4" w:space="0"/>
              <w:bottom w:val="single" w:color="auto" w:sz="4" w:space="0"/>
              <w:right w:val="single" w:color="auto" w:sz="4" w:space="0"/>
            </w:tcBorders>
            <w:vAlign w:val="center"/>
          </w:tcPr>
          <w:p w14:paraId="05287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产能</w:t>
            </w:r>
          </w:p>
          <w:p w14:paraId="6570082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（挂/年）</w:t>
            </w:r>
          </w:p>
        </w:tc>
        <w:tc>
          <w:tcPr>
            <w:tcW w:w="1176" w:type="dxa"/>
            <w:tcBorders>
              <w:top w:val="single" w:color="auto" w:sz="4" w:space="0"/>
              <w:left w:val="single" w:color="auto" w:sz="4" w:space="0"/>
              <w:bottom w:val="single" w:color="auto" w:sz="4" w:space="0"/>
              <w:right w:val="single" w:color="auto" w:sz="4" w:space="0"/>
            </w:tcBorders>
            <w:vAlign w:val="center"/>
          </w:tcPr>
          <w:p w14:paraId="67DCCC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单线节拍</w:t>
            </w:r>
          </w:p>
          <w:p w14:paraId="000394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966" w:type="dxa"/>
            <w:tcBorders>
              <w:top w:val="single" w:color="auto" w:sz="4" w:space="0"/>
              <w:left w:val="single" w:color="auto" w:sz="4" w:space="0"/>
              <w:bottom w:val="single" w:color="auto" w:sz="4" w:space="0"/>
              <w:right w:val="single" w:color="auto" w:sz="4" w:space="0"/>
            </w:tcBorders>
            <w:vAlign w:val="center"/>
          </w:tcPr>
          <w:p w14:paraId="2EDF78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开动率</w:t>
            </w:r>
          </w:p>
          <w:p w14:paraId="36F104C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756" w:type="dxa"/>
            <w:tcBorders>
              <w:top w:val="single" w:color="auto" w:sz="4" w:space="0"/>
              <w:left w:val="single" w:color="auto" w:sz="4" w:space="0"/>
              <w:bottom w:val="single" w:color="auto" w:sz="4" w:space="0"/>
              <w:right w:val="single" w:color="auto" w:sz="4" w:space="0"/>
            </w:tcBorders>
            <w:vAlign w:val="center"/>
          </w:tcPr>
          <w:p w14:paraId="292912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数量</w:t>
            </w:r>
          </w:p>
        </w:tc>
        <w:tc>
          <w:tcPr>
            <w:tcW w:w="2954" w:type="dxa"/>
            <w:tcBorders>
              <w:top w:val="single" w:color="auto" w:sz="4" w:space="0"/>
              <w:left w:val="single" w:color="auto" w:sz="4" w:space="0"/>
              <w:bottom w:val="single" w:color="auto" w:sz="4" w:space="0"/>
              <w:right w:val="single" w:color="auto" w:sz="4" w:space="0"/>
            </w:tcBorders>
            <w:vAlign w:val="center"/>
          </w:tcPr>
          <w:p w14:paraId="7B2C0F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2BBB7C5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15A7F6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0" w:type="auto"/>
            <w:tcBorders>
              <w:top w:val="single" w:color="auto" w:sz="4" w:space="0"/>
              <w:left w:val="single" w:color="auto" w:sz="4" w:space="0"/>
              <w:bottom w:val="single" w:color="auto" w:sz="4" w:space="0"/>
              <w:right w:val="single" w:color="auto" w:sz="4" w:space="0"/>
            </w:tcBorders>
            <w:vAlign w:val="center"/>
          </w:tcPr>
          <w:p w14:paraId="0025084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前处理电泳涂装线</w:t>
            </w:r>
          </w:p>
        </w:tc>
        <w:tc>
          <w:tcPr>
            <w:tcW w:w="1281" w:type="dxa"/>
            <w:tcBorders>
              <w:top w:val="single" w:color="auto" w:sz="4" w:space="0"/>
              <w:left w:val="single" w:color="auto" w:sz="4" w:space="0"/>
              <w:bottom w:val="single" w:color="auto" w:sz="4" w:space="0"/>
              <w:right w:val="single" w:color="auto" w:sz="4" w:space="0"/>
            </w:tcBorders>
            <w:vAlign w:val="center"/>
          </w:tcPr>
          <w:p w14:paraId="243E9CB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26000</w:t>
            </w:r>
          </w:p>
        </w:tc>
        <w:tc>
          <w:tcPr>
            <w:tcW w:w="1176" w:type="dxa"/>
            <w:tcBorders>
              <w:top w:val="single" w:color="auto" w:sz="4" w:space="0"/>
              <w:left w:val="single" w:color="auto" w:sz="4" w:space="0"/>
              <w:bottom w:val="single" w:color="auto" w:sz="4" w:space="0"/>
              <w:right w:val="single" w:color="auto" w:sz="4" w:space="0"/>
            </w:tcBorders>
            <w:vAlign w:val="center"/>
          </w:tcPr>
          <w:p w14:paraId="7E492E5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6.5</w:t>
            </w:r>
          </w:p>
        </w:tc>
        <w:tc>
          <w:tcPr>
            <w:tcW w:w="966" w:type="dxa"/>
            <w:tcBorders>
              <w:top w:val="single" w:color="auto" w:sz="4" w:space="0"/>
              <w:left w:val="single" w:color="auto" w:sz="4" w:space="0"/>
              <w:bottom w:val="single" w:color="auto" w:sz="4" w:space="0"/>
              <w:right w:val="single" w:color="auto" w:sz="4" w:space="0"/>
            </w:tcBorders>
            <w:vAlign w:val="center"/>
          </w:tcPr>
          <w:p w14:paraId="4AA520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95</w:t>
            </w:r>
          </w:p>
        </w:tc>
        <w:tc>
          <w:tcPr>
            <w:tcW w:w="756" w:type="dxa"/>
            <w:tcBorders>
              <w:top w:val="single" w:color="auto" w:sz="4" w:space="0"/>
              <w:left w:val="single" w:color="auto" w:sz="4" w:space="0"/>
              <w:bottom w:val="single" w:color="auto" w:sz="4" w:space="0"/>
              <w:right w:val="single" w:color="auto" w:sz="4" w:space="0"/>
            </w:tcBorders>
            <w:vAlign w:val="center"/>
          </w:tcPr>
          <w:p w14:paraId="31C148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vAlign w:val="center"/>
          </w:tcPr>
          <w:p w14:paraId="5AF2C06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用于半挂平板、半挂车架、小件、栏板等的电泳涂装</w:t>
            </w:r>
          </w:p>
        </w:tc>
      </w:tr>
      <w:tr w14:paraId="3BF2C95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14B50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C142E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喷淋前处理线</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14:paraId="1B67EB0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16000</w:t>
            </w:r>
          </w:p>
        </w:tc>
        <w:tc>
          <w:tcPr>
            <w:tcW w:w="1176" w:type="dxa"/>
            <w:tcBorders>
              <w:top w:val="single" w:color="auto" w:sz="4" w:space="0"/>
              <w:left w:val="single" w:color="auto" w:sz="4" w:space="0"/>
              <w:bottom w:val="single" w:color="auto" w:sz="4" w:space="0"/>
              <w:right w:val="single" w:color="auto" w:sz="4" w:space="0"/>
            </w:tcBorders>
            <w:shd w:val="clear" w:color="auto" w:fill="auto"/>
            <w:vAlign w:val="center"/>
          </w:tcPr>
          <w:p w14:paraId="714B38E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0B58588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95</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302171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460B58D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用于半挂自卸车货厢、半挂罐体、自卸货厢等工件涂装前的表面处理</w:t>
            </w:r>
          </w:p>
        </w:tc>
      </w:tr>
      <w:tr w14:paraId="0AA876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7B486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0BC4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底粉喷粉线</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14:paraId="459FA0B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1176" w:type="dxa"/>
            <w:tcBorders>
              <w:top w:val="single" w:color="auto" w:sz="4" w:space="0"/>
              <w:left w:val="single" w:color="auto" w:sz="4" w:space="0"/>
              <w:bottom w:val="single" w:color="auto" w:sz="4" w:space="0"/>
              <w:right w:val="single" w:color="auto" w:sz="4" w:space="0"/>
            </w:tcBorders>
            <w:shd w:val="clear" w:color="auto" w:fill="auto"/>
            <w:vAlign w:val="center"/>
          </w:tcPr>
          <w:p w14:paraId="477CD45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63722F8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A04EE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5B0C0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用于半挂自卸车货厢、半挂罐体、自卸货厢等的底粉涂装</w:t>
            </w:r>
          </w:p>
        </w:tc>
      </w:tr>
      <w:tr w14:paraId="5AE68A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28695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0" w:type="auto"/>
            <w:tcBorders>
              <w:top w:val="single" w:color="auto" w:sz="4" w:space="0"/>
              <w:left w:val="single" w:color="auto" w:sz="4" w:space="0"/>
              <w:bottom w:val="single" w:color="auto" w:sz="4" w:space="0"/>
              <w:right w:val="single" w:color="auto" w:sz="4" w:space="0"/>
            </w:tcBorders>
            <w:vAlign w:val="center"/>
          </w:tcPr>
          <w:p w14:paraId="073C57F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挂车车架及自卸车副车架面粉线</w:t>
            </w:r>
          </w:p>
        </w:tc>
        <w:tc>
          <w:tcPr>
            <w:tcW w:w="1281" w:type="dxa"/>
            <w:tcBorders>
              <w:top w:val="single" w:color="auto" w:sz="4" w:space="0"/>
              <w:left w:val="single" w:color="auto" w:sz="4" w:space="0"/>
              <w:bottom w:val="single" w:color="auto" w:sz="4" w:space="0"/>
              <w:right w:val="single" w:color="auto" w:sz="4" w:space="0"/>
            </w:tcBorders>
            <w:vAlign w:val="center"/>
          </w:tcPr>
          <w:p w14:paraId="0C43E2B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26000</w:t>
            </w:r>
          </w:p>
        </w:tc>
        <w:tc>
          <w:tcPr>
            <w:tcW w:w="1176" w:type="dxa"/>
            <w:tcBorders>
              <w:top w:val="single" w:color="auto" w:sz="4" w:space="0"/>
              <w:left w:val="single" w:color="auto" w:sz="4" w:space="0"/>
              <w:bottom w:val="single" w:color="auto" w:sz="4" w:space="0"/>
              <w:right w:val="single" w:color="auto" w:sz="4" w:space="0"/>
            </w:tcBorders>
            <w:vAlign w:val="center"/>
          </w:tcPr>
          <w:p w14:paraId="11EC4CE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12.5</w:t>
            </w:r>
          </w:p>
        </w:tc>
        <w:tc>
          <w:tcPr>
            <w:tcW w:w="966" w:type="dxa"/>
            <w:tcBorders>
              <w:top w:val="single" w:color="auto" w:sz="4" w:space="0"/>
              <w:left w:val="single" w:color="auto" w:sz="4" w:space="0"/>
              <w:bottom w:val="single" w:color="auto" w:sz="4" w:space="0"/>
              <w:right w:val="single" w:color="auto" w:sz="4" w:space="0"/>
            </w:tcBorders>
            <w:vAlign w:val="center"/>
          </w:tcPr>
          <w:p w14:paraId="0150349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vAlign w:val="center"/>
          </w:tcPr>
          <w:p w14:paraId="1D714D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2954" w:type="dxa"/>
            <w:tcBorders>
              <w:top w:val="single" w:color="auto" w:sz="4" w:space="0"/>
              <w:left w:val="single" w:color="auto" w:sz="4" w:space="0"/>
              <w:bottom w:val="single" w:color="auto" w:sz="4" w:space="0"/>
              <w:right w:val="single" w:color="auto" w:sz="4" w:space="0"/>
            </w:tcBorders>
            <w:vAlign w:val="center"/>
          </w:tcPr>
          <w:p w14:paraId="407843F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用于半挂平板、半挂骨架、小件、栏板等的面粉涂装</w:t>
            </w:r>
          </w:p>
        </w:tc>
      </w:tr>
      <w:tr w14:paraId="5187272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5E6556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0" w:type="auto"/>
            <w:tcBorders>
              <w:top w:val="single" w:color="auto" w:sz="4" w:space="0"/>
              <w:left w:val="single" w:color="auto" w:sz="4" w:space="0"/>
              <w:bottom w:val="single" w:color="auto" w:sz="4" w:space="0"/>
              <w:right w:val="single" w:color="auto" w:sz="4" w:space="0"/>
            </w:tcBorders>
            <w:vAlign w:val="center"/>
          </w:tcPr>
          <w:p w14:paraId="57EE98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罐车、自卸车货厢面粉线</w:t>
            </w:r>
          </w:p>
        </w:tc>
        <w:tc>
          <w:tcPr>
            <w:tcW w:w="1281" w:type="dxa"/>
            <w:tcBorders>
              <w:top w:val="single" w:color="auto" w:sz="4" w:space="0"/>
              <w:left w:val="single" w:color="auto" w:sz="4" w:space="0"/>
              <w:bottom w:val="single" w:color="auto" w:sz="4" w:space="0"/>
              <w:right w:val="single" w:color="auto" w:sz="4" w:space="0"/>
            </w:tcBorders>
            <w:vAlign w:val="center"/>
          </w:tcPr>
          <w:p w14:paraId="4E326A6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16000</w:t>
            </w:r>
          </w:p>
        </w:tc>
        <w:tc>
          <w:tcPr>
            <w:tcW w:w="1176" w:type="dxa"/>
            <w:tcBorders>
              <w:top w:val="single" w:color="auto" w:sz="4" w:space="0"/>
              <w:left w:val="single" w:color="auto" w:sz="4" w:space="0"/>
              <w:bottom w:val="single" w:color="auto" w:sz="4" w:space="0"/>
              <w:right w:val="single" w:color="auto" w:sz="4" w:space="0"/>
            </w:tcBorders>
            <w:vAlign w:val="center"/>
          </w:tcPr>
          <w:p w14:paraId="57630CB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966" w:type="dxa"/>
            <w:tcBorders>
              <w:top w:val="single" w:color="auto" w:sz="4" w:space="0"/>
              <w:left w:val="single" w:color="auto" w:sz="4" w:space="0"/>
              <w:bottom w:val="single" w:color="auto" w:sz="4" w:space="0"/>
              <w:right w:val="single" w:color="auto" w:sz="4" w:space="0"/>
            </w:tcBorders>
            <w:vAlign w:val="center"/>
          </w:tcPr>
          <w:p w14:paraId="608056C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vAlign w:val="center"/>
          </w:tcPr>
          <w:p w14:paraId="70BF07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2954" w:type="dxa"/>
            <w:tcBorders>
              <w:top w:val="single" w:color="auto" w:sz="4" w:space="0"/>
              <w:left w:val="single" w:color="auto" w:sz="4" w:space="0"/>
              <w:bottom w:val="single" w:color="auto" w:sz="4" w:space="0"/>
              <w:right w:val="single" w:color="auto" w:sz="4" w:space="0"/>
            </w:tcBorders>
            <w:vAlign w:val="center"/>
          </w:tcPr>
          <w:p w14:paraId="433538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用于半挂自卸车货厢、半挂罐体等的面粉涂装</w:t>
            </w:r>
          </w:p>
        </w:tc>
      </w:tr>
      <w:tr w14:paraId="675E6D4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28474D0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B83AE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套粉线</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14:paraId="40FA2EC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1176" w:type="dxa"/>
            <w:tcBorders>
              <w:top w:val="single" w:color="auto" w:sz="4" w:space="0"/>
              <w:left w:val="single" w:color="auto" w:sz="4" w:space="0"/>
              <w:bottom w:val="single" w:color="auto" w:sz="4" w:space="0"/>
              <w:right w:val="single" w:color="auto" w:sz="4" w:space="0"/>
            </w:tcBorders>
            <w:shd w:val="clear" w:color="auto" w:fill="auto"/>
            <w:vAlign w:val="center"/>
          </w:tcPr>
          <w:p w14:paraId="235AB9B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79FA6F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28A71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0E51088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用于半挂货厢、半挂罐体等的套色</w:t>
            </w:r>
          </w:p>
        </w:tc>
      </w:tr>
      <w:tr w14:paraId="13A0259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4946194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618" w:type="dxa"/>
            <w:tcBorders>
              <w:top w:val="single" w:color="auto" w:sz="4" w:space="0"/>
              <w:left w:val="single" w:color="auto" w:sz="4" w:space="0"/>
              <w:bottom w:val="single" w:color="auto" w:sz="4" w:space="0"/>
              <w:right w:val="single" w:color="auto" w:sz="4" w:space="0"/>
            </w:tcBorders>
            <w:vAlign w:val="center"/>
          </w:tcPr>
          <w:p w14:paraId="36BACA6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抛丸生产线</w:t>
            </w:r>
          </w:p>
        </w:tc>
        <w:tc>
          <w:tcPr>
            <w:tcW w:w="1281" w:type="dxa"/>
            <w:tcBorders>
              <w:top w:val="single" w:color="auto" w:sz="4" w:space="0"/>
              <w:left w:val="single" w:color="auto" w:sz="4" w:space="0"/>
              <w:bottom w:val="single" w:color="auto" w:sz="4" w:space="0"/>
              <w:right w:val="single" w:color="auto" w:sz="4" w:space="0"/>
            </w:tcBorders>
            <w:vAlign w:val="center"/>
          </w:tcPr>
          <w:p w14:paraId="1D52F4B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41000</w:t>
            </w:r>
          </w:p>
        </w:tc>
        <w:tc>
          <w:tcPr>
            <w:tcW w:w="1176" w:type="dxa"/>
            <w:tcBorders>
              <w:top w:val="single" w:color="auto" w:sz="4" w:space="0"/>
              <w:left w:val="single" w:color="auto" w:sz="4" w:space="0"/>
              <w:bottom w:val="single" w:color="auto" w:sz="4" w:space="0"/>
              <w:right w:val="single" w:color="auto" w:sz="4" w:space="0"/>
            </w:tcBorders>
            <w:vAlign w:val="center"/>
          </w:tcPr>
          <w:p w14:paraId="7807659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6-10</w:t>
            </w:r>
          </w:p>
        </w:tc>
        <w:tc>
          <w:tcPr>
            <w:tcW w:w="966" w:type="dxa"/>
            <w:tcBorders>
              <w:top w:val="single" w:color="auto" w:sz="4" w:space="0"/>
              <w:left w:val="single" w:color="auto" w:sz="4" w:space="0"/>
              <w:bottom w:val="single" w:color="auto" w:sz="4" w:space="0"/>
              <w:right w:val="single" w:color="auto" w:sz="4" w:space="0"/>
            </w:tcBorders>
            <w:vAlign w:val="center"/>
          </w:tcPr>
          <w:p w14:paraId="425806A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vAlign w:val="center"/>
          </w:tcPr>
          <w:p w14:paraId="1141A6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vAlign w:val="center"/>
          </w:tcPr>
          <w:p w14:paraId="3C50B32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用于去除工件表面的氧化皮</w:t>
            </w:r>
          </w:p>
        </w:tc>
      </w:tr>
    </w:tbl>
    <w:p w14:paraId="50A9C1E3">
      <w:pPr>
        <w:pStyle w:val="135"/>
        <w:tabs>
          <w:tab w:val="left" w:pos="1164"/>
          <w:tab w:val="left" w:pos="1165"/>
        </w:tabs>
        <w:spacing w:line="360" w:lineRule="auto"/>
        <w:jc w:val="left"/>
        <w:outlineLvl w:val="3"/>
        <w:rPr>
          <w:rStyle w:val="198"/>
          <w:rFonts w:hint="eastAsia"/>
          <w:b w:val="0"/>
          <w:bCs/>
          <w:kern w:val="2"/>
          <w:lang w:val="en-US" w:eastAsia="zh-CN" w:bidi="ar-SA"/>
        </w:rPr>
      </w:pPr>
      <w:r>
        <w:rPr>
          <w:rStyle w:val="198"/>
          <w:rFonts w:hint="eastAsia"/>
          <w:b w:val="0"/>
          <w:bCs/>
          <w:kern w:val="2"/>
          <w:lang w:val="en-US" w:eastAsia="zh-CN" w:bidi="ar-SA"/>
        </w:rPr>
        <w:t>2.3产品参数</w:t>
      </w:r>
    </w:p>
    <w:p w14:paraId="7A77E491">
      <w:pPr>
        <w:pStyle w:val="135"/>
        <w:tabs>
          <w:tab w:val="left" w:pos="1164"/>
          <w:tab w:val="left" w:pos="1165"/>
        </w:tabs>
        <w:spacing w:line="360" w:lineRule="auto"/>
        <w:jc w:val="left"/>
        <w:rPr>
          <w:rStyle w:val="198"/>
          <w:rFonts w:hint="eastAsia"/>
          <w:b w:val="0"/>
          <w:bCs/>
          <w:kern w:val="2"/>
          <w:lang w:val="en-US" w:eastAsia="zh-CN" w:bidi="ar-SA"/>
        </w:rPr>
      </w:pPr>
      <w:r>
        <w:rPr>
          <w:rStyle w:val="198"/>
          <w:rFonts w:hint="eastAsia"/>
          <w:b w:val="0"/>
          <w:bCs/>
          <w:kern w:val="2"/>
          <w:lang w:val="en-US" w:eastAsia="zh-CN" w:bidi="ar-SA"/>
        </w:rPr>
        <w:t>车架工件尺寸</w:t>
      </w:r>
    </w:p>
    <w:tbl>
      <w:tblPr>
        <w:tblStyle w:val="40"/>
        <w:tblW w:w="49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991"/>
        <w:gridCol w:w="846"/>
        <w:gridCol w:w="1073"/>
        <w:gridCol w:w="1799"/>
        <w:gridCol w:w="1822"/>
        <w:gridCol w:w="2139"/>
      </w:tblGrid>
      <w:tr w14:paraId="4D72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pct"/>
            <w:vMerge w:val="restart"/>
            <w:vAlign w:val="center"/>
          </w:tcPr>
          <w:p w14:paraId="41A809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w:t>
            </w:r>
          </w:p>
        </w:tc>
        <w:tc>
          <w:tcPr>
            <w:tcW w:w="1506" w:type="pct"/>
            <w:gridSpan w:val="3"/>
            <w:vAlign w:val="center"/>
          </w:tcPr>
          <w:p w14:paraId="66DBA9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尺寸 mm</w:t>
            </w:r>
          </w:p>
        </w:tc>
        <w:tc>
          <w:tcPr>
            <w:tcW w:w="931" w:type="pct"/>
            <w:vMerge w:val="restart"/>
            <w:vAlign w:val="center"/>
          </w:tcPr>
          <w:p w14:paraId="293634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工件最大重量kg</w:t>
            </w:r>
          </w:p>
        </w:tc>
        <w:tc>
          <w:tcPr>
            <w:tcW w:w="943" w:type="pct"/>
            <w:vMerge w:val="restart"/>
            <w:vAlign w:val="center"/>
          </w:tcPr>
          <w:p w14:paraId="4C657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面积㎡/挂</w:t>
            </w:r>
          </w:p>
        </w:tc>
        <w:tc>
          <w:tcPr>
            <w:tcW w:w="1107" w:type="pct"/>
            <w:vMerge w:val="restart"/>
          </w:tcPr>
          <w:p w14:paraId="048B55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7F07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9" w:hRule="atLeast"/>
          <w:jc w:val="center"/>
        </w:trPr>
        <w:tc>
          <w:tcPr>
            <w:tcW w:w="510" w:type="pct"/>
            <w:vMerge w:val="continue"/>
            <w:vAlign w:val="center"/>
          </w:tcPr>
          <w:p w14:paraId="74E486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12" w:type="pct"/>
            <w:vAlign w:val="center"/>
          </w:tcPr>
          <w:p w14:paraId="517AB9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长度</w:t>
            </w:r>
          </w:p>
        </w:tc>
        <w:tc>
          <w:tcPr>
            <w:tcW w:w="437" w:type="pct"/>
            <w:vAlign w:val="center"/>
          </w:tcPr>
          <w:p w14:paraId="5042E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高度</w:t>
            </w:r>
          </w:p>
        </w:tc>
        <w:tc>
          <w:tcPr>
            <w:tcW w:w="555" w:type="pct"/>
            <w:vAlign w:val="center"/>
          </w:tcPr>
          <w:p w14:paraId="7ABBCC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宽度</w:t>
            </w:r>
          </w:p>
        </w:tc>
        <w:tc>
          <w:tcPr>
            <w:tcW w:w="931" w:type="pct"/>
            <w:vMerge w:val="continue"/>
            <w:vAlign w:val="center"/>
          </w:tcPr>
          <w:p w14:paraId="405CFF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943" w:type="pct"/>
            <w:vMerge w:val="continue"/>
            <w:vAlign w:val="center"/>
          </w:tcPr>
          <w:p w14:paraId="246D62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07" w:type="pct"/>
            <w:vMerge w:val="continue"/>
          </w:tcPr>
          <w:p w14:paraId="7805C9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B34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pct"/>
            <w:vAlign w:val="center"/>
          </w:tcPr>
          <w:p w14:paraId="575C42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车架</w:t>
            </w:r>
          </w:p>
        </w:tc>
        <w:tc>
          <w:tcPr>
            <w:tcW w:w="512" w:type="pct"/>
            <w:vAlign w:val="center"/>
          </w:tcPr>
          <w:p w14:paraId="31CC7A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14000</w:t>
            </w:r>
          </w:p>
        </w:tc>
        <w:tc>
          <w:tcPr>
            <w:tcW w:w="437" w:type="pct"/>
            <w:vAlign w:val="center"/>
          </w:tcPr>
          <w:p w14:paraId="4983DC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2600</w:t>
            </w:r>
          </w:p>
        </w:tc>
        <w:tc>
          <w:tcPr>
            <w:tcW w:w="555" w:type="pct"/>
            <w:vAlign w:val="center"/>
          </w:tcPr>
          <w:p w14:paraId="45E952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1500</w:t>
            </w:r>
          </w:p>
        </w:tc>
        <w:tc>
          <w:tcPr>
            <w:tcW w:w="931" w:type="pct"/>
            <w:vAlign w:val="center"/>
          </w:tcPr>
          <w:p w14:paraId="21A76E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≤5500</w:t>
            </w:r>
          </w:p>
        </w:tc>
        <w:tc>
          <w:tcPr>
            <w:tcW w:w="943" w:type="pct"/>
            <w:vAlign w:val="center"/>
          </w:tcPr>
          <w:p w14:paraId="547D8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最大表面积：220，平均180</w:t>
            </w:r>
          </w:p>
        </w:tc>
        <w:tc>
          <w:tcPr>
            <w:tcW w:w="1107" w:type="pct"/>
          </w:tcPr>
          <w:p w14:paraId="47ED92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6EF7D2E5">
      <w:pPr>
        <w:pStyle w:val="135"/>
        <w:tabs>
          <w:tab w:val="left" w:pos="1164"/>
          <w:tab w:val="left" w:pos="1165"/>
        </w:tabs>
        <w:spacing w:line="360" w:lineRule="auto"/>
        <w:jc w:val="left"/>
        <w:rPr>
          <w:rStyle w:val="198"/>
          <w:rFonts w:hint="eastAsia"/>
          <w:b w:val="0"/>
          <w:bCs/>
          <w:kern w:val="2"/>
          <w:lang w:val="en-US" w:eastAsia="zh-CN" w:bidi="ar-SA"/>
        </w:rPr>
      </w:pPr>
      <w:r>
        <w:rPr>
          <w:rStyle w:val="198"/>
          <w:rFonts w:hint="eastAsia"/>
          <w:b w:val="0"/>
          <w:bCs/>
          <w:kern w:val="2"/>
          <w:lang w:val="en-US" w:eastAsia="zh-CN" w:bidi="ar-SA"/>
        </w:rPr>
        <w:t>半挂罐式车工件尺寸</w:t>
      </w:r>
    </w:p>
    <w:tbl>
      <w:tblPr>
        <w:tblStyle w:val="40"/>
        <w:tblW w:w="49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967"/>
        <w:gridCol w:w="831"/>
        <w:gridCol w:w="1059"/>
        <w:gridCol w:w="1786"/>
        <w:gridCol w:w="1844"/>
        <w:gridCol w:w="2156"/>
      </w:tblGrid>
      <w:tr w14:paraId="3381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5" w:type="pct"/>
            <w:vMerge w:val="restart"/>
            <w:vAlign w:val="center"/>
          </w:tcPr>
          <w:p w14:paraId="6B04F0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w:t>
            </w:r>
          </w:p>
        </w:tc>
        <w:tc>
          <w:tcPr>
            <w:tcW w:w="1475" w:type="pct"/>
            <w:gridSpan w:val="3"/>
            <w:vAlign w:val="center"/>
          </w:tcPr>
          <w:p w14:paraId="6C3B5C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尺寸 mm</w:t>
            </w:r>
          </w:p>
        </w:tc>
        <w:tc>
          <w:tcPr>
            <w:tcW w:w="922" w:type="pct"/>
            <w:vMerge w:val="restart"/>
            <w:vAlign w:val="center"/>
          </w:tcPr>
          <w:p w14:paraId="157BE3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工件最大重量kg</w:t>
            </w:r>
          </w:p>
        </w:tc>
        <w:tc>
          <w:tcPr>
            <w:tcW w:w="952" w:type="pct"/>
            <w:vMerge w:val="restart"/>
            <w:vAlign w:val="center"/>
          </w:tcPr>
          <w:p w14:paraId="2419E6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面积㎡/挂</w:t>
            </w:r>
          </w:p>
        </w:tc>
        <w:tc>
          <w:tcPr>
            <w:tcW w:w="1113" w:type="pct"/>
            <w:vMerge w:val="restart"/>
            <w:vAlign w:val="center"/>
          </w:tcPr>
          <w:p w14:paraId="311F88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12D5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5" w:type="pct"/>
            <w:vMerge w:val="continue"/>
            <w:vAlign w:val="center"/>
          </w:tcPr>
          <w:p w14:paraId="1E7D82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499" w:type="pct"/>
            <w:vAlign w:val="center"/>
          </w:tcPr>
          <w:p w14:paraId="6C256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长度</w:t>
            </w:r>
          </w:p>
        </w:tc>
        <w:tc>
          <w:tcPr>
            <w:tcW w:w="429" w:type="pct"/>
            <w:vAlign w:val="center"/>
          </w:tcPr>
          <w:p w14:paraId="53F69A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高度</w:t>
            </w:r>
          </w:p>
        </w:tc>
        <w:tc>
          <w:tcPr>
            <w:tcW w:w="547" w:type="pct"/>
            <w:vAlign w:val="center"/>
          </w:tcPr>
          <w:p w14:paraId="201BF8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宽度</w:t>
            </w:r>
          </w:p>
        </w:tc>
        <w:tc>
          <w:tcPr>
            <w:tcW w:w="922" w:type="pct"/>
            <w:vMerge w:val="continue"/>
            <w:vAlign w:val="center"/>
          </w:tcPr>
          <w:p w14:paraId="01BAF7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952" w:type="pct"/>
            <w:vMerge w:val="continue"/>
            <w:vAlign w:val="center"/>
          </w:tcPr>
          <w:p w14:paraId="7B54B2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13" w:type="pct"/>
            <w:vMerge w:val="continue"/>
            <w:vAlign w:val="center"/>
          </w:tcPr>
          <w:p w14:paraId="61AE21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034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5" w:type="pct"/>
            <w:vAlign w:val="center"/>
          </w:tcPr>
          <w:p w14:paraId="233EC5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bookmarkStart w:id="51" w:name="_GoBack"/>
            <w:r>
              <w:rPr>
                <w:rFonts w:hint="eastAsia" w:ascii="仿宋" w:hAnsi="仿宋" w:eastAsia="仿宋" w:cs="仿宋"/>
                <w:b w:val="0"/>
                <w:bCs w:val="0"/>
                <w:kern w:val="2"/>
                <w:sz w:val="24"/>
                <w:szCs w:val="24"/>
                <w:lang w:val="en-US" w:eastAsia="zh-CN" w:bidi="ar"/>
              </w:rPr>
              <w:t>液罐车</w:t>
            </w:r>
            <w:bookmarkEnd w:id="51"/>
          </w:p>
        </w:tc>
        <w:tc>
          <w:tcPr>
            <w:tcW w:w="499" w:type="pct"/>
            <w:vAlign w:val="center"/>
          </w:tcPr>
          <w:p w14:paraId="5C3254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12500</w:t>
            </w:r>
          </w:p>
        </w:tc>
        <w:tc>
          <w:tcPr>
            <w:tcW w:w="429" w:type="pct"/>
            <w:vAlign w:val="center"/>
          </w:tcPr>
          <w:p w14:paraId="6517A3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547" w:type="pct"/>
            <w:vAlign w:val="center"/>
          </w:tcPr>
          <w:p w14:paraId="1C7899F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922" w:type="pct"/>
            <w:vAlign w:val="center"/>
          </w:tcPr>
          <w:p w14:paraId="0C961A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952" w:type="pct"/>
            <w:vAlign w:val="center"/>
          </w:tcPr>
          <w:p w14:paraId="46F8D4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最大表面积：200，平均150</w:t>
            </w:r>
          </w:p>
        </w:tc>
        <w:tc>
          <w:tcPr>
            <w:tcW w:w="1113" w:type="pct"/>
            <w:vAlign w:val="center"/>
          </w:tcPr>
          <w:p w14:paraId="5E8EFF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2D3A014E">
      <w:pPr>
        <w:pStyle w:val="135"/>
        <w:tabs>
          <w:tab w:val="left" w:pos="1164"/>
          <w:tab w:val="left" w:pos="1165"/>
        </w:tabs>
        <w:spacing w:line="360" w:lineRule="auto"/>
        <w:jc w:val="left"/>
        <w:rPr>
          <w:rStyle w:val="198"/>
          <w:rFonts w:hint="eastAsia"/>
          <w:b w:val="0"/>
          <w:bCs/>
          <w:kern w:val="2"/>
          <w:lang w:val="en-US" w:eastAsia="zh-CN" w:bidi="ar-SA"/>
        </w:rPr>
      </w:pPr>
      <w:r>
        <w:rPr>
          <w:rStyle w:val="198"/>
          <w:rFonts w:hint="eastAsia"/>
          <w:b w:val="0"/>
          <w:bCs/>
          <w:kern w:val="2"/>
          <w:lang w:val="en-US" w:eastAsia="zh-CN" w:bidi="ar-SA"/>
        </w:rPr>
        <w:t>自卸车厢工件尺寸及材质</w:t>
      </w:r>
    </w:p>
    <w:tbl>
      <w:tblPr>
        <w:tblStyle w:val="40"/>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958"/>
        <w:gridCol w:w="851"/>
        <w:gridCol w:w="1063"/>
        <w:gridCol w:w="1780"/>
        <w:gridCol w:w="2032"/>
        <w:gridCol w:w="1962"/>
      </w:tblGrid>
      <w:tr w14:paraId="089E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8" w:type="pct"/>
            <w:vMerge w:val="restart"/>
            <w:vAlign w:val="center"/>
          </w:tcPr>
          <w:p w14:paraId="1F2036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w:t>
            </w:r>
          </w:p>
        </w:tc>
        <w:tc>
          <w:tcPr>
            <w:tcW w:w="1481" w:type="pct"/>
            <w:gridSpan w:val="3"/>
            <w:vAlign w:val="center"/>
          </w:tcPr>
          <w:p w14:paraId="22D1B8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尺寸 mm</w:t>
            </w:r>
          </w:p>
        </w:tc>
        <w:tc>
          <w:tcPr>
            <w:tcW w:w="918" w:type="pct"/>
            <w:vMerge w:val="restart"/>
            <w:vAlign w:val="center"/>
          </w:tcPr>
          <w:p w14:paraId="0B8EEE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工件最大重量kg</w:t>
            </w:r>
          </w:p>
        </w:tc>
        <w:tc>
          <w:tcPr>
            <w:tcW w:w="1048" w:type="pct"/>
            <w:vMerge w:val="restart"/>
            <w:vAlign w:val="center"/>
          </w:tcPr>
          <w:p w14:paraId="5C2FDD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面积㎡/挂</w:t>
            </w:r>
          </w:p>
        </w:tc>
        <w:tc>
          <w:tcPr>
            <w:tcW w:w="1012" w:type="pct"/>
            <w:vMerge w:val="restart"/>
            <w:vAlign w:val="center"/>
          </w:tcPr>
          <w:p w14:paraId="03E9A5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3F54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8" w:type="pct"/>
            <w:vMerge w:val="continue"/>
            <w:vAlign w:val="center"/>
          </w:tcPr>
          <w:p w14:paraId="590902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494" w:type="pct"/>
            <w:vAlign w:val="center"/>
          </w:tcPr>
          <w:p w14:paraId="144C69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长度</w:t>
            </w:r>
          </w:p>
        </w:tc>
        <w:tc>
          <w:tcPr>
            <w:tcW w:w="439" w:type="pct"/>
            <w:vAlign w:val="center"/>
          </w:tcPr>
          <w:p w14:paraId="1A3C6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高度</w:t>
            </w:r>
          </w:p>
        </w:tc>
        <w:tc>
          <w:tcPr>
            <w:tcW w:w="547" w:type="pct"/>
            <w:vAlign w:val="center"/>
          </w:tcPr>
          <w:p w14:paraId="23CA3D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宽度</w:t>
            </w:r>
          </w:p>
        </w:tc>
        <w:tc>
          <w:tcPr>
            <w:tcW w:w="918" w:type="pct"/>
            <w:vMerge w:val="continue"/>
            <w:vAlign w:val="center"/>
          </w:tcPr>
          <w:p w14:paraId="55B5CE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48" w:type="pct"/>
            <w:vMerge w:val="continue"/>
            <w:vAlign w:val="center"/>
          </w:tcPr>
          <w:p w14:paraId="7CDC4A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12" w:type="pct"/>
            <w:vMerge w:val="continue"/>
            <w:vAlign w:val="center"/>
          </w:tcPr>
          <w:p w14:paraId="6ED436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69C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8" w:type="pct"/>
            <w:vAlign w:val="center"/>
          </w:tcPr>
          <w:p w14:paraId="00C6B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自卸车</w:t>
            </w:r>
          </w:p>
        </w:tc>
        <w:tc>
          <w:tcPr>
            <w:tcW w:w="494" w:type="pct"/>
            <w:vAlign w:val="center"/>
          </w:tcPr>
          <w:p w14:paraId="623ED2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439" w:type="pct"/>
            <w:vAlign w:val="center"/>
          </w:tcPr>
          <w:p w14:paraId="14B66F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2800</w:t>
            </w:r>
          </w:p>
        </w:tc>
        <w:tc>
          <w:tcPr>
            <w:tcW w:w="547" w:type="pct"/>
            <w:vAlign w:val="center"/>
          </w:tcPr>
          <w:p w14:paraId="268D3E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918" w:type="pct"/>
            <w:vAlign w:val="center"/>
          </w:tcPr>
          <w:p w14:paraId="792690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1048" w:type="pct"/>
            <w:vAlign w:val="center"/>
          </w:tcPr>
          <w:p w14:paraId="4DF494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最大表面积：200，平均150</w:t>
            </w:r>
          </w:p>
        </w:tc>
        <w:tc>
          <w:tcPr>
            <w:tcW w:w="1012" w:type="pct"/>
            <w:vAlign w:val="center"/>
          </w:tcPr>
          <w:p w14:paraId="491499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27215D54">
      <w:pPr>
        <w:pStyle w:val="135"/>
        <w:tabs>
          <w:tab w:val="left" w:pos="1164"/>
          <w:tab w:val="left" w:pos="1165"/>
        </w:tabs>
        <w:spacing w:line="360" w:lineRule="auto"/>
        <w:jc w:val="left"/>
        <w:outlineLvl w:val="3"/>
        <w:rPr>
          <w:rStyle w:val="198"/>
          <w:rFonts w:hint="eastAsia"/>
          <w:b w:val="0"/>
          <w:bCs/>
          <w:kern w:val="2"/>
          <w:lang w:val="en-US" w:eastAsia="zh-CN" w:bidi="ar-SA"/>
        </w:rPr>
      </w:pPr>
      <w:r>
        <w:rPr>
          <w:rStyle w:val="198"/>
          <w:rFonts w:hint="eastAsia"/>
          <w:b w:val="0"/>
          <w:bCs/>
          <w:kern w:val="2"/>
          <w:lang w:val="en-US" w:eastAsia="zh-CN" w:bidi="ar-SA"/>
        </w:rPr>
        <w:t>2.4产品质量</w:t>
      </w:r>
    </w:p>
    <w:p w14:paraId="3EAF8993">
      <w:pPr>
        <w:pStyle w:val="135"/>
        <w:tabs>
          <w:tab w:val="left" w:pos="1164"/>
          <w:tab w:val="left" w:pos="1165"/>
        </w:tabs>
        <w:spacing w:line="360" w:lineRule="auto"/>
        <w:jc w:val="left"/>
        <w:outlineLvl w:val="4"/>
        <w:rPr>
          <w:rStyle w:val="198"/>
          <w:rFonts w:hint="default"/>
          <w:b w:val="0"/>
          <w:bCs/>
          <w:kern w:val="2"/>
          <w:lang w:val="en-US" w:eastAsia="zh-CN" w:bidi="ar-SA"/>
        </w:rPr>
      </w:pPr>
      <w:r>
        <w:rPr>
          <w:rStyle w:val="198"/>
          <w:rFonts w:hint="eastAsia"/>
          <w:b w:val="0"/>
          <w:bCs/>
          <w:kern w:val="2"/>
          <w:lang w:val="en-US" w:eastAsia="zh-CN" w:bidi="ar-SA"/>
        </w:rPr>
        <w:t>2.4.1抛丸质量要求</w:t>
      </w:r>
    </w:p>
    <w:tbl>
      <w:tblPr>
        <w:tblStyle w:val="41"/>
        <w:tblW w:w="0" w:type="auto"/>
        <w:tblInd w:w="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63"/>
        <w:gridCol w:w="6125"/>
      </w:tblGrid>
      <w:tr w14:paraId="7C7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blHeader/>
        </w:trPr>
        <w:tc>
          <w:tcPr>
            <w:tcW w:w="770" w:type="dxa"/>
          </w:tcPr>
          <w:p w14:paraId="725C86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863" w:type="dxa"/>
          </w:tcPr>
          <w:p w14:paraId="02CD40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内容</w:t>
            </w:r>
          </w:p>
        </w:tc>
        <w:tc>
          <w:tcPr>
            <w:tcW w:w="6125" w:type="dxa"/>
          </w:tcPr>
          <w:p w14:paraId="452340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产品参数</w:t>
            </w:r>
          </w:p>
        </w:tc>
      </w:tr>
      <w:tr w14:paraId="2D73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770" w:type="dxa"/>
            <w:vAlign w:val="center"/>
          </w:tcPr>
          <w:p w14:paraId="3D0E53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863" w:type="dxa"/>
          </w:tcPr>
          <w:p w14:paraId="01374C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抛丸质量</w:t>
            </w:r>
          </w:p>
        </w:tc>
        <w:tc>
          <w:tcPr>
            <w:tcW w:w="6125" w:type="dxa"/>
          </w:tcPr>
          <w:p w14:paraId="32A2E9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处理等级：达到GB8923  Sa2.5级标准；</w:t>
            </w:r>
          </w:p>
          <w:p w14:paraId="07DBC84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粗糙度Ra≤25μm</w:t>
            </w:r>
          </w:p>
        </w:tc>
      </w:tr>
    </w:tbl>
    <w:p w14:paraId="156B11A0">
      <w:pPr>
        <w:pStyle w:val="135"/>
        <w:tabs>
          <w:tab w:val="left" w:pos="1164"/>
          <w:tab w:val="left" w:pos="1165"/>
        </w:tabs>
        <w:spacing w:line="360" w:lineRule="auto"/>
        <w:jc w:val="left"/>
        <w:outlineLvl w:val="4"/>
        <w:rPr>
          <w:rStyle w:val="198"/>
          <w:rFonts w:hint="default"/>
          <w:b w:val="0"/>
          <w:bCs/>
          <w:kern w:val="2"/>
          <w:lang w:val="en-US" w:eastAsia="zh-CN" w:bidi="ar-SA"/>
        </w:rPr>
      </w:pPr>
      <w:r>
        <w:rPr>
          <w:rStyle w:val="198"/>
          <w:rFonts w:hint="eastAsia"/>
          <w:b w:val="0"/>
          <w:bCs/>
          <w:kern w:val="2"/>
          <w:lang w:val="en-US" w:eastAsia="zh-CN" w:bidi="ar-SA"/>
        </w:rPr>
        <w:t>2.4.2涂层膜厚要求</w:t>
      </w:r>
    </w:p>
    <w:tbl>
      <w:tblPr>
        <w:tblStyle w:val="41"/>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993"/>
        <w:gridCol w:w="1818"/>
        <w:gridCol w:w="2100"/>
        <w:gridCol w:w="2497"/>
      </w:tblGrid>
      <w:tr w14:paraId="603F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52" w:type="dxa"/>
            <w:vAlign w:val="center"/>
          </w:tcPr>
          <w:p w14:paraId="1C952C6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993" w:type="dxa"/>
            <w:vAlign w:val="center"/>
          </w:tcPr>
          <w:p w14:paraId="1BB9F5C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w:t>
            </w:r>
          </w:p>
        </w:tc>
        <w:tc>
          <w:tcPr>
            <w:tcW w:w="1818" w:type="dxa"/>
            <w:vAlign w:val="center"/>
          </w:tcPr>
          <w:p w14:paraId="32E56F5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底涂膜厚</w:t>
            </w:r>
          </w:p>
        </w:tc>
        <w:tc>
          <w:tcPr>
            <w:tcW w:w="2100" w:type="dxa"/>
            <w:vAlign w:val="center"/>
          </w:tcPr>
          <w:p w14:paraId="5BC12C7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w:t>
            </w:r>
            <w:r>
              <w:rPr>
                <w:rFonts w:hint="default" w:ascii="仿宋" w:hAnsi="仿宋" w:eastAsia="仿宋" w:cs="仿宋"/>
                <w:b w:val="0"/>
                <w:bCs w:val="0"/>
                <w:kern w:val="2"/>
                <w:sz w:val="24"/>
                <w:szCs w:val="24"/>
                <w:lang w:val="en-US" w:eastAsia="zh-CN" w:bidi="ar"/>
              </w:rPr>
              <w:t>涂膜厚</w:t>
            </w:r>
          </w:p>
        </w:tc>
        <w:tc>
          <w:tcPr>
            <w:tcW w:w="2497" w:type="dxa"/>
            <w:vAlign w:val="center"/>
          </w:tcPr>
          <w:p w14:paraId="275C4F3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总膜厚</w:t>
            </w:r>
          </w:p>
        </w:tc>
      </w:tr>
      <w:tr w14:paraId="721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2" w:type="dxa"/>
            <w:vAlign w:val="center"/>
          </w:tcPr>
          <w:p w14:paraId="354235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993" w:type="dxa"/>
            <w:shd w:val="clear" w:color="auto" w:fill="auto"/>
            <w:vAlign w:val="center"/>
          </w:tcPr>
          <w:p w14:paraId="46C73E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w:t>
            </w:r>
          </w:p>
        </w:tc>
        <w:tc>
          <w:tcPr>
            <w:tcW w:w="1818" w:type="dxa"/>
            <w:vAlign w:val="center"/>
          </w:tcPr>
          <w:p w14:paraId="760F8C5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≥25μm（推荐25μm-35μm）</w:t>
            </w:r>
          </w:p>
        </w:tc>
        <w:tc>
          <w:tcPr>
            <w:tcW w:w="2100" w:type="dxa"/>
            <w:vAlign w:val="center"/>
          </w:tcPr>
          <w:p w14:paraId="532054A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497" w:type="dxa"/>
            <w:vAlign w:val="center"/>
          </w:tcPr>
          <w:p w14:paraId="62AEF67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r>
      <w:tr w14:paraId="2BEA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952" w:type="dxa"/>
            <w:vAlign w:val="center"/>
          </w:tcPr>
          <w:p w14:paraId="4F5C31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993" w:type="dxa"/>
            <w:shd w:val="clear" w:color="auto" w:fill="auto"/>
            <w:vAlign w:val="center"/>
          </w:tcPr>
          <w:p w14:paraId="1C674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电泳+喷粉</w:t>
            </w:r>
          </w:p>
        </w:tc>
        <w:tc>
          <w:tcPr>
            <w:tcW w:w="1818" w:type="dxa"/>
            <w:vAlign w:val="center"/>
          </w:tcPr>
          <w:p w14:paraId="5F10456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≥25μm（推荐25μm-35μm）</w:t>
            </w:r>
          </w:p>
        </w:tc>
        <w:tc>
          <w:tcPr>
            <w:tcW w:w="2100" w:type="dxa"/>
            <w:vAlign w:val="center"/>
          </w:tcPr>
          <w:p w14:paraId="44C5531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≥75μm</w:t>
            </w:r>
          </w:p>
        </w:tc>
        <w:tc>
          <w:tcPr>
            <w:tcW w:w="2497" w:type="dxa"/>
            <w:shd w:val="clear" w:color="auto" w:fill="auto"/>
            <w:vAlign w:val="center"/>
          </w:tcPr>
          <w:p w14:paraId="39F59E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≥100μm</w:t>
            </w:r>
          </w:p>
        </w:tc>
      </w:tr>
      <w:tr w14:paraId="7665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952" w:type="dxa"/>
            <w:vAlign w:val="center"/>
          </w:tcPr>
          <w:p w14:paraId="07CB66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993" w:type="dxa"/>
            <w:shd w:val="clear" w:color="auto" w:fill="auto"/>
            <w:vAlign w:val="center"/>
          </w:tcPr>
          <w:p w14:paraId="1EC620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底粉+面粉</w:t>
            </w:r>
          </w:p>
        </w:tc>
        <w:tc>
          <w:tcPr>
            <w:tcW w:w="1818" w:type="dxa"/>
            <w:vAlign w:val="center"/>
          </w:tcPr>
          <w:p w14:paraId="2E59D94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≥60μm</w:t>
            </w:r>
          </w:p>
        </w:tc>
        <w:tc>
          <w:tcPr>
            <w:tcW w:w="2100" w:type="dxa"/>
            <w:vAlign w:val="center"/>
          </w:tcPr>
          <w:p w14:paraId="77872E3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≥60μm</w:t>
            </w:r>
          </w:p>
        </w:tc>
        <w:tc>
          <w:tcPr>
            <w:tcW w:w="2497" w:type="dxa"/>
            <w:shd w:val="clear" w:color="auto" w:fill="auto"/>
            <w:vAlign w:val="center"/>
          </w:tcPr>
          <w:p w14:paraId="1E61CA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≥120μm</w:t>
            </w:r>
          </w:p>
        </w:tc>
      </w:tr>
      <w:tr w14:paraId="6DE2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52" w:type="dxa"/>
            <w:vAlign w:val="center"/>
          </w:tcPr>
          <w:p w14:paraId="189D78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993" w:type="dxa"/>
            <w:shd w:val="clear" w:color="auto" w:fill="auto"/>
            <w:vAlign w:val="center"/>
          </w:tcPr>
          <w:p w14:paraId="1B84CE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底面合一粉</w:t>
            </w:r>
          </w:p>
        </w:tc>
        <w:tc>
          <w:tcPr>
            <w:tcW w:w="1818" w:type="dxa"/>
            <w:vAlign w:val="center"/>
          </w:tcPr>
          <w:p w14:paraId="3965416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100" w:type="dxa"/>
            <w:vAlign w:val="center"/>
          </w:tcPr>
          <w:p w14:paraId="1DE2824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497" w:type="dxa"/>
            <w:shd w:val="clear" w:color="auto" w:fill="auto"/>
            <w:vAlign w:val="center"/>
          </w:tcPr>
          <w:p w14:paraId="657520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≥100μm</w:t>
            </w:r>
          </w:p>
        </w:tc>
      </w:tr>
    </w:tbl>
    <w:p w14:paraId="1C91D7B0">
      <w:pPr>
        <w:pStyle w:val="135"/>
        <w:tabs>
          <w:tab w:val="left" w:pos="1164"/>
          <w:tab w:val="left" w:pos="1165"/>
        </w:tabs>
        <w:spacing w:line="360" w:lineRule="auto"/>
        <w:jc w:val="left"/>
        <w:outlineLvl w:val="4"/>
        <w:rPr>
          <w:rStyle w:val="198"/>
          <w:rFonts w:hint="eastAsia"/>
          <w:b w:val="0"/>
          <w:bCs/>
          <w:kern w:val="2"/>
          <w:lang w:val="en-US" w:eastAsia="zh-CN" w:bidi="ar-SA"/>
        </w:rPr>
      </w:pPr>
      <w:r>
        <w:rPr>
          <w:rStyle w:val="198"/>
          <w:rFonts w:hint="eastAsia"/>
          <w:b w:val="0"/>
          <w:bCs/>
          <w:kern w:val="2"/>
          <w:lang w:val="en-US" w:eastAsia="zh-CN" w:bidi="ar-SA"/>
        </w:rPr>
        <w:t>2.4.3涂层质量要求</w:t>
      </w:r>
    </w:p>
    <w:tbl>
      <w:tblPr>
        <w:tblStyle w:val="40"/>
        <w:tblW w:w="47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1660"/>
        <w:gridCol w:w="5011"/>
        <w:gridCol w:w="1625"/>
      </w:tblGrid>
      <w:tr w14:paraId="23E0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54DB23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07EE1B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检验项目</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60F7F4A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产品复合涂层性能 </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2F76CF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检验方法</w:t>
            </w:r>
          </w:p>
        </w:tc>
      </w:tr>
      <w:tr w14:paraId="647C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682EF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32968D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中性盐雾试验</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0E234D1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600h/1000h根据产品需求</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2FC0D4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10125</w:t>
            </w:r>
          </w:p>
        </w:tc>
      </w:tr>
      <w:tr w14:paraId="22FF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08BE05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158096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人工加速老化（氙灯）</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405A681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600h/1000h根据产品需求</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62464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1865之方法1</w:t>
            </w:r>
          </w:p>
        </w:tc>
      </w:tr>
      <w:tr w14:paraId="22B3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29DCCB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29D6F1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外观</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509FD5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表面有均匀外观，无缺漆、露底、遮盖不良、起泡、脱落、生锈、裂纹、针孔等涂层缺陷，允许轻微的流痕和颗粒</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0E3BF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目视</w:t>
            </w:r>
          </w:p>
        </w:tc>
      </w:tr>
      <w:tr w14:paraId="7483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074E6D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163455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颜色</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1D5A3A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与标准色板对比，目视无明显色差，或者ΔE≤1.0(45º)</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9EF33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色差仪</w:t>
            </w:r>
          </w:p>
        </w:tc>
      </w:tr>
      <w:tr w14:paraId="31E2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0C53F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A32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光泽</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5528E0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≥90%（60°）</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2E385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9754</w:t>
            </w:r>
          </w:p>
        </w:tc>
      </w:tr>
      <w:tr w14:paraId="258B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1A6291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A11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附着力（划格法）</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051EAE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（0～1）级</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675054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9286</w:t>
            </w:r>
          </w:p>
        </w:tc>
      </w:tr>
      <w:tr w14:paraId="4980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76B8CB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013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铅笔硬度</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495591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粉末涂层：H～2H</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FD244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6739</w:t>
            </w:r>
          </w:p>
        </w:tc>
      </w:tr>
      <w:tr w14:paraId="6541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0E2A4D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4BA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柔韧性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1024A4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≤3mm </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F23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1731</w:t>
            </w:r>
          </w:p>
        </w:tc>
      </w:tr>
      <w:tr w14:paraId="6EB1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3C949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09A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耐冲击性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31F1B5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≥30cm</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298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1732</w:t>
            </w:r>
          </w:p>
        </w:tc>
      </w:tr>
      <w:tr w14:paraId="00CB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1D73F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7F7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耐湿热性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7CF0F8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168h综合等级1级，附着力（0～1）级</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3AA09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1740</w:t>
            </w:r>
          </w:p>
          <w:p w14:paraId="578C93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1766</w:t>
            </w:r>
          </w:p>
        </w:tc>
      </w:tr>
      <w:tr w14:paraId="709F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7A1778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354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耐化学介质性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217124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耐汽油、耐机油、耐酸碱（浸泡24h无异常）</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3BAC16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9274</w:t>
            </w:r>
          </w:p>
        </w:tc>
      </w:tr>
    </w:tbl>
    <w:p w14:paraId="50FC0F6B">
      <w:pPr>
        <w:pStyle w:val="196"/>
        <w:bidi w:val="0"/>
        <w:outlineLvl w:val="2"/>
        <w:rPr>
          <w:rFonts w:hint="eastAsia"/>
          <w:lang w:val="en-US" w:eastAsia="zh-CN"/>
        </w:rPr>
      </w:pPr>
      <w:r>
        <w:rPr>
          <w:rFonts w:hint="eastAsia"/>
          <w:lang w:val="en-US" w:eastAsia="zh-CN"/>
        </w:rPr>
        <w:t>3 工艺布局及流程</w:t>
      </w:r>
    </w:p>
    <w:p w14:paraId="2B1AC4A0">
      <w:pPr>
        <w:pStyle w:val="135"/>
        <w:tabs>
          <w:tab w:val="left" w:pos="1164"/>
          <w:tab w:val="left" w:pos="1165"/>
        </w:tabs>
        <w:spacing w:line="360" w:lineRule="auto"/>
        <w:jc w:val="left"/>
        <w:outlineLvl w:val="3"/>
        <w:rPr>
          <w:rStyle w:val="198"/>
          <w:rFonts w:hint="default"/>
          <w:b w:val="0"/>
          <w:bCs/>
          <w:kern w:val="2"/>
          <w:lang w:val="en-US" w:eastAsia="zh-CN" w:bidi="ar-SA"/>
        </w:rPr>
      </w:pPr>
      <w:r>
        <w:rPr>
          <w:rStyle w:val="198"/>
          <w:rFonts w:hint="eastAsia"/>
          <w:b w:val="0"/>
          <w:bCs/>
          <w:kern w:val="2"/>
          <w:lang w:val="en-US" w:eastAsia="zh-CN" w:bidi="ar-SA"/>
        </w:rPr>
        <w:t>3.1工艺布局：现场勘测，附件布局图参考。</w:t>
      </w:r>
    </w:p>
    <w:p w14:paraId="53B3CDD4">
      <w:pPr>
        <w:pStyle w:val="135"/>
        <w:tabs>
          <w:tab w:val="left" w:pos="1164"/>
          <w:tab w:val="left" w:pos="1165"/>
        </w:tabs>
        <w:spacing w:line="360" w:lineRule="auto"/>
        <w:jc w:val="left"/>
        <w:outlineLvl w:val="3"/>
        <w:rPr>
          <w:rStyle w:val="198"/>
          <w:rFonts w:hint="default"/>
          <w:b w:val="0"/>
          <w:bCs/>
          <w:kern w:val="2"/>
          <w:lang w:val="en-US" w:eastAsia="zh-CN" w:bidi="ar-SA"/>
        </w:rPr>
      </w:pPr>
      <w:r>
        <w:rPr>
          <w:rStyle w:val="198"/>
          <w:rFonts w:hint="eastAsia"/>
          <w:b w:val="0"/>
          <w:bCs/>
          <w:kern w:val="2"/>
          <w:lang w:val="en-US" w:eastAsia="zh-CN" w:bidi="ar-SA"/>
        </w:rPr>
        <w:t>3.2工艺流程</w:t>
      </w:r>
    </w:p>
    <w:p w14:paraId="0B2AEF7F">
      <w:pPr>
        <w:pStyle w:val="28"/>
        <w:tabs>
          <w:tab w:val="left" w:pos="422"/>
        </w:tabs>
        <w:ind w:firstLine="480"/>
        <w:outlineLvl w:val="4"/>
        <w:rPr>
          <w:rFonts w:hint="default"/>
          <w:lang w:val="en-US" w:eastAsia="zh-CN"/>
        </w:rPr>
      </w:pPr>
      <w:r>
        <w:rPr>
          <w:rStyle w:val="198"/>
          <w:rFonts w:hint="eastAsia"/>
          <w:b w:val="0"/>
          <w:bCs/>
          <w:kern w:val="2"/>
          <w:lang w:val="en-US" w:eastAsia="zh-CN" w:bidi="ar-SA"/>
        </w:rPr>
        <w:t>3.2.1抛丸工艺</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432"/>
        <w:gridCol w:w="1283"/>
        <w:gridCol w:w="1134"/>
        <w:gridCol w:w="1134"/>
        <w:gridCol w:w="3847"/>
      </w:tblGrid>
      <w:tr w14:paraId="17B4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1F72DD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432" w:type="dxa"/>
            <w:vAlign w:val="center"/>
          </w:tcPr>
          <w:p w14:paraId="67839B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1283" w:type="dxa"/>
            <w:vAlign w:val="center"/>
          </w:tcPr>
          <w:p w14:paraId="7FFBA7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1134" w:type="dxa"/>
            <w:vAlign w:val="center"/>
          </w:tcPr>
          <w:p w14:paraId="3BE187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2B922A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134" w:type="dxa"/>
            <w:vAlign w:val="center"/>
          </w:tcPr>
          <w:p w14:paraId="166ACC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68AA83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3847" w:type="dxa"/>
            <w:vAlign w:val="center"/>
          </w:tcPr>
          <w:p w14:paraId="6560A1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49D2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4" w:type="dxa"/>
            <w:vAlign w:val="center"/>
          </w:tcPr>
          <w:p w14:paraId="263608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432" w:type="dxa"/>
            <w:vAlign w:val="center"/>
          </w:tcPr>
          <w:p w14:paraId="2B7310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组挂、上件</w:t>
            </w:r>
          </w:p>
        </w:tc>
        <w:tc>
          <w:tcPr>
            <w:tcW w:w="1283" w:type="dxa"/>
            <w:vAlign w:val="center"/>
          </w:tcPr>
          <w:p w14:paraId="6D5FC3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134" w:type="dxa"/>
            <w:vAlign w:val="center"/>
          </w:tcPr>
          <w:p w14:paraId="331E6A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19E0A62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3847" w:type="dxa"/>
            <w:vAlign w:val="center"/>
          </w:tcPr>
          <w:p w14:paraId="3AEF64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人工将工件组挂至专用挂具上并转挂至升降程控行车</w:t>
            </w:r>
          </w:p>
        </w:tc>
      </w:tr>
      <w:tr w14:paraId="747E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4ED4DF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432" w:type="dxa"/>
            <w:vAlign w:val="center"/>
          </w:tcPr>
          <w:p w14:paraId="13B78F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自动抛丸</w:t>
            </w:r>
          </w:p>
        </w:tc>
        <w:tc>
          <w:tcPr>
            <w:tcW w:w="1283" w:type="dxa"/>
            <w:vAlign w:val="center"/>
          </w:tcPr>
          <w:p w14:paraId="399F21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1134" w:type="dxa"/>
            <w:vAlign w:val="center"/>
          </w:tcPr>
          <w:p w14:paraId="4FFF62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5C3F2D3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2-3</w:t>
            </w:r>
          </w:p>
        </w:tc>
        <w:tc>
          <w:tcPr>
            <w:tcW w:w="3847" w:type="dxa"/>
            <w:vAlign w:val="center"/>
          </w:tcPr>
          <w:p w14:paraId="10DD2D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连续</w:t>
            </w:r>
          </w:p>
        </w:tc>
      </w:tr>
      <w:tr w14:paraId="1377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2B0ADC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432" w:type="dxa"/>
            <w:vAlign w:val="center"/>
          </w:tcPr>
          <w:p w14:paraId="2B17E9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人工补喷/清丸</w:t>
            </w:r>
          </w:p>
        </w:tc>
        <w:tc>
          <w:tcPr>
            <w:tcW w:w="1283" w:type="dxa"/>
            <w:vAlign w:val="center"/>
          </w:tcPr>
          <w:p w14:paraId="0AB6AD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134" w:type="dxa"/>
            <w:vAlign w:val="center"/>
          </w:tcPr>
          <w:p w14:paraId="7E6B74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055B0F0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3847" w:type="dxa"/>
            <w:vAlign w:val="center"/>
          </w:tcPr>
          <w:p w14:paraId="71703E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2E4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6150D4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432" w:type="dxa"/>
            <w:vAlign w:val="center"/>
          </w:tcPr>
          <w:p w14:paraId="515D519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人工清丸</w:t>
            </w:r>
          </w:p>
        </w:tc>
        <w:tc>
          <w:tcPr>
            <w:tcW w:w="1283" w:type="dxa"/>
            <w:vAlign w:val="center"/>
          </w:tcPr>
          <w:p w14:paraId="70500E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1134" w:type="dxa"/>
            <w:vAlign w:val="center"/>
          </w:tcPr>
          <w:p w14:paraId="095B65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7FBE701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3847" w:type="dxa"/>
            <w:vAlign w:val="center"/>
          </w:tcPr>
          <w:p w14:paraId="12A870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34F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09776D9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432" w:type="dxa"/>
            <w:vAlign w:val="center"/>
          </w:tcPr>
          <w:p w14:paraId="013045A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转前处理线/电泳线</w:t>
            </w:r>
          </w:p>
        </w:tc>
        <w:tc>
          <w:tcPr>
            <w:tcW w:w="1283" w:type="dxa"/>
            <w:vAlign w:val="center"/>
          </w:tcPr>
          <w:p w14:paraId="0D95CDB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1134" w:type="dxa"/>
            <w:vAlign w:val="center"/>
          </w:tcPr>
          <w:p w14:paraId="7836A6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1BCC36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3847" w:type="dxa"/>
            <w:vAlign w:val="center"/>
          </w:tcPr>
          <w:p w14:paraId="3F3A2FE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抛丸后的工件自动转挂至前处理线或电泳线上件</w:t>
            </w:r>
          </w:p>
        </w:tc>
      </w:tr>
    </w:tbl>
    <w:p w14:paraId="1F0209B1">
      <w:pPr>
        <w:rPr>
          <w:rFonts w:hint="default"/>
          <w:lang w:val="en-US" w:eastAsia="zh-CN"/>
        </w:rPr>
      </w:pPr>
    </w:p>
    <w:p w14:paraId="148E87F0">
      <w:pPr>
        <w:pStyle w:val="135"/>
        <w:tabs>
          <w:tab w:val="left" w:pos="1164"/>
          <w:tab w:val="left" w:pos="1165"/>
        </w:tabs>
        <w:spacing w:line="360" w:lineRule="auto"/>
        <w:ind w:left="0" w:leftChars="0" w:firstLine="0" w:firstLineChars="0"/>
        <w:jc w:val="left"/>
        <w:rPr>
          <w:rStyle w:val="198"/>
          <w:rFonts w:hint="default"/>
          <w:b w:val="0"/>
          <w:bCs/>
          <w:kern w:val="2"/>
          <w:lang w:val="en-US" w:eastAsia="zh-CN" w:bidi="ar-SA"/>
        </w:rPr>
      </w:pPr>
      <w:r>
        <w:rPr>
          <w:rStyle w:val="198"/>
          <w:rFonts w:hint="eastAsia"/>
          <w:b w:val="0"/>
          <w:bCs/>
          <w:kern w:val="2"/>
          <w:lang w:val="en-US" w:eastAsia="zh-CN" w:bidi="ar-SA"/>
        </w:rPr>
        <w:t>注：配置单条抛丸线，需兼顾挂车车架、罐体、自卸车箱、副车架等产品的抛丸需求</w:t>
      </w:r>
    </w:p>
    <w:p w14:paraId="1942BF5A">
      <w:pPr>
        <w:rPr>
          <w:rFonts w:hint="default"/>
          <w:lang w:val="en-US" w:eastAsia="zh-CN"/>
        </w:rPr>
      </w:pPr>
    </w:p>
    <w:p w14:paraId="49E8BC24">
      <w:pPr>
        <w:pStyle w:val="135"/>
        <w:tabs>
          <w:tab w:val="left" w:pos="1164"/>
          <w:tab w:val="left" w:pos="1165"/>
        </w:tabs>
        <w:spacing w:line="360" w:lineRule="auto"/>
        <w:jc w:val="left"/>
        <w:outlineLvl w:val="4"/>
        <w:rPr>
          <w:rStyle w:val="198"/>
          <w:rFonts w:hint="eastAsia"/>
          <w:b w:val="0"/>
          <w:bCs/>
          <w:kern w:val="2"/>
          <w:lang w:val="en-US" w:eastAsia="zh-CN" w:bidi="ar-SA"/>
        </w:rPr>
      </w:pPr>
      <w:r>
        <w:rPr>
          <w:rStyle w:val="198"/>
          <w:rFonts w:hint="eastAsia"/>
          <w:b w:val="0"/>
          <w:bCs/>
          <w:kern w:val="2"/>
          <w:lang w:val="en-US" w:eastAsia="zh-CN" w:bidi="ar-SA"/>
        </w:rPr>
        <w:t>3.2.2电泳涂装工艺</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293"/>
        <w:gridCol w:w="2389"/>
        <w:gridCol w:w="1664"/>
        <w:gridCol w:w="1056"/>
        <w:gridCol w:w="2757"/>
      </w:tblGrid>
      <w:tr w14:paraId="6210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B6D50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293" w:type="dxa"/>
            <w:vAlign w:val="center"/>
          </w:tcPr>
          <w:p w14:paraId="556D6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2389" w:type="dxa"/>
            <w:vAlign w:val="center"/>
          </w:tcPr>
          <w:p w14:paraId="4AD577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0" w:type="auto"/>
            <w:vAlign w:val="center"/>
          </w:tcPr>
          <w:p w14:paraId="7E892F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04A78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006" w:type="dxa"/>
            <w:vAlign w:val="center"/>
          </w:tcPr>
          <w:p w14:paraId="127FEF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14060D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2757" w:type="dxa"/>
            <w:vAlign w:val="center"/>
          </w:tcPr>
          <w:p w14:paraId="62F950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6E0C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B0D3B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293" w:type="dxa"/>
            <w:vAlign w:val="center"/>
          </w:tcPr>
          <w:p w14:paraId="461313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自动转挂</w:t>
            </w:r>
          </w:p>
        </w:tc>
        <w:tc>
          <w:tcPr>
            <w:tcW w:w="2389" w:type="dxa"/>
            <w:vAlign w:val="center"/>
          </w:tcPr>
          <w:p w14:paraId="056EFD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vAlign w:val="center"/>
          </w:tcPr>
          <w:p w14:paraId="152510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46C8A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vAlign w:val="center"/>
          </w:tcPr>
          <w:p w14:paraId="5D9411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重型积放式悬挂输送与双轨自行小车自动转挂</w:t>
            </w:r>
          </w:p>
        </w:tc>
      </w:tr>
      <w:tr w14:paraId="087B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F8475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293" w:type="dxa"/>
            <w:vAlign w:val="center"/>
          </w:tcPr>
          <w:p w14:paraId="7B48FF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预脱脂</w:t>
            </w:r>
          </w:p>
        </w:tc>
        <w:tc>
          <w:tcPr>
            <w:tcW w:w="2389" w:type="dxa"/>
            <w:vAlign w:val="center"/>
          </w:tcPr>
          <w:p w14:paraId="4048C2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w:t>
            </w:r>
          </w:p>
        </w:tc>
        <w:tc>
          <w:tcPr>
            <w:tcW w:w="0" w:type="auto"/>
            <w:vAlign w:val="center"/>
          </w:tcPr>
          <w:p w14:paraId="1C32D3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45～50</w:t>
            </w:r>
          </w:p>
        </w:tc>
        <w:tc>
          <w:tcPr>
            <w:tcW w:w="1006" w:type="dxa"/>
            <w:vAlign w:val="center"/>
          </w:tcPr>
          <w:p w14:paraId="54AD41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2757" w:type="dxa"/>
            <w:vAlign w:val="center"/>
          </w:tcPr>
          <w:p w14:paraId="6809BF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888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DD88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293" w:type="dxa"/>
            <w:vAlign w:val="center"/>
          </w:tcPr>
          <w:p w14:paraId="1AE73C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57BFFE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5D3C4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4B09A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27C9C8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1CE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6435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293" w:type="dxa"/>
            <w:vAlign w:val="center"/>
          </w:tcPr>
          <w:p w14:paraId="4D1496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主脱脂</w:t>
            </w:r>
          </w:p>
        </w:tc>
        <w:tc>
          <w:tcPr>
            <w:tcW w:w="2389" w:type="dxa"/>
            <w:vAlign w:val="center"/>
          </w:tcPr>
          <w:p w14:paraId="3DF083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浸 </w:t>
            </w:r>
          </w:p>
        </w:tc>
        <w:tc>
          <w:tcPr>
            <w:tcW w:w="0" w:type="auto"/>
            <w:vAlign w:val="center"/>
          </w:tcPr>
          <w:p w14:paraId="75EA7B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45～50</w:t>
            </w:r>
          </w:p>
        </w:tc>
        <w:tc>
          <w:tcPr>
            <w:tcW w:w="1006" w:type="dxa"/>
            <w:vAlign w:val="center"/>
          </w:tcPr>
          <w:p w14:paraId="7A4A69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2757" w:type="dxa"/>
            <w:vAlign w:val="center"/>
          </w:tcPr>
          <w:p w14:paraId="63965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1E2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9FAC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293" w:type="dxa"/>
            <w:vAlign w:val="center"/>
          </w:tcPr>
          <w:p w14:paraId="7DDE27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1D3F3F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2B6E2C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968B3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725E8A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B52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861DE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293" w:type="dxa"/>
            <w:vAlign w:val="center"/>
          </w:tcPr>
          <w:p w14:paraId="29353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水洗1</w:t>
            </w:r>
          </w:p>
        </w:tc>
        <w:tc>
          <w:tcPr>
            <w:tcW w:w="2389" w:type="dxa"/>
            <w:vAlign w:val="center"/>
          </w:tcPr>
          <w:p w14:paraId="49C6D3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浸渍+出槽喷淋（兼脱脂倒槽，利用纯水洗1旁路喷淋）</w:t>
            </w:r>
          </w:p>
        </w:tc>
        <w:tc>
          <w:tcPr>
            <w:tcW w:w="0" w:type="auto"/>
            <w:vAlign w:val="center"/>
          </w:tcPr>
          <w:p w14:paraId="2A585E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14374A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417029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8AC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C4A20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293" w:type="dxa"/>
            <w:vAlign w:val="center"/>
          </w:tcPr>
          <w:p w14:paraId="5BB237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36343A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7B52D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030770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0E38B5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094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8729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293" w:type="dxa"/>
            <w:vAlign w:val="center"/>
          </w:tcPr>
          <w:p w14:paraId="4085D3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水洗2</w:t>
            </w:r>
          </w:p>
        </w:tc>
        <w:tc>
          <w:tcPr>
            <w:tcW w:w="2389" w:type="dxa"/>
            <w:vAlign w:val="center"/>
          </w:tcPr>
          <w:p w14:paraId="016FD0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浸渍+新鲜纯水出槽喷淋</w:t>
            </w:r>
          </w:p>
        </w:tc>
        <w:tc>
          <w:tcPr>
            <w:tcW w:w="0" w:type="auto"/>
            <w:vAlign w:val="center"/>
          </w:tcPr>
          <w:p w14:paraId="4CC255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98F0D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58194E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08E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E00F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293" w:type="dxa"/>
            <w:vAlign w:val="center"/>
          </w:tcPr>
          <w:p w14:paraId="2F684D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表调</w:t>
            </w:r>
          </w:p>
        </w:tc>
        <w:tc>
          <w:tcPr>
            <w:tcW w:w="2389" w:type="dxa"/>
            <w:vAlign w:val="center"/>
          </w:tcPr>
          <w:p w14:paraId="41F932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浸 </w:t>
            </w:r>
          </w:p>
        </w:tc>
        <w:tc>
          <w:tcPr>
            <w:tcW w:w="0" w:type="auto"/>
            <w:vAlign w:val="center"/>
          </w:tcPr>
          <w:p w14:paraId="729B89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19FCE1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CD0B2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0A4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67A48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293" w:type="dxa"/>
            <w:vAlign w:val="center"/>
          </w:tcPr>
          <w:p w14:paraId="01EDB4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磷化</w:t>
            </w:r>
          </w:p>
        </w:tc>
        <w:tc>
          <w:tcPr>
            <w:tcW w:w="2389" w:type="dxa"/>
            <w:vAlign w:val="center"/>
          </w:tcPr>
          <w:p w14:paraId="571AC0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w:t>
            </w:r>
          </w:p>
        </w:tc>
        <w:tc>
          <w:tcPr>
            <w:tcW w:w="0" w:type="auto"/>
            <w:vAlign w:val="center"/>
          </w:tcPr>
          <w:p w14:paraId="382BF0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40～50</w:t>
            </w:r>
          </w:p>
        </w:tc>
        <w:tc>
          <w:tcPr>
            <w:tcW w:w="1006" w:type="dxa"/>
            <w:vAlign w:val="center"/>
          </w:tcPr>
          <w:p w14:paraId="4B6B02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2757" w:type="dxa"/>
            <w:vAlign w:val="center"/>
          </w:tcPr>
          <w:p w14:paraId="709C69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D62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B280F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1293" w:type="dxa"/>
            <w:vAlign w:val="center"/>
          </w:tcPr>
          <w:p w14:paraId="26AA5D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615911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0D5EF7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255278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2A63BF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317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53DB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1293" w:type="dxa"/>
            <w:vAlign w:val="center"/>
          </w:tcPr>
          <w:p w14:paraId="1E8011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水洗3</w:t>
            </w:r>
          </w:p>
        </w:tc>
        <w:tc>
          <w:tcPr>
            <w:tcW w:w="2389" w:type="dxa"/>
            <w:vAlign w:val="center"/>
          </w:tcPr>
          <w:p w14:paraId="7543C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w:t>
            </w:r>
          </w:p>
        </w:tc>
        <w:tc>
          <w:tcPr>
            <w:tcW w:w="0" w:type="auto"/>
            <w:vAlign w:val="center"/>
          </w:tcPr>
          <w:p w14:paraId="58FD00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C6E1E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1097A6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073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8DB1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1293" w:type="dxa"/>
            <w:vAlign w:val="center"/>
          </w:tcPr>
          <w:p w14:paraId="10A21B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3563DC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55D163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C6F10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7C42A2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A73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A25EA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1293" w:type="dxa"/>
            <w:vAlign w:val="center"/>
          </w:tcPr>
          <w:p w14:paraId="6B383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水洗4</w:t>
            </w:r>
          </w:p>
        </w:tc>
        <w:tc>
          <w:tcPr>
            <w:tcW w:w="2389" w:type="dxa"/>
            <w:vAlign w:val="center"/>
          </w:tcPr>
          <w:p w14:paraId="59C53B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w:t>
            </w:r>
          </w:p>
        </w:tc>
        <w:tc>
          <w:tcPr>
            <w:tcW w:w="0" w:type="auto"/>
            <w:vAlign w:val="center"/>
          </w:tcPr>
          <w:p w14:paraId="60AA1F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0B4E2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B0405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428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46687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1293" w:type="dxa"/>
            <w:vAlign w:val="center"/>
          </w:tcPr>
          <w:p w14:paraId="45E831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06400E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435FE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1038BE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1B114D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91D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3E077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1293" w:type="dxa"/>
            <w:vAlign w:val="center"/>
          </w:tcPr>
          <w:p w14:paraId="6523A3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纯水洗1</w:t>
            </w:r>
          </w:p>
        </w:tc>
        <w:tc>
          <w:tcPr>
            <w:tcW w:w="2389" w:type="dxa"/>
            <w:vAlign w:val="center"/>
          </w:tcPr>
          <w:p w14:paraId="3350E3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浸+出槽喷淋</w:t>
            </w:r>
          </w:p>
        </w:tc>
        <w:tc>
          <w:tcPr>
            <w:tcW w:w="0" w:type="auto"/>
            <w:vAlign w:val="center"/>
          </w:tcPr>
          <w:p w14:paraId="2E5CA0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56B93C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7BEE5B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C8E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E11E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17</w:t>
            </w:r>
          </w:p>
        </w:tc>
        <w:tc>
          <w:tcPr>
            <w:tcW w:w="1293" w:type="dxa"/>
            <w:vAlign w:val="center"/>
          </w:tcPr>
          <w:p w14:paraId="358135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605543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3174E9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373504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1DBE75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3B9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B9F95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w:t>
            </w:r>
          </w:p>
        </w:tc>
        <w:tc>
          <w:tcPr>
            <w:tcW w:w="1293" w:type="dxa"/>
            <w:vAlign w:val="center"/>
          </w:tcPr>
          <w:p w14:paraId="2DB79F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阴极电泳</w:t>
            </w:r>
          </w:p>
        </w:tc>
        <w:tc>
          <w:tcPr>
            <w:tcW w:w="2389" w:type="dxa"/>
            <w:vAlign w:val="center"/>
          </w:tcPr>
          <w:p w14:paraId="73F03B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浸渍+UF1液出槽喷淋</w:t>
            </w:r>
          </w:p>
        </w:tc>
        <w:tc>
          <w:tcPr>
            <w:tcW w:w="0" w:type="auto"/>
            <w:vAlign w:val="center"/>
          </w:tcPr>
          <w:p w14:paraId="2D755C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27-31</w:t>
            </w:r>
          </w:p>
        </w:tc>
        <w:tc>
          <w:tcPr>
            <w:tcW w:w="1006" w:type="dxa"/>
            <w:vAlign w:val="center"/>
          </w:tcPr>
          <w:p w14:paraId="09C8A1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2757" w:type="dxa"/>
            <w:vAlign w:val="center"/>
          </w:tcPr>
          <w:p w14:paraId="7B366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90E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D8AD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19</w:t>
            </w:r>
          </w:p>
        </w:tc>
        <w:tc>
          <w:tcPr>
            <w:tcW w:w="1293" w:type="dxa"/>
            <w:vAlign w:val="center"/>
          </w:tcPr>
          <w:p w14:paraId="3C403D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2B7DC8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7C7BAB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7A0A54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≥0.6</w:t>
            </w:r>
          </w:p>
        </w:tc>
        <w:tc>
          <w:tcPr>
            <w:tcW w:w="2757" w:type="dxa"/>
            <w:vAlign w:val="center"/>
          </w:tcPr>
          <w:p w14:paraId="04A387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46B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68C3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293" w:type="dxa"/>
            <w:vAlign w:val="center"/>
          </w:tcPr>
          <w:p w14:paraId="23E728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UF1水洗</w:t>
            </w:r>
          </w:p>
        </w:tc>
        <w:tc>
          <w:tcPr>
            <w:tcW w:w="2389" w:type="dxa"/>
            <w:vAlign w:val="center"/>
          </w:tcPr>
          <w:p w14:paraId="742AD6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浸渍+UF2液出槽喷淋</w:t>
            </w:r>
          </w:p>
        </w:tc>
        <w:tc>
          <w:tcPr>
            <w:tcW w:w="0" w:type="auto"/>
            <w:vAlign w:val="center"/>
          </w:tcPr>
          <w:p w14:paraId="72D9C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0F281C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56FA4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A7E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AC6C2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21</w:t>
            </w:r>
          </w:p>
        </w:tc>
        <w:tc>
          <w:tcPr>
            <w:tcW w:w="1293" w:type="dxa"/>
            <w:vAlign w:val="center"/>
          </w:tcPr>
          <w:p w14:paraId="7250EA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12E497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1C3E75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3D8BCC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6EA728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D11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6B6B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22</w:t>
            </w:r>
          </w:p>
        </w:tc>
        <w:tc>
          <w:tcPr>
            <w:tcW w:w="1293" w:type="dxa"/>
            <w:vAlign w:val="center"/>
          </w:tcPr>
          <w:p w14:paraId="5F4699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UF2水洗</w:t>
            </w:r>
          </w:p>
        </w:tc>
        <w:tc>
          <w:tcPr>
            <w:tcW w:w="2389" w:type="dxa"/>
            <w:vAlign w:val="center"/>
          </w:tcPr>
          <w:p w14:paraId="4EF9E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w:t>
            </w:r>
          </w:p>
        </w:tc>
        <w:tc>
          <w:tcPr>
            <w:tcW w:w="0" w:type="auto"/>
            <w:vAlign w:val="center"/>
          </w:tcPr>
          <w:p w14:paraId="3BB01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D0ABC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34CAF6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F80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3E06D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23</w:t>
            </w:r>
          </w:p>
        </w:tc>
        <w:tc>
          <w:tcPr>
            <w:tcW w:w="1293" w:type="dxa"/>
            <w:vAlign w:val="center"/>
          </w:tcPr>
          <w:p w14:paraId="7BD5B6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6FAAD6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21E3CE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4EAE73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012905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730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E961F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24</w:t>
            </w:r>
          </w:p>
        </w:tc>
        <w:tc>
          <w:tcPr>
            <w:tcW w:w="1293" w:type="dxa"/>
            <w:vAlign w:val="center"/>
          </w:tcPr>
          <w:p w14:paraId="61BEE4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纯水洗2 </w:t>
            </w:r>
          </w:p>
        </w:tc>
        <w:tc>
          <w:tcPr>
            <w:tcW w:w="2389" w:type="dxa"/>
            <w:vAlign w:val="center"/>
          </w:tcPr>
          <w:p w14:paraId="5278E9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浸渍+新鲜EDRO出槽喷淋</w:t>
            </w:r>
          </w:p>
        </w:tc>
        <w:tc>
          <w:tcPr>
            <w:tcW w:w="0" w:type="auto"/>
            <w:vAlign w:val="center"/>
          </w:tcPr>
          <w:p w14:paraId="2A61A8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12AD70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C4DD6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11A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F0AC3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w:t>
            </w:r>
          </w:p>
        </w:tc>
        <w:tc>
          <w:tcPr>
            <w:tcW w:w="1293" w:type="dxa"/>
            <w:vAlign w:val="center"/>
          </w:tcPr>
          <w:p w14:paraId="78EFAD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491CC1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70CFC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040AF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71B4D2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537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62979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w:t>
            </w:r>
          </w:p>
        </w:tc>
        <w:tc>
          <w:tcPr>
            <w:tcW w:w="1293" w:type="dxa"/>
            <w:vAlign w:val="center"/>
          </w:tcPr>
          <w:p w14:paraId="4906E2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大角度沥水</w:t>
            </w:r>
          </w:p>
        </w:tc>
        <w:tc>
          <w:tcPr>
            <w:tcW w:w="2389" w:type="dxa"/>
            <w:vAlign w:val="center"/>
          </w:tcPr>
          <w:p w14:paraId="607A52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vAlign w:val="center"/>
          </w:tcPr>
          <w:p w14:paraId="376B84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2E058B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2376D1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B97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0CA7E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27</w:t>
            </w:r>
          </w:p>
        </w:tc>
        <w:tc>
          <w:tcPr>
            <w:tcW w:w="1293" w:type="dxa"/>
            <w:shd w:val="clear" w:color="auto" w:fill="FFFF00"/>
            <w:vAlign w:val="center"/>
          </w:tcPr>
          <w:p w14:paraId="752A88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转电泳烘干工段</w:t>
            </w:r>
          </w:p>
        </w:tc>
        <w:tc>
          <w:tcPr>
            <w:tcW w:w="2389" w:type="dxa"/>
            <w:shd w:val="clear" w:color="auto" w:fill="FFFF00"/>
            <w:vAlign w:val="center"/>
          </w:tcPr>
          <w:p w14:paraId="273997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0" w:type="auto"/>
            <w:shd w:val="clear" w:color="auto" w:fill="FFFF00"/>
            <w:vAlign w:val="center"/>
          </w:tcPr>
          <w:p w14:paraId="66E91C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shd w:val="clear" w:color="auto" w:fill="FFFF00"/>
            <w:vAlign w:val="center"/>
          </w:tcPr>
          <w:p w14:paraId="18793E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shd w:val="clear" w:color="auto" w:fill="FFFF00"/>
            <w:vAlign w:val="center"/>
          </w:tcPr>
          <w:p w14:paraId="7AE31C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双轨自行小车与重型积放式悬挂输送机转挂</w:t>
            </w:r>
          </w:p>
        </w:tc>
      </w:tr>
      <w:tr w14:paraId="471D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D8E52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28</w:t>
            </w:r>
          </w:p>
        </w:tc>
        <w:tc>
          <w:tcPr>
            <w:tcW w:w="1293" w:type="dxa"/>
            <w:vAlign w:val="center"/>
          </w:tcPr>
          <w:p w14:paraId="3FB340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电泳烘干</w:t>
            </w:r>
          </w:p>
        </w:tc>
        <w:tc>
          <w:tcPr>
            <w:tcW w:w="2389" w:type="dxa"/>
            <w:vAlign w:val="center"/>
          </w:tcPr>
          <w:p w14:paraId="154EDC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0" w:type="auto"/>
            <w:vAlign w:val="center"/>
          </w:tcPr>
          <w:p w14:paraId="34092C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kern w:val="2"/>
                <w:sz w:val="24"/>
                <w:szCs w:val="24"/>
                <w:highlight w:val="yellow"/>
                <w:lang w:val="en-US" w:eastAsia="zh-CN" w:bidi="ar"/>
              </w:rPr>
            </w:pPr>
            <w:r>
              <w:rPr>
                <w:rFonts w:hint="eastAsia" w:ascii="仿宋" w:hAnsi="仿宋" w:eastAsia="仿宋" w:cs="仿宋"/>
                <w:b w:val="0"/>
                <w:bCs w:val="0"/>
                <w:color w:val="auto"/>
                <w:kern w:val="2"/>
                <w:sz w:val="24"/>
                <w:szCs w:val="24"/>
                <w:highlight w:val="yellow"/>
                <w:lang w:val="en-US" w:eastAsia="zh-CN" w:bidi="ar"/>
              </w:rPr>
              <w:t>180～220(空气温度)</w:t>
            </w:r>
          </w:p>
        </w:tc>
        <w:tc>
          <w:tcPr>
            <w:tcW w:w="1006" w:type="dxa"/>
            <w:vAlign w:val="center"/>
          </w:tcPr>
          <w:p w14:paraId="471625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kern w:val="2"/>
                <w:sz w:val="24"/>
                <w:szCs w:val="24"/>
                <w:highlight w:val="yellow"/>
                <w:lang w:val="en-US" w:eastAsia="zh-CN" w:bidi="ar"/>
              </w:rPr>
            </w:pPr>
            <w:r>
              <w:rPr>
                <w:rFonts w:hint="eastAsia" w:ascii="仿宋" w:hAnsi="仿宋" w:eastAsia="仿宋" w:cs="仿宋"/>
                <w:b w:val="0"/>
                <w:bCs w:val="0"/>
                <w:color w:val="auto"/>
                <w:kern w:val="2"/>
                <w:sz w:val="24"/>
                <w:szCs w:val="24"/>
                <w:highlight w:val="yellow"/>
                <w:lang w:val="en-US" w:eastAsia="zh-CN" w:bidi="ar"/>
              </w:rPr>
              <w:t>60</w:t>
            </w:r>
          </w:p>
        </w:tc>
        <w:tc>
          <w:tcPr>
            <w:tcW w:w="2757" w:type="dxa"/>
            <w:vAlign w:val="center"/>
          </w:tcPr>
          <w:p w14:paraId="0F659D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kern w:val="2"/>
                <w:sz w:val="24"/>
                <w:szCs w:val="24"/>
                <w:highlight w:val="yellow"/>
                <w:lang w:val="en-US" w:eastAsia="zh-CN" w:bidi="ar"/>
              </w:rPr>
            </w:pPr>
            <w:r>
              <w:rPr>
                <w:rFonts w:hint="eastAsia" w:ascii="仿宋" w:hAnsi="仿宋" w:eastAsia="仿宋" w:cs="仿宋"/>
                <w:b w:val="0"/>
                <w:bCs w:val="0"/>
                <w:color w:val="auto"/>
                <w:kern w:val="2"/>
                <w:sz w:val="24"/>
                <w:szCs w:val="24"/>
                <w:highlight w:val="yellow"/>
                <w:lang w:val="en-US" w:eastAsia="zh-CN" w:bidi="ar"/>
              </w:rPr>
              <w:t>9个工位</w:t>
            </w:r>
          </w:p>
        </w:tc>
      </w:tr>
      <w:tr w14:paraId="1174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4A9D0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29</w:t>
            </w:r>
          </w:p>
        </w:tc>
        <w:tc>
          <w:tcPr>
            <w:tcW w:w="1293" w:type="dxa"/>
            <w:vAlign w:val="center"/>
          </w:tcPr>
          <w:p w14:paraId="7BEFF6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电泳强冷</w:t>
            </w:r>
          </w:p>
        </w:tc>
        <w:tc>
          <w:tcPr>
            <w:tcW w:w="2389" w:type="dxa"/>
            <w:vAlign w:val="center"/>
          </w:tcPr>
          <w:p w14:paraId="46B5EF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强制冷却</w:t>
            </w:r>
          </w:p>
        </w:tc>
        <w:tc>
          <w:tcPr>
            <w:tcW w:w="0" w:type="auto"/>
            <w:vAlign w:val="center"/>
          </w:tcPr>
          <w:p w14:paraId="0D2725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667B66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2757" w:type="dxa"/>
            <w:vAlign w:val="center"/>
          </w:tcPr>
          <w:p w14:paraId="5E376B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3个工位</w:t>
            </w:r>
          </w:p>
        </w:tc>
      </w:tr>
      <w:tr w14:paraId="1E01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40D6C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1293" w:type="dxa"/>
            <w:vAlign w:val="center"/>
          </w:tcPr>
          <w:p w14:paraId="57857E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自动转缓存</w:t>
            </w:r>
          </w:p>
        </w:tc>
        <w:tc>
          <w:tcPr>
            <w:tcW w:w="2389" w:type="dxa"/>
            <w:vAlign w:val="center"/>
          </w:tcPr>
          <w:p w14:paraId="5D544C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vAlign w:val="center"/>
          </w:tcPr>
          <w:p w14:paraId="38BF8D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2929B4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vAlign w:val="center"/>
          </w:tcPr>
          <w:p w14:paraId="68CF63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电泳后缓存线</w:t>
            </w:r>
          </w:p>
        </w:tc>
      </w:tr>
    </w:tbl>
    <w:p w14:paraId="353484FB"/>
    <w:p w14:paraId="6D888F00"/>
    <w:p w14:paraId="4765A000">
      <w:pPr>
        <w:pStyle w:val="135"/>
        <w:tabs>
          <w:tab w:val="left" w:pos="1164"/>
          <w:tab w:val="left" w:pos="1165"/>
        </w:tabs>
        <w:spacing w:line="360" w:lineRule="auto"/>
        <w:jc w:val="left"/>
        <w:outlineLvl w:val="4"/>
        <w:rPr>
          <w:rStyle w:val="198"/>
          <w:rFonts w:hint="default"/>
          <w:b w:val="0"/>
          <w:bCs/>
          <w:kern w:val="2"/>
          <w:lang w:val="en-US" w:eastAsia="zh-CN" w:bidi="ar-SA"/>
        </w:rPr>
      </w:pPr>
      <w:r>
        <w:rPr>
          <w:rStyle w:val="198"/>
          <w:rFonts w:hint="eastAsia"/>
          <w:b w:val="0"/>
          <w:bCs/>
          <w:kern w:val="2"/>
          <w:lang w:val="en-US" w:eastAsia="zh-CN" w:bidi="ar-SA"/>
        </w:rPr>
        <w:t>3.2.3罐车、自卸车箱前处理工艺</w:t>
      </w:r>
    </w:p>
    <w:p w14:paraId="14EE9901">
      <w:pPr>
        <w:rPr>
          <w:rFonts w:hint="default" w:eastAsiaTheme="minorEastAsia"/>
          <w:lang w:val="en-US" w:eastAsia="zh-CN"/>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519"/>
        <w:gridCol w:w="1247"/>
        <w:gridCol w:w="1122"/>
        <w:gridCol w:w="1127"/>
        <w:gridCol w:w="3719"/>
      </w:tblGrid>
      <w:tr w14:paraId="7D7E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15AA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19" w:type="dxa"/>
            <w:vAlign w:val="center"/>
          </w:tcPr>
          <w:p w14:paraId="098E42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1247" w:type="dxa"/>
            <w:vAlign w:val="center"/>
          </w:tcPr>
          <w:p w14:paraId="2DCD19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1122" w:type="dxa"/>
            <w:vAlign w:val="center"/>
          </w:tcPr>
          <w:p w14:paraId="53EDA6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2B0B1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127" w:type="dxa"/>
            <w:vAlign w:val="center"/>
          </w:tcPr>
          <w:p w14:paraId="145651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45DC9D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3719" w:type="dxa"/>
            <w:vAlign w:val="center"/>
          </w:tcPr>
          <w:p w14:paraId="7519B0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6DB3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4" w:type="dxa"/>
            <w:vAlign w:val="center"/>
          </w:tcPr>
          <w:p w14:paraId="65D23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19" w:type="dxa"/>
            <w:vAlign w:val="center"/>
          </w:tcPr>
          <w:p w14:paraId="0E7230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上件</w:t>
            </w:r>
          </w:p>
        </w:tc>
        <w:tc>
          <w:tcPr>
            <w:tcW w:w="1247" w:type="dxa"/>
            <w:vAlign w:val="center"/>
          </w:tcPr>
          <w:p w14:paraId="444D7B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1122" w:type="dxa"/>
            <w:vAlign w:val="center"/>
          </w:tcPr>
          <w:p w14:paraId="1F329F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7" w:type="dxa"/>
            <w:vAlign w:val="center"/>
          </w:tcPr>
          <w:p w14:paraId="46A1EF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3719" w:type="dxa"/>
            <w:vAlign w:val="center"/>
          </w:tcPr>
          <w:p w14:paraId="29FD0F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工件平移升降程控行车</w:t>
            </w:r>
          </w:p>
        </w:tc>
      </w:tr>
      <w:tr w14:paraId="305B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708791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19" w:type="dxa"/>
            <w:vAlign w:val="center"/>
          </w:tcPr>
          <w:p w14:paraId="104A94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打焊缝胶</w:t>
            </w:r>
          </w:p>
        </w:tc>
        <w:tc>
          <w:tcPr>
            <w:tcW w:w="1247" w:type="dxa"/>
            <w:vAlign w:val="center"/>
          </w:tcPr>
          <w:p w14:paraId="5AFB96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122" w:type="dxa"/>
            <w:vAlign w:val="center"/>
          </w:tcPr>
          <w:p w14:paraId="32BB52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7" w:type="dxa"/>
            <w:vAlign w:val="center"/>
          </w:tcPr>
          <w:p w14:paraId="4663C0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3719" w:type="dxa"/>
            <w:vAlign w:val="center"/>
          </w:tcPr>
          <w:p w14:paraId="49A66C13">
            <w:pPr>
              <w:keepNext w:val="0"/>
              <w:keepLines w:val="0"/>
              <w:widowControl/>
              <w:suppressLineNumbers w:val="0"/>
              <w:spacing w:before="0" w:beforeAutospacing="0" w:after="0" w:afterAutospacing="0"/>
              <w:ind w:left="0" w:right="0"/>
              <w:jc w:val="both"/>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highlight w:val="yellow"/>
                <w:lang w:val="en-US" w:eastAsia="zh-CN" w:bidi="ar"/>
              </w:rPr>
              <w:t>配置集中供胶、胶泵</w:t>
            </w:r>
          </w:p>
        </w:tc>
      </w:tr>
      <w:tr w14:paraId="68ED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4F5B1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19" w:type="dxa"/>
            <w:vAlign w:val="center"/>
          </w:tcPr>
          <w:p w14:paraId="0E81DB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预脱脂</w:t>
            </w:r>
          </w:p>
        </w:tc>
        <w:tc>
          <w:tcPr>
            <w:tcW w:w="1247" w:type="dxa"/>
            <w:vAlign w:val="center"/>
          </w:tcPr>
          <w:p w14:paraId="51084C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4A18AA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40～45</w:t>
            </w:r>
          </w:p>
        </w:tc>
        <w:tc>
          <w:tcPr>
            <w:tcW w:w="1127" w:type="dxa"/>
            <w:vAlign w:val="center"/>
          </w:tcPr>
          <w:p w14:paraId="0A8B05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restart"/>
            <w:vAlign w:val="center"/>
          </w:tcPr>
          <w:p w14:paraId="1309F8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碱脱脂工位采用独立槽体及喷淋系统，槽内管道间接加热，工件往复运动</w:t>
            </w:r>
          </w:p>
        </w:tc>
      </w:tr>
      <w:tr w14:paraId="44CD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610A6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19" w:type="dxa"/>
            <w:vAlign w:val="center"/>
          </w:tcPr>
          <w:p w14:paraId="2BC6FB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脱脂</w:t>
            </w:r>
          </w:p>
        </w:tc>
        <w:tc>
          <w:tcPr>
            <w:tcW w:w="1247" w:type="dxa"/>
            <w:vAlign w:val="center"/>
          </w:tcPr>
          <w:p w14:paraId="1FFD9A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495DBD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40～45</w:t>
            </w:r>
          </w:p>
        </w:tc>
        <w:tc>
          <w:tcPr>
            <w:tcW w:w="1127" w:type="dxa"/>
            <w:vAlign w:val="center"/>
          </w:tcPr>
          <w:p w14:paraId="366BB1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3719" w:type="dxa"/>
            <w:vMerge w:val="continue"/>
            <w:vAlign w:val="center"/>
          </w:tcPr>
          <w:p w14:paraId="03A493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832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A1984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19" w:type="dxa"/>
            <w:vAlign w:val="center"/>
          </w:tcPr>
          <w:p w14:paraId="244357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7F030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6055E6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585222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55784E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817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B359B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19" w:type="dxa"/>
            <w:vAlign w:val="center"/>
          </w:tcPr>
          <w:p w14:paraId="575075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水洗1</w:t>
            </w:r>
          </w:p>
        </w:tc>
        <w:tc>
          <w:tcPr>
            <w:tcW w:w="1247" w:type="dxa"/>
            <w:vAlign w:val="center"/>
          </w:tcPr>
          <w:p w14:paraId="5274AA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71D6F2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4915FC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restart"/>
            <w:vAlign w:val="center"/>
          </w:tcPr>
          <w:p w14:paraId="59A389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水洗1/纯水洗1工位，采用独立槽，共用一台喷淋泵，通过阀门进行切换，工件往复运动</w:t>
            </w:r>
          </w:p>
        </w:tc>
      </w:tr>
      <w:tr w14:paraId="60A8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38534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519" w:type="dxa"/>
            <w:vAlign w:val="center"/>
          </w:tcPr>
          <w:p w14:paraId="498CBF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2263D4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2F4BDB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22EA33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7663A4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F26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44FB4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519" w:type="dxa"/>
            <w:vAlign w:val="center"/>
          </w:tcPr>
          <w:p w14:paraId="35BE8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纯水洗1</w:t>
            </w:r>
          </w:p>
        </w:tc>
        <w:tc>
          <w:tcPr>
            <w:tcW w:w="1247" w:type="dxa"/>
            <w:vAlign w:val="center"/>
          </w:tcPr>
          <w:p w14:paraId="68EE05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072720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0B7F9C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continue"/>
            <w:vAlign w:val="center"/>
          </w:tcPr>
          <w:p w14:paraId="50552F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748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0CF84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519" w:type="dxa"/>
            <w:vAlign w:val="center"/>
          </w:tcPr>
          <w:p w14:paraId="6EA78C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5387ED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05B6E8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1E17C1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6DE411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017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396CEC8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519" w:type="dxa"/>
            <w:vAlign w:val="center"/>
          </w:tcPr>
          <w:p w14:paraId="5CCB259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表调</w:t>
            </w:r>
          </w:p>
        </w:tc>
        <w:tc>
          <w:tcPr>
            <w:tcW w:w="1247" w:type="dxa"/>
            <w:shd w:val="clear" w:color="auto" w:fill="auto"/>
            <w:vAlign w:val="center"/>
          </w:tcPr>
          <w:p w14:paraId="2150198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shd w:val="clear" w:color="auto" w:fill="auto"/>
            <w:vAlign w:val="center"/>
          </w:tcPr>
          <w:p w14:paraId="192C74A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shd w:val="clear" w:color="auto" w:fill="auto"/>
            <w:vAlign w:val="center"/>
          </w:tcPr>
          <w:p w14:paraId="6F88786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Align w:val="center"/>
          </w:tcPr>
          <w:p w14:paraId="75B3C2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45DD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2740FD6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1519" w:type="dxa"/>
            <w:vAlign w:val="center"/>
          </w:tcPr>
          <w:p w14:paraId="3DE6572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磷化</w:t>
            </w:r>
          </w:p>
        </w:tc>
        <w:tc>
          <w:tcPr>
            <w:tcW w:w="1247" w:type="dxa"/>
            <w:vAlign w:val="center"/>
          </w:tcPr>
          <w:p w14:paraId="7D1F45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自动喷淋</w:t>
            </w:r>
          </w:p>
        </w:tc>
        <w:tc>
          <w:tcPr>
            <w:tcW w:w="1122" w:type="dxa"/>
            <w:vAlign w:val="center"/>
          </w:tcPr>
          <w:p w14:paraId="5CA2304B">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lang w:val="en-US" w:eastAsia="zh-CN" w:bidi="ar"/>
              </w:rPr>
              <w:t>40～50</w:t>
            </w:r>
          </w:p>
        </w:tc>
        <w:tc>
          <w:tcPr>
            <w:tcW w:w="1127" w:type="dxa"/>
            <w:vAlign w:val="center"/>
          </w:tcPr>
          <w:p w14:paraId="4A88DA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1.5</w:t>
            </w:r>
          </w:p>
        </w:tc>
        <w:tc>
          <w:tcPr>
            <w:tcW w:w="3719" w:type="dxa"/>
            <w:tcBorders>
              <w:top w:val="single" w:color="auto" w:sz="4" w:space="0"/>
              <w:bottom w:val="single" w:color="auto" w:sz="4" w:space="0"/>
            </w:tcBorders>
            <w:vAlign w:val="center"/>
          </w:tcPr>
          <w:p w14:paraId="042CAE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磷化工位采用独槽体及喷淋系统，配置加热系统，工件往复运动</w:t>
            </w:r>
          </w:p>
        </w:tc>
      </w:tr>
      <w:tr w14:paraId="54822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107BC6D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1519" w:type="dxa"/>
            <w:vAlign w:val="center"/>
          </w:tcPr>
          <w:p w14:paraId="69251F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水洗2</w:t>
            </w:r>
          </w:p>
        </w:tc>
        <w:tc>
          <w:tcPr>
            <w:tcW w:w="1247" w:type="dxa"/>
            <w:vAlign w:val="center"/>
          </w:tcPr>
          <w:p w14:paraId="389F71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15CA9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51129D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restart"/>
            <w:tcBorders>
              <w:top w:val="single" w:color="auto" w:sz="4" w:space="0"/>
            </w:tcBorders>
            <w:vAlign w:val="center"/>
          </w:tcPr>
          <w:p w14:paraId="608EAE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水洗2/纯水洗2工位，采用独立槽，共用一台喷淋泵，通过阀门进行切换，工件往复运动</w:t>
            </w:r>
          </w:p>
        </w:tc>
      </w:tr>
      <w:tr w14:paraId="0C947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1FD5947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1519" w:type="dxa"/>
            <w:vAlign w:val="center"/>
          </w:tcPr>
          <w:p w14:paraId="42414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50EC9E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4C212F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6C4C44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7BAF4C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27DC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768B33F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1519" w:type="dxa"/>
            <w:vAlign w:val="center"/>
          </w:tcPr>
          <w:p w14:paraId="7EF015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纯水洗2</w:t>
            </w:r>
          </w:p>
        </w:tc>
        <w:tc>
          <w:tcPr>
            <w:tcW w:w="1247" w:type="dxa"/>
            <w:vAlign w:val="center"/>
          </w:tcPr>
          <w:p w14:paraId="69BE20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04AD77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43995F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continue"/>
            <w:vAlign w:val="center"/>
          </w:tcPr>
          <w:p w14:paraId="42DBFC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D1F7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023B3C1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1519" w:type="dxa"/>
            <w:vAlign w:val="center"/>
          </w:tcPr>
          <w:p w14:paraId="7522B1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06CA6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13B9B3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7C44F1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tcBorders>
              <w:bottom w:val="single" w:color="auto" w:sz="4" w:space="0"/>
            </w:tcBorders>
            <w:vAlign w:val="center"/>
          </w:tcPr>
          <w:p w14:paraId="74559C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8446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5733878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1519" w:type="dxa"/>
            <w:vAlign w:val="center"/>
          </w:tcPr>
          <w:p w14:paraId="63B566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吹水</w:t>
            </w:r>
          </w:p>
        </w:tc>
        <w:tc>
          <w:tcPr>
            <w:tcW w:w="1247" w:type="dxa"/>
            <w:vAlign w:val="center"/>
          </w:tcPr>
          <w:p w14:paraId="44F2142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人工吹水</w:t>
            </w:r>
          </w:p>
        </w:tc>
        <w:tc>
          <w:tcPr>
            <w:tcW w:w="1122" w:type="dxa"/>
            <w:vAlign w:val="center"/>
          </w:tcPr>
          <w:p w14:paraId="29D46B3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p>
        </w:tc>
        <w:tc>
          <w:tcPr>
            <w:tcW w:w="1127" w:type="dxa"/>
            <w:vAlign w:val="center"/>
          </w:tcPr>
          <w:p w14:paraId="520459E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3719" w:type="dxa"/>
            <w:tcBorders>
              <w:bottom w:val="single" w:color="auto" w:sz="4" w:space="0"/>
            </w:tcBorders>
            <w:vAlign w:val="center"/>
          </w:tcPr>
          <w:p w14:paraId="1AF5E28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配置加长杆人工吹水压缩空气枪</w:t>
            </w:r>
          </w:p>
        </w:tc>
      </w:tr>
      <w:tr w14:paraId="477DF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4101B6F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17</w:t>
            </w:r>
          </w:p>
        </w:tc>
        <w:tc>
          <w:tcPr>
            <w:tcW w:w="1519" w:type="dxa"/>
            <w:vAlign w:val="center"/>
          </w:tcPr>
          <w:p w14:paraId="13422E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水分烘干</w:t>
            </w:r>
          </w:p>
        </w:tc>
        <w:tc>
          <w:tcPr>
            <w:tcW w:w="1247" w:type="dxa"/>
            <w:vAlign w:val="center"/>
          </w:tcPr>
          <w:p w14:paraId="23B960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1122" w:type="dxa"/>
            <w:vAlign w:val="center"/>
          </w:tcPr>
          <w:p w14:paraId="46AB32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120～130℃</w:t>
            </w:r>
          </w:p>
        </w:tc>
        <w:tc>
          <w:tcPr>
            <w:tcW w:w="1127" w:type="dxa"/>
            <w:vAlign w:val="center"/>
          </w:tcPr>
          <w:p w14:paraId="702B51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3719" w:type="dxa"/>
            <w:tcBorders>
              <w:top w:val="single" w:color="auto" w:sz="4" w:space="0"/>
              <w:bottom w:val="single" w:color="auto" w:sz="4" w:space="0"/>
            </w:tcBorders>
            <w:vAlign w:val="center"/>
          </w:tcPr>
          <w:p w14:paraId="7E7CF3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highlight w:val="yellow"/>
                <w:lang w:val="en-US" w:eastAsia="zh-CN" w:bidi="ar"/>
              </w:rPr>
              <w:t>燃气直接加热</w:t>
            </w:r>
          </w:p>
        </w:tc>
      </w:tr>
      <w:tr w14:paraId="76BEE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6098575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w:t>
            </w:r>
          </w:p>
        </w:tc>
        <w:tc>
          <w:tcPr>
            <w:tcW w:w="1519" w:type="dxa"/>
            <w:vAlign w:val="center"/>
          </w:tcPr>
          <w:p w14:paraId="44DCDE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自然冷却</w:t>
            </w:r>
          </w:p>
        </w:tc>
        <w:tc>
          <w:tcPr>
            <w:tcW w:w="1247" w:type="dxa"/>
            <w:vAlign w:val="center"/>
          </w:tcPr>
          <w:p w14:paraId="3B0D40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自然冷却</w:t>
            </w:r>
          </w:p>
        </w:tc>
        <w:tc>
          <w:tcPr>
            <w:tcW w:w="1122" w:type="dxa"/>
            <w:vAlign w:val="center"/>
          </w:tcPr>
          <w:p w14:paraId="63863D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576BA9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3719" w:type="dxa"/>
            <w:vAlign w:val="center"/>
          </w:tcPr>
          <w:p w14:paraId="01B975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F413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71F6C2A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19</w:t>
            </w:r>
          </w:p>
        </w:tc>
        <w:tc>
          <w:tcPr>
            <w:tcW w:w="1519" w:type="dxa"/>
            <w:vAlign w:val="center"/>
          </w:tcPr>
          <w:p w14:paraId="185E2A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转喷粉线</w:t>
            </w:r>
          </w:p>
        </w:tc>
        <w:tc>
          <w:tcPr>
            <w:tcW w:w="1247" w:type="dxa"/>
            <w:vAlign w:val="center"/>
          </w:tcPr>
          <w:p w14:paraId="7B3B15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4B324E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7" w:type="dxa"/>
            <w:vAlign w:val="center"/>
          </w:tcPr>
          <w:p w14:paraId="79BA04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3719" w:type="dxa"/>
            <w:tcBorders>
              <w:bottom w:val="single" w:color="auto" w:sz="4" w:space="0"/>
            </w:tcBorders>
            <w:vAlign w:val="center"/>
          </w:tcPr>
          <w:p w14:paraId="1CD5DC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29A41CBA">
      <w:pPr>
        <w:rPr>
          <w:rStyle w:val="198"/>
          <w:b w:val="0"/>
          <w:bCs/>
          <w:kern w:val="2"/>
          <w:lang w:val="en-US" w:eastAsia="zh-CN" w:bidi="ar-SA"/>
        </w:rPr>
      </w:pPr>
    </w:p>
    <w:p w14:paraId="24636768">
      <w:pPr>
        <w:pStyle w:val="28"/>
        <w:outlineLvl w:val="4"/>
        <w:rPr>
          <w:rStyle w:val="198"/>
          <w:b w:val="0"/>
          <w:bCs/>
          <w:kern w:val="2"/>
          <w:lang w:val="en-US" w:eastAsia="zh-CN" w:bidi="ar-SA"/>
        </w:rPr>
      </w:pPr>
      <w:r>
        <w:rPr>
          <w:rStyle w:val="198"/>
          <w:rFonts w:hint="eastAsia"/>
          <w:b w:val="0"/>
          <w:bCs/>
          <w:kern w:val="2"/>
          <w:lang w:val="en-US" w:eastAsia="zh-CN" w:bidi="ar-SA"/>
        </w:rPr>
        <w:t>3.2.4罐车、自卸车厢涂装工艺（底面合一粉）</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500"/>
        <w:gridCol w:w="1603"/>
        <w:gridCol w:w="1375"/>
        <w:gridCol w:w="1285"/>
        <w:gridCol w:w="2478"/>
      </w:tblGrid>
      <w:tr w14:paraId="0A7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vAlign w:val="center"/>
          </w:tcPr>
          <w:p w14:paraId="15B31D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00" w:type="dxa"/>
            <w:shd w:val="clear" w:color="auto" w:fill="auto"/>
            <w:vAlign w:val="center"/>
          </w:tcPr>
          <w:p w14:paraId="7C627D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1603" w:type="dxa"/>
            <w:shd w:val="clear" w:color="auto" w:fill="auto"/>
            <w:vAlign w:val="center"/>
          </w:tcPr>
          <w:p w14:paraId="04E397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0" w:type="auto"/>
            <w:shd w:val="clear" w:color="auto" w:fill="auto"/>
            <w:vAlign w:val="center"/>
          </w:tcPr>
          <w:p w14:paraId="41A17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2EBD06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285" w:type="dxa"/>
            <w:shd w:val="clear" w:color="auto" w:fill="auto"/>
            <w:vAlign w:val="center"/>
          </w:tcPr>
          <w:p w14:paraId="557AF8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54E3D2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2478" w:type="dxa"/>
            <w:shd w:val="clear" w:color="auto" w:fill="auto"/>
            <w:vAlign w:val="center"/>
          </w:tcPr>
          <w:p w14:paraId="3A6D41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211B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vAlign w:val="center"/>
          </w:tcPr>
          <w:p w14:paraId="72AD82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00" w:type="dxa"/>
            <w:shd w:val="clear" w:color="auto" w:fill="auto"/>
            <w:vAlign w:val="center"/>
          </w:tcPr>
          <w:p w14:paraId="138E3E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工件转喷粉线</w:t>
            </w:r>
          </w:p>
        </w:tc>
        <w:tc>
          <w:tcPr>
            <w:tcW w:w="1603" w:type="dxa"/>
            <w:shd w:val="clear" w:color="auto" w:fill="auto"/>
            <w:vAlign w:val="center"/>
          </w:tcPr>
          <w:p w14:paraId="6B3673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shd w:val="clear" w:color="auto" w:fill="auto"/>
            <w:vAlign w:val="center"/>
          </w:tcPr>
          <w:p w14:paraId="0CAC4F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shd w:val="clear" w:color="auto" w:fill="auto"/>
            <w:vAlign w:val="center"/>
          </w:tcPr>
          <w:p w14:paraId="5279B4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shd w:val="clear" w:color="auto" w:fill="auto"/>
            <w:vAlign w:val="center"/>
          </w:tcPr>
          <w:p w14:paraId="5E9A19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来自电泳缓存区</w:t>
            </w:r>
          </w:p>
        </w:tc>
      </w:tr>
      <w:tr w14:paraId="184A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29D78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00" w:type="dxa"/>
            <w:vAlign w:val="center"/>
          </w:tcPr>
          <w:p w14:paraId="5EDA5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表面耐高温腻子及腻子打磨</w:t>
            </w:r>
          </w:p>
        </w:tc>
        <w:tc>
          <w:tcPr>
            <w:tcW w:w="1603" w:type="dxa"/>
            <w:vAlign w:val="center"/>
          </w:tcPr>
          <w:p w14:paraId="2A5C5A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375" w:type="dxa"/>
            <w:vAlign w:val="center"/>
          </w:tcPr>
          <w:p w14:paraId="24282C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285" w:type="dxa"/>
            <w:vAlign w:val="center"/>
          </w:tcPr>
          <w:p w14:paraId="2FA0A3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vAlign w:val="center"/>
          </w:tcPr>
          <w:p w14:paraId="267F4F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49D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0B28F4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00" w:type="dxa"/>
            <w:vAlign w:val="center"/>
          </w:tcPr>
          <w:p w14:paraId="4ADF2E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自动喷粉（底面合一粉）</w:t>
            </w:r>
          </w:p>
        </w:tc>
        <w:tc>
          <w:tcPr>
            <w:tcW w:w="1603" w:type="dxa"/>
            <w:vAlign w:val="center"/>
          </w:tcPr>
          <w:p w14:paraId="5B6E7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1375" w:type="dxa"/>
            <w:vAlign w:val="center"/>
          </w:tcPr>
          <w:p w14:paraId="67D69D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vAlign w:val="center"/>
          </w:tcPr>
          <w:p w14:paraId="7F34DD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vAlign w:val="center"/>
          </w:tcPr>
          <w:p w14:paraId="643533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836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59E66C6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00" w:type="dxa"/>
            <w:vAlign w:val="center"/>
          </w:tcPr>
          <w:p w14:paraId="1B3419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1603" w:type="dxa"/>
            <w:vAlign w:val="center"/>
          </w:tcPr>
          <w:p w14:paraId="79CABA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1375" w:type="dxa"/>
            <w:vAlign w:val="center"/>
          </w:tcPr>
          <w:p w14:paraId="4C6ED2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w:t>
            </w:r>
          </w:p>
        </w:tc>
        <w:tc>
          <w:tcPr>
            <w:tcW w:w="1285" w:type="dxa"/>
            <w:vAlign w:val="center"/>
          </w:tcPr>
          <w:p w14:paraId="4136CC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2478" w:type="dxa"/>
            <w:vAlign w:val="center"/>
          </w:tcPr>
          <w:p w14:paraId="59F73F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0183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77FF1E8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00" w:type="dxa"/>
            <w:vAlign w:val="center"/>
          </w:tcPr>
          <w:p w14:paraId="16F57E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1603" w:type="dxa"/>
            <w:vAlign w:val="center"/>
          </w:tcPr>
          <w:p w14:paraId="2A3324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1375" w:type="dxa"/>
            <w:vAlign w:val="center"/>
          </w:tcPr>
          <w:p w14:paraId="28B89F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vAlign w:val="center"/>
          </w:tcPr>
          <w:p w14:paraId="019CF6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2478" w:type="dxa"/>
            <w:vAlign w:val="center"/>
          </w:tcPr>
          <w:p w14:paraId="0C91BC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粉末强冷室</w:t>
            </w:r>
          </w:p>
        </w:tc>
      </w:tr>
      <w:tr w14:paraId="2713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vAlign w:val="center"/>
          </w:tcPr>
          <w:p w14:paraId="45A0B47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00" w:type="dxa"/>
            <w:shd w:val="clear" w:color="auto" w:fill="auto"/>
            <w:vAlign w:val="center"/>
          </w:tcPr>
          <w:p w14:paraId="7084D9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1603" w:type="dxa"/>
            <w:shd w:val="clear" w:color="auto" w:fill="auto"/>
            <w:vAlign w:val="center"/>
          </w:tcPr>
          <w:p w14:paraId="225788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1375" w:type="dxa"/>
            <w:shd w:val="clear" w:color="auto" w:fill="auto"/>
            <w:vAlign w:val="center"/>
          </w:tcPr>
          <w:p w14:paraId="67071E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shd w:val="clear" w:color="auto" w:fill="auto"/>
            <w:vAlign w:val="center"/>
          </w:tcPr>
          <w:p w14:paraId="064B0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shd w:val="clear" w:color="auto" w:fill="auto"/>
            <w:vAlign w:val="center"/>
          </w:tcPr>
          <w:p w14:paraId="18707F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16718A2D">
      <w:pPr>
        <w:rPr>
          <w:rStyle w:val="198"/>
          <w:b w:val="0"/>
          <w:bCs/>
          <w:kern w:val="2"/>
          <w:lang w:val="en-US" w:eastAsia="zh-CN" w:bidi="ar-SA"/>
        </w:rPr>
      </w:pPr>
    </w:p>
    <w:p w14:paraId="6126EEC5">
      <w:pPr>
        <w:ind w:firstLine="480" w:firstLineChars="200"/>
        <w:outlineLvl w:val="4"/>
        <w:rPr>
          <w:rStyle w:val="198"/>
          <w:b w:val="0"/>
          <w:bCs/>
          <w:kern w:val="2"/>
          <w:lang w:val="en-US" w:eastAsia="zh-CN" w:bidi="ar-SA"/>
        </w:rPr>
      </w:pPr>
      <w:r>
        <w:rPr>
          <w:rStyle w:val="198"/>
          <w:rFonts w:hint="eastAsia"/>
          <w:b w:val="0"/>
          <w:bCs/>
          <w:kern w:val="2"/>
          <w:lang w:val="en-US" w:eastAsia="zh-CN" w:bidi="ar-SA"/>
        </w:rPr>
        <w:t>3.2.5半挂车架、副车架涂装工艺（喷面粉）</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528"/>
        <w:gridCol w:w="2154"/>
        <w:gridCol w:w="1698"/>
        <w:gridCol w:w="1056"/>
        <w:gridCol w:w="2757"/>
      </w:tblGrid>
      <w:tr w14:paraId="4B52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F9DA5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28" w:type="dxa"/>
            <w:shd w:val="clear" w:color="auto" w:fill="auto"/>
            <w:vAlign w:val="center"/>
          </w:tcPr>
          <w:p w14:paraId="2216A0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2154" w:type="dxa"/>
            <w:shd w:val="clear" w:color="auto" w:fill="auto"/>
            <w:vAlign w:val="center"/>
          </w:tcPr>
          <w:p w14:paraId="00BFBF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0" w:type="auto"/>
            <w:shd w:val="clear" w:color="auto" w:fill="auto"/>
            <w:vAlign w:val="center"/>
          </w:tcPr>
          <w:p w14:paraId="171F30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1795D4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006" w:type="dxa"/>
            <w:shd w:val="clear" w:color="auto" w:fill="auto"/>
            <w:vAlign w:val="center"/>
          </w:tcPr>
          <w:p w14:paraId="3DF372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32A969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2757" w:type="dxa"/>
            <w:shd w:val="clear" w:color="auto" w:fill="auto"/>
            <w:vAlign w:val="center"/>
          </w:tcPr>
          <w:p w14:paraId="393472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54EE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338B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28" w:type="dxa"/>
            <w:shd w:val="clear" w:color="auto" w:fill="auto"/>
            <w:vAlign w:val="center"/>
          </w:tcPr>
          <w:p w14:paraId="19A8C6A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工件转喷粉线</w:t>
            </w:r>
          </w:p>
        </w:tc>
        <w:tc>
          <w:tcPr>
            <w:tcW w:w="2154" w:type="dxa"/>
            <w:shd w:val="clear" w:color="auto" w:fill="auto"/>
            <w:vAlign w:val="center"/>
          </w:tcPr>
          <w:p w14:paraId="7C2ED4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shd w:val="clear" w:color="auto" w:fill="auto"/>
            <w:vAlign w:val="center"/>
          </w:tcPr>
          <w:p w14:paraId="78813C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shd w:val="clear" w:color="auto" w:fill="auto"/>
            <w:vAlign w:val="center"/>
          </w:tcPr>
          <w:p w14:paraId="4D8EA1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shd w:val="clear" w:color="auto" w:fill="auto"/>
            <w:vAlign w:val="center"/>
          </w:tcPr>
          <w:p w14:paraId="1F229EB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来自电泳缓存区</w:t>
            </w:r>
          </w:p>
        </w:tc>
      </w:tr>
      <w:tr w14:paraId="428C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2A6ED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28" w:type="dxa"/>
            <w:shd w:val="clear" w:color="auto" w:fill="auto"/>
            <w:vAlign w:val="center"/>
          </w:tcPr>
          <w:p w14:paraId="6692B3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喷粉前遮蔽</w:t>
            </w:r>
          </w:p>
        </w:tc>
        <w:tc>
          <w:tcPr>
            <w:tcW w:w="2154" w:type="dxa"/>
            <w:shd w:val="clear" w:color="auto" w:fill="auto"/>
            <w:vAlign w:val="center"/>
          </w:tcPr>
          <w:p w14:paraId="31D8C87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0" w:type="auto"/>
            <w:shd w:val="clear" w:color="auto" w:fill="auto"/>
            <w:vAlign w:val="center"/>
          </w:tcPr>
          <w:p w14:paraId="032A71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shd w:val="clear" w:color="auto" w:fill="auto"/>
            <w:vAlign w:val="center"/>
          </w:tcPr>
          <w:p w14:paraId="7B191A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2757" w:type="dxa"/>
            <w:shd w:val="clear" w:color="auto" w:fill="auto"/>
            <w:vAlign w:val="center"/>
          </w:tcPr>
          <w:p w14:paraId="5ED337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2F5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E389A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28" w:type="dxa"/>
            <w:vAlign w:val="center"/>
          </w:tcPr>
          <w:p w14:paraId="1B10B9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自动喷面粉</w:t>
            </w:r>
          </w:p>
        </w:tc>
        <w:tc>
          <w:tcPr>
            <w:tcW w:w="2154" w:type="dxa"/>
            <w:vAlign w:val="center"/>
          </w:tcPr>
          <w:p w14:paraId="475AE7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0" w:type="auto"/>
            <w:vAlign w:val="center"/>
          </w:tcPr>
          <w:p w14:paraId="250F24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64844A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～7.5</w:t>
            </w:r>
          </w:p>
        </w:tc>
        <w:tc>
          <w:tcPr>
            <w:tcW w:w="2757" w:type="dxa"/>
            <w:vAlign w:val="center"/>
          </w:tcPr>
          <w:p w14:paraId="451885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142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Align w:val="center"/>
          </w:tcPr>
          <w:p w14:paraId="5BD089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28" w:type="dxa"/>
            <w:vAlign w:val="center"/>
          </w:tcPr>
          <w:p w14:paraId="6E3A1B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2154" w:type="dxa"/>
            <w:vAlign w:val="center"/>
          </w:tcPr>
          <w:p w14:paraId="629A4E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0" w:type="auto"/>
            <w:vAlign w:val="center"/>
          </w:tcPr>
          <w:p w14:paraId="1DCED2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180～240℃(空气温度)</w:t>
            </w:r>
          </w:p>
        </w:tc>
        <w:tc>
          <w:tcPr>
            <w:tcW w:w="1006" w:type="dxa"/>
            <w:vAlign w:val="center"/>
          </w:tcPr>
          <w:p w14:paraId="696033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2757" w:type="dxa"/>
            <w:vAlign w:val="center"/>
          </w:tcPr>
          <w:p w14:paraId="647335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D46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26A8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28" w:type="dxa"/>
            <w:vAlign w:val="center"/>
          </w:tcPr>
          <w:p w14:paraId="0EF6C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2154" w:type="dxa"/>
            <w:vAlign w:val="center"/>
          </w:tcPr>
          <w:p w14:paraId="2DA52D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0" w:type="auto"/>
            <w:vAlign w:val="center"/>
          </w:tcPr>
          <w:p w14:paraId="0CA1C0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21C3E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～21.5</w:t>
            </w:r>
          </w:p>
        </w:tc>
        <w:tc>
          <w:tcPr>
            <w:tcW w:w="2757" w:type="dxa"/>
            <w:vAlign w:val="center"/>
          </w:tcPr>
          <w:p w14:paraId="4EC8F0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058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54EFD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28" w:type="dxa"/>
            <w:vAlign w:val="center"/>
          </w:tcPr>
          <w:p w14:paraId="2E1488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2154" w:type="dxa"/>
            <w:vAlign w:val="center"/>
          </w:tcPr>
          <w:p w14:paraId="53251D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0" w:type="auto"/>
            <w:vAlign w:val="center"/>
          </w:tcPr>
          <w:p w14:paraId="7656A2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06E3F3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vAlign w:val="center"/>
          </w:tcPr>
          <w:p w14:paraId="1C4366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785FFDEB">
      <w:pPr>
        <w:pStyle w:val="28"/>
        <w:ind w:left="0" w:leftChars="0" w:firstLine="0" w:firstLineChars="0"/>
        <w:outlineLvl w:val="9"/>
        <w:rPr>
          <w:rFonts w:hint="eastAsia"/>
          <w:lang w:val="en-US" w:eastAsia="zh-CN"/>
        </w:rPr>
      </w:pPr>
    </w:p>
    <w:p w14:paraId="1C7F7B42">
      <w:pPr>
        <w:rPr>
          <w:rStyle w:val="198"/>
          <w:rFonts w:hint="eastAsia"/>
          <w:b w:val="0"/>
          <w:bCs/>
          <w:kern w:val="2"/>
          <w:lang w:val="en-US" w:eastAsia="zh-CN" w:bidi="ar-SA"/>
        </w:rPr>
      </w:pPr>
    </w:p>
    <w:p w14:paraId="73C77B86">
      <w:pPr>
        <w:outlineLvl w:val="4"/>
        <w:rPr>
          <w:rStyle w:val="198"/>
          <w:b w:val="0"/>
          <w:bCs/>
          <w:kern w:val="2"/>
          <w:lang w:val="en-US" w:eastAsia="zh-CN" w:bidi="ar-SA"/>
        </w:rPr>
      </w:pPr>
      <w:r>
        <w:rPr>
          <w:rStyle w:val="198"/>
          <w:rFonts w:hint="eastAsia"/>
          <w:b w:val="0"/>
          <w:bCs/>
          <w:kern w:val="2"/>
          <w:lang w:val="en-US" w:eastAsia="zh-CN" w:bidi="ar-SA"/>
        </w:rPr>
        <w:t>3.2.6罐车、自卸车厢涂装工艺（底粉+面粉）</w:t>
      </w:r>
    </w:p>
    <w:tbl>
      <w:tblPr>
        <w:tblStyle w:val="40"/>
        <w:tblW w:w="46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1325"/>
        <w:gridCol w:w="1335"/>
        <w:gridCol w:w="1135"/>
        <w:gridCol w:w="1133"/>
        <w:gridCol w:w="3523"/>
      </w:tblGrid>
      <w:tr w14:paraId="3587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 w:type="pct"/>
            <w:vAlign w:val="center"/>
          </w:tcPr>
          <w:p w14:paraId="1171D1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732" w:type="pct"/>
            <w:vAlign w:val="center"/>
          </w:tcPr>
          <w:p w14:paraId="256579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738" w:type="pct"/>
            <w:vAlign w:val="center"/>
          </w:tcPr>
          <w:p w14:paraId="72B61F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627" w:type="pct"/>
            <w:vAlign w:val="center"/>
          </w:tcPr>
          <w:p w14:paraId="33AB39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119BCE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626" w:type="pct"/>
            <w:vAlign w:val="center"/>
          </w:tcPr>
          <w:p w14:paraId="57E135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76E0AB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1947" w:type="pct"/>
            <w:vAlign w:val="center"/>
          </w:tcPr>
          <w:p w14:paraId="0F1DE0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4F14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 w:type="pct"/>
            <w:shd w:val="clear" w:color="auto" w:fill="auto"/>
            <w:vAlign w:val="center"/>
          </w:tcPr>
          <w:p w14:paraId="5C97BC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732" w:type="pct"/>
            <w:shd w:val="clear" w:color="auto" w:fill="auto"/>
            <w:vAlign w:val="center"/>
          </w:tcPr>
          <w:p w14:paraId="02DD40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转挂上件</w:t>
            </w:r>
          </w:p>
        </w:tc>
        <w:tc>
          <w:tcPr>
            <w:tcW w:w="738" w:type="pct"/>
            <w:shd w:val="clear" w:color="auto" w:fill="auto"/>
            <w:vAlign w:val="center"/>
          </w:tcPr>
          <w:p w14:paraId="118DD9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627" w:type="pct"/>
            <w:shd w:val="clear" w:color="auto" w:fill="auto"/>
            <w:vAlign w:val="center"/>
          </w:tcPr>
          <w:p w14:paraId="4160FE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shd w:val="clear" w:color="auto" w:fill="auto"/>
            <w:vAlign w:val="center"/>
          </w:tcPr>
          <w:p w14:paraId="4CA858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shd w:val="clear" w:color="auto" w:fill="auto"/>
            <w:vAlign w:val="center"/>
          </w:tcPr>
          <w:p w14:paraId="3D815B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EBDA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1B4728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732" w:type="pct"/>
            <w:vAlign w:val="center"/>
          </w:tcPr>
          <w:p w14:paraId="398F92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表面耐高温腻子及腻子打磨</w:t>
            </w:r>
          </w:p>
        </w:tc>
        <w:tc>
          <w:tcPr>
            <w:tcW w:w="738" w:type="pct"/>
            <w:vAlign w:val="center"/>
          </w:tcPr>
          <w:p w14:paraId="1F3ED1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627" w:type="pct"/>
            <w:vAlign w:val="center"/>
          </w:tcPr>
          <w:p w14:paraId="52E6F7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626" w:type="pct"/>
            <w:vAlign w:val="center"/>
          </w:tcPr>
          <w:p w14:paraId="1BE7C3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bottom w:val="single" w:color="auto" w:sz="4" w:space="0"/>
            </w:tcBorders>
            <w:vAlign w:val="center"/>
          </w:tcPr>
          <w:p w14:paraId="48B655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DD44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7A3484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732" w:type="pct"/>
            <w:vAlign w:val="center"/>
          </w:tcPr>
          <w:p w14:paraId="7B9A51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自动底粉</w:t>
            </w:r>
          </w:p>
        </w:tc>
        <w:tc>
          <w:tcPr>
            <w:tcW w:w="738" w:type="pct"/>
            <w:vAlign w:val="center"/>
          </w:tcPr>
          <w:p w14:paraId="648DD8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627" w:type="pct"/>
            <w:vAlign w:val="center"/>
          </w:tcPr>
          <w:p w14:paraId="216833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7B1052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top w:val="single" w:color="auto" w:sz="4" w:space="0"/>
              <w:bottom w:val="single" w:color="auto" w:sz="4" w:space="0"/>
            </w:tcBorders>
            <w:vAlign w:val="center"/>
          </w:tcPr>
          <w:p w14:paraId="49659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249D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538EB6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732" w:type="pct"/>
            <w:vAlign w:val="center"/>
          </w:tcPr>
          <w:p w14:paraId="40B741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底粉胶化</w:t>
            </w:r>
          </w:p>
        </w:tc>
        <w:tc>
          <w:tcPr>
            <w:tcW w:w="738" w:type="pct"/>
            <w:vAlign w:val="center"/>
          </w:tcPr>
          <w:p w14:paraId="627E54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627" w:type="pct"/>
            <w:vAlign w:val="center"/>
          </w:tcPr>
          <w:p w14:paraId="237CB6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120～130℃</w:t>
            </w:r>
          </w:p>
        </w:tc>
        <w:tc>
          <w:tcPr>
            <w:tcW w:w="626" w:type="pct"/>
            <w:vAlign w:val="center"/>
          </w:tcPr>
          <w:p w14:paraId="6F64A0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～24</w:t>
            </w:r>
          </w:p>
        </w:tc>
        <w:tc>
          <w:tcPr>
            <w:tcW w:w="1947" w:type="pct"/>
            <w:tcBorders>
              <w:top w:val="single" w:color="auto" w:sz="4" w:space="0"/>
              <w:bottom w:val="single" w:color="auto" w:sz="4" w:space="0"/>
            </w:tcBorders>
            <w:vAlign w:val="center"/>
          </w:tcPr>
          <w:p w14:paraId="7A1DF6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5FDA3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387143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732" w:type="pct"/>
            <w:vAlign w:val="center"/>
          </w:tcPr>
          <w:p w14:paraId="59F4D4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底粉强冷</w:t>
            </w:r>
          </w:p>
        </w:tc>
        <w:tc>
          <w:tcPr>
            <w:tcW w:w="738" w:type="pct"/>
            <w:vAlign w:val="center"/>
          </w:tcPr>
          <w:p w14:paraId="224642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627" w:type="pct"/>
            <w:vAlign w:val="center"/>
          </w:tcPr>
          <w:p w14:paraId="579B9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4AB82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47" w:type="pct"/>
            <w:tcBorders>
              <w:top w:val="single" w:color="auto" w:sz="4" w:space="0"/>
              <w:bottom w:val="single" w:color="auto" w:sz="4" w:space="0"/>
            </w:tcBorders>
            <w:vAlign w:val="center"/>
          </w:tcPr>
          <w:p w14:paraId="6B2FB6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0763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6DE87D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732" w:type="pct"/>
            <w:vAlign w:val="center"/>
          </w:tcPr>
          <w:p w14:paraId="3E0660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自动面粉</w:t>
            </w:r>
          </w:p>
        </w:tc>
        <w:tc>
          <w:tcPr>
            <w:tcW w:w="738" w:type="pct"/>
            <w:vAlign w:val="center"/>
          </w:tcPr>
          <w:p w14:paraId="278505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627" w:type="pct"/>
            <w:vAlign w:val="center"/>
          </w:tcPr>
          <w:p w14:paraId="0FDAD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2E4361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top w:val="single" w:color="auto" w:sz="4" w:space="0"/>
              <w:bottom w:val="single" w:color="auto" w:sz="4" w:space="0"/>
            </w:tcBorders>
            <w:vAlign w:val="center"/>
          </w:tcPr>
          <w:p w14:paraId="5028A6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7217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2B5DD4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732" w:type="pct"/>
            <w:vAlign w:val="center"/>
          </w:tcPr>
          <w:p w14:paraId="1A25C1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粉末固化</w:t>
            </w:r>
          </w:p>
        </w:tc>
        <w:tc>
          <w:tcPr>
            <w:tcW w:w="738" w:type="pct"/>
            <w:vAlign w:val="center"/>
          </w:tcPr>
          <w:p w14:paraId="73D6F8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热风循环</w:t>
            </w:r>
          </w:p>
        </w:tc>
        <w:tc>
          <w:tcPr>
            <w:tcW w:w="627" w:type="pct"/>
            <w:vAlign w:val="center"/>
          </w:tcPr>
          <w:p w14:paraId="00F409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red"/>
                <w:lang w:val="en-US" w:eastAsia="zh-CN" w:bidi="ar"/>
              </w:rPr>
              <w:t>180～</w:t>
            </w:r>
            <w:r>
              <w:rPr>
                <w:rFonts w:hint="eastAsia" w:ascii="仿宋" w:hAnsi="仿宋" w:eastAsia="仿宋" w:cs="仿宋"/>
                <w:b w:val="0"/>
                <w:bCs w:val="0"/>
                <w:kern w:val="2"/>
                <w:sz w:val="24"/>
                <w:szCs w:val="24"/>
                <w:highlight w:val="red"/>
                <w:shd w:val="clear" w:fill="FF0000"/>
                <w:lang w:val="en-US" w:eastAsia="zh-CN" w:bidi="ar"/>
              </w:rPr>
              <w:t>240℃</w:t>
            </w:r>
          </w:p>
        </w:tc>
        <w:tc>
          <w:tcPr>
            <w:tcW w:w="626" w:type="pct"/>
            <w:vAlign w:val="center"/>
          </w:tcPr>
          <w:p w14:paraId="7C7656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～60</w:t>
            </w:r>
          </w:p>
        </w:tc>
        <w:tc>
          <w:tcPr>
            <w:tcW w:w="1947" w:type="pct"/>
            <w:tcBorders>
              <w:top w:val="single" w:color="auto" w:sz="4" w:space="0"/>
              <w:bottom w:val="single" w:color="auto" w:sz="4" w:space="0"/>
            </w:tcBorders>
            <w:vAlign w:val="center"/>
          </w:tcPr>
          <w:p w14:paraId="779A24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燃气直接加热</w:t>
            </w:r>
          </w:p>
        </w:tc>
      </w:tr>
      <w:tr w14:paraId="3FCF0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0A5727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732" w:type="pct"/>
            <w:vAlign w:val="center"/>
          </w:tcPr>
          <w:p w14:paraId="6435E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738" w:type="pct"/>
            <w:vAlign w:val="center"/>
          </w:tcPr>
          <w:p w14:paraId="4E17EA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627" w:type="pct"/>
            <w:vAlign w:val="center"/>
          </w:tcPr>
          <w:p w14:paraId="2B3239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474CC0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47" w:type="pct"/>
            <w:tcBorders>
              <w:top w:val="single" w:color="auto" w:sz="4" w:space="0"/>
              <w:bottom w:val="single" w:color="auto" w:sz="4" w:space="0"/>
            </w:tcBorders>
            <w:vAlign w:val="center"/>
          </w:tcPr>
          <w:p w14:paraId="214D7E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1156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1F01E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732" w:type="pct"/>
            <w:vAlign w:val="center"/>
          </w:tcPr>
          <w:p w14:paraId="76375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738" w:type="pct"/>
            <w:vAlign w:val="center"/>
          </w:tcPr>
          <w:p w14:paraId="1AD687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627" w:type="pct"/>
            <w:vAlign w:val="center"/>
          </w:tcPr>
          <w:p w14:paraId="46E8BD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2B0993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top w:val="single" w:color="auto" w:sz="4" w:space="0"/>
              <w:bottom w:val="single" w:color="auto" w:sz="4" w:space="0"/>
            </w:tcBorders>
            <w:vAlign w:val="center"/>
          </w:tcPr>
          <w:p w14:paraId="6BD3E1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33379164">
      <w:pPr>
        <w:rPr>
          <w:rStyle w:val="198"/>
          <w:rFonts w:hint="eastAsia"/>
          <w:b w:val="0"/>
          <w:bCs/>
          <w:kern w:val="2"/>
          <w:lang w:val="en-US" w:eastAsia="zh-CN" w:bidi="ar-SA"/>
        </w:rPr>
      </w:pPr>
    </w:p>
    <w:p w14:paraId="072CBC53">
      <w:pPr>
        <w:outlineLvl w:val="4"/>
        <w:rPr>
          <w:rStyle w:val="198"/>
          <w:rFonts w:hint="eastAsia"/>
          <w:b w:val="0"/>
          <w:bCs/>
          <w:kern w:val="2"/>
          <w:lang w:val="en-US" w:eastAsia="zh-CN" w:bidi="ar-SA"/>
        </w:rPr>
      </w:pPr>
      <w:r>
        <w:rPr>
          <w:rStyle w:val="198"/>
          <w:rFonts w:hint="eastAsia"/>
          <w:b w:val="0"/>
          <w:bCs/>
          <w:kern w:val="2"/>
          <w:lang w:val="en-US" w:eastAsia="zh-CN" w:bidi="ar-SA"/>
        </w:rPr>
        <w:t>3.2.7罐车、自卸车厢涂装工艺（底粉+面粉+粉末套色）</w:t>
      </w:r>
    </w:p>
    <w:tbl>
      <w:tblPr>
        <w:tblStyle w:val="40"/>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392"/>
        <w:gridCol w:w="1402"/>
        <w:gridCol w:w="1330"/>
        <w:gridCol w:w="1056"/>
        <w:gridCol w:w="3700"/>
      </w:tblGrid>
      <w:tr w14:paraId="5248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 w:type="pct"/>
            <w:vAlign w:val="center"/>
          </w:tcPr>
          <w:p w14:paraId="761512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738" w:type="pct"/>
            <w:vAlign w:val="center"/>
          </w:tcPr>
          <w:p w14:paraId="3979BB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743" w:type="pct"/>
            <w:vAlign w:val="center"/>
          </w:tcPr>
          <w:p w14:paraId="09726D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705" w:type="pct"/>
            <w:vAlign w:val="center"/>
          </w:tcPr>
          <w:p w14:paraId="3EAAB2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17280C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527" w:type="pct"/>
            <w:vAlign w:val="center"/>
          </w:tcPr>
          <w:p w14:paraId="4C948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70D2FF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1951" w:type="pct"/>
            <w:vAlign w:val="center"/>
          </w:tcPr>
          <w:p w14:paraId="32CFB9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73E4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 w:type="pct"/>
            <w:vAlign w:val="center"/>
          </w:tcPr>
          <w:p w14:paraId="655EDA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738" w:type="pct"/>
            <w:vAlign w:val="center"/>
          </w:tcPr>
          <w:p w14:paraId="01F6B9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转挂 上件</w:t>
            </w:r>
          </w:p>
        </w:tc>
        <w:tc>
          <w:tcPr>
            <w:tcW w:w="743" w:type="pct"/>
            <w:vAlign w:val="center"/>
          </w:tcPr>
          <w:p w14:paraId="2A2A71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705" w:type="pct"/>
            <w:vAlign w:val="center"/>
          </w:tcPr>
          <w:p w14:paraId="137E28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20EDFF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vAlign w:val="center"/>
          </w:tcPr>
          <w:p w14:paraId="321938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093E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2A958C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738" w:type="pct"/>
            <w:vAlign w:val="center"/>
          </w:tcPr>
          <w:p w14:paraId="51EF94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表面涂高温导电胶/腻子</w:t>
            </w:r>
          </w:p>
        </w:tc>
        <w:tc>
          <w:tcPr>
            <w:tcW w:w="743" w:type="pct"/>
            <w:vAlign w:val="center"/>
          </w:tcPr>
          <w:p w14:paraId="76087A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5C4AB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527" w:type="pct"/>
            <w:vAlign w:val="center"/>
          </w:tcPr>
          <w:p w14:paraId="77B93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bottom w:val="single" w:color="auto" w:sz="4" w:space="0"/>
            </w:tcBorders>
            <w:vAlign w:val="center"/>
          </w:tcPr>
          <w:p w14:paraId="6AC991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9849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F8331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738" w:type="pct"/>
            <w:vAlign w:val="center"/>
          </w:tcPr>
          <w:p w14:paraId="7F2D1A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自动底粉</w:t>
            </w:r>
          </w:p>
        </w:tc>
        <w:tc>
          <w:tcPr>
            <w:tcW w:w="743" w:type="pct"/>
            <w:vAlign w:val="center"/>
          </w:tcPr>
          <w:p w14:paraId="029865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705" w:type="pct"/>
            <w:vAlign w:val="center"/>
          </w:tcPr>
          <w:p w14:paraId="73BA22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34B05B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45110C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BED2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2B65EB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738" w:type="pct"/>
            <w:vAlign w:val="center"/>
          </w:tcPr>
          <w:p w14:paraId="0D2E31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底粉胶化</w:t>
            </w:r>
          </w:p>
        </w:tc>
        <w:tc>
          <w:tcPr>
            <w:tcW w:w="743" w:type="pct"/>
            <w:vAlign w:val="center"/>
          </w:tcPr>
          <w:p w14:paraId="7DF798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705" w:type="pct"/>
            <w:vAlign w:val="center"/>
          </w:tcPr>
          <w:p w14:paraId="2EBC5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120～130℃</w:t>
            </w:r>
          </w:p>
        </w:tc>
        <w:tc>
          <w:tcPr>
            <w:tcW w:w="527" w:type="pct"/>
            <w:vAlign w:val="center"/>
          </w:tcPr>
          <w:p w14:paraId="01AC96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～24</w:t>
            </w:r>
          </w:p>
        </w:tc>
        <w:tc>
          <w:tcPr>
            <w:tcW w:w="1951" w:type="pct"/>
            <w:tcBorders>
              <w:top w:val="single" w:color="auto" w:sz="4" w:space="0"/>
              <w:bottom w:val="single" w:color="auto" w:sz="4" w:space="0"/>
            </w:tcBorders>
            <w:vAlign w:val="center"/>
          </w:tcPr>
          <w:p w14:paraId="5642C1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22299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3D247F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738" w:type="pct"/>
            <w:vAlign w:val="center"/>
          </w:tcPr>
          <w:p w14:paraId="0A3254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底粉强冷</w:t>
            </w:r>
          </w:p>
        </w:tc>
        <w:tc>
          <w:tcPr>
            <w:tcW w:w="743" w:type="pct"/>
            <w:vAlign w:val="center"/>
          </w:tcPr>
          <w:p w14:paraId="65CD35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705" w:type="pct"/>
            <w:vAlign w:val="center"/>
          </w:tcPr>
          <w:p w14:paraId="4A0270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4CF6F0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51" w:type="pct"/>
            <w:tcBorders>
              <w:top w:val="single" w:color="auto" w:sz="4" w:space="0"/>
              <w:bottom w:val="single" w:color="auto" w:sz="4" w:space="0"/>
            </w:tcBorders>
            <w:vAlign w:val="center"/>
          </w:tcPr>
          <w:p w14:paraId="65D76B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A4EE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493262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738" w:type="pct"/>
            <w:vAlign w:val="center"/>
          </w:tcPr>
          <w:p w14:paraId="675BF5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自动面粉</w:t>
            </w:r>
          </w:p>
        </w:tc>
        <w:tc>
          <w:tcPr>
            <w:tcW w:w="743" w:type="pct"/>
            <w:vAlign w:val="center"/>
          </w:tcPr>
          <w:p w14:paraId="6D14CE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705" w:type="pct"/>
            <w:vAlign w:val="center"/>
          </w:tcPr>
          <w:p w14:paraId="197B95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71A843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2BB7D1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D51F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16080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738" w:type="pct"/>
            <w:vAlign w:val="center"/>
          </w:tcPr>
          <w:p w14:paraId="6E29E1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743" w:type="pct"/>
            <w:vAlign w:val="center"/>
          </w:tcPr>
          <w:p w14:paraId="269E01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705" w:type="pct"/>
            <w:vAlign w:val="center"/>
          </w:tcPr>
          <w:p w14:paraId="32036A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w:t>
            </w:r>
          </w:p>
        </w:tc>
        <w:tc>
          <w:tcPr>
            <w:tcW w:w="527" w:type="pct"/>
            <w:vAlign w:val="center"/>
          </w:tcPr>
          <w:p w14:paraId="7E6BD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1951" w:type="pct"/>
            <w:tcBorders>
              <w:top w:val="single" w:color="auto" w:sz="4" w:space="0"/>
              <w:bottom w:val="single" w:color="auto" w:sz="4" w:space="0"/>
            </w:tcBorders>
            <w:vAlign w:val="center"/>
          </w:tcPr>
          <w:p w14:paraId="4CEC77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42A3E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643EF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738" w:type="pct"/>
            <w:vAlign w:val="center"/>
          </w:tcPr>
          <w:p w14:paraId="729D7C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743" w:type="pct"/>
            <w:vAlign w:val="center"/>
          </w:tcPr>
          <w:p w14:paraId="329F23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705" w:type="pct"/>
            <w:vAlign w:val="center"/>
          </w:tcPr>
          <w:p w14:paraId="74E815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2DE484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51" w:type="pct"/>
            <w:tcBorders>
              <w:top w:val="single" w:color="auto" w:sz="4" w:space="0"/>
              <w:bottom w:val="single" w:color="auto" w:sz="4" w:space="0"/>
            </w:tcBorders>
            <w:vAlign w:val="center"/>
          </w:tcPr>
          <w:p w14:paraId="7498EF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2BD0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92ADB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738" w:type="pct"/>
            <w:vAlign w:val="center"/>
          </w:tcPr>
          <w:p w14:paraId="35AF87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遮蔽</w:t>
            </w:r>
          </w:p>
        </w:tc>
        <w:tc>
          <w:tcPr>
            <w:tcW w:w="743" w:type="pct"/>
            <w:vAlign w:val="center"/>
          </w:tcPr>
          <w:p w14:paraId="1453FD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6FED9B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5B09B2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51" w:type="pct"/>
            <w:tcBorders>
              <w:top w:val="single" w:color="auto" w:sz="4" w:space="0"/>
              <w:bottom w:val="single" w:color="auto" w:sz="4" w:space="0"/>
            </w:tcBorders>
            <w:vAlign w:val="center"/>
          </w:tcPr>
          <w:p w14:paraId="061901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5F8E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0A1AE05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738" w:type="pct"/>
            <w:vAlign w:val="center"/>
          </w:tcPr>
          <w:p w14:paraId="0A7ED4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喷面粉</w:t>
            </w:r>
          </w:p>
        </w:tc>
        <w:tc>
          <w:tcPr>
            <w:tcW w:w="743" w:type="pct"/>
            <w:vAlign w:val="center"/>
          </w:tcPr>
          <w:p w14:paraId="355DE8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645CC9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464C94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5F55E8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921E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2CF281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738" w:type="pct"/>
            <w:vAlign w:val="center"/>
          </w:tcPr>
          <w:p w14:paraId="61DF47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去遮蔽</w:t>
            </w:r>
          </w:p>
        </w:tc>
        <w:tc>
          <w:tcPr>
            <w:tcW w:w="743" w:type="pct"/>
            <w:vAlign w:val="center"/>
          </w:tcPr>
          <w:p w14:paraId="76F637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6CD161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571F7D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08343A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006F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549419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738" w:type="pct"/>
            <w:vAlign w:val="center"/>
          </w:tcPr>
          <w:p w14:paraId="0C403B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743" w:type="pct"/>
            <w:vAlign w:val="center"/>
          </w:tcPr>
          <w:p w14:paraId="16C128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705" w:type="pct"/>
            <w:vAlign w:val="center"/>
          </w:tcPr>
          <w:p w14:paraId="0B1FA9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w:t>
            </w:r>
          </w:p>
        </w:tc>
        <w:tc>
          <w:tcPr>
            <w:tcW w:w="527" w:type="pct"/>
            <w:vAlign w:val="center"/>
          </w:tcPr>
          <w:p w14:paraId="607662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1951" w:type="pct"/>
            <w:tcBorders>
              <w:top w:val="single" w:color="auto" w:sz="4" w:space="0"/>
              <w:bottom w:val="single" w:color="auto" w:sz="4" w:space="0"/>
            </w:tcBorders>
            <w:vAlign w:val="center"/>
          </w:tcPr>
          <w:p w14:paraId="6C0324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7C84A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333" w:type="pct"/>
            <w:vAlign w:val="center"/>
          </w:tcPr>
          <w:p w14:paraId="7C77605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738" w:type="pct"/>
            <w:vAlign w:val="center"/>
          </w:tcPr>
          <w:p w14:paraId="798C9B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743" w:type="pct"/>
            <w:vAlign w:val="center"/>
          </w:tcPr>
          <w:p w14:paraId="203A77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705" w:type="pct"/>
            <w:vAlign w:val="center"/>
          </w:tcPr>
          <w:p w14:paraId="01547E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55078B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39D544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5868010E">
      <w:pPr>
        <w:pStyle w:val="32"/>
        <w:spacing w:line="360" w:lineRule="auto"/>
        <w:ind w:left="0" w:leftChars="0" w:firstLine="480" w:firstLineChars="200"/>
        <w:outlineLvl w:val="2"/>
        <w:rPr>
          <w:rStyle w:val="198"/>
          <w:rFonts w:hint="default"/>
          <w:b w:val="0"/>
          <w:bCs/>
          <w:kern w:val="2"/>
          <w:lang w:val="en-US" w:eastAsia="zh-CN" w:bidi="ar-SA"/>
        </w:rPr>
      </w:pPr>
      <w:r>
        <w:rPr>
          <w:rStyle w:val="198"/>
          <w:rFonts w:hint="eastAsia"/>
          <w:b w:val="0"/>
          <w:bCs/>
          <w:kern w:val="2"/>
          <w:lang w:val="en-US" w:eastAsia="zh-CN" w:bidi="ar-SA"/>
        </w:rPr>
        <w:t>4、产线安全、环保、消防配置要求</w:t>
      </w:r>
    </w:p>
    <w:p w14:paraId="191F594E">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4.1电泳槽：电泳槽产生的VOC采用活性炭（采用双级，考虑进出口风管设置在线PID检测）吸附装置进行处理，排放浓度≤50mg/m3。</w:t>
      </w:r>
    </w:p>
    <w:p w14:paraId="2BB68C74">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4.2粉末固化采用催化焚烧(CO)装置进行收集处理，VOC排放浓度≤50mg/m3。</w:t>
      </w:r>
    </w:p>
    <w:p w14:paraId="09B4057D">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4.3烘干加热燃烧机采用低氮氧化物燃烧机，Nox排放浓度80mg/m3。</w:t>
      </w:r>
    </w:p>
    <w:p w14:paraId="5B477A09">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4.4新增的废气处理装置排放浓度及速率需满足DB37/2801.1－2018《山东省挥发性有机物排放标准 第1部分：汽车制造业》大气污染物排放标准要求，VOCs排放浓度≤50mg/m3, 排气筒高度≥15m。</w:t>
      </w:r>
    </w:p>
    <w:p w14:paraId="6D96589A">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4.5在每套处理装置处理前、处理后的管路和排气筒上分别设置符合环保法律法规要求规范化的检测口（孔径不低于φ100mm）、监测平台。监测口、监测平台的设置需符合《固定污染源检测技术规范 HJ/T 397-2007》、《固定污染源烟气排放连续监测系统技术要求及检测方法（试行）HJ/T 76-2007》要求。通向监测平台的梯子为斜扶梯，并满足招标方的相关要求。催化装置设置FID在线监测设备，相应的检测小屋由投标方负责。</w:t>
      </w:r>
    </w:p>
    <w:p w14:paraId="476E34B7">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4.6产线需配置DSC控制系统，满足招标方产线建设当地环保法规要求，并保证环保验收通过。</w:t>
      </w:r>
    </w:p>
    <w:p w14:paraId="6882227A">
      <w:pPr>
        <w:spacing w:line="360" w:lineRule="auto"/>
        <w:ind w:firstLine="480" w:firstLineChars="200"/>
        <w:rPr>
          <w:rFonts w:hint="eastAsia"/>
          <w:lang w:val="en-US" w:eastAsia="zh-CN"/>
        </w:rPr>
      </w:pPr>
      <w:r>
        <w:rPr>
          <w:rStyle w:val="198"/>
          <w:rFonts w:hint="eastAsia"/>
          <w:b w:val="0"/>
          <w:bCs/>
          <w:kern w:val="2"/>
          <w:lang w:val="en-US" w:eastAsia="zh-CN" w:bidi="ar-SA"/>
        </w:rPr>
        <w:t>4.7提供产线区域的爆炸危险区域划分图，满足招标方产线建设当地消防安全法规要求，确保消防安全验收通过。</w:t>
      </w:r>
    </w:p>
    <w:p w14:paraId="6572368F">
      <w:pPr>
        <w:pStyle w:val="196"/>
        <w:bidi w:val="0"/>
        <w:outlineLvl w:val="2"/>
        <w:rPr>
          <w:rFonts w:hint="default"/>
          <w:lang w:val="en-US" w:eastAsia="zh-CN"/>
        </w:rPr>
      </w:pPr>
      <w:r>
        <w:rPr>
          <w:rFonts w:hint="eastAsia"/>
          <w:lang w:val="en-US" w:eastAsia="zh-CN"/>
        </w:rPr>
        <w:t>5 技术要求</w:t>
      </w:r>
    </w:p>
    <w:p w14:paraId="404136B9">
      <w:pPr>
        <w:pStyle w:val="196"/>
        <w:bidi w:val="0"/>
        <w:outlineLvl w:val="3"/>
        <w:rPr>
          <w:rFonts w:hint="eastAsia" w:ascii="宋体" w:hAnsi="宋体" w:eastAsia="宋体" w:cs="宋体"/>
          <w:spacing w:val="-3"/>
          <w:sz w:val="24"/>
          <w:szCs w:val="24"/>
          <w:highlight w:val="none"/>
          <w:lang w:val="en-US" w:eastAsia="zh-CN"/>
        </w:rPr>
      </w:pPr>
      <w:r>
        <w:rPr>
          <w:rFonts w:hint="eastAsia"/>
          <w:lang w:val="en-US" w:eastAsia="zh-CN"/>
        </w:rPr>
        <w:t xml:space="preserve">5.1 </w:t>
      </w:r>
      <w:r>
        <w:rPr>
          <w:rFonts w:hint="eastAsia" w:ascii="宋体" w:hAnsi="宋体" w:eastAsia="宋体" w:cs="宋体"/>
          <w:spacing w:val="-3"/>
          <w:sz w:val="24"/>
          <w:szCs w:val="24"/>
          <w:highlight w:val="none"/>
        </w:rPr>
        <w:t>工件识别及跟踪</w:t>
      </w:r>
      <w:r>
        <w:rPr>
          <w:rFonts w:hint="eastAsia" w:ascii="宋体" w:hAnsi="宋体" w:eastAsia="宋体" w:cs="宋体"/>
          <w:spacing w:val="-3"/>
          <w:sz w:val="24"/>
          <w:szCs w:val="24"/>
          <w:highlight w:val="none"/>
          <w:lang w:val="en-US" w:eastAsia="zh-CN"/>
        </w:rPr>
        <w:t>模块</w:t>
      </w:r>
    </w:p>
    <w:p w14:paraId="20DD2CC7">
      <w:pPr>
        <w:pStyle w:val="14"/>
        <w:spacing w:line="360" w:lineRule="auto"/>
        <w:outlineLvl w:val="4"/>
        <w:rPr>
          <w:rStyle w:val="198"/>
          <w:rFonts w:hint="default"/>
          <w:b w:val="0"/>
          <w:bCs/>
          <w:kern w:val="2"/>
          <w:lang w:val="en-US" w:eastAsia="zh-CN" w:bidi="ar-SA"/>
        </w:rPr>
      </w:pPr>
      <w:r>
        <w:rPr>
          <w:rStyle w:val="198"/>
          <w:rFonts w:hint="eastAsia"/>
          <w:b w:val="0"/>
          <w:bCs/>
          <w:kern w:val="2"/>
          <w:lang w:val="en-US" w:eastAsia="zh-CN" w:bidi="ar-SA"/>
        </w:rPr>
        <w:t>5.1.1工件信息写入系统</w:t>
      </w:r>
    </w:p>
    <w:p w14:paraId="7D8A4772">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在上件区域设置工件信息写入站，将工件信息写入系统，信息包含工件型号、规格、并将工件信息上传至中控系统</w:t>
      </w:r>
    </w:p>
    <w:p w14:paraId="3CE3C99D">
      <w:pPr>
        <w:pStyle w:val="14"/>
        <w:spacing w:line="360" w:lineRule="auto"/>
        <w:outlineLvl w:val="4"/>
        <w:rPr>
          <w:rStyle w:val="198"/>
          <w:rFonts w:hint="eastAsia"/>
          <w:b w:val="0"/>
          <w:bCs/>
          <w:kern w:val="2"/>
          <w:lang w:val="en-US" w:eastAsia="zh-CN" w:bidi="ar-SA"/>
        </w:rPr>
      </w:pPr>
      <w:r>
        <w:rPr>
          <w:rStyle w:val="198"/>
          <w:rFonts w:hint="eastAsia"/>
          <w:b w:val="0"/>
          <w:bCs/>
          <w:kern w:val="2"/>
          <w:lang w:val="en-US" w:eastAsia="zh-CN" w:bidi="ar-SA"/>
        </w:rPr>
        <w:t>5.1.2 读写站</w:t>
      </w:r>
    </w:p>
    <w:p w14:paraId="09BA66C7">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 xml:space="preserve">读写站位置设置：至少需覆盖上件工位、喷粉前、下件等工位。  </w:t>
      </w:r>
    </w:p>
    <w:p w14:paraId="459BFB69">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自动喷粉前可读取工件信息，并将工件信息传递给喷涂系统控制柜，用于该工位调取对应相关程序等信息。其余工位读写站的设置由投标方按需求自行设置以全线满足信息化要求。</w:t>
      </w:r>
    </w:p>
    <w:p w14:paraId="0C08B301">
      <w:pPr>
        <w:pStyle w:val="14"/>
        <w:spacing w:line="360" w:lineRule="auto"/>
        <w:outlineLvl w:val="4"/>
        <w:rPr>
          <w:rStyle w:val="198"/>
          <w:rFonts w:hint="eastAsia"/>
          <w:b w:val="0"/>
          <w:bCs/>
          <w:kern w:val="2"/>
          <w:lang w:val="en-US" w:eastAsia="zh-CN" w:bidi="ar-SA"/>
        </w:rPr>
      </w:pPr>
      <w:r>
        <w:rPr>
          <w:rStyle w:val="198"/>
          <w:rFonts w:hint="eastAsia"/>
          <w:b w:val="0"/>
          <w:bCs/>
          <w:kern w:val="2"/>
          <w:lang w:val="en-US" w:eastAsia="zh-CN" w:bidi="ar-SA"/>
        </w:rPr>
        <w:t>5.1.3 吊具设计</w:t>
      </w:r>
    </w:p>
    <w:p w14:paraId="01749BE1">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吊具需要有足够的强度且满足工件最大重量需求，且尽量减少对工件的遮挡，吊具需要进行承重测试。吊具设计尽量通用化，采用一种吊具满足多种产品的吊挂需求。投标方需根据工件实际情况进行吊具的详细设计，一、二次吊具的制造及调试工作均由投标方负责。</w:t>
      </w:r>
    </w:p>
    <w:p w14:paraId="58C110D3">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写入载码体的吊具编号、工件信息、工件吊挂等信息，具体字节编号投标方需于招标方协商确认。载码体需要有足够的强度且耐温良好，高频抗金属，长期使用不易变形，并采取必要的防护措施，载码体需要读写系统匹配良好，信息易于读取且数据可靠。</w:t>
      </w:r>
    </w:p>
    <w:p w14:paraId="75F9C15B">
      <w:pPr>
        <w:pStyle w:val="14"/>
        <w:spacing w:line="360" w:lineRule="auto"/>
        <w:outlineLvl w:val="3"/>
        <w:rPr>
          <w:rStyle w:val="198"/>
          <w:rFonts w:hint="eastAsia"/>
          <w:b w:val="0"/>
          <w:bCs/>
          <w:kern w:val="2"/>
          <w:lang w:val="en-US" w:eastAsia="zh-CN" w:bidi="ar-SA"/>
        </w:rPr>
      </w:pPr>
      <w:r>
        <w:rPr>
          <w:rStyle w:val="198"/>
          <w:rFonts w:hint="eastAsia"/>
          <w:b w:val="0"/>
          <w:bCs/>
          <w:kern w:val="2"/>
          <w:lang w:val="en-US" w:eastAsia="zh-CN" w:bidi="ar-SA"/>
        </w:rPr>
        <w:t>5.2焊接至抛丸EMS输送</w:t>
      </w:r>
    </w:p>
    <w:p w14:paraId="51896A78">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5.2.1基本要求</w:t>
      </w:r>
    </w:p>
    <w:p w14:paraId="6E8A20AA">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焊接至抛丸部分输送采用EMS输送方式，输送机葫芦底部设有承载轨道，将涂装主线空吊输送至焊接上件端进行组挂上件后送至存储工位，焊后存储量不小于20台车架存储，同时设有空吊具快速通道，可兼顾上装类产品在抛丸前直接上件。</w:t>
      </w:r>
    </w:p>
    <w:p w14:paraId="714806CE">
      <w:pPr>
        <w:pStyle w:val="14"/>
        <w:spacing w:line="360" w:lineRule="auto"/>
        <w:outlineLvl w:val="5"/>
        <w:rPr>
          <w:rStyle w:val="198"/>
          <w:rFonts w:hint="default"/>
          <w:b w:val="0"/>
          <w:bCs/>
          <w:kern w:val="2"/>
          <w:lang w:val="en-US" w:eastAsia="zh-CN" w:bidi="ar-SA"/>
        </w:rPr>
      </w:pPr>
      <w:r>
        <w:rPr>
          <w:rStyle w:val="198"/>
          <w:rFonts w:hint="eastAsia"/>
          <w:b w:val="0"/>
          <w:bCs/>
          <w:kern w:val="2"/>
          <w:lang w:val="en-US" w:eastAsia="zh-CN" w:bidi="ar-SA"/>
        </w:rPr>
        <w:t>5.2.2 设备负载及尺寸要求</w:t>
      </w:r>
    </w:p>
    <w:p w14:paraId="04873065">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设备额定载重满足产品需求；尺寸通过性需满足现有产品最大工件尺寸：</w:t>
      </w:r>
    </w:p>
    <w:p w14:paraId="515850CE">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5.2.3 技术参数</w:t>
      </w:r>
    </w:p>
    <w:p w14:paraId="29764259">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采用EMS输送方式。葫芦升降高度及载重量：根据使用要求由投标方设计确定。输送运行速度的确定，投标方需综合考虑工作效率，并尽可能减少工件在运行时的摆幅，运行速度变频可调。输送配置符合产线缓存需求的自行小车数量，保证产线存储转运生产。线路为环形布置，全线共有1个上件工位、1个下件工位和1个转件工位，道岔按需求增设。</w:t>
      </w:r>
    </w:p>
    <w:p w14:paraId="0ECE171E">
      <w:pPr>
        <w:pStyle w:val="14"/>
        <w:spacing w:line="360" w:lineRule="auto"/>
        <w:outlineLvl w:val="9"/>
        <w:rPr>
          <w:rStyle w:val="198"/>
          <w:rFonts w:hint="eastAsia"/>
          <w:b w:val="0"/>
          <w:bCs/>
          <w:kern w:val="2"/>
          <w:lang w:val="en-US" w:eastAsia="zh-CN" w:bidi="ar-SA"/>
        </w:rPr>
      </w:pPr>
      <w:r>
        <w:rPr>
          <w:rStyle w:val="198"/>
          <w:rFonts w:hint="eastAsia"/>
          <w:b w:val="0"/>
          <w:bCs/>
          <w:kern w:val="2"/>
          <w:lang w:val="en-US" w:eastAsia="zh-CN" w:bidi="ar-SA"/>
        </w:rPr>
        <w:t xml:space="preserve">   采用质量优良电机减速机作为传动机构，该传动机构结构紧凑，性能可靠，运转平稳，停车定位准确。</w:t>
      </w:r>
    </w:p>
    <w:p w14:paraId="425C1AAA">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5.2.4输送轨道</w:t>
      </w:r>
    </w:p>
    <w:p w14:paraId="22037D13">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自行小车转运线都采用工字钢作为运行轨道。轨道的安装是利用联接板通过螺栓进行积木式拼装，将其悬吊于工字钢辅梁下面，使其达到所需的线路布置形式，安装方便。</w:t>
      </w:r>
    </w:p>
    <w:p w14:paraId="7AE200D7">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5.2.5集电装置</w:t>
      </w:r>
    </w:p>
    <w:p w14:paraId="03DB1C62">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集电装置包括滑触线，滑触线固定支架，导电刷，电刷支座及信号线。滑触线既保证集电接触良好，又耐磨，耐腐蚀，耐短时高温。</w:t>
      </w:r>
    </w:p>
    <w:p w14:paraId="4217A8B2">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5.2.6电控方案</w:t>
      </w:r>
    </w:p>
    <w:p w14:paraId="35EBA788">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电气控制系统主要由：电源单元、中央控制单元（PLC）、集电单元、电动小车、电动葫芦、手动按钮站、信号采集单元等构成。配置中控操作台；在主控柜面板上布置有设备总控用的开关、按钮、指示灯。配置信号采集单元，自行小车运行在各工位，必须对其运行的位置进行检测。故应设置到位检测信号。葫芦在升、降时，应设置上限位检测信号。各工位处在故障状态时需将各类故障信号采集。</w:t>
      </w:r>
    </w:p>
    <w:p w14:paraId="71F65794">
      <w:pPr>
        <w:pStyle w:val="14"/>
        <w:spacing w:line="360" w:lineRule="auto"/>
        <w:outlineLvl w:val="5"/>
        <w:rPr>
          <w:rStyle w:val="198"/>
          <w:rFonts w:hint="default"/>
          <w:b w:val="0"/>
          <w:bCs/>
          <w:kern w:val="2"/>
          <w:lang w:val="en-US" w:eastAsia="zh-CN" w:bidi="ar-SA"/>
        </w:rPr>
      </w:pPr>
      <w:r>
        <w:rPr>
          <w:rStyle w:val="198"/>
          <w:rFonts w:hint="eastAsia"/>
          <w:b w:val="0"/>
          <w:bCs/>
          <w:kern w:val="2"/>
          <w:lang w:val="en-US" w:eastAsia="zh-CN" w:bidi="ar-SA"/>
        </w:rPr>
        <w:t>5.2.7控制模式</w:t>
      </w:r>
    </w:p>
    <w:p w14:paraId="6493AA7D">
      <w:pPr>
        <w:pStyle w:val="14"/>
        <w:spacing w:line="360" w:lineRule="auto"/>
        <w:outlineLvl w:val="9"/>
        <w:rPr>
          <w:rStyle w:val="198"/>
          <w:rFonts w:hint="eastAsia"/>
          <w:b w:val="0"/>
          <w:bCs/>
          <w:kern w:val="2"/>
          <w:lang w:val="en-US" w:eastAsia="zh-CN" w:bidi="ar-SA"/>
        </w:rPr>
      </w:pPr>
      <w:r>
        <w:rPr>
          <w:rStyle w:val="198"/>
          <w:rFonts w:hint="eastAsia"/>
          <w:b w:val="0"/>
          <w:bCs/>
          <w:kern w:val="2"/>
          <w:lang w:val="en-US" w:eastAsia="zh-CN" w:bidi="ar-SA"/>
        </w:rPr>
        <w:t xml:space="preserve">     自行小车在上，下件及各工艺工位和维修工位均设有手动操作按钮站，主要用于工位升、降和进车的操作。除设置完成工作指令必须的按钮外，还配有设备运行指示灯及生产线出现紧急情况下的紧急停止按钮。能完成小车前进、葫芦升、葫芦降等动作。在上下件工位均增设无线遥控器，方便工人在吊挂和卸载工件时操作。  </w:t>
      </w:r>
    </w:p>
    <w:p w14:paraId="10006AF5">
      <w:pPr>
        <w:pStyle w:val="14"/>
        <w:spacing w:line="360" w:lineRule="auto"/>
        <w:outlineLvl w:val="5"/>
        <w:rPr>
          <w:rStyle w:val="198"/>
          <w:rFonts w:hint="default"/>
          <w:b w:val="0"/>
          <w:bCs/>
          <w:kern w:val="2"/>
          <w:lang w:val="en-US" w:eastAsia="zh-CN" w:bidi="ar-SA"/>
        </w:rPr>
      </w:pPr>
      <w:r>
        <w:rPr>
          <w:rStyle w:val="198"/>
          <w:rFonts w:hint="eastAsia"/>
          <w:b w:val="0"/>
          <w:bCs/>
          <w:kern w:val="2"/>
          <w:lang w:val="en-US" w:eastAsia="zh-CN" w:bidi="ar-SA"/>
        </w:rPr>
        <w:t>5.2.7中控操作</w:t>
      </w:r>
    </w:p>
    <w:p w14:paraId="4950F61E">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输送系统中控至少应包含以下功能模块：工艺区程序控制模块；返回区、积放区程序控制模块；维修区程序控制模块；故障检测、报警、处理程序模块，能够及时地自动检测、自动报警，便于操作人员及时发现故障和迅速排除故障。</w:t>
      </w:r>
    </w:p>
    <w:p w14:paraId="648FB880">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5.2.8自行葫芦输送系统钢结构</w:t>
      </w:r>
    </w:p>
    <w:p w14:paraId="78A5FFF5">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输送机主要立柱及横梁采用H型钢制作。设置检修走台并采用钢板网。</w:t>
      </w:r>
    </w:p>
    <w:p w14:paraId="321A3429">
      <w:pPr>
        <w:pStyle w:val="14"/>
        <w:spacing w:line="360" w:lineRule="auto"/>
        <w:outlineLvl w:val="3"/>
        <w:rPr>
          <w:rStyle w:val="198"/>
          <w:rFonts w:hint="eastAsia"/>
          <w:b w:val="0"/>
          <w:bCs/>
          <w:kern w:val="2"/>
          <w:lang w:val="en-US" w:eastAsia="zh-CN" w:bidi="ar-SA"/>
        </w:rPr>
      </w:pPr>
      <w:r>
        <w:rPr>
          <w:rStyle w:val="198"/>
          <w:rFonts w:hint="eastAsia"/>
          <w:b w:val="0"/>
          <w:bCs/>
          <w:kern w:val="2"/>
          <w:lang w:val="en-US" w:eastAsia="zh-CN" w:bidi="ar-SA"/>
        </w:rPr>
        <w:t>5.3通过式抛丸设备</w:t>
      </w:r>
    </w:p>
    <w:p w14:paraId="2D6726CB">
      <w:pPr>
        <w:pStyle w:val="14"/>
        <w:spacing w:line="360" w:lineRule="auto"/>
        <w:outlineLvl w:val="4"/>
        <w:rPr>
          <w:rStyle w:val="198"/>
          <w:rFonts w:hint="eastAsia"/>
          <w:b w:val="0"/>
          <w:bCs/>
          <w:kern w:val="2"/>
          <w:lang w:val="en-US" w:eastAsia="zh-CN" w:bidi="ar-SA"/>
        </w:rPr>
      </w:pPr>
      <w:r>
        <w:rPr>
          <w:rStyle w:val="198"/>
          <w:rFonts w:hint="eastAsia"/>
          <w:b w:val="0"/>
          <w:bCs/>
          <w:kern w:val="2"/>
          <w:lang w:val="en-US" w:eastAsia="zh-CN" w:bidi="ar-SA"/>
        </w:rPr>
        <w:t>5.3.1总体说明</w:t>
      </w:r>
    </w:p>
    <w:p w14:paraId="57D9834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本抛丸线主要用于半挂车架、半挂罐车、自卸车箱、副车架等的表面清理任务。</w:t>
      </w:r>
    </w:p>
    <w:p w14:paraId="67161C3C">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抛丸室主要由前后密封室体、抛丸室体、抛丸器、弹丸循环系统、通风除尘系统、底部结构、电控系统等部分组成。清理室主要由清理室体、通风除尘系统、底部结构、照明装置等组成。</w:t>
      </w:r>
    </w:p>
    <w:p w14:paraId="38673CB4">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通过式抛丸设备为单行程悬挂式抛、喷丸清理机，采用积放式悬挂输送机输送工件，自动抛丸清理，并通过喷丸室对抛丸清理后的工件进行检验及补喷丸作业。工件吊挂完毕后，启动积放式悬挂输送机运载工件进入前部密封室，当工件完全进入前密封室后，清理室大门自动关闭。抛丸器依次启动后弹丸闸门开启，工件通过抛射区，利用高速弹丸对工件表面进行抛丸清理。工件完全离开抛射区后弹丸闸门关闭，抛丸器空转运行。工件继续前进，经过后密封室，在喷丸室内对工件进行大倒度倒砂、检查和补喷。在清理室对工件进行吹灰及清砂完成抛喷丸作业后工件进入后续工艺。</w:t>
      </w:r>
    </w:p>
    <w:p w14:paraId="375A3057">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5.3.2抛丸室</w:t>
      </w:r>
    </w:p>
    <w:tbl>
      <w:tblPr>
        <w:tblStyle w:val="41"/>
        <w:tblW w:w="9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
        <w:gridCol w:w="1538"/>
        <w:gridCol w:w="1056"/>
        <w:gridCol w:w="2828"/>
        <w:gridCol w:w="3358"/>
      </w:tblGrid>
      <w:tr w14:paraId="43B5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50ACD2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38" w:type="dxa"/>
            <w:shd w:val="clear" w:color="auto" w:fill="auto"/>
            <w:vAlign w:val="center"/>
          </w:tcPr>
          <w:p w14:paraId="223549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项目名称</w:t>
            </w:r>
          </w:p>
        </w:tc>
        <w:tc>
          <w:tcPr>
            <w:tcW w:w="1056" w:type="dxa"/>
            <w:shd w:val="clear" w:color="auto" w:fill="auto"/>
            <w:vAlign w:val="center"/>
          </w:tcPr>
          <w:p w14:paraId="572789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单位</w:t>
            </w:r>
          </w:p>
        </w:tc>
        <w:tc>
          <w:tcPr>
            <w:tcW w:w="2828" w:type="dxa"/>
            <w:shd w:val="clear" w:color="auto" w:fill="auto"/>
            <w:vAlign w:val="center"/>
          </w:tcPr>
          <w:p w14:paraId="22BD78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数据</w:t>
            </w:r>
          </w:p>
        </w:tc>
        <w:tc>
          <w:tcPr>
            <w:tcW w:w="3358" w:type="dxa"/>
            <w:shd w:val="clear" w:color="auto" w:fill="auto"/>
            <w:vAlign w:val="center"/>
          </w:tcPr>
          <w:p w14:paraId="7BE2F2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3700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C1D1F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38" w:type="dxa"/>
            <w:shd w:val="clear" w:color="auto" w:fill="auto"/>
            <w:vAlign w:val="center"/>
          </w:tcPr>
          <w:p w14:paraId="4C3B3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抛丸室体</w:t>
            </w:r>
          </w:p>
        </w:tc>
        <w:tc>
          <w:tcPr>
            <w:tcW w:w="1056" w:type="dxa"/>
            <w:shd w:val="clear" w:color="auto" w:fill="auto"/>
            <w:vAlign w:val="center"/>
          </w:tcPr>
          <w:p w14:paraId="6BE5F1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w:t>
            </w:r>
          </w:p>
        </w:tc>
        <w:tc>
          <w:tcPr>
            <w:tcW w:w="2828" w:type="dxa"/>
            <w:shd w:val="clear" w:color="auto" w:fill="auto"/>
            <w:vAlign w:val="center"/>
          </w:tcPr>
          <w:p w14:paraId="5F83E1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设计时确定</w:t>
            </w:r>
          </w:p>
        </w:tc>
        <w:tc>
          <w:tcPr>
            <w:tcW w:w="3358" w:type="dxa"/>
            <w:shd w:val="clear" w:color="auto" w:fill="auto"/>
            <w:vAlign w:val="center"/>
          </w:tcPr>
          <w:p w14:paraId="13A47F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内腔</w:t>
            </w:r>
          </w:p>
        </w:tc>
      </w:tr>
      <w:tr w14:paraId="037AC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4BBEB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38" w:type="dxa"/>
            <w:shd w:val="clear" w:color="auto" w:fill="auto"/>
            <w:vAlign w:val="center"/>
          </w:tcPr>
          <w:p w14:paraId="14D330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抛丸器数量</w:t>
            </w:r>
          </w:p>
        </w:tc>
        <w:tc>
          <w:tcPr>
            <w:tcW w:w="1056" w:type="dxa"/>
            <w:shd w:val="clear" w:color="auto" w:fill="auto"/>
            <w:vAlign w:val="center"/>
          </w:tcPr>
          <w:p w14:paraId="432592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个</w:t>
            </w:r>
          </w:p>
        </w:tc>
        <w:tc>
          <w:tcPr>
            <w:tcW w:w="2828" w:type="dxa"/>
            <w:shd w:val="clear" w:color="auto" w:fill="auto"/>
            <w:vAlign w:val="center"/>
          </w:tcPr>
          <w:p w14:paraId="3456A1D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按产品设计</w:t>
            </w:r>
          </w:p>
        </w:tc>
        <w:tc>
          <w:tcPr>
            <w:tcW w:w="3358" w:type="dxa"/>
            <w:shd w:val="clear" w:color="auto" w:fill="auto"/>
            <w:vAlign w:val="center"/>
          </w:tcPr>
          <w:p w14:paraId="787B9C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2A9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723AD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38" w:type="dxa"/>
            <w:shd w:val="clear" w:color="auto" w:fill="auto"/>
            <w:vAlign w:val="center"/>
          </w:tcPr>
          <w:p w14:paraId="0A888A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抛丸器抛射量</w:t>
            </w:r>
          </w:p>
        </w:tc>
        <w:tc>
          <w:tcPr>
            <w:tcW w:w="1056" w:type="dxa"/>
            <w:shd w:val="clear" w:color="auto" w:fill="auto"/>
            <w:vAlign w:val="center"/>
          </w:tcPr>
          <w:p w14:paraId="6442AA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kg/min</w:t>
            </w:r>
          </w:p>
        </w:tc>
        <w:tc>
          <w:tcPr>
            <w:tcW w:w="2828" w:type="dxa"/>
            <w:shd w:val="clear" w:color="auto" w:fill="auto"/>
            <w:vAlign w:val="center"/>
          </w:tcPr>
          <w:p w14:paraId="19A77F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设计时确定</w:t>
            </w:r>
          </w:p>
        </w:tc>
        <w:tc>
          <w:tcPr>
            <w:tcW w:w="3358" w:type="dxa"/>
            <w:shd w:val="clear" w:color="auto" w:fill="auto"/>
            <w:vAlign w:val="center"/>
          </w:tcPr>
          <w:p w14:paraId="31B3F3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变频可调</w:t>
            </w:r>
          </w:p>
        </w:tc>
      </w:tr>
      <w:tr w14:paraId="4AA8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5FF70D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38" w:type="dxa"/>
            <w:shd w:val="clear" w:color="auto" w:fill="auto"/>
            <w:vAlign w:val="center"/>
          </w:tcPr>
          <w:p w14:paraId="05DAE2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工件通过速度</w:t>
            </w:r>
          </w:p>
        </w:tc>
        <w:tc>
          <w:tcPr>
            <w:tcW w:w="1056" w:type="dxa"/>
            <w:shd w:val="clear" w:color="auto" w:fill="auto"/>
            <w:vAlign w:val="center"/>
          </w:tcPr>
          <w:p w14:paraId="75F680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m/min</w:t>
            </w:r>
          </w:p>
        </w:tc>
        <w:tc>
          <w:tcPr>
            <w:tcW w:w="2828" w:type="dxa"/>
            <w:shd w:val="clear" w:color="auto" w:fill="auto"/>
            <w:vAlign w:val="center"/>
          </w:tcPr>
          <w:p w14:paraId="5FBC5C9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按产品设计</w:t>
            </w:r>
          </w:p>
        </w:tc>
        <w:tc>
          <w:tcPr>
            <w:tcW w:w="3358" w:type="dxa"/>
            <w:shd w:val="clear" w:color="auto" w:fill="auto"/>
            <w:vAlign w:val="center"/>
          </w:tcPr>
          <w:p w14:paraId="03E519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变频可调</w:t>
            </w:r>
          </w:p>
        </w:tc>
      </w:tr>
      <w:tr w14:paraId="6E16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03" w:type="dxa"/>
            <w:shd w:val="clear" w:color="auto" w:fill="auto"/>
            <w:vAlign w:val="center"/>
          </w:tcPr>
          <w:p w14:paraId="35240F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38" w:type="dxa"/>
            <w:shd w:val="clear" w:color="auto" w:fill="auto"/>
            <w:vAlign w:val="center"/>
          </w:tcPr>
          <w:p w14:paraId="567CEA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清理效果</w:t>
            </w:r>
          </w:p>
        </w:tc>
        <w:tc>
          <w:tcPr>
            <w:tcW w:w="1056" w:type="dxa"/>
            <w:shd w:val="clear" w:color="auto" w:fill="auto"/>
            <w:vAlign w:val="center"/>
          </w:tcPr>
          <w:p w14:paraId="0946B8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28" w:type="dxa"/>
            <w:shd w:val="clear" w:color="auto" w:fill="auto"/>
            <w:vAlign w:val="center"/>
          </w:tcPr>
          <w:p w14:paraId="258528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清理等级Sa2.5</w:t>
            </w:r>
          </w:p>
        </w:tc>
        <w:tc>
          <w:tcPr>
            <w:tcW w:w="3358" w:type="dxa"/>
            <w:shd w:val="clear" w:color="auto" w:fill="auto"/>
            <w:vAlign w:val="center"/>
          </w:tcPr>
          <w:p w14:paraId="51AB73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GB8923</w:t>
            </w:r>
          </w:p>
        </w:tc>
      </w:tr>
      <w:tr w14:paraId="4322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40DAD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38" w:type="dxa"/>
            <w:shd w:val="clear" w:color="auto" w:fill="auto"/>
            <w:vAlign w:val="center"/>
          </w:tcPr>
          <w:p w14:paraId="52038B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环境粉尘浓度</w:t>
            </w:r>
          </w:p>
        </w:tc>
        <w:tc>
          <w:tcPr>
            <w:tcW w:w="1056" w:type="dxa"/>
            <w:shd w:val="clear" w:color="auto" w:fill="auto"/>
            <w:vAlign w:val="center"/>
          </w:tcPr>
          <w:p w14:paraId="6FE444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mg/m³</w:t>
            </w:r>
          </w:p>
        </w:tc>
        <w:tc>
          <w:tcPr>
            <w:tcW w:w="2828" w:type="dxa"/>
            <w:shd w:val="clear" w:color="auto" w:fill="auto"/>
            <w:vAlign w:val="center"/>
          </w:tcPr>
          <w:p w14:paraId="7290EA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3358" w:type="dxa"/>
            <w:shd w:val="clear" w:color="auto" w:fill="auto"/>
            <w:vAlign w:val="center"/>
          </w:tcPr>
          <w:p w14:paraId="1C303F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6BA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9142C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538" w:type="dxa"/>
            <w:shd w:val="clear" w:color="auto" w:fill="auto"/>
            <w:vAlign w:val="center"/>
          </w:tcPr>
          <w:p w14:paraId="4B6C19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设备除尘效率</w:t>
            </w:r>
          </w:p>
        </w:tc>
        <w:tc>
          <w:tcPr>
            <w:tcW w:w="1056" w:type="dxa"/>
            <w:shd w:val="clear" w:color="auto" w:fill="auto"/>
            <w:vAlign w:val="center"/>
          </w:tcPr>
          <w:p w14:paraId="07A3EB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133AFC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≥99.5%</w:t>
            </w:r>
          </w:p>
        </w:tc>
        <w:tc>
          <w:tcPr>
            <w:tcW w:w="3358" w:type="dxa"/>
            <w:shd w:val="clear" w:color="auto" w:fill="auto"/>
            <w:vAlign w:val="center"/>
          </w:tcPr>
          <w:p w14:paraId="1D4D63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排放浓度：有组织排放≤10mg/m3</w:t>
            </w:r>
          </w:p>
        </w:tc>
      </w:tr>
      <w:tr w14:paraId="44B8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495532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538" w:type="dxa"/>
            <w:shd w:val="clear" w:color="auto" w:fill="auto"/>
            <w:vAlign w:val="center"/>
          </w:tcPr>
          <w:p w14:paraId="1A664A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设备噪声</w:t>
            </w:r>
          </w:p>
        </w:tc>
        <w:tc>
          <w:tcPr>
            <w:tcW w:w="1056" w:type="dxa"/>
            <w:shd w:val="clear" w:color="auto" w:fill="auto"/>
            <w:vAlign w:val="center"/>
          </w:tcPr>
          <w:p w14:paraId="4A0D05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dB</w:t>
            </w:r>
          </w:p>
        </w:tc>
        <w:tc>
          <w:tcPr>
            <w:tcW w:w="2828" w:type="dxa"/>
            <w:shd w:val="clear" w:color="auto" w:fill="auto"/>
            <w:vAlign w:val="center"/>
          </w:tcPr>
          <w:p w14:paraId="000F5E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≤85</w:t>
            </w:r>
          </w:p>
        </w:tc>
        <w:tc>
          <w:tcPr>
            <w:tcW w:w="3358" w:type="dxa"/>
            <w:shd w:val="clear" w:color="auto" w:fill="auto"/>
            <w:vAlign w:val="center"/>
          </w:tcPr>
          <w:p w14:paraId="2D0BF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国标测试，抛丸区设置消音室</w:t>
            </w:r>
          </w:p>
        </w:tc>
      </w:tr>
      <w:tr w14:paraId="044C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0D9CDA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538" w:type="dxa"/>
            <w:shd w:val="clear" w:color="auto" w:fill="auto"/>
            <w:vAlign w:val="center"/>
          </w:tcPr>
          <w:p w14:paraId="641A4B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输送方式</w:t>
            </w:r>
          </w:p>
        </w:tc>
        <w:tc>
          <w:tcPr>
            <w:tcW w:w="1056" w:type="dxa"/>
            <w:shd w:val="clear" w:color="auto" w:fill="auto"/>
            <w:vAlign w:val="center"/>
          </w:tcPr>
          <w:p w14:paraId="29E052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28" w:type="dxa"/>
            <w:shd w:val="clear" w:color="auto" w:fill="auto"/>
            <w:vAlign w:val="center"/>
          </w:tcPr>
          <w:p w14:paraId="2F0EF8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吊挂通过式</w:t>
            </w:r>
          </w:p>
        </w:tc>
        <w:tc>
          <w:tcPr>
            <w:tcW w:w="3358" w:type="dxa"/>
            <w:shd w:val="clear" w:color="auto" w:fill="auto"/>
            <w:vAlign w:val="center"/>
          </w:tcPr>
          <w:p w14:paraId="055AFB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248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6A28B4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538" w:type="dxa"/>
            <w:shd w:val="clear" w:color="auto" w:fill="auto"/>
            <w:vAlign w:val="center"/>
          </w:tcPr>
          <w:p w14:paraId="488526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工作负荷率</w:t>
            </w:r>
          </w:p>
        </w:tc>
        <w:tc>
          <w:tcPr>
            <w:tcW w:w="1056" w:type="dxa"/>
            <w:shd w:val="clear" w:color="auto" w:fill="auto"/>
            <w:vAlign w:val="center"/>
          </w:tcPr>
          <w:p w14:paraId="30FDC9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2F4DA9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95</w:t>
            </w:r>
          </w:p>
        </w:tc>
        <w:tc>
          <w:tcPr>
            <w:tcW w:w="3358" w:type="dxa"/>
            <w:shd w:val="clear" w:color="auto" w:fill="auto"/>
            <w:vAlign w:val="center"/>
          </w:tcPr>
          <w:p w14:paraId="43FA8E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9DA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1E7F4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1538" w:type="dxa"/>
            <w:shd w:val="clear" w:color="auto" w:fill="auto"/>
            <w:vAlign w:val="center"/>
          </w:tcPr>
          <w:p w14:paraId="3CF0EF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除尘风量</w:t>
            </w:r>
          </w:p>
        </w:tc>
        <w:tc>
          <w:tcPr>
            <w:tcW w:w="1056" w:type="dxa"/>
            <w:shd w:val="clear" w:color="auto" w:fill="auto"/>
            <w:vAlign w:val="center"/>
          </w:tcPr>
          <w:p w14:paraId="1C0088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m³/h</w:t>
            </w:r>
          </w:p>
        </w:tc>
        <w:tc>
          <w:tcPr>
            <w:tcW w:w="2828" w:type="dxa"/>
            <w:shd w:val="clear" w:color="auto" w:fill="auto"/>
            <w:vAlign w:val="center"/>
          </w:tcPr>
          <w:p w14:paraId="066785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投标方设计确定</w:t>
            </w:r>
          </w:p>
        </w:tc>
        <w:tc>
          <w:tcPr>
            <w:tcW w:w="3358" w:type="dxa"/>
            <w:shd w:val="clear" w:color="auto" w:fill="auto"/>
            <w:vAlign w:val="center"/>
          </w:tcPr>
          <w:p w14:paraId="2331F6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含清理室</w:t>
            </w:r>
          </w:p>
        </w:tc>
      </w:tr>
      <w:tr w14:paraId="077B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844C4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1538" w:type="dxa"/>
            <w:shd w:val="clear" w:color="auto" w:fill="auto"/>
            <w:vAlign w:val="center"/>
          </w:tcPr>
          <w:p w14:paraId="3FD084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表面粗糙度</w:t>
            </w:r>
          </w:p>
        </w:tc>
        <w:tc>
          <w:tcPr>
            <w:tcW w:w="1056" w:type="dxa"/>
            <w:shd w:val="clear" w:color="auto" w:fill="auto"/>
            <w:vAlign w:val="center"/>
          </w:tcPr>
          <w:p w14:paraId="483038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Ra μm</w:t>
            </w:r>
          </w:p>
        </w:tc>
        <w:tc>
          <w:tcPr>
            <w:tcW w:w="2828" w:type="dxa"/>
            <w:shd w:val="clear" w:color="auto" w:fill="auto"/>
            <w:vAlign w:val="center"/>
          </w:tcPr>
          <w:p w14:paraId="25BA574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w:t>
            </w:r>
          </w:p>
        </w:tc>
        <w:tc>
          <w:tcPr>
            <w:tcW w:w="3358" w:type="dxa"/>
            <w:shd w:val="clear" w:color="auto" w:fill="auto"/>
            <w:vAlign w:val="center"/>
          </w:tcPr>
          <w:p w14:paraId="608FA7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188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67ED7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1538" w:type="dxa"/>
            <w:shd w:val="clear" w:color="auto" w:fill="auto"/>
            <w:vAlign w:val="center"/>
          </w:tcPr>
          <w:p w14:paraId="3D73FC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板材</w:t>
            </w:r>
          </w:p>
        </w:tc>
        <w:tc>
          <w:tcPr>
            <w:tcW w:w="1056" w:type="dxa"/>
            <w:shd w:val="clear" w:color="auto" w:fill="auto"/>
            <w:vAlign w:val="center"/>
          </w:tcPr>
          <w:p w14:paraId="35F29F0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5271880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投标方设计确定</w:t>
            </w:r>
          </w:p>
        </w:tc>
        <w:tc>
          <w:tcPr>
            <w:tcW w:w="3358" w:type="dxa"/>
            <w:shd w:val="clear" w:color="auto" w:fill="auto"/>
            <w:vAlign w:val="center"/>
          </w:tcPr>
          <w:p w14:paraId="462D2E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C7B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081FD4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1538" w:type="dxa"/>
            <w:shd w:val="clear" w:color="auto" w:fill="auto"/>
            <w:vAlign w:val="center"/>
          </w:tcPr>
          <w:p w14:paraId="127BF0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抛丸有效面积</w:t>
            </w:r>
          </w:p>
        </w:tc>
        <w:tc>
          <w:tcPr>
            <w:tcW w:w="1056" w:type="dxa"/>
            <w:shd w:val="clear" w:color="auto" w:fill="auto"/>
            <w:vAlign w:val="center"/>
          </w:tcPr>
          <w:p w14:paraId="5024547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687D3C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外表面≥95%</w:t>
            </w:r>
          </w:p>
        </w:tc>
        <w:tc>
          <w:tcPr>
            <w:tcW w:w="3358" w:type="dxa"/>
            <w:shd w:val="clear" w:color="auto" w:fill="auto"/>
            <w:vAlign w:val="center"/>
          </w:tcPr>
          <w:p w14:paraId="628A0D7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default" w:ascii="仿宋" w:hAnsi="仿宋" w:eastAsia="仿宋" w:cs="仿宋"/>
                <w:b w:val="0"/>
                <w:bCs w:val="0"/>
                <w:kern w:val="2"/>
                <w:sz w:val="24"/>
                <w:szCs w:val="24"/>
                <w:lang w:val="en-US" w:eastAsia="zh-CN" w:bidi="ar"/>
              </w:rPr>
              <w:t>‘</w:t>
            </w:r>
          </w:p>
        </w:tc>
      </w:tr>
      <w:tr w14:paraId="2356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9DF88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1538" w:type="dxa"/>
            <w:shd w:val="clear" w:color="auto" w:fill="auto"/>
            <w:vAlign w:val="center"/>
          </w:tcPr>
          <w:p w14:paraId="53DE6B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磨料规格</w:t>
            </w:r>
          </w:p>
        </w:tc>
        <w:tc>
          <w:tcPr>
            <w:tcW w:w="1056" w:type="dxa"/>
            <w:shd w:val="clear" w:color="auto" w:fill="auto"/>
            <w:vAlign w:val="center"/>
          </w:tcPr>
          <w:p w14:paraId="4E67B0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mm</w:t>
            </w:r>
          </w:p>
        </w:tc>
        <w:tc>
          <w:tcPr>
            <w:tcW w:w="2828" w:type="dxa"/>
            <w:shd w:val="clear" w:color="auto" w:fill="auto"/>
            <w:vAlign w:val="center"/>
          </w:tcPr>
          <w:p w14:paraId="34E546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0.8-1.2</w:t>
            </w:r>
          </w:p>
        </w:tc>
        <w:tc>
          <w:tcPr>
            <w:tcW w:w="3358" w:type="dxa"/>
            <w:shd w:val="clear" w:color="auto" w:fill="auto"/>
            <w:vAlign w:val="center"/>
          </w:tcPr>
          <w:p w14:paraId="4BC7E2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00B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389D9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1538" w:type="dxa"/>
            <w:shd w:val="clear" w:color="auto" w:fill="auto"/>
            <w:vAlign w:val="center"/>
          </w:tcPr>
          <w:p w14:paraId="68B8C7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分离器</w:t>
            </w:r>
          </w:p>
        </w:tc>
        <w:tc>
          <w:tcPr>
            <w:tcW w:w="1056" w:type="dxa"/>
            <w:shd w:val="clear" w:color="auto" w:fill="auto"/>
            <w:vAlign w:val="center"/>
          </w:tcPr>
          <w:p w14:paraId="3B710D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28" w:type="dxa"/>
            <w:shd w:val="clear" w:color="auto" w:fill="auto"/>
            <w:vAlign w:val="center"/>
          </w:tcPr>
          <w:p w14:paraId="4D0B46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废料含量：≤1%</w:t>
            </w:r>
          </w:p>
        </w:tc>
        <w:tc>
          <w:tcPr>
            <w:tcW w:w="3358" w:type="dxa"/>
            <w:shd w:val="clear" w:color="auto" w:fill="auto"/>
            <w:vAlign w:val="center"/>
          </w:tcPr>
          <w:p w14:paraId="05A68D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1DECBC74">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抛丸室为通过式结构，由抛丸部分和喷丸部分组成，抛丸部分设抛丸清理室，工作时清理室内为负压，外部空气经进风口进入清理室中，确保粉尘无外溢；抛丸室两侧抛丸器均布。</w:t>
      </w:r>
    </w:p>
    <w:p w14:paraId="28606173">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抛丸室顶部开有供吊具通过的密封通道，进出料室体门洞设置自动门。室体顶部行走开口处设有密封装置，均采用迷宫式密封结构。</w:t>
      </w:r>
    </w:p>
    <w:p w14:paraId="220BC0C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抛丸室内全部采用耐磨锰钢板(含底部料斗)。在抛丸室中心布置除尘口。室体外部增加检修用作业平台，抛丸机总成及电机、提升机顶部拆装维修需配备检修平台及提升葫芦，便于检修安装起吊。</w:t>
      </w:r>
    </w:p>
    <w:p w14:paraId="7DF9B469">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5.3.3清理室</w:t>
      </w:r>
    </w:p>
    <w:p w14:paraId="3CFEAB5E">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清理室用于抛丸后工件少量死角的补喷清理、清除工件表面残留磨料的清扫、灰尘的清理、屏蔽工装的整理。补喷清理室内地面上设有安全保护杠，以防人工作业时工件坠落砸伤人员</w:t>
      </w:r>
    </w:p>
    <w:tbl>
      <w:tblPr>
        <w:tblStyle w:val="41"/>
        <w:tblW w:w="9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50"/>
        <w:gridCol w:w="1038"/>
        <w:gridCol w:w="2837"/>
        <w:gridCol w:w="3350"/>
      </w:tblGrid>
      <w:tr w14:paraId="7CDF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00BAAD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50" w:type="dxa"/>
            <w:shd w:val="clear" w:color="auto" w:fill="FFFFFF"/>
            <w:vAlign w:val="center"/>
          </w:tcPr>
          <w:p w14:paraId="3E8848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项目名称</w:t>
            </w:r>
          </w:p>
        </w:tc>
        <w:tc>
          <w:tcPr>
            <w:tcW w:w="1038" w:type="dxa"/>
            <w:shd w:val="clear" w:color="auto" w:fill="FFFFFF"/>
            <w:vAlign w:val="center"/>
          </w:tcPr>
          <w:p w14:paraId="0A4561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单位</w:t>
            </w:r>
          </w:p>
        </w:tc>
        <w:tc>
          <w:tcPr>
            <w:tcW w:w="2837" w:type="dxa"/>
            <w:shd w:val="clear" w:color="auto" w:fill="FFFFFF"/>
            <w:vAlign w:val="center"/>
          </w:tcPr>
          <w:p w14:paraId="09EBE4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数据</w:t>
            </w:r>
          </w:p>
        </w:tc>
        <w:tc>
          <w:tcPr>
            <w:tcW w:w="3350" w:type="dxa"/>
            <w:shd w:val="clear" w:color="auto" w:fill="FFFFFF"/>
            <w:vAlign w:val="center"/>
          </w:tcPr>
          <w:p w14:paraId="09EBE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7D26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674BB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50" w:type="dxa"/>
            <w:shd w:val="clear" w:color="auto" w:fill="FFFFFF"/>
            <w:vAlign w:val="center"/>
          </w:tcPr>
          <w:p w14:paraId="525C55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清理室体</w:t>
            </w:r>
          </w:p>
        </w:tc>
        <w:tc>
          <w:tcPr>
            <w:tcW w:w="1038" w:type="dxa"/>
            <w:shd w:val="clear" w:color="auto" w:fill="FFFFFF"/>
            <w:vAlign w:val="center"/>
          </w:tcPr>
          <w:p w14:paraId="18D274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w:t>
            </w:r>
          </w:p>
        </w:tc>
        <w:tc>
          <w:tcPr>
            <w:tcW w:w="2837" w:type="dxa"/>
            <w:shd w:val="clear" w:color="auto" w:fill="FFFFFF"/>
            <w:vAlign w:val="center"/>
          </w:tcPr>
          <w:p w14:paraId="135544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设计时确定</w:t>
            </w:r>
          </w:p>
        </w:tc>
        <w:tc>
          <w:tcPr>
            <w:tcW w:w="3350" w:type="dxa"/>
            <w:shd w:val="clear" w:color="auto" w:fill="FFFFFF"/>
            <w:vAlign w:val="center"/>
          </w:tcPr>
          <w:p w14:paraId="7B3F46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室体净空尺寸</w:t>
            </w:r>
          </w:p>
        </w:tc>
      </w:tr>
      <w:tr w14:paraId="3452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6EEE95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50" w:type="dxa"/>
            <w:shd w:val="clear" w:color="auto" w:fill="FFFFFF"/>
            <w:vAlign w:val="center"/>
          </w:tcPr>
          <w:p w14:paraId="03C66E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处理风量</w:t>
            </w:r>
          </w:p>
        </w:tc>
        <w:tc>
          <w:tcPr>
            <w:tcW w:w="1038" w:type="dxa"/>
            <w:shd w:val="clear" w:color="auto" w:fill="FFFFFF"/>
            <w:vAlign w:val="center"/>
          </w:tcPr>
          <w:p w14:paraId="36789A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m³/h</w:t>
            </w:r>
          </w:p>
        </w:tc>
        <w:tc>
          <w:tcPr>
            <w:tcW w:w="2837" w:type="dxa"/>
            <w:shd w:val="clear" w:color="auto" w:fill="FFFFFF"/>
            <w:vAlign w:val="center"/>
          </w:tcPr>
          <w:p w14:paraId="0134E5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3350" w:type="dxa"/>
            <w:shd w:val="clear" w:color="auto" w:fill="FFFFFF"/>
            <w:vAlign w:val="center"/>
          </w:tcPr>
          <w:p w14:paraId="600B2F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与抛丸室共用</w:t>
            </w:r>
          </w:p>
        </w:tc>
      </w:tr>
      <w:tr w14:paraId="2BAE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20E5DD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50" w:type="dxa"/>
            <w:shd w:val="clear" w:color="auto" w:fill="FFFFFF"/>
            <w:vAlign w:val="center"/>
          </w:tcPr>
          <w:p w14:paraId="52EB66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照明灯具</w:t>
            </w:r>
          </w:p>
        </w:tc>
        <w:tc>
          <w:tcPr>
            <w:tcW w:w="1038" w:type="dxa"/>
            <w:shd w:val="clear" w:color="auto" w:fill="FFFFFF"/>
            <w:vAlign w:val="center"/>
          </w:tcPr>
          <w:p w14:paraId="03E7B4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Lux</w:t>
            </w:r>
          </w:p>
        </w:tc>
        <w:tc>
          <w:tcPr>
            <w:tcW w:w="2837" w:type="dxa"/>
            <w:shd w:val="clear" w:color="auto" w:fill="FFFFFF"/>
            <w:vAlign w:val="center"/>
          </w:tcPr>
          <w:p w14:paraId="0145B4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工作区域≥600</w:t>
            </w:r>
          </w:p>
        </w:tc>
        <w:tc>
          <w:tcPr>
            <w:tcW w:w="3350" w:type="dxa"/>
            <w:shd w:val="clear" w:color="auto" w:fill="FFFFFF"/>
            <w:vAlign w:val="center"/>
          </w:tcPr>
          <w:p w14:paraId="070CB6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LED 防爆冷光灯</w:t>
            </w:r>
          </w:p>
        </w:tc>
      </w:tr>
      <w:tr w14:paraId="5C39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05" w:type="dxa"/>
            <w:shd w:val="clear" w:color="auto" w:fill="FFFFFF"/>
            <w:vAlign w:val="center"/>
          </w:tcPr>
          <w:p w14:paraId="06DB81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50" w:type="dxa"/>
            <w:shd w:val="clear" w:color="auto" w:fill="FFFFFF"/>
            <w:vAlign w:val="center"/>
          </w:tcPr>
          <w:p w14:paraId="600C09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环境粉尘浓度</w:t>
            </w:r>
          </w:p>
        </w:tc>
        <w:tc>
          <w:tcPr>
            <w:tcW w:w="1038" w:type="dxa"/>
            <w:shd w:val="clear" w:color="auto" w:fill="FFFFFF"/>
            <w:vAlign w:val="center"/>
          </w:tcPr>
          <w:p w14:paraId="4E1368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mg/m³</w:t>
            </w:r>
          </w:p>
        </w:tc>
        <w:tc>
          <w:tcPr>
            <w:tcW w:w="2837" w:type="dxa"/>
            <w:shd w:val="clear" w:color="auto" w:fill="FFFFFF"/>
            <w:vAlign w:val="center"/>
          </w:tcPr>
          <w:p w14:paraId="187D69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3350" w:type="dxa"/>
            <w:shd w:val="clear" w:color="auto" w:fill="FFFFFF"/>
            <w:vAlign w:val="center"/>
          </w:tcPr>
          <w:p w14:paraId="6BFEC8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63D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5AB519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50" w:type="dxa"/>
            <w:shd w:val="clear" w:color="auto" w:fill="FFFFFF"/>
            <w:vAlign w:val="center"/>
          </w:tcPr>
          <w:p w14:paraId="489A95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设备除尘效率</w:t>
            </w:r>
          </w:p>
        </w:tc>
        <w:tc>
          <w:tcPr>
            <w:tcW w:w="1038" w:type="dxa"/>
            <w:shd w:val="clear" w:color="auto" w:fill="FFFFFF"/>
            <w:vAlign w:val="center"/>
          </w:tcPr>
          <w:p w14:paraId="48D375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37" w:type="dxa"/>
            <w:shd w:val="clear" w:color="auto" w:fill="FFFFFF"/>
            <w:vAlign w:val="center"/>
          </w:tcPr>
          <w:p w14:paraId="3F13FF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≥99.5%</w:t>
            </w:r>
          </w:p>
        </w:tc>
        <w:tc>
          <w:tcPr>
            <w:tcW w:w="3350" w:type="dxa"/>
            <w:shd w:val="clear" w:color="auto" w:fill="FFFFFF"/>
            <w:vAlign w:val="center"/>
          </w:tcPr>
          <w:p w14:paraId="5352E1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排放浓度：有组织排放≤10mg/m3</w:t>
            </w:r>
          </w:p>
        </w:tc>
      </w:tr>
      <w:tr w14:paraId="4069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2D9515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550" w:type="dxa"/>
            <w:shd w:val="clear" w:color="auto" w:fill="FFFFFF"/>
            <w:vAlign w:val="center"/>
          </w:tcPr>
          <w:p w14:paraId="05C34F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输送方式</w:t>
            </w:r>
          </w:p>
        </w:tc>
        <w:tc>
          <w:tcPr>
            <w:tcW w:w="1038" w:type="dxa"/>
            <w:shd w:val="clear" w:color="auto" w:fill="FFFFFF"/>
            <w:vAlign w:val="center"/>
          </w:tcPr>
          <w:p w14:paraId="12232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3691D0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吊挂通过式</w:t>
            </w:r>
          </w:p>
        </w:tc>
        <w:tc>
          <w:tcPr>
            <w:tcW w:w="3350" w:type="dxa"/>
            <w:shd w:val="clear" w:color="auto" w:fill="FFFFFF"/>
            <w:vAlign w:val="center"/>
          </w:tcPr>
          <w:p w14:paraId="1CF85C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4CF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339E65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550" w:type="dxa"/>
            <w:shd w:val="clear" w:color="auto" w:fill="FFFFFF"/>
            <w:vAlign w:val="center"/>
          </w:tcPr>
          <w:p w14:paraId="4CDFBE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喷砂装置</w:t>
            </w:r>
          </w:p>
        </w:tc>
        <w:tc>
          <w:tcPr>
            <w:tcW w:w="1038" w:type="dxa"/>
            <w:shd w:val="clear" w:color="auto" w:fill="FFFFFF"/>
            <w:vAlign w:val="center"/>
          </w:tcPr>
          <w:p w14:paraId="06365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3948DE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按产品需求配置</w:t>
            </w:r>
          </w:p>
        </w:tc>
        <w:tc>
          <w:tcPr>
            <w:tcW w:w="3350" w:type="dxa"/>
            <w:shd w:val="clear" w:color="auto" w:fill="FFFFFF"/>
            <w:vAlign w:val="center"/>
          </w:tcPr>
          <w:p w14:paraId="4C61FF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A58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028C11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550" w:type="dxa"/>
            <w:shd w:val="clear" w:color="auto" w:fill="FFFFFF"/>
            <w:vAlign w:val="center"/>
          </w:tcPr>
          <w:p w14:paraId="798393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吹丸枪</w:t>
            </w:r>
          </w:p>
        </w:tc>
        <w:tc>
          <w:tcPr>
            <w:tcW w:w="1038" w:type="dxa"/>
            <w:shd w:val="clear" w:color="auto" w:fill="FFFFFF"/>
            <w:vAlign w:val="center"/>
          </w:tcPr>
          <w:p w14:paraId="2310BB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212ED6A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按产品需求配置</w:t>
            </w:r>
          </w:p>
        </w:tc>
        <w:tc>
          <w:tcPr>
            <w:tcW w:w="3350" w:type="dxa"/>
            <w:shd w:val="clear" w:color="auto" w:fill="FFFFFF"/>
            <w:vAlign w:val="center"/>
          </w:tcPr>
          <w:p w14:paraId="520D9F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D8E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2C31A71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550" w:type="dxa"/>
            <w:shd w:val="clear" w:color="auto" w:fill="FFFFFF"/>
            <w:vAlign w:val="center"/>
          </w:tcPr>
          <w:p w14:paraId="05D293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喷砂护具</w:t>
            </w:r>
          </w:p>
        </w:tc>
        <w:tc>
          <w:tcPr>
            <w:tcW w:w="1038" w:type="dxa"/>
            <w:shd w:val="clear" w:color="auto" w:fill="FFFFFF"/>
            <w:vAlign w:val="center"/>
          </w:tcPr>
          <w:p w14:paraId="432294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01A8B1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按产品需求配置</w:t>
            </w:r>
          </w:p>
        </w:tc>
        <w:tc>
          <w:tcPr>
            <w:tcW w:w="3350" w:type="dxa"/>
            <w:shd w:val="clear" w:color="auto" w:fill="FFFFFF"/>
            <w:vAlign w:val="center"/>
          </w:tcPr>
          <w:p w14:paraId="41B430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754F9AA2">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5.3.4前后密封室</w:t>
      </w:r>
    </w:p>
    <w:p w14:paraId="535B7AC9">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前后密封室顶部密封装置由锰钢护板、双层对压式橡胶板、尼龙毛排等组成。抛丸室钢板焊接而成、骨架支撑，室体壁板用耐磨板制作，抛丸器底板用厚钢板制作。</w:t>
      </w:r>
    </w:p>
    <w:p w14:paraId="01A5D165">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前后辅室的一端与抛丸室连接，另一端装有自动平移门（采用电动齿轮齿条电动门），后辅室的一端与抛丸室连接，平移门板厚度不低于5毫米厚度且内部加装耐磨橡胶板。前、后辅室体采用骨架及钢板模块化制作，靠近抛丸区3m范围内的室体内衬护板采用耐磨板制作。其在前后辅室内都设有二道密封门帘，每道密封门帘采用包裹有弹簧钢板的耐磨橡胶板----弹簧钢耐磨橡胶门，进行密封，采用的弹簧钢耐磨橡胶板门帘。</w:t>
      </w:r>
    </w:p>
    <w:p w14:paraId="2E86D6D8">
      <w:pPr>
        <w:pStyle w:val="14"/>
        <w:spacing w:line="360" w:lineRule="auto"/>
        <w:ind w:firstLine="480" w:firstLineChars="200"/>
        <w:outlineLvl w:val="4"/>
        <w:rPr>
          <w:rStyle w:val="198"/>
          <w:rFonts w:hint="default"/>
          <w:b w:val="0"/>
          <w:bCs/>
          <w:kern w:val="2"/>
          <w:lang w:val="en-US" w:eastAsia="zh-CN" w:bidi="ar-SA"/>
        </w:rPr>
      </w:pPr>
      <w:r>
        <w:rPr>
          <w:rStyle w:val="198"/>
          <w:rFonts w:hint="eastAsia"/>
          <w:b w:val="0"/>
          <w:bCs/>
          <w:kern w:val="2"/>
          <w:lang w:val="en-US" w:eastAsia="zh-CN" w:bidi="ar-SA"/>
        </w:rPr>
        <w:t>5.3.5抛丸器</w:t>
      </w:r>
    </w:p>
    <w:p w14:paraId="2BDC9297">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高效抛丸器由电机直连驱动，抛丸器壳体由锰钢制作，抛丸器采用简易插拔的耐磨工具钢叶片及分丸轮、定向套等，叶片寿命约1000-1200小时（采用机加工进行加工）。抛头内衬板均采用高铬精密耐磨铸件（视表面平整情况进行机加工）。抛头维护及拆装不需要拆解电机，可简易的由连接丸料管侧分解：在打开抛丸器顶盖进行检修时，保证设备不能启动；配有由高铬精密耐磨铸件制成的顶护板及侧护板。并配有调节方向的刻度尺，可在抛头的外部手动调节抛丸的方向。抛丸机总成及电机拆装维修配备检修平台及提升葫芦，便于检修安装起吊。</w:t>
      </w:r>
    </w:p>
    <w:p w14:paraId="205F7C24">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5.3.6室体门</w:t>
      </w:r>
    </w:p>
    <w:p w14:paraId="3DC52A03">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室体门要求采用自动结构，开关灵活，关闭严密，密封性好。门体为钢板、方钢管焊接结构，重量轻，刚性好，前后密封室大门内侧采用耐磨橡胶板进行防护。</w:t>
      </w:r>
    </w:p>
    <w:p w14:paraId="3A632E89">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5.3.7弹丸循环系统</w:t>
      </w:r>
    </w:p>
    <w:p w14:paraId="3BFB9832">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弹丸循环系统包含提升机、分离器、螺旋输送器、储丸斗、弹丸闸门等组成。</w:t>
      </w:r>
    </w:p>
    <w:p w14:paraId="3E0A9C84">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提升机：提升机由驱动装置、上部传动、下部传动、壳体、皮带、料斗、状态检测装置等组成。提升机主要由上下中罩、传动装置、皮带、料斗等部件组成。提升机底部有一维修门，供检查安装皮带或调节使用。提升机罩壳采用5mm钢板焊接，料斗为耐磨铸件，斗提皮带由耐磨合成纤维制作；</w:t>
      </w:r>
    </w:p>
    <w:p w14:paraId="38235270">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分离器：分离器用于分离回用丸料中的杂质，装有预分离器，分离重的杂质。在分离器底部配备了一个足够大的料仓，用于存储分离干净的丸料。</w:t>
      </w:r>
    </w:p>
    <w:p w14:paraId="3E1E6E66">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电机减速机传动机构采用直联式传动方式；顶部螺旋输送器用于输送来自于斗式提升机的混合丸料至下部风选分离器。</w:t>
      </w:r>
    </w:p>
    <w:p w14:paraId="307E257C">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储丸斗及弹丸闸门：储丸斗设置在分离器下部，储丸斗底部安装带弹丸闸门，控制弹丸的供给。弹丸闸门由磨料闸门、气缸、溜丸管、气控系统等组成。弹丸闸门采用气缸控制方式，来控制抛丸量，调整磨料控制器上的螺栓或阀板，便可获得所需的抛丸量。</w:t>
      </w:r>
    </w:p>
    <w:p w14:paraId="7975F2C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皮带输送机：皮带机由减速机、驱动及张紧滚筒、皮带、托辊、支架、防跑偏装置等组成。轴上可检测跟踪皮带机的工作状态，一旦出现堵塞不转等故障时，马上将信号反馈至PLC，报警或逐步停车。皮带输送机两侧匹配防偏轮，在末端设有涨紧轮，保证皮带的稳定运行。</w:t>
      </w:r>
    </w:p>
    <w:p w14:paraId="3A6E50E5">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 xml:space="preserve">5.3.8除尘系统 </w:t>
      </w:r>
    </w:p>
    <w:p w14:paraId="24F6240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除尘系统由包含除尘器、除尘管道、风机、烟囱等部件；除尘器采用脉冲滤筒式，包括箱体及支腿、灰斗、卸灰装置、检修平台（含爬梯、护栏）、清灰装置以及控制系统等。烟囱上部配置扶梯及平台，并预留测试孔。采用三级除尘系统；过滤效率达到99.5%。根据产线布置，进行处理总风量、过滤面积、滤筒数量等参数计算；除尘器内配置温度传感器，同时预留有惰性气体灭火接口，当温度达到设置温度时，达到快速灭火和防止除尘器着火的目的(风管进出口设计必要的电动风阀，与温度传感器互锁)；过滤系统配备压差控制系统，提醒过滤材料及时更换。烟囱设置避雷设施。</w:t>
      </w:r>
    </w:p>
    <w:p w14:paraId="4431C89C">
      <w:pPr>
        <w:pStyle w:val="34"/>
        <w:keepNext w:val="0"/>
        <w:keepLines w:val="0"/>
        <w:widowControl/>
        <w:suppressLineNumbers w:val="0"/>
        <w:spacing w:beforeAutospacing="1" w:afterAutospacing="1" w:line="360" w:lineRule="auto"/>
        <w:outlineLvl w:val="4"/>
        <w:rPr>
          <w:rStyle w:val="198"/>
          <w:rFonts w:hint="eastAsia"/>
          <w:b w:val="0"/>
          <w:bCs/>
          <w:kern w:val="2"/>
          <w:lang w:val="en-US" w:eastAsia="zh-CN" w:bidi="ar-SA"/>
        </w:rPr>
      </w:pPr>
      <w:r>
        <w:rPr>
          <w:rStyle w:val="198"/>
          <w:rFonts w:hint="eastAsia"/>
          <w:b w:val="0"/>
          <w:bCs/>
          <w:kern w:val="2"/>
          <w:lang w:val="en-US" w:eastAsia="zh-CN" w:bidi="ar-SA"/>
        </w:rPr>
        <w:t>5.3.9电气控制系统</w:t>
      </w:r>
    </w:p>
    <w:p w14:paraId="069F9E6F">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 xml:space="preserve">设备的电器控制系统有自动、手动两种控制方式。正常运行状态下采用 PLC 自动控制，设备各部件按预先编好的程序进行顺序运行；安装调试、单个或几个功能部件运行、部件维修试运转时采用手动控制，便于调试人员对设备进行调整、维修，以及测试各相关部件的性能。     </w:t>
      </w:r>
    </w:p>
    <w:p w14:paraId="386D80FD">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对于控制操作台上人机界面采用全工艺过程流程图的方式进行显示，同时各重要设备运行状态（电机，风机，抛丸器，门等的开启 / 停止 / 运行等）及文中涉及工艺参数，均需在人机界面上有反馈，并可实现操作控制。此工艺过程流程图及信息控制模式可以在中央控制室进行调用。</w:t>
      </w:r>
    </w:p>
    <w:p w14:paraId="2BAEB7E1">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设有工件识别系统，实现自动停抛，当工件的头部进入抛射区时，供丸阀自动打开，开始抛丸清理作业，工件尾部离开抛射区后供丸阀自动关闭，停止抛丸清理作业，从而减少了由于空抛产生的护板及易损件磨损及能源浪费。对不同工件使用不同数量、不同频率的抛丸器进行不同输送速度的抛丸清理，从而降低丸料及电费损耗，减少设备磨损。（例如：罐式上装采用降频抛丸，自卸上装需关闭顶部若干抛丸器。）</w:t>
      </w:r>
    </w:p>
    <w:p w14:paraId="584EFC6B">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设备的电器控制系统要求如下：在操作台上显示设备运行状态和故障情况，以便对整个生产线进行宏观观察和控制。抛丸时间采用电子计时器进行累计计时，为设备的维修及易损件更换提供可供参考的直观计量手段。各运转部件全部设有故障报警功能，该设备之任一运转部件出现故障，马上声光报警，并且按照顺序逐步停止各运转部件，避免因磨料堵死而造成电机烧毁。</w:t>
      </w:r>
    </w:p>
    <w:p w14:paraId="6253BBC0">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outlineLvl w:val="4"/>
        <w:rPr>
          <w:rStyle w:val="198"/>
          <w:rFonts w:hint="eastAsia"/>
          <w:b w:val="0"/>
          <w:bCs/>
          <w:kern w:val="2"/>
          <w:lang w:val="en-US" w:eastAsia="zh-CN" w:bidi="ar-SA"/>
        </w:rPr>
      </w:pPr>
      <w:r>
        <w:rPr>
          <w:rStyle w:val="198"/>
          <w:rFonts w:hint="eastAsia"/>
          <w:b w:val="0"/>
          <w:bCs/>
          <w:kern w:val="2"/>
          <w:lang w:val="en-US" w:eastAsia="zh-CN" w:bidi="ar-SA"/>
        </w:rPr>
        <w:t>5.3.10易损件使用寿命（指抛丸器累计工作时间内无须更换）</w:t>
      </w:r>
    </w:p>
    <w:p w14:paraId="4997ECD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抛丸区室体内护板大于 20000h </w:t>
      </w:r>
    </w:p>
    <w:p w14:paraId="23080A20">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前、后隔离区室体内护板大于 20000h </w:t>
      </w:r>
    </w:p>
    <w:p w14:paraId="0D5AE000">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清理室室体内衬板大于 30000h </w:t>
      </w:r>
    </w:p>
    <w:p w14:paraId="4D2E9805">
      <w:pPr>
        <w:keepNext w:val="0"/>
        <w:keepLines w:val="0"/>
        <w:pageBreakBefore w:val="0"/>
        <w:kinsoku/>
        <w:wordWrap/>
        <w:overflowPunct/>
        <w:topLinePunct w:val="0"/>
        <w:autoSpaceDE/>
        <w:autoSpaceDN/>
        <w:bidi w:val="0"/>
        <w:adjustRightInd/>
        <w:snapToGrid/>
        <w:spacing w:beforeAutospacing="0" w:afterAutospacing="0" w:line="360" w:lineRule="auto"/>
        <w:ind w:firstLine="484" w:firstLineChars="202"/>
        <w:textAlignment w:val="auto"/>
        <w:rPr>
          <w:rStyle w:val="198"/>
          <w:b w:val="0"/>
          <w:bCs/>
          <w:kern w:val="2"/>
          <w:lang w:val="en-US" w:eastAsia="zh-CN" w:bidi="ar-SA"/>
        </w:rPr>
      </w:pPr>
      <w:r>
        <w:rPr>
          <w:rStyle w:val="198"/>
          <w:rFonts w:hint="eastAsia"/>
          <w:b w:val="0"/>
          <w:bCs/>
          <w:kern w:val="2"/>
          <w:lang w:val="en-US" w:eastAsia="zh-CN" w:bidi="ar-SA"/>
        </w:rPr>
        <w:t>室体顶部硬密封大于15000h</w:t>
      </w:r>
    </w:p>
    <w:p w14:paraId="04A2D6D5">
      <w:pPr>
        <w:keepNext w:val="0"/>
        <w:keepLines w:val="0"/>
        <w:pageBreakBefore w:val="0"/>
        <w:kinsoku/>
        <w:wordWrap/>
        <w:overflowPunct/>
        <w:topLinePunct w:val="0"/>
        <w:autoSpaceDE/>
        <w:autoSpaceDN/>
        <w:bidi w:val="0"/>
        <w:adjustRightInd/>
        <w:snapToGrid/>
        <w:spacing w:beforeAutospacing="0" w:afterAutospacing="0" w:line="360" w:lineRule="auto"/>
        <w:ind w:firstLine="484" w:firstLineChars="202"/>
        <w:textAlignment w:val="auto"/>
        <w:rPr>
          <w:rStyle w:val="198"/>
          <w:b w:val="0"/>
          <w:bCs/>
          <w:kern w:val="2"/>
          <w:lang w:val="en-US" w:eastAsia="zh-CN" w:bidi="ar-SA"/>
        </w:rPr>
      </w:pPr>
      <w:r>
        <w:rPr>
          <w:rStyle w:val="198"/>
          <w:rFonts w:hint="eastAsia"/>
          <w:b w:val="0"/>
          <w:bCs/>
          <w:kern w:val="2"/>
          <w:lang w:val="en-US" w:eastAsia="zh-CN" w:bidi="ar-SA"/>
        </w:rPr>
        <w:t>顶部软密封大于</w:t>
      </w:r>
      <w:r>
        <w:rPr>
          <w:rStyle w:val="198"/>
          <w:b w:val="0"/>
          <w:bCs/>
          <w:kern w:val="2"/>
          <w:lang w:val="en-US" w:eastAsia="zh-CN" w:bidi="ar-SA"/>
        </w:rPr>
        <w:t>4</w:t>
      </w:r>
      <w:r>
        <w:rPr>
          <w:rStyle w:val="198"/>
          <w:rFonts w:hint="eastAsia"/>
          <w:b w:val="0"/>
          <w:bCs/>
          <w:kern w:val="2"/>
          <w:lang w:val="en-US" w:eastAsia="zh-CN" w:bidi="ar-SA"/>
        </w:rPr>
        <w:t>000h</w:t>
      </w:r>
    </w:p>
    <w:p w14:paraId="69148F21">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电动对开门大于 20000h </w:t>
      </w:r>
    </w:p>
    <w:p w14:paraId="47C82BC4">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叶片大于 2000h </w:t>
      </w:r>
    </w:p>
    <w:p w14:paraId="5BCD6FE1">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分丸轮大于 3000h </w:t>
      </w:r>
    </w:p>
    <w:p w14:paraId="42452F0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定向套大于 3000h </w:t>
      </w:r>
    </w:p>
    <w:p w14:paraId="79B491CD">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抛丸器壳体内顶、侧护板大于 5000h </w:t>
      </w:r>
    </w:p>
    <w:p w14:paraId="466071D5">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抛丸室内护板大于 20000h </w:t>
      </w:r>
    </w:p>
    <w:p w14:paraId="7B6B7B8F">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溜丸管道大于 10000h </w:t>
      </w:r>
    </w:p>
    <w:p w14:paraId="096AEB45">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叶轮大于 5000h </w:t>
      </w:r>
    </w:p>
    <w:p w14:paraId="40B9A08F">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斗式提升机大于10000h</w:t>
      </w:r>
    </w:p>
    <w:p w14:paraId="2C5175B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皮带输送机大于15000h</w:t>
      </w:r>
    </w:p>
    <w:p w14:paraId="6DAACBCB">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底部格栅大于30000h</w:t>
      </w:r>
    </w:p>
    <w:p w14:paraId="44E65148">
      <w:pPr>
        <w:pStyle w:val="14"/>
        <w:spacing w:line="360" w:lineRule="auto"/>
        <w:ind w:firstLine="480" w:firstLineChars="200"/>
        <w:outlineLvl w:val="3"/>
        <w:rPr>
          <w:rStyle w:val="198"/>
          <w:rFonts w:hint="eastAsia"/>
          <w:b w:val="0"/>
          <w:bCs/>
          <w:kern w:val="2"/>
          <w:lang w:val="en-US" w:eastAsia="zh-CN" w:bidi="ar-SA"/>
        </w:rPr>
      </w:pPr>
      <w:r>
        <w:rPr>
          <w:rStyle w:val="198"/>
          <w:rFonts w:hint="eastAsia"/>
          <w:b w:val="0"/>
          <w:bCs/>
          <w:kern w:val="2"/>
          <w:lang w:val="en-US" w:eastAsia="zh-CN" w:bidi="ar-SA"/>
        </w:rPr>
        <w:t>5.4电泳涂装线改造</w:t>
      </w:r>
    </w:p>
    <w:p w14:paraId="42E624E7">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 xml:space="preserve">5.4.1说明 </w:t>
      </w:r>
    </w:p>
    <w:p w14:paraId="3F1C3D64">
      <w:pPr>
        <w:pStyle w:val="34"/>
        <w:keepNext w:val="0"/>
        <w:keepLines w:val="0"/>
        <w:widowControl/>
        <w:suppressLineNumbers w:val="0"/>
        <w:spacing w:beforeAutospacing="1" w:afterAutospacing="1" w:line="360" w:lineRule="auto"/>
        <w:ind w:firstLine="480" w:firstLineChars="200"/>
        <w:rPr>
          <w:rStyle w:val="198"/>
          <w:rFonts w:hint="default"/>
          <w:b w:val="0"/>
          <w:bCs/>
          <w:kern w:val="2"/>
          <w:lang w:val="en-US" w:eastAsia="zh-CN" w:bidi="ar-SA"/>
        </w:rPr>
      </w:pPr>
      <w:r>
        <w:rPr>
          <w:rStyle w:val="198"/>
          <w:rFonts w:hint="eastAsia"/>
          <w:b w:val="0"/>
          <w:bCs/>
          <w:kern w:val="2"/>
          <w:lang w:val="en-US" w:eastAsia="zh-CN" w:bidi="ar-SA"/>
        </w:rPr>
        <w:t>前处理电泳前处理电泳采用双轨自行葫芦轨道，电泳烘干采用重型积放式悬挂输送机进行输送。具体产品分布及折合挂数见下表</w:t>
      </w:r>
    </w:p>
    <w:tbl>
      <w:tblPr>
        <w:tblStyle w:val="40"/>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2107"/>
        <w:gridCol w:w="2139"/>
        <w:gridCol w:w="3264"/>
      </w:tblGrid>
      <w:tr w14:paraId="4EE1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000" w:type="pct"/>
            <w:vMerge w:val="restart"/>
            <w:vAlign w:val="center"/>
          </w:tcPr>
          <w:p w14:paraId="319BECE1">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产品</w:t>
            </w:r>
          </w:p>
        </w:tc>
        <w:tc>
          <w:tcPr>
            <w:tcW w:w="1121" w:type="pct"/>
            <w:vMerge w:val="restart"/>
            <w:vAlign w:val="center"/>
          </w:tcPr>
          <w:p w14:paraId="516F4E63">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数量（台/单班）</w:t>
            </w:r>
          </w:p>
        </w:tc>
        <w:tc>
          <w:tcPr>
            <w:tcW w:w="1139" w:type="pct"/>
            <w:vMerge w:val="restart"/>
            <w:vAlign w:val="center"/>
          </w:tcPr>
          <w:p w14:paraId="4242029F">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折合挂数（单班）</w:t>
            </w:r>
          </w:p>
        </w:tc>
        <w:tc>
          <w:tcPr>
            <w:tcW w:w="1738" w:type="pct"/>
            <w:vMerge w:val="restart"/>
          </w:tcPr>
          <w:p w14:paraId="71FD06D4">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备注</w:t>
            </w:r>
          </w:p>
        </w:tc>
      </w:tr>
      <w:tr w14:paraId="0639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000" w:type="pct"/>
            <w:vMerge w:val="continue"/>
            <w:vAlign w:val="center"/>
          </w:tcPr>
          <w:p w14:paraId="54F9DE06">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c>
          <w:tcPr>
            <w:tcW w:w="1121" w:type="pct"/>
            <w:vMerge w:val="continue"/>
            <w:vAlign w:val="center"/>
          </w:tcPr>
          <w:p w14:paraId="2EF15401">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c>
          <w:tcPr>
            <w:tcW w:w="1139" w:type="pct"/>
            <w:vMerge w:val="continue"/>
            <w:vAlign w:val="center"/>
          </w:tcPr>
          <w:p w14:paraId="77553355">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c>
          <w:tcPr>
            <w:tcW w:w="1738" w:type="pct"/>
            <w:vMerge w:val="continue"/>
          </w:tcPr>
          <w:p w14:paraId="0671BC44">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7458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1000" w:type="pct"/>
            <w:vAlign w:val="center"/>
          </w:tcPr>
          <w:p w14:paraId="7FA29F12">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普通挂车</w:t>
            </w:r>
          </w:p>
        </w:tc>
        <w:tc>
          <w:tcPr>
            <w:tcW w:w="1121" w:type="pct"/>
            <w:vAlign w:val="center"/>
          </w:tcPr>
          <w:p w14:paraId="27387B82">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5500</w:t>
            </w:r>
          </w:p>
        </w:tc>
        <w:tc>
          <w:tcPr>
            <w:tcW w:w="1139" w:type="pct"/>
            <w:vAlign w:val="center"/>
          </w:tcPr>
          <w:p w14:paraId="3011AB45">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11000挂</w:t>
            </w:r>
          </w:p>
        </w:tc>
        <w:tc>
          <w:tcPr>
            <w:tcW w:w="1738" w:type="pct"/>
          </w:tcPr>
          <w:p w14:paraId="10E4746C">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车架与边板等按1：1进行折算</w:t>
            </w:r>
          </w:p>
        </w:tc>
      </w:tr>
      <w:tr w14:paraId="1115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000" w:type="pct"/>
            <w:vAlign w:val="center"/>
          </w:tcPr>
          <w:p w14:paraId="04876B09">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半挂自卸车</w:t>
            </w:r>
          </w:p>
        </w:tc>
        <w:tc>
          <w:tcPr>
            <w:tcW w:w="1121" w:type="pct"/>
            <w:vAlign w:val="center"/>
          </w:tcPr>
          <w:p w14:paraId="3E2D814E">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3000</w:t>
            </w:r>
          </w:p>
        </w:tc>
        <w:tc>
          <w:tcPr>
            <w:tcW w:w="1139" w:type="pct"/>
            <w:vAlign w:val="center"/>
          </w:tcPr>
          <w:p w14:paraId="0721DEF8">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3000挂</w:t>
            </w:r>
          </w:p>
        </w:tc>
        <w:tc>
          <w:tcPr>
            <w:tcW w:w="1738" w:type="pct"/>
          </w:tcPr>
          <w:p w14:paraId="5ADCCD43">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7F07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1000" w:type="pct"/>
            <w:vAlign w:val="center"/>
          </w:tcPr>
          <w:p w14:paraId="6BC18F1C">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自卸车</w:t>
            </w:r>
          </w:p>
        </w:tc>
        <w:tc>
          <w:tcPr>
            <w:tcW w:w="1121" w:type="pct"/>
            <w:vAlign w:val="center"/>
          </w:tcPr>
          <w:p w14:paraId="6923BDE9">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10500</w:t>
            </w:r>
          </w:p>
        </w:tc>
        <w:tc>
          <w:tcPr>
            <w:tcW w:w="1139" w:type="pct"/>
            <w:vAlign w:val="center"/>
          </w:tcPr>
          <w:p w14:paraId="0958AC09">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5250挂</w:t>
            </w:r>
          </w:p>
        </w:tc>
        <w:tc>
          <w:tcPr>
            <w:tcW w:w="1738" w:type="pct"/>
          </w:tcPr>
          <w:p w14:paraId="5B4D8CD5">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2台自卸车副车架组合一挂，车箱采用前处理+喷粉工艺</w:t>
            </w:r>
          </w:p>
        </w:tc>
      </w:tr>
      <w:tr w14:paraId="7BB4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000" w:type="pct"/>
            <w:vAlign w:val="center"/>
          </w:tcPr>
          <w:p w14:paraId="75558D99">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半挂冷藏车</w:t>
            </w:r>
          </w:p>
        </w:tc>
        <w:tc>
          <w:tcPr>
            <w:tcW w:w="1121" w:type="pct"/>
            <w:vAlign w:val="center"/>
          </w:tcPr>
          <w:p w14:paraId="29597D09">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1000</w:t>
            </w:r>
          </w:p>
        </w:tc>
        <w:tc>
          <w:tcPr>
            <w:tcW w:w="1139" w:type="pct"/>
            <w:vAlign w:val="center"/>
          </w:tcPr>
          <w:p w14:paraId="00C3A4CF">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1000挂</w:t>
            </w:r>
          </w:p>
        </w:tc>
        <w:tc>
          <w:tcPr>
            <w:tcW w:w="1738" w:type="pct"/>
          </w:tcPr>
          <w:p w14:paraId="0F3B6842">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仅车架进行电泳+喷粉涂装</w:t>
            </w:r>
          </w:p>
        </w:tc>
      </w:tr>
      <w:tr w14:paraId="0E88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000" w:type="pct"/>
            <w:vAlign w:val="center"/>
          </w:tcPr>
          <w:p w14:paraId="09A351C4">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半挂罐车</w:t>
            </w:r>
          </w:p>
        </w:tc>
        <w:tc>
          <w:tcPr>
            <w:tcW w:w="1121" w:type="pct"/>
            <w:vAlign w:val="center"/>
          </w:tcPr>
          <w:p w14:paraId="47CBC94E">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2500</w:t>
            </w:r>
          </w:p>
        </w:tc>
        <w:tc>
          <w:tcPr>
            <w:tcW w:w="1139" w:type="pct"/>
            <w:vAlign w:val="center"/>
          </w:tcPr>
          <w:p w14:paraId="3749BAC6">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2500挂</w:t>
            </w:r>
          </w:p>
        </w:tc>
        <w:tc>
          <w:tcPr>
            <w:tcW w:w="1738" w:type="pct"/>
          </w:tcPr>
          <w:p w14:paraId="092478A8">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069A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000" w:type="pct"/>
            <w:vAlign w:val="center"/>
          </w:tcPr>
          <w:p w14:paraId="2185A1A6">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其他小件</w:t>
            </w:r>
          </w:p>
        </w:tc>
        <w:tc>
          <w:tcPr>
            <w:tcW w:w="1121" w:type="pct"/>
            <w:vAlign w:val="center"/>
          </w:tcPr>
          <w:p w14:paraId="27415793">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w:t>
            </w:r>
          </w:p>
        </w:tc>
        <w:tc>
          <w:tcPr>
            <w:tcW w:w="1139" w:type="pct"/>
            <w:vAlign w:val="center"/>
          </w:tcPr>
          <w:p w14:paraId="2C15C861">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3250挂</w:t>
            </w:r>
          </w:p>
        </w:tc>
        <w:tc>
          <w:tcPr>
            <w:tcW w:w="1738" w:type="pct"/>
          </w:tcPr>
          <w:p w14:paraId="664F5270">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6FF6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2122" w:type="pct"/>
            <w:gridSpan w:val="2"/>
            <w:vAlign w:val="center"/>
          </w:tcPr>
          <w:p w14:paraId="27B4781B">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合计</w:t>
            </w:r>
          </w:p>
        </w:tc>
        <w:tc>
          <w:tcPr>
            <w:tcW w:w="1139" w:type="pct"/>
            <w:vAlign w:val="center"/>
          </w:tcPr>
          <w:p w14:paraId="729DAC4C">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26000挂</w:t>
            </w:r>
          </w:p>
        </w:tc>
        <w:tc>
          <w:tcPr>
            <w:tcW w:w="1738" w:type="pct"/>
          </w:tcPr>
          <w:p w14:paraId="7A5347A5">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bl>
    <w:p w14:paraId="3C586B45">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5.4.2主要改造内容</w:t>
      </w:r>
    </w:p>
    <w:p w14:paraId="569AA1AD">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投标方可根据现场实地考察对前处理电泳及前处理自行小车进行改造，以满足车架前处理电泳6.5min节拍的需求，对现有前处理、电泳设备进行改造（包括但不限于损坏的水泵轴封、循环管路、板换、电磁阀、板框压滤机等），满足正常生产要求。</w:t>
      </w:r>
    </w:p>
    <w:p w14:paraId="7C80D84A">
      <w:pPr>
        <w:spacing w:before="120" w:beforeLines="50" w:after="120" w:afterLines="50" w:line="360" w:lineRule="auto"/>
        <w:ind w:left="57" w:firstLine="556" w:firstLineChars="238"/>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改造内容包含不限于以下改造内容表，如在改造过程中对于未能识别的问题需进行完善，确保产线正常生产。</w:t>
      </w:r>
    </w:p>
    <w:p w14:paraId="5CCBDA8B">
      <w:pPr>
        <w:spacing w:before="120" w:beforeLines="50" w:after="120" w:afterLines="50" w:line="360" w:lineRule="auto"/>
        <w:rPr>
          <w:rFonts w:hint="eastAsia" w:ascii="仿宋" w:hAnsi="仿宋" w:eastAsia="仿宋" w:cs="仿宋"/>
          <w:color w:val="000000"/>
          <w:sz w:val="24"/>
          <w:szCs w:val="24"/>
        </w:rPr>
      </w:pPr>
      <w:r>
        <w:rPr>
          <w:rFonts w:hint="eastAsia" w:ascii="仿宋" w:hAnsi="仿宋" w:eastAsia="仿宋" w:cs="仿宋"/>
          <w:spacing w:val="-3"/>
          <w:kern w:val="2"/>
          <w:sz w:val="24"/>
          <w:szCs w:val="24"/>
          <w:highlight w:val="none"/>
          <w:lang w:val="en-US" w:eastAsia="zh-CN" w:bidi="ar-SA"/>
        </w:rPr>
        <w:t>改造内容表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1513"/>
        <w:gridCol w:w="4516"/>
        <w:gridCol w:w="989"/>
        <w:gridCol w:w="1937"/>
      </w:tblGrid>
      <w:tr w14:paraId="5888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509E89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序号</w:t>
            </w:r>
          </w:p>
        </w:tc>
        <w:tc>
          <w:tcPr>
            <w:tcW w:w="777" w:type="pct"/>
          </w:tcPr>
          <w:p w14:paraId="6464A57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设备</w:t>
            </w:r>
          </w:p>
        </w:tc>
        <w:tc>
          <w:tcPr>
            <w:tcW w:w="2319" w:type="pct"/>
            <w:vAlign w:val="center"/>
          </w:tcPr>
          <w:p w14:paraId="2C94A9A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改造内容</w:t>
            </w:r>
          </w:p>
        </w:tc>
        <w:tc>
          <w:tcPr>
            <w:tcW w:w="508" w:type="pct"/>
            <w:vAlign w:val="center"/>
          </w:tcPr>
          <w:p w14:paraId="6F0B800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数量</w:t>
            </w:r>
          </w:p>
        </w:tc>
        <w:tc>
          <w:tcPr>
            <w:tcW w:w="995" w:type="pct"/>
            <w:vAlign w:val="center"/>
          </w:tcPr>
          <w:p w14:paraId="06DAEFC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备注</w:t>
            </w:r>
          </w:p>
        </w:tc>
      </w:tr>
      <w:tr w14:paraId="695C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E443F6E">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777" w:type="pct"/>
            <w:vAlign w:val="center"/>
          </w:tcPr>
          <w:p w14:paraId="05DD295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纯水系统</w:t>
            </w:r>
          </w:p>
        </w:tc>
        <w:tc>
          <w:tcPr>
            <w:tcW w:w="2319" w:type="pct"/>
            <w:vAlign w:val="center"/>
          </w:tcPr>
          <w:p w14:paraId="4A8C339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1.更换炭过滤器中的活性炭颗粒；</w:t>
            </w:r>
          </w:p>
          <w:p w14:paraId="26E2F31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2.清洗砂过滤器中的石英砂，如不能使用进行更换 ；</w:t>
            </w:r>
          </w:p>
          <w:p w14:paraId="0E8F74E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3.开机检查加药泵，</w:t>
            </w:r>
            <w:r>
              <w:rPr>
                <w:rFonts w:hint="eastAsia" w:ascii="仿宋" w:hAnsi="仿宋" w:eastAsia="仿宋" w:cs="仿宋"/>
                <w:sz w:val="24"/>
                <w:szCs w:val="24"/>
                <w:lang w:val="en-US" w:eastAsia="zh-CN"/>
              </w:rPr>
              <w:t>恢复运行状态</w:t>
            </w:r>
            <w:r>
              <w:rPr>
                <w:rFonts w:hint="eastAsia" w:ascii="仿宋" w:hAnsi="仿宋" w:eastAsia="仿宋" w:cs="仿宋"/>
                <w:sz w:val="24"/>
                <w:szCs w:val="24"/>
              </w:rPr>
              <w:t>；</w:t>
            </w:r>
          </w:p>
          <w:p w14:paraId="4BC8D31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4.更换一级及二级纯水膜；</w:t>
            </w:r>
          </w:p>
          <w:p w14:paraId="6787EF1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5.配备不小于1个月的药剂；</w:t>
            </w:r>
          </w:p>
        </w:tc>
        <w:tc>
          <w:tcPr>
            <w:tcW w:w="508" w:type="pct"/>
            <w:vAlign w:val="center"/>
          </w:tcPr>
          <w:p w14:paraId="346FF87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1套</w:t>
            </w:r>
          </w:p>
        </w:tc>
        <w:tc>
          <w:tcPr>
            <w:tcW w:w="995" w:type="pct"/>
            <w:vAlign w:val="center"/>
          </w:tcPr>
          <w:p w14:paraId="1ED05E8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F92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193FC9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w:t>
            </w:r>
          </w:p>
        </w:tc>
        <w:tc>
          <w:tcPr>
            <w:tcW w:w="777" w:type="pct"/>
            <w:vAlign w:val="center"/>
          </w:tcPr>
          <w:p w14:paraId="40FBD22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热水锅炉</w:t>
            </w:r>
          </w:p>
        </w:tc>
        <w:tc>
          <w:tcPr>
            <w:tcW w:w="2319" w:type="pct"/>
            <w:vAlign w:val="center"/>
          </w:tcPr>
          <w:p w14:paraId="4F1B267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1.检查燃烧机及运行情况，对相关损坏元件进行更换；</w:t>
            </w:r>
          </w:p>
          <w:p w14:paraId="143972A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2.检查管道，对存在腐蚀、生锈的部件进行修复或更换</w:t>
            </w:r>
          </w:p>
        </w:tc>
        <w:tc>
          <w:tcPr>
            <w:tcW w:w="508" w:type="pct"/>
            <w:vAlign w:val="center"/>
          </w:tcPr>
          <w:p w14:paraId="729464E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2套</w:t>
            </w:r>
          </w:p>
        </w:tc>
        <w:tc>
          <w:tcPr>
            <w:tcW w:w="995" w:type="pct"/>
            <w:vAlign w:val="center"/>
          </w:tcPr>
          <w:p w14:paraId="30D645C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17B5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3D59718">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3</w:t>
            </w:r>
          </w:p>
        </w:tc>
        <w:tc>
          <w:tcPr>
            <w:tcW w:w="777" w:type="pct"/>
            <w:vAlign w:val="center"/>
          </w:tcPr>
          <w:p w14:paraId="757EF2D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水泵</w:t>
            </w:r>
          </w:p>
        </w:tc>
        <w:tc>
          <w:tcPr>
            <w:tcW w:w="2319" w:type="pct"/>
            <w:vAlign w:val="center"/>
          </w:tcPr>
          <w:p w14:paraId="2367B7F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1.开机检查，对损坏的机械密封、泵轴等更行更换；</w:t>
            </w:r>
          </w:p>
          <w:p w14:paraId="3A4EE35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2.对存在故障的电机进行修复或更换</w:t>
            </w:r>
          </w:p>
        </w:tc>
        <w:tc>
          <w:tcPr>
            <w:tcW w:w="508" w:type="pct"/>
            <w:vAlign w:val="center"/>
          </w:tcPr>
          <w:p w14:paraId="6675C8B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01F057F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72A4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F1728B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4</w:t>
            </w:r>
          </w:p>
        </w:tc>
        <w:tc>
          <w:tcPr>
            <w:tcW w:w="777" w:type="pct"/>
            <w:vAlign w:val="center"/>
          </w:tcPr>
          <w:p w14:paraId="038DF3F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板式换热器</w:t>
            </w:r>
          </w:p>
        </w:tc>
        <w:tc>
          <w:tcPr>
            <w:tcW w:w="2319" w:type="pct"/>
            <w:vAlign w:val="center"/>
          </w:tcPr>
          <w:p w14:paraId="3D48DA5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1.更换密封条；</w:t>
            </w:r>
          </w:p>
          <w:p w14:paraId="7948BCA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2.对损坏的板片进行更换；</w:t>
            </w:r>
          </w:p>
          <w:p w14:paraId="57DBA5F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3.将板片进行拆洗、组装；</w:t>
            </w:r>
          </w:p>
        </w:tc>
        <w:tc>
          <w:tcPr>
            <w:tcW w:w="508" w:type="pct"/>
            <w:vAlign w:val="center"/>
          </w:tcPr>
          <w:p w14:paraId="04E7898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4BC8EAC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160C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091DB7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5</w:t>
            </w:r>
          </w:p>
        </w:tc>
        <w:tc>
          <w:tcPr>
            <w:tcW w:w="777" w:type="pct"/>
            <w:vAlign w:val="center"/>
          </w:tcPr>
          <w:p w14:paraId="129116E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袋式过滤器</w:t>
            </w:r>
          </w:p>
        </w:tc>
        <w:tc>
          <w:tcPr>
            <w:tcW w:w="2319" w:type="pct"/>
            <w:vAlign w:val="center"/>
          </w:tcPr>
          <w:p w14:paraId="2481A00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对</w:t>
            </w:r>
            <w:r>
              <w:rPr>
                <w:rFonts w:hint="eastAsia" w:ascii="仿宋" w:hAnsi="仿宋" w:eastAsia="仿宋" w:cs="仿宋"/>
                <w:sz w:val="24"/>
                <w:szCs w:val="24"/>
              </w:rPr>
              <w:t>损坏的密封条进行更换；</w:t>
            </w:r>
          </w:p>
          <w:p w14:paraId="5D6637E9">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2.提供不小于3套的过滤耗材；</w:t>
            </w:r>
          </w:p>
        </w:tc>
        <w:tc>
          <w:tcPr>
            <w:tcW w:w="508" w:type="pct"/>
            <w:vAlign w:val="center"/>
          </w:tcPr>
          <w:p w14:paraId="632A127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382F538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2F5B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5BDD8B3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6</w:t>
            </w:r>
          </w:p>
        </w:tc>
        <w:tc>
          <w:tcPr>
            <w:tcW w:w="777" w:type="pct"/>
            <w:vAlign w:val="center"/>
          </w:tcPr>
          <w:p w14:paraId="4DDE9CA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水泵进出口软接头</w:t>
            </w:r>
          </w:p>
        </w:tc>
        <w:tc>
          <w:tcPr>
            <w:tcW w:w="2319" w:type="pct"/>
            <w:vAlign w:val="center"/>
          </w:tcPr>
          <w:p w14:paraId="3C8FF14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检查，对变形、损坏的软接头进行更换</w:t>
            </w:r>
          </w:p>
        </w:tc>
        <w:tc>
          <w:tcPr>
            <w:tcW w:w="508" w:type="pct"/>
            <w:vAlign w:val="center"/>
          </w:tcPr>
          <w:p w14:paraId="54B8BC2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6CDA9C0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3F7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56BA91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7</w:t>
            </w:r>
          </w:p>
        </w:tc>
        <w:tc>
          <w:tcPr>
            <w:tcW w:w="777" w:type="pct"/>
            <w:vAlign w:val="center"/>
          </w:tcPr>
          <w:p w14:paraId="6F53C48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阳极</w:t>
            </w:r>
          </w:p>
        </w:tc>
        <w:tc>
          <w:tcPr>
            <w:tcW w:w="2319" w:type="pct"/>
            <w:vAlign w:val="center"/>
          </w:tcPr>
          <w:p w14:paraId="79C1210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1.检查隔膜阳极，将隔膜阳极全部更换，进回液管根据实际情况更换；</w:t>
            </w:r>
          </w:p>
          <w:p w14:paraId="09A033D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2.检查祼极，根据实际情况对不锈钢裸极进行更换；</w:t>
            </w:r>
          </w:p>
          <w:p w14:paraId="7595CD3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3.极液槽，检查水泵及密封，对损坏产品进行更换或修复；</w:t>
            </w:r>
          </w:p>
          <w:p w14:paraId="24F3223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4.UV装置更换灯管；</w:t>
            </w:r>
          </w:p>
          <w:p w14:paraId="57FAF86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5.过滤装置更换过滤器</w:t>
            </w:r>
          </w:p>
          <w:p w14:paraId="5FD3D460">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6、检查电流表，对损坏产品进行更换修复</w:t>
            </w:r>
          </w:p>
        </w:tc>
        <w:tc>
          <w:tcPr>
            <w:tcW w:w="508" w:type="pct"/>
            <w:vAlign w:val="center"/>
          </w:tcPr>
          <w:p w14:paraId="7B05B5F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电泳槽</w:t>
            </w:r>
          </w:p>
        </w:tc>
        <w:tc>
          <w:tcPr>
            <w:tcW w:w="995" w:type="pct"/>
            <w:vAlign w:val="center"/>
          </w:tcPr>
          <w:p w14:paraId="766EFCF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5B0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1C61C3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8</w:t>
            </w:r>
          </w:p>
        </w:tc>
        <w:tc>
          <w:tcPr>
            <w:tcW w:w="777" w:type="pct"/>
            <w:vAlign w:val="center"/>
          </w:tcPr>
          <w:p w14:paraId="5CBD5A6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超滤装置</w:t>
            </w:r>
          </w:p>
        </w:tc>
        <w:tc>
          <w:tcPr>
            <w:tcW w:w="2319" w:type="pct"/>
            <w:vAlign w:val="center"/>
          </w:tcPr>
          <w:p w14:paraId="3620344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1.根据实际生产的工件面积更换预过滤器过滤袋，密封条；</w:t>
            </w:r>
          </w:p>
          <w:p w14:paraId="30AEDAA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2.新增超滤膜；</w:t>
            </w:r>
          </w:p>
          <w:p w14:paraId="2656975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3.检查管道及流量计进行更换；</w:t>
            </w:r>
          </w:p>
          <w:p w14:paraId="2387E4F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4.提供不小于3套的过滤耗材；</w:t>
            </w:r>
          </w:p>
        </w:tc>
        <w:tc>
          <w:tcPr>
            <w:tcW w:w="508" w:type="pct"/>
            <w:vAlign w:val="center"/>
          </w:tcPr>
          <w:p w14:paraId="60B54E5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超滤</w:t>
            </w:r>
          </w:p>
        </w:tc>
        <w:tc>
          <w:tcPr>
            <w:tcW w:w="995" w:type="pct"/>
            <w:vAlign w:val="center"/>
          </w:tcPr>
          <w:p w14:paraId="3C20A1E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2C8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8EB7E3E">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9</w:t>
            </w:r>
          </w:p>
        </w:tc>
        <w:tc>
          <w:tcPr>
            <w:tcW w:w="777" w:type="pct"/>
            <w:vAlign w:val="center"/>
          </w:tcPr>
          <w:p w14:paraId="5255B16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电泳槽</w:t>
            </w:r>
          </w:p>
        </w:tc>
        <w:tc>
          <w:tcPr>
            <w:tcW w:w="2319" w:type="pct"/>
            <w:vAlign w:val="center"/>
          </w:tcPr>
          <w:p w14:paraId="66AE60B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1.排空液体，对电泳槽玻璃钢进行电火花检测，对损坏的玻璃钢进行修复</w:t>
            </w:r>
          </w:p>
        </w:tc>
        <w:tc>
          <w:tcPr>
            <w:tcW w:w="508" w:type="pct"/>
            <w:vAlign w:val="center"/>
          </w:tcPr>
          <w:p w14:paraId="4B8B0BD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电泳槽</w:t>
            </w:r>
          </w:p>
        </w:tc>
        <w:tc>
          <w:tcPr>
            <w:tcW w:w="995" w:type="pct"/>
            <w:vAlign w:val="center"/>
          </w:tcPr>
          <w:p w14:paraId="0911D61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25EF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4DADAF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10</w:t>
            </w:r>
          </w:p>
        </w:tc>
        <w:tc>
          <w:tcPr>
            <w:tcW w:w="777" w:type="pct"/>
            <w:vAlign w:val="center"/>
          </w:tcPr>
          <w:p w14:paraId="2A8539D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直流电源</w:t>
            </w:r>
          </w:p>
        </w:tc>
        <w:tc>
          <w:tcPr>
            <w:tcW w:w="2319" w:type="pct"/>
            <w:vAlign w:val="center"/>
          </w:tcPr>
          <w:p w14:paraId="0D83DE2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开机检查，对部件或整体依据生产情况进行修复或更换</w:t>
            </w:r>
          </w:p>
        </w:tc>
        <w:tc>
          <w:tcPr>
            <w:tcW w:w="508" w:type="pct"/>
            <w:vAlign w:val="center"/>
          </w:tcPr>
          <w:p w14:paraId="796BD48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直流电源</w:t>
            </w:r>
          </w:p>
        </w:tc>
        <w:tc>
          <w:tcPr>
            <w:tcW w:w="995" w:type="pct"/>
            <w:vAlign w:val="center"/>
          </w:tcPr>
          <w:p w14:paraId="158A80B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5A5F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2B8B8C5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11</w:t>
            </w:r>
          </w:p>
        </w:tc>
        <w:tc>
          <w:tcPr>
            <w:tcW w:w="777" w:type="pct"/>
            <w:vAlign w:val="center"/>
          </w:tcPr>
          <w:p w14:paraId="54B5D80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磷化板框压滤机</w:t>
            </w:r>
          </w:p>
        </w:tc>
        <w:tc>
          <w:tcPr>
            <w:tcW w:w="2319" w:type="pct"/>
            <w:vAlign w:val="center"/>
          </w:tcPr>
          <w:p w14:paraId="5FFD276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1.开机检查，对管路进行硝酸或硫酸清洗；</w:t>
            </w:r>
          </w:p>
          <w:p w14:paraId="5B432F5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2.更换滤布；</w:t>
            </w:r>
          </w:p>
          <w:p w14:paraId="20F77C0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3.检查滤板，对变形，密封不严的产品进行更换；</w:t>
            </w:r>
          </w:p>
          <w:p w14:paraId="2A891E3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4.检查液压系统，更换液压油或部件；</w:t>
            </w:r>
          </w:p>
        </w:tc>
        <w:tc>
          <w:tcPr>
            <w:tcW w:w="508" w:type="pct"/>
            <w:vAlign w:val="center"/>
          </w:tcPr>
          <w:p w14:paraId="6A04BB8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板框压滤机</w:t>
            </w:r>
          </w:p>
        </w:tc>
        <w:tc>
          <w:tcPr>
            <w:tcW w:w="995" w:type="pct"/>
            <w:vAlign w:val="center"/>
          </w:tcPr>
          <w:p w14:paraId="2100A57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410D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665DCA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12</w:t>
            </w:r>
          </w:p>
        </w:tc>
        <w:tc>
          <w:tcPr>
            <w:tcW w:w="777" w:type="pct"/>
            <w:vAlign w:val="center"/>
          </w:tcPr>
          <w:p w14:paraId="3B8C631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纸袋过滤机</w:t>
            </w:r>
          </w:p>
        </w:tc>
        <w:tc>
          <w:tcPr>
            <w:tcW w:w="2319" w:type="pct"/>
            <w:vAlign w:val="center"/>
          </w:tcPr>
          <w:p w14:paraId="302BD1C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1.开机检查，更换滤纸</w:t>
            </w:r>
          </w:p>
        </w:tc>
        <w:tc>
          <w:tcPr>
            <w:tcW w:w="508" w:type="pct"/>
            <w:vAlign w:val="center"/>
          </w:tcPr>
          <w:p w14:paraId="69F6FE2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纸袋过滤机</w:t>
            </w:r>
          </w:p>
        </w:tc>
        <w:tc>
          <w:tcPr>
            <w:tcW w:w="995" w:type="pct"/>
            <w:vAlign w:val="center"/>
          </w:tcPr>
          <w:p w14:paraId="11BE102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45E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3BE380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13</w:t>
            </w:r>
          </w:p>
        </w:tc>
        <w:tc>
          <w:tcPr>
            <w:tcW w:w="777" w:type="pct"/>
            <w:vAlign w:val="center"/>
          </w:tcPr>
          <w:p w14:paraId="66B562F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全线管路及阀门</w:t>
            </w:r>
          </w:p>
        </w:tc>
        <w:tc>
          <w:tcPr>
            <w:tcW w:w="2319" w:type="pct"/>
            <w:vAlign w:val="center"/>
          </w:tcPr>
          <w:p w14:paraId="529BCDC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开机进行检查，对损坏，跑、冒、滴、漏进行整改，对损坏处进行更换或修复。</w:t>
            </w:r>
          </w:p>
        </w:tc>
        <w:tc>
          <w:tcPr>
            <w:tcW w:w="508" w:type="pct"/>
            <w:vAlign w:val="center"/>
          </w:tcPr>
          <w:p w14:paraId="7F49F06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1BF594B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D7C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05277B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14</w:t>
            </w:r>
          </w:p>
        </w:tc>
        <w:tc>
          <w:tcPr>
            <w:tcW w:w="777" w:type="pct"/>
            <w:vAlign w:val="center"/>
          </w:tcPr>
          <w:p w14:paraId="6E06655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喷嘴</w:t>
            </w:r>
          </w:p>
        </w:tc>
        <w:tc>
          <w:tcPr>
            <w:tcW w:w="2319" w:type="pct"/>
            <w:vAlign w:val="center"/>
          </w:tcPr>
          <w:p w14:paraId="30F328D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检查搅拌或喷淋喷嘴，对损坏件进行更换</w:t>
            </w:r>
          </w:p>
        </w:tc>
        <w:tc>
          <w:tcPr>
            <w:tcW w:w="508" w:type="pct"/>
            <w:vAlign w:val="center"/>
          </w:tcPr>
          <w:p w14:paraId="4E8BEF1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429B2C7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55C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81E8C1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15</w:t>
            </w:r>
          </w:p>
        </w:tc>
        <w:tc>
          <w:tcPr>
            <w:tcW w:w="777" w:type="pct"/>
            <w:vAlign w:val="center"/>
          </w:tcPr>
          <w:p w14:paraId="7A1FA4E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风机</w:t>
            </w:r>
          </w:p>
        </w:tc>
        <w:tc>
          <w:tcPr>
            <w:tcW w:w="2319" w:type="pct"/>
            <w:vAlign w:val="center"/>
          </w:tcPr>
          <w:p w14:paraId="176FDB9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更换皮带，加注润滑油。</w:t>
            </w:r>
          </w:p>
        </w:tc>
        <w:tc>
          <w:tcPr>
            <w:tcW w:w="508" w:type="pct"/>
            <w:vAlign w:val="center"/>
          </w:tcPr>
          <w:p w14:paraId="6FDD98F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52396B0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2D3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CF0CA6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16</w:t>
            </w:r>
          </w:p>
        </w:tc>
        <w:tc>
          <w:tcPr>
            <w:tcW w:w="777" w:type="pct"/>
            <w:vAlign w:val="center"/>
          </w:tcPr>
          <w:p w14:paraId="09C39D2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双轨自行小车</w:t>
            </w:r>
          </w:p>
        </w:tc>
        <w:tc>
          <w:tcPr>
            <w:tcW w:w="2319" w:type="pct"/>
            <w:vAlign w:val="center"/>
          </w:tcPr>
          <w:p w14:paraId="162B6532">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1.电机减速机更换润滑油；</w:t>
            </w:r>
          </w:p>
          <w:p w14:paraId="06754F7F">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2.检查滑触线或电刷，对损坏进行更换；</w:t>
            </w:r>
          </w:p>
          <w:p w14:paraId="6D7ECADB">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3.检查皮带及锁紧电动推杆，对损坏件进行更换；</w:t>
            </w:r>
          </w:p>
          <w:p w14:paraId="62A31DF5">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4.起升吊具拆除，新增承载轨道，承载轨道考虑在返回时不干</w:t>
            </w:r>
            <w:r>
              <w:rPr>
                <w:rFonts w:hint="eastAsia" w:ascii="仿宋" w:hAnsi="仿宋" w:eastAsia="仿宋" w:cs="仿宋"/>
                <w:sz w:val="24"/>
                <w:szCs w:val="24"/>
                <w:highlight w:val="none"/>
                <w:lang w:val="en-US" w:eastAsia="zh-CN"/>
              </w:rPr>
              <w:t>涉</w:t>
            </w:r>
            <w:r>
              <w:rPr>
                <w:rFonts w:hint="eastAsia" w:ascii="仿宋" w:hAnsi="仿宋" w:eastAsia="仿宋" w:cs="仿宋"/>
                <w:sz w:val="24"/>
                <w:szCs w:val="24"/>
                <w:highlight w:val="none"/>
              </w:rPr>
              <w:t>安全网及室体；</w:t>
            </w:r>
          </w:p>
          <w:p w14:paraId="59E1842F">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5.新增</w:t>
            </w:r>
            <w:r>
              <w:rPr>
                <w:rFonts w:hint="eastAsia" w:ascii="仿宋" w:hAnsi="仿宋" w:eastAsia="仿宋" w:cs="仿宋"/>
                <w:sz w:val="24"/>
                <w:szCs w:val="24"/>
                <w:highlight w:val="none"/>
                <w:lang w:val="en-US" w:eastAsia="zh-CN"/>
              </w:rPr>
              <w:t>不少于4</w:t>
            </w:r>
            <w:r>
              <w:rPr>
                <w:rFonts w:hint="eastAsia" w:ascii="仿宋" w:hAnsi="仿宋" w:eastAsia="仿宋" w:cs="仿宋"/>
                <w:sz w:val="24"/>
                <w:szCs w:val="24"/>
                <w:highlight w:val="none"/>
              </w:rPr>
              <w:t>套行走升降小车；</w:t>
            </w:r>
          </w:p>
          <w:p w14:paraId="4C268B37">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6.优化或更改程序；</w:t>
            </w:r>
          </w:p>
          <w:p w14:paraId="2D86FBE4">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7.增加电气控制。</w:t>
            </w:r>
          </w:p>
        </w:tc>
        <w:tc>
          <w:tcPr>
            <w:tcW w:w="508" w:type="pct"/>
            <w:vAlign w:val="center"/>
          </w:tcPr>
          <w:p w14:paraId="29F267D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6C4EDCC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bl>
    <w:p w14:paraId="03379083">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5.4.3车架电泳烘干炉强冷室(数量：1套)</w:t>
      </w:r>
    </w:p>
    <w:p w14:paraId="462B58C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电泳烘干炉采用直通型，主要由保温室体、三元体燃气直接加热系统（加热、循环、过滤）、热风循环系统、进出口自动保温门、动力排风罩、废气排放系统等部分组成。投标方需评估利旧现有烘干三元体、燃烧器等设备，利旧设备能力不足时需进行增设改造；</w:t>
      </w:r>
    </w:p>
    <w:p w14:paraId="4481288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保温室体内表面采用1.5mm厚的渗铝钢板并满焊，采用满焊方式，入口第一个工位底板采用SUS304板，室体采用200mm厚岩棉保温层，外包板采用0.8mm无锌花镀锌板。风管采用1.2mm渗铝钢板。</w:t>
      </w:r>
    </w:p>
    <w:p w14:paraId="092614B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烘干炉升温时间不大于60min。工作区升温到工作温度后，固定点温差稳定性≤±5℃。</w:t>
      </w:r>
    </w:p>
    <w:p w14:paraId="1E9FD11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电泳烘干炉传热方式为热风循环方式。烘干室内温度可自动按设定数值进行自动控制，并设置显示、超温报警等功能。烘干炉每个加热区采用3点测温方式。</w:t>
      </w:r>
    </w:p>
    <w:p w14:paraId="1B89569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烘干室进出口端设有自动保温门，以防热风外逸。烘干室新风量、排风量等风量可调，设有手动调节机构，使循环风量平衡，减少烘干室内气体外溢。</w:t>
      </w:r>
    </w:p>
    <w:p w14:paraId="005806AE">
      <w:pPr>
        <w:pStyle w:val="14"/>
        <w:spacing w:line="360" w:lineRule="auto"/>
        <w:ind w:firstLine="468" w:firstLineChars="200"/>
        <w:outlineLvl w:val="9"/>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废气治理系统：采用原有RTO处理系统：对设备进行改造具备废气处理能力，满足环保排放要求。</w:t>
      </w:r>
    </w:p>
    <w:p w14:paraId="316C156F">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5.4.4电泳强冷室</w:t>
      </w:r>
    </w:p>
    <w:p w14:paraId="37DC8B2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电泳强冷室主要由室体、送排风单元等部分组成。室体由1.5mm厚的镀锌板制作，100mm厚岩棉保温层，外包板采用0.6mm压型无锌花镀锌板。</w:t>
      </w:r>
    </w:p>
    <w:p w14:paraId="7912525B">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强冷室的风冷系统主要由风机、风嘴(风嘴仿形设计)以及风管等部分组成。风嘴采用强冷风嘴。本强冷室从车间内取风，热废气直接通过厂房顶部排到车间外。</w:t>
      </w:r>
    </w:p>
    <w:p w14:paraId="3FE21072">
      <w:pPr>
        <w:pStyle w:val="14"/>
        <w:spacing w:line="360" w:lineRule="auto"/>
        <w:ind w:firstLine="468" w:firstLineChars="200"/>
        <w:outlineLvl w:val="3"/>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 自卸、罐车前处理线</w:t>
      </w:r>
    </w:p>
    <w:p w14:paraId="510BA18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5.5.1自卸车焊缝密封胶打胶工位  数量：1套</w:t>
      </w:r>
    </w:p>
    <w:p w14:paraId="0C9ACFDC">
      <w:pPr>
        <w:shd w:val="clear"/>
        <w:spacing w:line="360" w:lineRule="auto"/>
        <w:ind w:firstLine="480" w:firstLineChars="200"/>
        <w:rPr>
          <w:rFonts w:hint="default" w:ascii="仿宋" w:hAnsi="仿宋" w:eastAsia="仿宋" w:cs="仿宋"/>
          <w:b w:val="0"/>
          <w:bCs/>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打胶工位布置</w:t>
      </w:r>
      <w:r>
        <w:rPr>
          <w:rFonts w:hint="eastAsia" w:ascii="仿宋" w:hAnsi="仿宋" w:eastAsia="仿宋" w:cs="仿宋"/>
          <w:b w:val="0"/>
          <w:bCs/>
          <w:color w:val="000000" w:themeColor="text1"/>
          <w:sz w:val="24"/>
          <w:szCs w:val="24"/>
          <w14:textFill>
            <w14:solidFill>
              <w14:schemeClr w14:val="tx1"/>
            </w14:solidFill>
          </w14:textFill>
        </w:rPr>
        <w:t>整体</w:t>
      </w:r>
      <w:r>
        <w:rPr>
          <w:rFonts w:hint="eastAsia" w:ascii="仿宋" w:hAnsi="仿宋" w:eastAsia="仿宋" w:cs="仿宋"/>
          <w:b w:val="0"/>
          <w:bCs/>
          <w:color w:val="000000" w:themeColor="text1"/>
          <w:sz w:val="24"/>
          <w:szCs w:val="24"/>
          <w:lang w:val="en-US" w:eastAsia="zh-CN"/>
          <w14:textFill>
            <w14:solidFill>
              <w14:schemeClr w14:val="tx1"/>
            </w14:solidFill>
          </w14:textFill>
        </w:rPr>
        <w:t>踏台作业</w:t>
      </w:r>
      <w:r>
        <w:rPr>
          <w:rFonts w:hint="eastAsia" w:ascii="仿宋" w:hAnsi="仿宋" w:eastAsia="仿宋" w:cs="仿宋"/>
          <w:b w:val="0"/>
          <w:bCs/>
          <w:color w:val="000000" w:themeColor="text1"/>
          <w:sz w:val="24"/>
          <w:szCs w:val="24"/>
          <w14:textFill>
            <w14:solidFill>
              <w14:schemeClr w14:val="tx1"/>
            </w14:solidFill>
          </w14:textFill>
        </w:rPr>
        <w:t>平台：满足对</w:t>
      </w:r>
      <w:r>
        <w:rPr>
          <w:rFonts w:hint="eastAsia" w:ascii="仿宋" w:hAnsi="仿宋" w:eastAsia="仿宋" w:cs="仿宋"/>
          <w:b w:val="0"/>
          <w:bCs/>
          <w:color w:val="000000" w:themeColor="text1"/>
          <w:sz w:val="24"/>
          <w:szCs w:val="24"/>
          <w:lang w:val="en-US" w:eastAsia="zh-CN"/>
          <w14:textFill>
            <w14:solidFill>
              <w14:schemeClr w14:val="tx1"/>
            </w14:solidFill>
          </w14:textFill>
        </w:rPr>
        <w:t>自卸车</w:t>
      </w:r>
      <w:r>
        <w:rPr>
          <w:rFonts w:hint="eastAsia" w:ascii="仿宋" w:hAnsi="仿宋" w:eastAsia="仿宋" w:cs="仿宋"/>
          <w:b w:val="0"/>
          <w:bCs/>
          <w:color w:val="000000" w:themeColor="text1"/>
          <w:sz w:val="24"/>
          <w:szCs w:val="24"/>
          <w14:textFill>
            <w14:solidFill>
              <w14:schemeClr w14:val="tx1"/>
            </w14:solidFill>
          </w14:textFill>
        </w:rPr>
        <w:t>四周和</w:t>
      </w:r>
      <w:r>
        <w:rPr>
          <w:rFonts w:hint="eastAsia" w:ascii="仿宋" w:hAnsi="仿宋" w:eastAsia="仿宋" w:cs="仿宋"/>
          <w:b w:val="0"/>
          <w:bCs/>
          <w:color w:val="000000" w:themeColor="text1"/>
          <w:sz w:val="24"/>
          <w:szCs w:val="24"/>
          <w:lang w:val="en-US" w:eastAsia="zh-CN"/>
          <w14:textFill>
            <w14:solidFill>
              <w14:schemeClr w14:val="tx1"/>
            </w14:solidFill>
          </w14:textFill>
        </w:rPr>
        <w:t>底部打胶</w:t>
      </w:r>
      <w:r>
        <w:rPr>
          <w:rFonts w:hint="eastAsia" w:ascii="仿宋" w:hAnsi="仿宋" w:eastAsia="仿宋" w:cs="仿宋"/>
          <w:b w:val="0"/>
          <w:bCs/>
          <w:color w:val="000000" w:themeColor="text1"/>
          <w:sz w:val="24"/>
          <w:szCs w:val="24"/>
          <w14:textFill>
            <w14:solidFill>
              <w14:schemeClr w14:val="tx1"/>
            </w14:solidFill>
          </w14:textFill>
        </w:rPr>
        <w:t>要求</w:t>
      </w:r>
      <w:r>
        <w:rPr>
          <w:rFonts w:hint="eastAsia" w:ascii="仿宋" w:hAnsi="仿宋" w:eastAsia="仿宋" w:cs="仿宋"/>
          <w:b w:val="0"/>
          <w:bCs/>
          <w:color w:val="000000" w:themeColor="text1"/>
          <w:sz w:val="24"/>
          <w:szCs w:val="24"/>
          <w:lang w:eastAsia="zh-CN"/>
          <w14:textFill>
            <w14:solidFill>
              <w14:schemeClr w14:val="tx1"/>
            </w14:solidFill>
          </w14:textFill>
        </w:rPr>
        <w:t>，</w:t>
      </w:r>
      <w:r>
        <w:rPr>
          <w:rFonts w:hint="eastAsia" w:ascii="仿宋" w:hAnsi="仿宋" w:eastAsia="仿宋" w:cs="仿宋"/>
          <w:b w:val="0"/>
          <w:bCs/>
          <w:color w:val="000000" w:themeColor="text1"/>
          <w:sz w:val="24"/>
          <w:szCs w:val="24"/>
          <w14:textFill>
            <w14:solidFill>
              <w14:schemeClr w14:val="tx1"/>
            </w14:solidFill>
          </w14:textFill>
        </w:rPr>
        <w:t>台面三面设防护栏；</w:t>
      </w:r>
      <w:r>
        <w:rPr>
          <w:rFonts w:hint="eastAsia" w:ascii="仿宋" w:hAnsi="仿宋" w:eastAsia="仿宋" w:cs="仿宋"/>
          <w:b w:val="0"/>
          <w:bCs/>
          <w:color w:val="000000" w:themeColor="text1"/>
          <w:sz w:val="24"/>
          <w:szCs w:val="24"/>
          <w:lang w:val="en-US" w:eastAsia="zh-CN"/>
          <w14:textFill>
            <w14:solidFill>
              <w14:schemeClr w14:val="tx1"/>
            </w14:solidFill>
          </w14:textFill>
        </w:rPr>
        <w:t>线边配置2套55加仑集中供胶柱塞泵，单泵配置不少于3把胶枪；供胶系统可稳压调压。</w:t>
      </w:r>
    </w:p>
    <w:p w14:paraId="6E43BBB2">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5.5.2自卸车、罐车喷淋式前处理  数量：1套</w:t>
      </w:r>
    </w:p>
    <w:p w14:paraId="07A84B2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前处理区包含四个喷淋工位，8道工序前处理。前处理五工位，8个喷淋工序分为预脱脂、脱脂工位、 水洗1、纯水洗1、表调、磷化、水洗2、纯水洗2工位。</w:t>
      </w:r>
    </w:p>
    <w:p w14:paraId="5F994DB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沿前处理工件运行方向布置有热水管路系统、压缩空气管路系统、自来水管路系统等，管路采用镀锌管路。采用排液沟设置有集液井，集液井设置排污泵和液位控制系统，自动将废液通过管路送往废水处理站。前处理槽体放置在地坑内，配置相应的检修设备。</w:t>
      </w:r>
    </w:p>
    <w:p w14:paraId="2D38F73C">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5.5.3 预脱脂、脱脂工位</w:t>
      </w:r>
    </w:p>
    <w:p w14:paraId="099771C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该工位含喷淋室体、预脱脂、脱脂槽，喷淋泵、喷淋管路、脱脂加料系统。</w:t>
      </w:r>
    </w:p>
    <w:p w14:paraId="04A332D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喷淋室体壁板采用双层壁板结构形式，内壁板全满焊结构，外板采用压型无锌花镀锌板，中间采用岩棉保温。室体外设置LED照明系统。</w:t>
      </w:r>
    </w:p>
    <w:p w14:paraId="36E101A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室体设置排风系统，排风风机采用轴流风机，噪音低于85分贝，排气管高度不低于15m；总排风量满足设计要求，保证室体内为微负压，防止废气外溢。</w:t>
      </w:r>
    </w:p>
    <w:p w14:paraId="7274539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脱脂槽槽体采用锥斗结构，设置板式换热器，采用热水加热，热水由热水机组制备。脱脂槽采用自动补水阀门。脱脂槽设置袋式过滤器。</w:t>
      </w:r>
    </w:p>
    <w:p w14:paraId="14E2D20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泵喷淋系统1套，采用双机械密封，喷淋泵采用变频电机驱动，停喷时水泵低频运行。</w:t>
      </w:r>
    </w:p>
    <w:p w14:paraId="57B036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脱脂加料系统：配置计量泵加料装置。</w:t>
      </w:r>
    </w:p>
    <w:p w14:paraId="21F6D98F">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5.5.3水洗1工位、纯水洗1</w:t>
      </w:r>
    </w:p>
    <w:p w14:paraId="7C66956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该工位含喷淋室体、槽体、喷淋泵、喷淋管路。</w:t>
      </w:r>
    </w:p>
    <w:p w14:paraId="5A34888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淋室体壁板采用双层壁板结构形式，内壁板全满焊结构，外板采用压型无锌花镀锌板。室体外设置LED照明系统。室体进两侧各设置2个安全门，安全门防水密封；室体淌水板应设置有一定的坡度以利于排水。水洗1、纯水洗1槽体设有排放口；采用气动控制方式的自动补水阀门； </w:t>
      </w:r>
    </w:p>
    <w:p w14:paraId="0FE91E2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喷淋管路材质为不锈钢材质。喷淋泵采用变频电机驱动；在回水管路上设置有带气动阀的回水管路，不同工位工作时回水自动回到工作槽。</w:t>
      </w:r>
    </w:p>
    <w:p w14:paraId="0F1DB60A">
      <w:pPr>
        <w:pStyle w:val="14"/>
        <w:spacing w:line="360" w:lineRule="auto"/>
        <w:ind w:firstLine="468" w:firstLineChars="200"/>
        <w:outlineLvl w:val="4"/>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5.5.4表调工位</w:t>
      </w:r>
    </w:p>
    <w:p w14:paraId="13ABF19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该工位含喷淋室体、表调槽体、喷淋泵、喷淋管路。</w:t>
      </w:r>
    </w:p>
    <w:p w14:paraId="18B5029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喷淋室体壁板采用双层壁板结构形式，内壁板全满焊结构，外板采用压型无锌花镀锌板。室体外设置LED照明系统。</w:t>
      </w:r>
    </w:p>
    <w:p w14:paraId="18E6142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室体外设置LED照明系统。室体设置排风系统，排风风机采用轴流风机，噪音低于85分贝，总排风量满足设计要求，保证室体内为微负压，防止废气外溢。</w:t>
      </w:r>
    </w:p>
    <w:p w14:paraId="576A6CE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泵喷淋系统采用双机械密封，配备轴封系统，喷淋管路材质不锈钢。喷淋泵采用变频电机驱动，停喷时水泵低频运行。加料系统：配有计量泵加料装置。</w:t>
      </w:r>
    </w:p>
    <w:p w14:paraId="5EA3D121">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5.5.5磷化工位</w:t>
      </w:r>
    </w:p>
    <w:p w14:paraId="31AAF51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该工位含喷淋室体、磷化槽、喷淋泵、喷淋管路、加料系统。</w:t>
      </w:r>
    </w:p>
    <w:p w14:paraId="5D0053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室体外设置LED照明系统。室体设置排风系统，排风风机采用轴流风机，噪音低于85分贝，总排风量满足设计要求，保证室体内为微负压，防止废气外溢。</w:t>
      </w:r>
    </w:p>
    <w:p w14:paraId="0642D54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磷化槽槽体采用锥斗结构，槽内设置板式换热器，采用热水加热，热水由热水机组制备。槽采用自动补水阀门，设置袋式过滤器。</w:t>
      </w:r>
    </w:p>
    <w:p w14:paraId="17B2D28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泵喷淋系统采用双机械密封，配备轴封系统，喷淋管路材质不锈钢。喷淋泵采用变频电机驱动，停喷时水泵低频运行。加料系统：配有计量泵加料装置。</w:t>
      </w:r>
    </w:p>
    <w:p w14:paraId="086B3573">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5.5.6、水洗2、纯水洗2工位。</w:t>
      </w:r>
    </w:p>
    <w:p w14:paraId="6D18A19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该工位含喷淋室体、槽体、喷淋泵、喷淋管路。</w:t>
      </w:r>
    </w:p>
    <w:p w14:paraId="04FC5D8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淋室体壁板采用双层壁板结构形式，内壁板全满焊结构，外板采用压型无锌花镀锌板。室体外设置LED照明系统。室体进两侧各设置2个安全门，安全门防水密封；室体淌水板应设置有一定的坡度以利于排水。水洗2、纯水洗2槽体设有排放口；采用气动控制方式的自动补水阀门； </w:t>
      </w:r>
    </w:p>
    <w:p w14:paraId="4D10526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喷淋管路材质为不锈钢材质。喷淋泵采用变频电机驱动；在回水管路上设置有带气动阀的回水管路，不同工位工作时回水自动回到工作槽。</w:t>
      </w:r>
    </w:p>
    <w:p w14:paraId="307E0F1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5.5.7吹水工位</w:t>
      </w:r>
    </w:p>
    <w:p w14:paraId="4BC4FD4A">
      <w:pPr>
        <w:pStyle w:val="14"/>
        <w:spacing w:line="360" w:lineRule="auto"/>
        <w:ind w:firstLine="468" w:firstLineChars="200"/>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吹水工位配置人工作业登高踏台，踏台设置护栏，线边配置压缩空气接口，配置加长杆压缩空气枪；满足人工吹水作业需求。</w:t>
      </w:r>
    </w:p>
    <w:p w14:paraId="4DC19815">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5.5.8水分烘干、强冷室（数量：1套）</w:t>
      </w:r>
    </w:p>
    <w:p w14:paraId="71C84A1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水分烘干室采用直通型，主要由保温室体、三元体燃气直接加热系统（加热、循环、过滤）、热风循环系统、废气排放系统、进出口吸风罩和自动保温门、电控系统等部分组成。</w:t>
      </w:r>
    </w:p>
    <w:p w14:paraId="60DED08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内温度应按设定数值进行自动控制，并设置显示、超温报警等功能。烘干炉炉内采用不少于3点测温方式，可以及时全面了解烘干炉的工作运行状态。烘干炉燃烧机与循环风机通过热继电器和风压开关连锁控制，确保循环风机正常工作后燃烧机方能启动工作，以避免发生燃烧机的干烧损坏燃烧机和加热系统。</w:t>
      </w:r>
    </w:p>
    <w:p w14:paraId="664783E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保温室体内表面采用t=1.5mm的渗铝板满焊；150mm厚岩棉保温层，岩棉容重120kg/m3；外包板采用0.6mm无锌花镀锌板，保温板外壁与车间室内温差≤15℃；风管采用1.2mm镀锌板；</w:t>
      </w:r>
    </w:p>
    <w:p w14:paraId="3D4AC1DD">
      <w:pPr>
        <w:pStyle w:val="14"/>
        <w:tabs>
          <w:tab w:val="left" w:pos="6869"/>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三元体燃气直接加热系统：烘干炉升温时间不大于60min，三元体加热系统主要包括循环风机、燃烧器、过滤器。循环风机出口设置风压开关和热电偶（感温元件）双重保护系统；当风压小于设定值时或温度高于设定值时，电子信号传至PLC控制中心，触摸屏上作出反应，切断事故处的燃烧器和风机电源，发出报警蜂鸣声；过滤器的过滤框为镀锌网，过滤棉为耐高温材料，滤除循环气体中的尘埃，确保循环气体的洁净度。</w:t>
      </w:r>
    </w:p>
    <w:p w14:paraId="798F3DB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燃烧机：采用比例调节燃烧器加热，保证烘干温度的稳定性。燃烧器自带火焰检测器、过滤、微调压、浓度检测及报警等全套装置。配备燃烧机燃气浓度检测及报警系统。</w:t>
      </w:r>
    </w:p>
    <w:p w14:paraId="20BB72F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热风循环系统：室内设有合理布置的循环风管系统，排风管路设有风量调节装置，并可对热风进行调节，循环风量按温差要求进行设计；热风循环系统中设置耐高温过滤装置，烘干室内的空气反复循环过滤，随时保证室内空气有高的洁净度，从而确保工件的烘干质量和涂层的高品质。</w:t>
      </w:r>
    </w:p>
    <w:p w14:paraId="282EA36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废气排放系统：设置有排废风机，将废气排往车间外，废气排放管采用镀锌钢板，并设置有100mm的岩棉保温层，风管高度不低于15m。</w:t>
      </w:r>
    </w:p>
    <w:p w14:paraId="68C1433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烘干室进出口端设有吸风罩和自动电动对开保温门，以防热风外逸。</w:t>
      </w:r>
    </w:p>
    <w:p w14:paraId="129D132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强冷室主要由室体、送排风单元等部分组成。室体由镀锌板制作，岩棉保温层，外包板采用压型无锌花镀锌板。</w:t>
      </w:r>
    </w:p>
    <w:p w14:paraId="5049F04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强冷室的风冷系统主要由风机、风嘴(风嘴仿形设计)以及风管等部分组成，风嘴采用强冷风嘴，强冷室从车间内取风，热废气直接通过厂房顶部排到车间外。 </w:t>
      </w:r>
    </w:p>
    <w:p w14:paraId="335C89E6">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5.6、静电喷粉线（车架静电喷粉房2套，自卸/罐车底面粉喷粉房共3套，人工喷粉套色粉房1套）</w:t>
      </w:r>
    </w:p>
    <w:p w14:paraId="4E29D57D">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喷涂设备的整体要求：智能自动化、模块化、节能环保安全、高稳定性高可靠性运行、易操作易维护，运用智能自动化技术，高效高品质高稳定性、轻劳化及少人化运行，采用自动加粉、自动喷涂、自动检测等先进成熟的生产工艺技术。</w:t>
      </w:r>
    </w:p>
    <w:p w14:paraId="0927EBBC">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5.6.1喷粉工艺及设备要求</w:t>
      </w:r>
    </w:p>
    <w:p w14:paraId="4EB28CF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喷涂方式：前低工位手补+往复机自动仿形喷涂（自卸车兼顾箱内前后墙，侧板、底板喷涂）+人工高位手补+人工低工位手补方式喷涂；过喷粉末进入旋风回收系统。</w:t>
      </w:r>
    </w:p>
    <w:p w14:paraId="126ADBC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粉房换色时间要求：换色时间小于50min。</w:t>
      </w:r>
    </w:p>
    <w:p w14:paraId="40EC34D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粉房前设置车型轮廓识别功能，需充分考虑重复定位、往复机运行精度等；</w:t>
      </w:r>
    </w:p>
    <w:p w14:paraId="010A7F8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根据产品结构特点，在喷枪布置、往复机等自动化设备的总体设计以及喷嘴型式的选择充分考虑适应性。喷涂系统配置安全防爆装置，具有喷涂区域火焰探测功能、抽风管道机械隔爆功能、过滤器自动灭火功能、过滤器锁气卸灰功能、过滤器压差监测、过滤器温度监测、过滤器无焰泄爆装置等。</w:t>
      </w:r>
    </w:p>
    <w:p w14:paraId="2D7F84E7">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5.6.2工件轮廓扫描功能：</w:t>
      </w:r>
    </w:p>
    <w:p w14:paraId="13A75C7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将需要喷涂的工件轮廓信息记录并经计算机加工处理后，提供给PLC,再由 PLC 驱动伺服控制器，带动相应喷枪进行仿形喷涂，从而达到最大程度的自动化喷涂。</w:t>
      </w:r>
    </w:p>
    <w:p w14:paraId="393F8051">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5.6.3喷粉室体</w:t>
      </w:r>
    </w:p>
    <w:p w14:paraId="550AFFF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喷粉房壳体：喷房壁板采用阻燃工程塑料板材，配有自动吹粉装置，符合中国环保和消防法规。喷粉粉房拐角处设计成R角结构，减少积粉。房体底部应具有足够的强度，以方便工人进入粉房维护保养。</w:t>
      </w:r>
    </w:p>
    <w:p w14:paraId="24698F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综合考虑工件尺寸，自动喷粉设备出口两边设置人工补粉及检查工位，平台结构牢固，配有安全扶手，人工工位要符合人机工程学。 </w:t>
      </w:r>
    </w:p>
    <w:p w14:paraId="734E145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喷粉室体及通风管道内壁应光滑无凹凸缘，应保持喷粉室及其系统内不聚集粉末，并能使粉末有组织地导入回收装置。 </w:t>
      </w:r>
    </w:p>
    <w:p w14:paraId="594BB9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自动喷粉设备两侧设置往复机喷枪枪槽，对面枪槽需要错开合理距离，互不干涉。</w:t>
      </w:r>
    </w:p>
    <w:p w14:paraId="0CE87D7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配备可伸缩型加长型清理气管，方便人工清理余粉；喷粉室底部斜面及锥顶设置自动清理气刀，可自动清理多余粉末。</w:t>
      </w:r>
    </w:p>
    <w:p w14:paraId="591B735E">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5.6.4粉房粉末浓度要求</w:t>
      </w:r>
    </w:p>
    <w:p w14:paraId="473D344E">
      <w:pPr>
        <w:pStyle w:val="14"/>
        <w:spacing w:line="360" w:lineRule="auto"/>
        <w:ind w:firstLine="468" w:firstLineChars="200"/>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抽风量设计满足粉房风速的基本要求，喷房内无紊乱气流，稳定气流自上而下，两侧均匀分布，保证好的喷涂效果。喷粉房内是负压，不允许有粉末外溢问题，除喷枪出口等局部区域外，喷粉室内悬浮粉末平均浓度应符合消防安全法规要求。</w:t>
      </w:r>
    </w:p>
    <w:p w14:paraId="27D80B5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喷房照明：安装安全防爆照明设施，照度＞600lux；</w:t>
      </w:r>
    </w:p>
    <w:p w14:paraId="7B5CC466">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5.6.5粉末回收系统</w:t>
      </w:r>
    </w:p>
    <w:p w14:paraId="2B4B802B">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所有粉房均配旋风回收系统，粉末一次回收率不小于96%，能满足快速清理换色，操作简单、方便彻底；换色时系统内部粉末可回收，将通过旋风分离器后回收到的粉传送回到供粉中心或供粉系统。换色后无交叉污染，被优化的旋风结构确保了很高的粉末分离率，所有的旋风管是自清的、导片需要清理，同时大旋风输粉斗需要清理。</w:t>
      </w:r>
      <w:r>
        <w:rPr>
          <w:rFonts w:hint="eastAsia" w:ascii="仿宋" w:hAnsi="仿宋" w:eastAsia="仿宋" w:cs="仿宋"/>
          <w:spacing w:val="-3"/>
          <w:kern w:val="2"/>
          <w:sz w:val="24"/>
          <w:szCs w:val="24"/>
          <w:highlight w:val="none"/>
          <w:lang w:val="en-US" w:eastAsia="zh-CN" w:bidi="ar-SA"/>
        </w:rPr>
        <w:tab/>
      </w:r>
    </w:p>
    <w:p w14:paraId="78DA3802">
      <w:pPr>
        <w:pStyle w:val="14"/>
        <w:spacing w:line="360" w:lineRule="auto"/>
        <w:ind w:firstLine="468" w:firstLineChars="200"/>
        <w:outlineLvl w:val="4"/>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5.6.6过滤装置</w:t>
      </w:r>
    </w:p>
    <w:p w14:paraId="5E5B3B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风机电机需采用防爆电机，风机变频控制。应根据有无工件喷涂、喷枪启停等状况，可延时自动变频调低风机转速直至自动停止风机运转，以节省能耗。该控制可手动与自动切换设置。进、出风口设置风压差检测、报警装置，当风压变化超过此设定值时，监测装置发出声光报警信号。</w:t>
      </w:r>
    </w:p>
    <w:p w14:paraId="0638415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过滤器自动清理系统：采用旋转翼反吹方式。以保证反吹干净彻底。滤芯室需安装自动灭火装置。</w:t>
      </w:r>
    </w:p>
    <w:p w14:paraId="3CD037D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5.6.7供粉系统</w:t>
      </w:r>
    </w:p>
    <w:p w14:paraId="6179D95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供粉中心可将当前各阀组和电气节点的工作状态，以图形化显示，以方便现场人员对系统进行快速的诊断，测试，以及部件的维修/更换。 喷涂作业时，供粉装置应无粉末外溢，供粉量应连续、高效、稳定；可实时监测当前粉位高度。 </w:t>
      </w:r>
    </w:p>
    <w:p w14:paraId="64E4EAB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供粉桶需要带筛粉和粉气分离装置。供粉桶选用目前主流产品，要求易于操作，配有足够的粉泵插口，流化速度快，流化效果好。供粉中心备用一套粉桶。</w:t>
      </w:r>
    </w:p>
    <w:p w14:paraId="08BCED97">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5.6.8静电喷粉枪系统</w:t>
      </w:r>
    </w:p>
    <w:p w14:paraId="1734E40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静电粉末喷枪：要求高上粉率、高适应性、高稳定性；电极针与枪嘴有好的使用寿命；喷枪的高压须符合国家安全规范，须考虑工件的外形尺寸特征，满足招标方要求的自动涂覆率，喷枪须具有闭环气流和闭环电流控制。</w:t>
      </w:r>
    </w:p>
    <w:p w14:paraId="68CB287D">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喷枪具有内置的标准、重喷、腔体等模式，电流与电压可切换控制。</w:t>
      </w:r>
    </w:p>
    <w:p w14:paraId="0A981B1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喷枪具备互联功能，可以通过集中控制系统联动操作，并可导出喷枪运行的后台数据。预留MES系统的通讯接口。</w:t>
      </w:r>
    </w:p>
    <w:p w14:paraId="6FC2FE4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手动静电粉末喷枪：要求轻量化、符合人体工程学设计；对角落、空洞、夹缝有好的喷涂覆盖性。喷枪具备互联功能，且可以通过集中控制系统联动操作，并可导出喷枪运行的后台数据。喷枪具有内置的标准、重喷、腔体等模式，电流与电压可切换控制。</w:t>
      </w:r>
    </w:p>
    <w:p w14:paraId="78EAD3E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自动喷枪与手动喷枪的易损件尽可能通用。</w:t>
      </w:r>
    </w:p>
    <w:p w14:paraId="10EC0F7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喷涂后的工件在固化以后工件表面不存在由于自动喷粉设备原因引起的诸如气泡、流痕、漏喷、露底等缺陷。喷枪在任何时刻不得打火；即使喷枪在抵近工件时不会打火燃烧和失去静电。</w:t>
      </w:r>
    </w:p>
    <w:p w14:paraId="757D2036">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5.6.9自动喷涂系统</w:t>
      </w:r>
    </w:p>
    <w:p w14:paraId="4C2E00BB">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往复机控制器根据入口的工件识别系统识别的工件信息，控制往复机的喷涂程序。</w:t>
      </w:r>
    </w:p>
    <w:p w14:paraId="67E0DD0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喷房往复机要求长期运动不松动，静音;全行程可以实现无极变速;可结合PLC 提供的工件信息，自动生产轮廓仿形程序，完成工件的大面积喷涂工作。</w:t>
      </w:r>
    </w:p>
    <w:p w14:paraId="5703889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喷房通过扫描测定工件外形轮廓数据，PLC 控制喷枪随工件的尺寸外形自动调节位置；对于每台往复机，可以设定在上面的喷枪提前或延迟开/关的时间量，并根据工件信息按需自动调整喷枪开关及出粉量等参数。 </w:t>
      </w:r>
    </w:p>
    <w:p w14:paraId="4E43963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升降机行程可调，速度可调。水平前后可根据不同工件宽度电动调整位移距离；升降机需采用防爆电机。</w:t>
      </w:r>
    </w:p>
    <w:p w14:paraId="4DBEA03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控制系统预留扩展喷涂程序编辑功能，控制系统可根据工件型号选择对应的喷涂程序，可实现中央控制系统与整线控制系统对接读取进入喷涂区域的工作代码。</w:t>
      </w:r>
    </w:p>
    <w:p w14:paraId="7B72ABB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集中控制系统可对往复机运行速度、行程等参数进行精准设定，并保存对应的各项参数，形成工件代码。</w:t>
      </w:r>
    </w:p>
    <w:p w14:paraId="7E924B58">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5.6.10喷房集中控制系统</w:t>
      </w:r>
    </w:p>
    <w:p w14:paraId="0AFF2DA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主要包含电控柜、操作平台、电线、电缆等部分组成。</w:t>
      </w:r>
    </w:p>
    <w:p w14:paraId="1C139DC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采用PLC集中控制方式，对整个粉末喷涂系统的喷枪、往复机、供粉中心、喷房</w:t>
      </w:r>
    </w:p>
    <w:p w14:paraId="50E370C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安全设备等各项电气设备的集中控制，PLC内存容量具备扩展功能。</w:t>
      </w:r>
    </w:p>
    <w:p w14:paraId="5F875FE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在自动运行状态下，喷房入口的自动检测系统对工件信息进行扫描，将信息传递给PLC，同时编码器采集的输送链运行信息也传给PLC，实现不同工件采用不同的喷涂工艺参数/往复机运行程序。</w:t>
      </w:r>
    </w:p>
    <w:p w14:paraId="7D8617E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集中控制系统可根据扫描的工件轮廓信息自动生成往复机喷涂轨迹，也可根据工件情况人工编辑对应的喷涂轨迹，实现不同工件不同的自动喷涂程序。</w:t>
      </w:r>
    </w:p>
    <w:p w14:paraId="43EC7AF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粉末喷枪所有喷涂参数集中在控制系统进行控制，并根据工件代码生成对应的喷涂程序。</w:t>
      </w:r>
    </w:p>
    <w:p w14:paraId="75332E7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控制系统具有模块化、菜单化配置，并可直观的调整各种参数，所有设定参数都必须可以存储，并反复调用使用，具有故障检测报警功能。控制系统具备与喷涂生产线总控制系统的接口功能，实现数据互联互通。设备的控制系统应至少配备一个以太网接口模块，具备与MES系统数据通讯的功能。</w:t>
      </w:r>
    </w:p>
    <w:p w14:paraId="6B8BE5EE">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5.6.11安防系统</w:t>
      </w:r>
    </w:p>
    <w:p w14:paraId="7FC6826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尘防爆安防系统由火焰报警系统、防爆监测及控制系统与粉尘报警系统组成。监控范围：过滤器温度、过滤器压差、喷房与过滤器气包压力监测、喷房火焰探测、风机运行状态等。主要安全设施包括：风机电机采用防爆电机、喷房照明防爆、设备电缆电线密封穿线保护、火焰探测系统、自动灭火装置、后过滤器锁气卸灰装置、后过滤器泄爆装置、机械隔爆装置等满足相关消防、安监要求。</w:t>
      </w:r>
    </w:p>
    <w:p w14:paraId="09BD81F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所有电气系统应根据国标防爆区域的划分进行防爆处理。</w:t>
      </w:r>
    </w:p>
    <w:p w14:paraId="58F636F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监控喷粉房内火焰，系统具备一旦发现火源立刻报警、切断电源和气源的功能。系统具备故障自查、报警、快速切断电源、气源等功能；除尘器安装温度监控设备，设置温度报警值，报警信号联锁除尘器消防系统。</w:t>
      </w:r>
    </w:p>
    <w:p w14:paraId="5228BAE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以上所有喷粉设备必须符合中国的卫生和环境要求，即必须符合GB15607-2023涂装专业安全规范的相关条款的要求。要充分考虑设备节能、劳动保护、环境保护和消防安全，遵循以上原则，提供设备的安全设施清单、职业健康防护的设备、设施清单，消防防护设施清单，设备存在的潜在HSE风险以及管控方法等，需符合涂装作业安全规程和有关标准。</w:t>
      </w:r>
    </w:p>
    <w:p w14:paraId="75B6418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手动粉房内进出口两侧应安装 2 组急停开关，该急停开关与悬挂链、电源、气源、供粉中心、喷涂设备等联锁。</w:t>
      </w:r>
    </w:p>
    <w:p w14:paraId="6E8069B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粉房内应设置可靠的接地装置，粉房外噪音应不大于 65dB，符合GB 12348的检测标准。</w:t>
      </w:r>
    </w:p>
    <w:p w14:paraId="57AA16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后过滤除尘器运行参数、所有报警信号、锁气卸灰故障报警信号等均需接入中控室；所有除尘风管连接处需跨接线；除尘器设置压差报警、温度报警、压缩空气压力检测报警等。所有报警采用声光报警装置。</w:t>
      </w:r>
    </w:p>
    <w:p w14:paraId="0B738F4E">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5.7粉房隔离间(数量：2套)</w:t>
      </w:r>
    </w:p>
    <w:p w14:paraId="64F5F80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为了保证装饰性粉末涂层的质量，在喷粉设备（含喷粉室）外需要特别设置隔离间，防止灰尘、污染物等对粉末及涂层的污染。喷粉房隔离间主要由阻燃封闭隔离间、照明系统组成。</w:t>
      </w:r>
    </w:p>
    <w:p w14:paraId="4E9E7F33">
      <w:pPr>
        <w:pStyle w:val="14"/>
        <w:spacing w:line="360" w:lineRule="auto"/>
        <w:ind w:firstLine="468" w:firstLineChars="200"/>
        <w:rPr>
          <w:rFonts w:hint="eastAsia" w:ascii="仿宋" w:hAnsi="仿宋" w:eastAsia="仿宋" w:cs="仿宋"/>
          <w:spacing w:val="-3"/>
          <w:kern w:val="2"/>
          <w:sz w:val="24"/>
          <w:szCs w:val="24"/>
          <w:highlight w:val="yellow"/>
          <w:lang w:val="en-US" w:eastAsia="zh-CN" w:bidi="ar-SA"/>
        </w:rPr>
      </w:pPr>
      <w:r>
        <w:rPr>
          <w:rFonts w:hint="eastAsia" w:ascii="仿宋" w:hAnsi="仿宋" w:eastAsia="仿宋" w:cs="仿宋"/>
          <w:spacing w:val="-3"/>
          <w:kern w:val="2"/>
          <w:sz w:val="24"/>
          <w:szCs w:val="24"/>
          <w:highlight w:val="none"/>
          <w:lang w:val="en-US" w:eastAsia="zh-CN" w:bidi="ar-SA"/>
        </w:rPr>
        <w:t>墙体采用厚度夹芯钢板制作，型钢骨架。侧面设有大面积防爆玻璃，设有进出口门、工件进出口。室体顶部设有的照明灯确保室内良好的照度，照度≥300Lux；隔离间需要配置空调设备，考虑夏季制冷（工作温度不高于30℃）。</w:t>
      </w:r>
      <w:r>
        <w:rPr>
          <w:rFonts w:hint="eastAsia" w:ascii="仿宋" w:hAnsi="仿宋" w:eastAsia="仿宋" w:cs="仿宋"/>
          <w:spacing w:val="-3"/>
          <w:kern w:val="2"/>
          <w:sz w:val="24"/>
          <w:szCs w:val="24"/>
          <w:highlight w:val="yellow"/>
          <w:lang w:val="en-US" w:eastAsia="zh-CN" w:bidi="ar-SA"/>
        </w:rPr>
        <w:t>储粉间设置防爆空调。</w:t>
      </w:r>
    </w:p>
    <w:p w14:paraId="048883F7">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5.8粉末固化强冷室(车架面粉烘干室1套、底粉粉末胶化烘干室1套、自卸、罐车面粉烘干室1套、套色烘干室1套)</w:t>
      </w:r>
    </w:p>
    <w:p w14:paraId="56949A63">
      <w:pPr>
        <w:pStyle w:val="14"/>
        <w:spacing w:line="360" w:lineRule="auto"/>
        <w:ind w:firstLine="468" w:firstLineChars="200"/>
        <w:outlineLvl w:val="4"/>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5.8.1固化烘干室</w:t>
      </w:r>
    </w:p>
    <w:p w14:paraId="2A4EC04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末固化采用直通型，主要由保温室体、三元体燃气间燃加热系统（加热、循环、过滤）、热风循环系统、进出口自动保温门、动力排风罩、废气排放系统等部分组成。当固化炉升温至工作温度时，固化炉自动门打开方可进件。</w:t>
      </w:r>
    </w:p>
    <w:p w14:paraId="5426F48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保温室体内表面采用1.5mm厚的渗铝钢板并满焊，采用满焊方式，室体采用200mm厚岩棉保温层，外包板采用0.8mm无锌花镀锌板。风管采用1.2mm渗铝钢板。</w:t>
      </w:r>
    </w:p>
    <w:p w14:paraId="4483741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烘干炉升温时间不大于60min。工作区升温到工作温度后，固定点温差稳定性≤±5℃。</w:t>
      </w:r>
    </w:p>
    <w:p w14:paraId="7F0DE55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固化炉设置三元体加热系统。三元体加热系统主要包括循环风机、燃烧机、过滤器。</w:t>
      </w:r>
    </w:p>
    <w:p w14:paraId="34B271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三元体加热装置内壁板1.5mm厚渗铝钢板制作并满焊，外壁板采用压型无锌花镀锌钢板制作。循环风机出口设置风压开关和热电阻（感温元件）双重保护系统。当风压小于设定值时或温度高于设定值时，电子信号传至PLC控制中心，触摸屏上作出反应，切断事故处的燃烧器和风机电源，发出报警蜂鸣声。过滤器的过滤框为镀锌网，过滤棉为耐高温材料，滤除循环气体中的尘埃，确保循环气体的洁净度，过滤器应设有压差开关。</w:t>
      </w:r>
    </w:p>
    <w:p w14:paraId="7217EC9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固化炉设置有排废风机，产生的废气送入催化装置进行废气处理后高空排往车间外。</w:t>
      </w:r>
    </w:p>
    <w:p w14:paraId="66CBF83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传热方式为热风循环方式。烘干室内温度可自动按设定数值进行自动控制，并设置显示、超温报警等功能。烘干炉每个加热区采用不少于3点测温方式。烘干室进出口端设有自动保温门，以防热风外逸。</w:t>
      </w:r>
    </w:p>
    <w:p w14:paraId="3E54AFB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废气排放系统需要确保烘干室内可燃气体最高浓度符合消防安全要求，风管采用渗铝钢板制作，并设置有100mm的岩棉保温层，风管高度不低于15m。</w:t>
      </w:r>
    </w:p>
    <w:p w14:paraId="64377E7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烘干室新风量、排风量等风量可调，设有手动调节机构，使循环风量平衡，减少烘干室内气体外溢。</w:t>
      </w:r>
    </w:p>
    <w:p w14:paraId="2275957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燃烧机：烘干室采用比例调节燃烧器加热，保证烘干温度的稳定性。燃烧器自带火焰检测器、过滤、微调压、浓度检测及报警等全套装置。配备燃烧机燃气浓度检测及报警系统。</w:t>
      </w:r>
    </w:p>
    <w:p w14:paraId="1E3C8AA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循环风机：循环风机采用耐高温插入式离心风机，风机轴承座采用风冷装置。</w:t>
      </w:r>
    </w:p>
    <w:p w14:paraId="4D5E841F">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5.8.2废气治理系统：</w:t>
      </w:r>
    </w:p>
    <w:p w14:paraId="48D14D86">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采用催化燃烧：CO炉采用硅酸铝棉做为保温材料，燃烧室保温棉厚度≥150mm。</w:t>
      </w:r>
    </w:p>
    <w:p w14:paraId="01A89DEA">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废气在燃烧室停留时间＞1s，保证废气的充分燃烧。</w:t>
      </w:r>
    </w:p>
    <w:p w14:paraId="3809B4CA">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催化燃烧炉的VOCs去除效率≥90%，外壁任意处温度（热点除外）≤环境温度+25℃。</w:t>
      </w:r>
    </w:p>
    <w:p w14:paraId="6950EB4C">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用贵金属钯、铂镀在蜂窝陶瓷载体上作催化剂，净化效率高，催化剂使用</w:t>
      </w:r>
      <w:bookmarkStart w:id="38" w:name="本系统采用西门子PLC+人机界面进行自动控制，通过电控柜的各种按钮以及指示灯等，"/>
      <w:bookmarkEnd w:id="38"/>
      <w:bookmarkStart w:id="39" w:name="电控柜采用国产优质控制柜，控制柜优先底部进出线，变频器的操作面板为可拆卸式，控制"/>
      <w:bookmarkEnd w:id="39"/>
      <w:r>
        <w:rPr>
          <w:rFonts w:hint="eastAsia" w:ascii="仿宋" w:hAnsi="仿宋" w:eastAsia="仿宋" w:cs="仿宋"/>
          <w:spacing w:val="-3"/>
          <w:kern w:val="2"/>
          <w:sz w:val="24"/>
          <w:szCs w:val="24"/>
          <w:highlight w:val="none"/>
          <w:lang w:val="en-US" w:eastAsia="zh-CN" w:bidi="ar-SA"/>
        </w:rPr>
        <w:t>时间长，气流通畅，阻力小。</w:t>
      </w:r>
    </w:p>
    <w:p w14:paraId="64BF99E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安全设施完备，设有阻火除尘器、泄压口、超温报警等保护设施，处理时系统空气温度超过设定值，通过自动风阀进行补冷风</w:t>
      </w:r>
    </w:p>
    <w:p w14:paraId="4558889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5.8.3粉末强冷室</w:t>
      </w:r>
    </w:p>
    <w:p w14:paraId="6AA0BD9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强冷室主要由室体、送排风单元等部分组成。室体由镀锌板制作，岩棉保温层，外包板采用压型无锌花镀锌板。</w:t>
      </w:r>
    </w:p>
    <w:p w14:paraId="716B8E9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强冷室的风冷系统主要由风机、风嘴(风嘴仿形设计)以及风管等部分组成，风嘴采用强冷风嘴。强冷室从车间内取风，热废气直接通过厂房顶部排到车间外。</w:t>
      </w:r>
    </w:p>
    <w:p w14:paraId="0666B0C6">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5.9</w:t>
      </w:r>
      <w:r>
        <w:rPr>
          <w:rFonts w:hint="eastAsia" w:ascii="仿宋" w:hAnsi="仿宋" w:eastAsia="仿宋" w:cs="仿宋"/>
          <w:sz w:val="24"/>
          <w:szCs w:val="24"/>
        </w:rPr>
        <w:t>积放式重型悬挂输送</w:t>
      </w:r>
      <w:r>
        <w:rPr>
          <w:rFonts w:hint="eastAsia" w:ascii="仿宋" w:hAnsi="仿宋" w:eastAsia="仿宋" w:cs="仿宋"/>
          <w:sz w:val="24"/>
          <w:szCs w:val="24"/>
          <w:lang w:val="en-US" w:eastAsia="zh-CN"/>
        </w:rPr>
        <w:t>系统</w:t>
      </w:r>
      <w:r>
        <w:rPr>
          <w:rFonts w:hint="eastAsia" w:ascii="仿宋" w:hAnsi="仿宋" w:eastAsia="仿宋" w:cs="仿宋"/>
          <w:spacing w:val="-3"/>
          <w:kern w:val="2"/>
          <w:sz w:val="24"/>
          <w:szCs w:val="24"/>
          <w:highlight w:val="none"/>
          <w:lang w:val="en-US" w:eastAsia="zh-CN" w:bidi="ar-SA"/>
        </w:rPr>
        <w:t>(数量：全线)</w:t>
      </w:r>
    </w:p>
    <w:tbl>
      <w:tblPr>
        <w:tblStyle w:val="40"/>
        <w:tblW w:w="97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3571"/>
        <w:gridCol w:w="5207"/>
      </w:tblGrid>
      <w:tr w14:paraId="7022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0" w:type="auto"/>
            <w:tcBorders>
              <w:top w:val="single" w:color="auto" w:sz="4" w:space="0"/>
              <w:left w:val="single" w:color="auto" w:sz="4" w:space="0"/>
              <w:bottom w:val="single" w:color="auto" w:sz="4" w:space="0"/>
              <w:right w:val="single" w:color="auto" w:sz="4" w:space="0"/>
            </w:tcBorders>
            <w:vAlign w:val="center"/>
          </w:tcPr>
          <w:p w14:paraId="3F4AF326">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759629A7">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项目</w:t>
            </w:r>
          </w:p>
        </w:tc>
        <w:tc>
          <w:tcPr>
            <w:tcW w:w="5207" w:type="dxa"/>
            <w:tcBorders>
              <w:top w:val="single" w:color="auto" w:sz="4" w:space="0"/>
              <w:left w:val="single" w:color="auto" w:sz="4" w:space="0"/>
              <w:bottom w:val="single" w:color="auto" w:sz="4" w:space="0"/>
              <w:right w:val="single" w:color="auto" w:sz="4" w:space="0"/>
            </w:tcBorders>
            <w:vAlign w:val="center"/>
          </w:tcPr>
          <w:p w14:paraId="5BD2ABB9">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技术参数</w:t>
            </w:r>
          </w:p>
        </w:tc>
      </w:tr>
      <w:tr w14:paraId="0F97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0" w:type="auto"/>
            <w:tcBorders>
              <w:top w:val="single" w:color="auto" w:sz="4" w:space="0"/>
              <w:left w:val="single" w:color="auto" w:sz="4" w:space="0"/>
              <w:bottom w:val="single" w:color="auto" w:sz="4" w:space="0"/>
              <w:right w:val="single" w:color="auto" w:sz="4" w:space="0"/>
            </w:tcBorders>
            <w:vAlign w:val="center"/>
          </w:tcPr>
          <w:p w14:paraId="4377054C">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1</w:t>
            </w:r>
          </w:p>
        </w:tc>
        <w:tc>
          <w:tcPr>
            <w:tcW w:w="0" w:type="auto"/>
            <w:tcBorders>
              <w:top w:val="single" w:color="auto" w:sz="4" w:space="0"/>
              <w:left w:val="single" w:color="auto" w:sz="4" w:space="0"/>
              <w:bottom w:val="single" w:color="auto" w:sz="4" w:space="0"/>
              <w:right w:val="single" w:color="auto" w:sz="4" w:space="0"/>
            </w:tcBorders>
            <w:vAlign w:val="center"/>
          </w:tcPr>
          <w:p w14:paraId="74B8867E">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设备型号</w:t>
            </w:r>
          </w:p>
        </w:tc>
        <w:tc>
          <w:tcPr>
            <w:tcW w:w="5207" w:type="dxa"/>
            <w:tcBorders>
              <w:top w:val="single" w:color="auto" w:sz="4" w:space="0"/>
              <w:left w:val="single" w:color="auto" w:sz="4" w:space="0"/>
              <w:bottom w:val="single" w:color="auto" w:sz="4" w:space="0"/>
              <w:right w:val="single" w:color="auto" w:sz="4" w:space="0"/>
            </w:tcBorders>
            <w:vAlign w:val="center"/>
          </w:tcPr>
          <w:p w14:paraId="7B69310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重型悬挂输送机</w:t>
            </w:r>
          </w:p>
        </w:tc>
      </w:tr>
      <w:tr w14:paraId="6A28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auto" w:sz="4" w:space="0"/>
              <w:left w:val="single" w:color="auto" w:sz="4" w:space="0"/>
              <w:bottom w:val="single" w:color="auto" w:sz="4" w:space="0"/>
              <w:right w:val="single" w:color="auto" w:sz="4" w:space="0"/>
            </w:tcBorders>
            <w:vAlign w:val="center"/>
          </w:tcPr>
          <w:p w14:paraId="505AF92C">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2</w:t>
            </w:r>
          </w:p>
        </w:tc>
        <w:tc>
          <w:tcPr>
            <w:tcW w:w="0" w:type="auto"/>
            <w:tcBorders>
              <w:top w:val="single" w:color="auto" w:sz="4" w:space="0"/>
              <w:left w:val="single" w:color="auto" w:sz="4" w:space="0"/>
              <w:bottom w:val="single" w:color="auto" w:sz="4" w:space="0"/>
              <w:right w:val="single" w:color="auto" w:sz="4" w:space="0"/>
            </w:tcBorders>
            <w:vAlign w:val="center"/>
          </w:tcPr>
          <w:p w14:paraId="5157BD8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输送工件最大外形尺寸</w:t>
            </w:r>
          </w:p>
        </w:tc>
        <w:tc>
          <w:tcPr>
            <w:tcW w:w="5207" w:type="dxa"/>
            <w:tcBorders>
              <w:top w:val="single" w:color="auto" w:sz="4" w:space="0"/>
              <w:left w:val="single" w:color="auto" w:sz="4" w:space="0"/>
              <w:bottom w:val="single" w:color="auto" w:sz="4" w:space="0"/>
              <w:right w:val="single" w:color="auto" w:sz="4" w:space="0"/>
            </w:tcBorders>
            <w:vAlign w:val="center"/>
          </w:tcPr>
          <w:p w14:paraId="109876E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r w14:paraId="40E6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auto" w:sz="4" w:space="0"/>
              <w:left w:val="single" w:color="auto" w:sz="4" w:space="0"/>
              <w:bottom w:val="single" w:color="auto" w:sz="4" w:space="0"/>
              <w:right w:val="single" w:color="auto" w:sz="4" w:space="0"/>
            </w:tcBorders>
            <w:vAlign w:val="center"/>
          </w:tcPr>
          <w:p w14:paraId="42DAE5EE">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3</w:t>
            </w:r>
          </w:p>
        </w:tc>
        <w:tc>
          <w:tcPr>
            <w:tcW w:w="0" w:type="auto"/>
            <w:tcBorders>
              <w:top w:val="single" w:color="auto" w:sz="4" w:space="0"/>
              <w:left w:val="single" w:color="auto" w:sz="4" w:space="0"/>
              <w:bottom w:val="single" w:color="auto" w:sz="4" w:space="0"/>
              <w:right w:val="single" w:color="auto" w:sz="4" w:space="0"/>
            </w:tcBorders>
            <w:vAlign w:val="center"/>
          </w:tcPr>
          <w:p w14:paraId="57E8381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被输送挂件最大重量</w:t>
            </w:r>
          </w:p>
        </w:tc>
        <w:tc>
          <w:tcPr>
            <w:tcW w:w="5207" w:type="dxa"/>
            <w:tcBorders>
              <w:top w:val="single" w:color="auto" w:sz="4" w:space="0"/>
              <w:left w:val="single" w:color="auto" w:sz="4" w:space="0"/>
              <w:bottom w:val="single" w:color="auto" w:sz="4" w:space="0"/>
              <w:right w:val="single" w:color="auto" w:sz="4" w:space="0"/>
            </w:tcBorders>
            <w:vAlign w:val="center"/>
          </w:tcPr>
          <w:p w14:paraId="0D561165">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r w14:paraId="7BCA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0" w:type="auto"/>
            <w:tcBorders>
              <w:top w:val="single" w:color="auto" w:sz="4" w:space="0"/>
              <w:left w:val="single" w:color="auto" w:sz="4" w:space="0"/>
              <w:bottom w:val="single" w:color="auto" w:sz="4" w:space="0"/>
              <w:right w:val="single" w:color="auto" w:sz="4" w:space="0"/>
            </w:tcBorders>
            <w:vAlign w:val="center"/>
          </w:tcPr>
          <w:p w14:paraId="036C22F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4</w:t>
            </w:r>
          </w:p>
        </w:tc>
        <w:tc>
          <w:tcPr>
            <w:tcW w:w="0" w:type="auto"/>
            <w:tcBorders>
              <w:top w:val="single" w:color="auto" w:sz="4" w:space="0"/>
              <w:left w:val="single" w:color="auto" w:sz="4" w:space="0"/>
              <w:bottom w:val="single" w:color="auto" w:sz="4" w:space="0"/>
              <w:right w:val="single" w:color="auto" w:sz="4" w:space="0"/>
            </w:tcBorders>
            <w:vAlign w:val="center"/>
          </w:tcPr>
          <w:p w14:paraId="52BF7AA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设计运行节拍</w:t>
            </w:r>
          </w:p>
        </w:tc>
        <w:tc>
          <w:tcPr>
            <w:tcW w:w="5207" w:type="dxa"/>
            <w:tcBorders>
              <w:top w:val="single" w:color="auto" w:sz="4" w:space="0"/>
              <w:left w:val="single" w:color="auto" w:sz="4" w:space="0"/>
              <w:bottom w:val="single" w:color="auto" w:sz="4" w:space="0"/>
              <w:right w:val="single" w:color="auto" w:sz="4" w:space="0"/>
            </w:tcBorders>
            <w:vAlign w:val="center"/>
          </w:tcPr>
          <w:p w14:paraId="23B3EAC4">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车架生产线运行节拍：6.5min/挂</w:t>
            </w:r>
          </w:p>
          <w:p w14:paraId="0ACCB5AB">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上装类生产线运行节拍：10min/挂</w:t>
            </w:r>
          </w:p>
        </w:tc>
      </w:tr>
      <w:tr w14:paraId="3E09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0" w:type="auto"/>
            <w:tcBorders>
              <w:top w:val="single" w:color="auto" w:sz="4" w:space="0"/>
              <w:left w:val="single" w:color="auto" w:sz="4" w:space="0"/>
              <w:bottom w:val="single" w:color="auto" w:sz="4" w:space="0"/>
              <w:right w:val="single" w:color="auto" w:sz="4" w:space="0"/>
            </w:tcBorders>
            <w:vAlign w:val="center"/>
          </w:tcPr>
          <w:p w14:paraId="3B6C314A">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w:t>
            </w:r>
          </w:p>
        </w:tc>
        <w:tc>
          <w:tcPr>
            <w:tcW w:w="0" w:type="auto"/>
            <w:tcBorders>
              <w:top w:val="single" w:color="auto" w:sz="4" w:space="0"/>
              <w:left w:val="single" w:color="auto" w:sz="4" w:space="0"/>
              <w:bottom w:val="single" w:color="auto" w:sz="4" w:space="0"/>
              <w:right w:val="single" w:color="auto" w:sz="4" w:space="0"/>
            </w:tcBorders>
            <w:vAlign w:val="center"/>
          </w:tcPr>
          <w:p w14:paraId="5BC2D92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设计运行速度</w:t>
            </w:r>
          </w:p>
        </w:tc>
        <w:tc>
          <w:tcPr>
            <w:tcW w:w="5207" w:type="dxa"/>
            <w:tcBorders>
              <w:top w:val="single" w:color="auto" w:sz="4" w:space="0"/>
              <w:left w:val="single" w:color="auto" w:sz="4" w:space="0"/>
              <w:bottom w:val="single" w:color="auto" w:sz="4" w:space="0"/>
              <w:right w:val="single" w:color="auto" w:sz="4" w:space="0"/>
            </w:tcBorders>
            <w:vAlign w:val="center"/>
          </w:tcPr>
          <w:p w14:paraId="3F775EE6">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r w14:paraId="1700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954" w:type="dxa"/>
            <w:tcBorders>
              <w:top w:val="single" w:color="auto" w:sz="4" w:space="0"/>
              <w:left w:val="single" w:color="auto" w:sz="4" w:space="0"/>
              <w:bottom w:val="single" w:color="auto" w:sz="4" w:space="0"/>
              <w:right w:val="single" w:color="auto" w:sz="4" w:space="0"/>
            </w:tcBorders>
            <w:vAlign w:val="center"/>
          </w:tcPr>
          <w:p w14:paraId="41699415">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6</w:t>
            </w:r>
          </w:p>
        </w:tc>
        <w:tc>
          <w:tcPr>
            <w:tcW w:w="3571" w:type="dxa"/>
            <w:tcBorders>
              <w:top w:val="single" w:color="auto" w:sz="4" w:space="0"/>
              <w:left w:val="single" w:color="auto" w:sz="4" w:space="0"/>
              <w:bottom w:val="single" w:color="auto" w:sz="4" w:space="0"/>
              <w:right w:val="single" w:color="auto" w:sz="4" w:space="0"/>
            </w:tcBorders>
            <w:vAlign w:val="center"/>
          </w:tcPr>
          <w:p w14:paraId="241A591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小车载重</w:t>
            </w:r>
          </w:p>
        </w:tc>
        <w:tc>
          <w:tcPr>
            <w:tcW w:w="5207" w:type="dxa"/>
            <w:tcBorders>
              <w:top w:val="single" w:color="auto" w:sz="4" w:space="0"/>
              <w:left w:val="single" w:color="auto" w:sz="4" w:space="0"/>
              <w:bottom w:val="single" w:color="auto" w:sz="4" w:space="0"/>
              <w:right w:val="single" w:color="auto" w:sz="4" w:space="0"/>
            </w:tcBorders>
            <w:vAlign w:val="center"/>
          </w:tcPr>
          <w:p w14:paraId="2F19C4C1">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bl>
    <w:p w14:paraId="476175A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5.9.1牵引链条及轨道</w:t>
      </w:r>
    </w:p>
    <w:p w14:paraId="5CD8F88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重型积放式悬挂输送机积放轨道为组合型双层轨道，满足产线负载需求。轨道之间采用法兰联接，具有良好的互换性，易安装和更换。烘干炉内高温区域的轨道表面镀锌处理。</w:t>
      </w:r>
    </w:p>
    <w:p w14:paraId="03F12F0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积放悬挂输送机的驱动装置由机架、专用电机减速机、驱动链条、驱动主从动轮系、过载保护装置等组成。具有机械过载断电保护、电流过热集电器双重保护，牢固的机架保证驱动站运行平稳，可调整的张紧轮及链条支撑机构使驱动链条处于张紧状态。</w:t>
      </w:r>
    </w:p>
    <w:p w14:paraId="4DC0338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张紧装置：重锤张紧，使输送链条具有一定的张力，以保证输送系统的正常运行以及在拆接链条时能放松链条，设置多个钢丝绳滑轮转向，保证配重最低高度不低于维修平台顶标高。张紧支架留有支撑安装孔，方便现场安装。固定为平台支撑形式。</w:t>
      </w:r>
    </w:p>
    <w:p w14:paraId="2E01EEB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道岔结构：应保证吊具通过性良好，运行平稳，无运动干涉和撞击，道岔舌应转动灵活无卡阻；分支、合流道岔采用有控道岔，有控道岔应设置岔舌到位开关，并与电气控制联锁。</w:t>
      </w:r>
    </w:p>
    <w:p w14:paraId="7BE2B7B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链条润滑装置</w:t>
      </w:r>
      <w:r>
        <w:rPr>
          <w:rFonts w:hint="eastAsia" w:ascii="仿宋" w:hAnsi="仿宋" w:eastAsia="仿宋" w:cs="仿宋"/>
          <w:sz w:val="24"/>
          <w:szCs w:val="24"/>
          <w:lang w:eastAsia="zh-CN"/>
        </w:rPr>
        <w:t>：</w:t>
      </w:r>
      <w:r>
        <w:rPr>
          <w:rFonts w:hint="eastAsia" w:ascii="仿宋" w:hAnsi="仿宋" w:eastAsia="仿宋" w:cs="仿宋"/>
          <w:sz w:val="24"/>
          <w:szCs w:val="24"/>
        </w:rPr>
        <w:t>加油量可灵活调节；输送链运行噪音小于80dB。</w:t>
      </w:r>
    </w:p>
    <w:p w14:paraId="442CB6F4">
      <w:pPr>
        <w:tabs>
          <w:tab w:val="left" w:pos="360"/>
          <w:tab w:val="left" w:pos="69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吊具</w:t>
      </w:r>
      <w:r>
        <w:rPr>
          <w:rFonts w:hint="eastAsia" w:ascii="仿宋" w:hAnsi="仿宋" w:eastAsia="仿宋" w:cs="仿宋"/>
          <w:sz w:val="24"/>
          <w:szCs w:val="24"/>
          <w:lang w:eastAsia="zh-CN"/>
        </w:rPr>
        <w:t>：</w:t>
      </w:r>
      <w:r>
        <w:rPr>
          <w:rFonts w:hint="eastAsia" w:ascii="仿宋" w:hAnsi="仿宋" w:eastAsia="仿宋" w:cs="仿宋"/>
          <w:sz w:val="24"/>
          <w:szCs w:val="24"/>
        </w:rPr>
        <w:t>吊具顶部铺设接油盘，下端设工件吊挂板。</w:t>
      </w:r>
    </w:p>
    <w:p w14:paraId="404187EF">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bCs/>
          <w:sz w:val="24"/>
          <w:szCs w:val="24"/>
        </w:rPr>
        <w:t>伸缩轨</w:t>
      </w:r>
      <w:r>
        <w:rPr>
          <w:rFonts w:hint="eastAsia" w:ascii="仿宋" w:hAnsi="仿宋" w:eastAsia="仿宋" w:cs="仿宋"/>
          <w:bCs/>
          <w:sz w:val="24"/>
          <w:szCs w:val="24"/>
          <w:lang w:eastAsia="zh-CN"/>
        </w:rPr>
        <w:t>：</w:t>
      </w:r>
      <w:r>
        <w:rPr>
          <w:rFonts w:hint="eastAsia" w:ascii="仿宋" w:hAnsi="仿宋" w:eastAsia="仿宋" w:cs="仿宋"/>
          <w:sz w:val="24"/>
          <w:szCs w:val="24"/>
        </w:rPr>
        <w:t>伸缩轨主要用在高温作业轨道，用来调节因高温产生的轨段长度变化。表面镀锌处理。</w:t>
      </w:r>
    </w:p>
    <w:p w14:paraId="62448377">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sz w:val="24"/>
          <w:szCs w:val="24"/>
        </w:rPr>
        <w:t>检查轨：检查轨主要用来观察、检查、装卸和维修链条，在每条输送线路中，至少安装一件。</w:t>
      </w:r>
    </w:p>
    <w:p w14:paraId="4B8AFD6E">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bCs/>
          <w:sz w:val="24"/>
          <w:szCs w:val="24"/>
        </w:rPr>
        <w:t>钢结构系统</w:t>
      </w:r>
      <w:r>
        <w:rPr>
          <w:rFonts w:hint="eastAsia" w:ascii="仿宋" w:hAnsi="仿宋" w:eastAsia="仿宋" w:cs="仿宋"/>
          <w:bCs/>
          <w:sz w:val="24"/>
          <w:szCs w:val="24"/>
          <w:lang w:eastAsia="zh-CN"/>
        </w:rPr>
        <w:t>：</w:t>
      </w:r>
      <w:r>
        <w:rPr>
          <w:rFonts w:hint="eastAsia" w:ascii="仿宋" w:hAnsi="仿宋" w:eastAsia="仿宋" w:cs="仿宋"/>
          <w:sz w:val="24"/>
          <w:szCs w:val="24"/>
        </w:rPr>
        <w:t>钢结构系统主要由普通吊装钢结构、主轨道钢结构、驱动检修平台组成。驱动检修平台（含爬梯）：主要用于驱动张紧固定机维修，平台爬梯采用斜爬梯形式，平台上四周设置有防护栏</w:t>
      </w:r>
      <w:r>
        <w:rPr>
          <w:rFonts w:hint="eastAsia" w:ascii="仿宋" w:hAnsi="仿宋" w:eastAsia="仿宋" w:cs="仿宋"/>
          <w:sz w:val="24"/>
          <w:szCs w:val="24"/>
          <w:lang w:eastAsia="zh-CN"/>
        </w:rPr>
        <w:t>。</w:t>
      </w:r>
    </w:p>
    <w:p w14:paraId="2540B49B">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bCs/>
          <w:sz w:val="24"/>
          <w:szCs w:val="24"/>
        </w:rPr>
        <w:t>平移机构</w:t>
      </w:r>
      <w:r>
        <w:rPr>
          <w:rFonts w:hint="eastAsia" w:ascii="仿宋" w:hAnsi="仿宋" w:eastAsia="仿宋" w:cs="仿宋"/>
          <w:bCs/>
          <w:sz w:val="24"/>
          <w:szCs w:val="24"/>
          <w:lang w:val="en-US" w:eastAsia="zh-CN"/>
        </w:rPr>
        <w:t xml:space="preserve">: </w:t>
      </w:r>
      <w:r>
        <w:rPr>
          <w:rFonts w:hint="eastAsia" w:ascii="仿宋" w:hAnsi="仿宋" w:eastAsia="仿宋" w:cs="仿宋"/>
          <w:sz w:val="24"/>
          <w:szCs w:val="24"/>
        </w:rPr>
        <w:t>行走速度变频调速，对轨机构设备有轨道锁紧器。</w:t>
      </w:r>
    </w:p>
    <w:p w14:paraId="4E5BFD8E">
      <w:pPr>
        <w:shd w:val="clear"/>
        <w:adjustRightInd w:val="0"/>
        <w:snapToGrid w:val="0"/>
        <w:spacing w:line="360" w:lineRule="auto"/>
        <w:ind w:firstLine="480" w:firstLineChars="200"/>
        <w:jc w:val="both"/>
        <w:outlineLvl w:val="3"/>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5.10遮蔽及去遮蔽(数量：4套)</w:t>
      </w:r>
    </w:p>
    <w:p w14:paraId="10172275">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sz w:val="24"/>
          <w:szCs w:val="24"/>
        </w:rPr>
        <w:t>遮蔽拆除室主要由封闭室体、框架升降台组成。室体由骨架、壁板、工件进出门洞、安全门、LED照明装置。室体壁板采用镀锌板</w:t>
      </w:r>
    </w:p>
    <w:p w14:paraId="3A8571C2">
      <w:pPr>
        <w:spacing w:line="360" w:lineRule="auto"/>
        <w:ind w:right="-178" w:rightChars="-85"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室体照明：室体两侧设LED日光灯照明装置，以保证室内照度大于</w:t>
      </w:r>
      <w:r>
        <w:rPr>
          <w:rFonts w:hint="eastAsia" w:ascii="仿宋" w:hAnsi="仿宋" w:eastAsia="仿宋" w:cs="仿宋"/>
          <w:sz w:val="24"/>
          <w:szCs w:val="24"/>
          <w:lang w:val="en-US" w:eastAsia="zh-CN"/>
        </w:rPr>
        <w:t>5</w:t>
      </w:r>
      <w:r>
        <w:rPr>
          <w:rFonts w:hint="eastAsia" w:ascii="仿宋" w:hAnsi="仿宋" w:eastAsia="仿宋" w:cs="仿宋"/>
          <w:sz w:val="24"/>
          <w:szCs w:val="24"/>
        </w:rPr>
        <w:t>00LX</w:t>
      </w:r>
      <w:r>
        <w:rPr>
          <w:rFonts w:hint="eastAsia" w:ascii="仿宋" w:hAnsi="仿宋" w:eastAsia="仿宋" w:cs="仿宋"/>
          <w:sz w:val="24"/>
          <w:szCs w:val="24"/>
          <w:lang w:eastAsia="zh-CN"/>
        </w:rPr>
        <w:t>。</w:t>
      </w:r>
    </w:p>
    <w:p w14:paraId="09B543F3">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sz w:val="24"/>
          <w:szCs w:val="24"/>
        </w:rPr>
        <w:t>整体框架式升降平台：满足对罐体四周和顶部人工作业要求。整体框架式升降平台的前后部分平台应能够前后移动，移动部分台面两面设防护栏，同时设置刹车机构；该移动部分要安全可靠，防止倾覆、掉落；</w:t>
      </w:r>
    </w:p>
    <w:p w14:paraId="159B4E1E">
      <w:pPr>
        <w:spacing w:line="360" w:lineRule="auto"/>
        <w:ind w:firstLine="480" w:firstLineChars="200"/>
        <w:outlineLvl w:val="3"/>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w:t>
      </w:r>
      <w:r>
        <w:rPr>
          <w:rFonts w:hint="eastAsia" w:ascii="仿宋" w:hAnsi="仿宋" w:eastAsia="仿宋" w:cs="仿宋"/>
          <w:b w:val="0"/>
          <w:bCs/>
          <w:color w:val="000000" w:themeColor="text1"/>
          <w:sz w:val="24"/>
          <w:szCs w:val="24"/>
          <w14:textFill>
            <w14:solidFill>
              <w14:schemeClr w14:val="tx1"/>
            </w14:solidFill>
          </w14:textFill>
        </w:rPr>
        <w:t>电控系统</w:t>
      </w:r>
    </w:p>
    <w:p w14:paraId="488B877F">
      <w:pPr>
        <w:spacing w:line="360" w:lineRule="auto"/>
        <w:ind w:firstLine="480" w:firstLineChars="200"/>
        <w:outlineLvl w:val="4"/>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5.11.1电控</w:t>
      </w:r>
      <w:r>
        <w:rPr>
          <w:rFonts w:hint="eastAsia" w:ascii="仿宋" w:hAnsi="仿宋" w:eastAsia="仿宋" w:cs="仿宋"/>
          <w:b w:val="0"/>
          <w:bCs/>
          <w:color w:val="000000" w:themeColor="text1"/>
          <w:sz w:val="24"/>
          <w:szCs w:val="24"/>
          <w14:textFill>
            <w14:solidFill>
              <w14:schemeClr w14:val="tx1"/>
            </w14:solidFill>
          </w14:textFill>
        </w:rPr>
        <w:t>总体要求</w:t>
      </w:r>
    </w:p>
    <w:p w14:paraId="2066A6D3">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 xml:space="preserve">整条生产线运转全部程序化控制，生产过程数据可以与ERP/MES 交互对接，达到中央控制生产。正常生产情况下，设备运行全自动化进行，无需人员干预,同时相关工位设有手自动切换旋钮，具备手动操作、处理突发情况的功能； </w:t>
      </w:r>
    </w:p>
    <w:p w14:paraId="5DB701C8">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工控机上可统计各用电点用电量（度）和涂装线总用电量（度），并可打印输出列表。</w:t>
      </w:r>
    </w:p>
    <w:p w14:paraId="146592AF">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电控系统总体上采用“集中控制，分散布置”的模式，根据工艺设备功能划分控制系统，各条生产线就近设置控制柜，集中控制柜上配置HMI和柜顶配置柱灯。</w:t>
      </w:r>
    </w:p>
    <w:p w14:paraId="082421DE">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整线电控系统按工艺划分为前处理电泳工艺设备、喷粉工艺设备、粉房设备、EMS输送系统、积放链输送系统。每个子系统配置单独PLC，各子系统按照规模大小配置不同数量的本地模块或分布式模块，每个子系统至少配置1只触摸屏作为人机界面，其中积放链输送系统PLC根据功能分区配置</w:t>
      </w:r>
      <w:r>
        <w:rPr>
          <w:rFonts w:hint="eastAsia" w:ascii="仿宋" w:hAnsi="仿宋" w:eastAsia="仿宋" w:cs="仿宋"/>
          <w:b w:val="0"/>
          <w:bCs/>
          <w:color w:val="000000" w:themeColor="text1"/>
          <w:sz w:val="24"/>
          <w:szCs w:val="24"/>
          <w:lang w:val="en-US" w:eastAsia="zh-CN"/>
          <w14:textFill>
            <w14:solidFill>
              <w14:schemeClr w14:val="tx1"/>
            </w14:solidFill>
          </w14:textFill>
        </w:rPr>
        <w:t>应至少满足</w:t>
      </w:r>
      <w:r>
        <w:rPr>
          <w:rFonts w:hint="eastAsia" w:ascii="仿宋" w:hAnsi="仿宋" w:eastAsia="仿宋" w:cs="仿宋"/>
          <w:b w:val="0"/>
          <w:bCs/>
          <w:color w:val="000000" w:themeColor="text1"/>
          <w:sz w:val="24"/>
          <w:szCs w:val="24"/>
          <w14:textFill>
            <w14:solidFill>
              <w14:schemeClr w14:val="tx1"/>
            </w14:solidFill>
          </w14:textFill>
        </w:rPr>
        <w:t>上件、下件、转移行车等处</w:t>
      </w:r>
      <w:r>
        <w:rPr>
          <w:rFonts w:hint="eastAsia" w:ascii="仿宋" w:hAnsi="仿宋" w:eastAsia="仿宋" w:cs="仿宋"/>
          <w:b w:val="0"/>
          <w:bCs/>
          <w:color w:val="000000" w:themeColor="text1"/>
          <w:sz w:val="24"/>
          <w:szCs w:val="24"/>
          <w:lang w:val="en-US" w:eastAsia="zh-CN"/>
          <w14:textFill>
            <w14:solidFill>
              <w14:schemeClr w14:val="tx1"/>
            </w14:solidFill>
          </w14:textFill>
        </w:rPr>
        <w:t>的操作需求</w:t>
      </w:r>
      <w:r>
        <w:rPr>
          <w:rFonts w:hint="eastAsia" w:ascii="仿宋" w:hAnsi="仿宋" w:eastAsia="仿宋" w:cs="仿宋"/>
          <w:b w:val="0"/>
          <w:bCs/>
          <w:color w:val="000000" w:themeColor="text1"/>
          <w:sz w:val="24"/>
          <w:szCs w:val="24"/>
          <w14:textFill>
            <w14:solidFill>
              <w14:schemeClr w14:val="tx1"/>
            </w14:solidFill>
          </w14:textFill>
        </w:rPr>
        <w:t>。</w:t>
      </w:r>
    </w:p>
    <w:p w14:paraId="2C64521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每个子系统内部分为有自动、手动、维修三种工作模式。</w:t>
      </w:r>
    </w:p>
    <w:p w14:paraId="37CD9CD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自动模式：按下“自动启停”按钮，系统可按时序或顺序联锁逐一启停各单台设备，并由相关电控元件及仪表完成所有参数的测量、显示及报警功能，要遵循必要的联锁。手动模式：可在控制柜面板或人机界面上操作，可对任一单台设备进行单独手动操作，仍要遵循必要的联锁。维修模式：在人机界面上单独操作，可对任一单台设备进行独立点动操作，不需要遵循联锁。</w:t>
      </w:r>
    </w:p>
    <w:p w14:paraId="39C4982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重要设备的控制柜在设备现场就近设置，方便操作及检修，比如前处理电泳水泵控制、积放链分流道岔、上下件等设现场操作站。</w:t>
      </w:r>
    </w:p>
    <w:p w14:paraId="489C4B6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小车识别系统</w:t>
      </w:r>
      <w:r>
        <w:rPr>
          <w:rFonts w:hint="eastAsia" w:ascii="仿宋" w:hAnsi="仿宋" w:eastAsia="仿宋" w:cs="仿宋"/>
          <w:b w:val="0"/>
          <w:bCs/>
          <w:color w:val="000000" w:themeColor="text1"/>
          <w:sz w:val="24"/>
          <w:szCs w:val="24"/>
          <w:lang w:val="en-US" w:eastAsia="zh-CN"/>
          <w14:textFill>
            <w14:solidFill>
              <w14:schemeClr w14:val="tx1"/>
            </w14:solidFill>
          </w14:textFill>
        </w:rPr>
        <w:t>由投标方设置</w:t>
      </w:r>
      <w:r>
        <w:rPr>
          <w:rFonts w:hint="eastAsia" w:ascii="仿宋" w:hAnsi="仿宋" w:eastAsia="仿宋" w:cs="仿宋"/>
          <w:b w:val="0"/>
          <w:bCs/>
          <w:color w:val="000000" w:themeColor="text1"/>
          <w:sz w:val="24"/>
          <w:szCs w:val="24"/>
          <w14:textFill>
            <w14:solidFill>
              <w14:schemeClr w14:val="tx1"/>
            </w14:solidFill>
          </w14:textFill>
        </w:rPr>
        <w:t>信息载体</w:t>
      </w:r>
      <w:r>
        <w:rPr>
          <w:rFonts w:hint="eastAsia" w:ascii="仿宋" w:hAnsi="仿宋" w:eastAsia="仿宋" w:cs="仿宋"/>
          <w:b w:val="0"/>
          <w:bCs/>
          <w:color w:val="000000" w:themeColor="text1"/>
          <w:sz w:val="24"/>
          <w:szCs w:val="24"/>
          <w:lang w:val="en-US" w:eastAsia="zh-CN"/>
          <w14:textFill>
            <w14:solidFill>
              <w14:schemeClr w14:val="tx1"/>
            </w14:solidFill>
          </w14:textFill>
        </w:rPr>
        <w:t>方式</w:t>
      </w:r>
      <w:r>
        <w:rPr>
          <w:rFonts w:hint="eastAsia" w:ascii="仿宋" w:hAnsi="仿宋" w:eastAsia="仿宋" w:cs="仿宋"/>
          <w:b w:val="0"/>
          <w:bCs/>
          <w:color w:val="000000" w:themeColor="text1"/>
          <w:sz w:val="24"/>
          <w:szCs w:val="24"/>
          <w14:textFill>
            <w14:solidFill>
              <w14:schemeClr w14:val="tx1"/>
            </w14:solidFill>
          </w14:textFill>
        </w:rPr>
        <w:t>，根据工艺需要设定识别点（含上件点、下件点、转移行车等）。小车识别系统可实现工件在整线上的物流跟踪，可供查询任意小车信息及产品信息。</w:t>
      </w:r>
    </w:p>
    <w:p w14:paraId="595D9E2C">
      <w:pPr>
        <w:spacing w:line="360" w:lineRule="auto"/>
        <w:ind w:firstLine="480" w:firstLineChars="200"/>
        <w:outlineLvl w:val="4"/>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w:t>
      </w:r>
      <w:r>
        <w:rPr>
          <w:rFonts w:hint="eastAsia" w:ascii="仿宋" w:hAnsi="仿宋" w:eastAsia="仿宋" w:cs="仿宋"/>
          <w:b w:val="0"/>
          <w:bCs/>
          <w:color w:val="000000" w:themeColor="text1"/>
          <w:sz w:val="24"/>
          <w:szCs w:val="24"/>
          <w14:textFill>
            <w14:solidFill>
              <w14:schemeClr w14:val="tx1"/>
            </w14:solidFill>
          </w14:textFill>
        </w:rPr>
        <w:t>电控系统技术和功能要求</w:t>
      </w:r>
    </w:p>
    <w:p w14:paraId="2A8DBC09">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5.11.2.1</w:t>
      </w:r>
      <w:r>
        <w:rPr>
          <w:rFonts w:hint="eastAsia" w:ascii="仿宋" w:hAnsi="仿宋" w:eastAsia="仿宋" w:cs="仿宋"/>
          <w:b w:val="0"/>
          <w:bCs/>
          <w:color w:val="000000" w:themeColor="text1"/>
          <w:sz w:val="24"/>
          <w:szCs w:val="24"/>
          <w14:textFill>
            <w14:solidFill>
              <w14:schemeClr w14:val="tx1"/>
            </w14:solidFill>
          </w14:textFill>
        </w:rPr>
        <w:t>工件上挂</w:t>
      </w:r>
      <w:r>
        <w:rPr>
          <w:rFonts w:hint="eastAsia" w:ascii="仿宋" w:hAnsi="仿宋" w:eastAsia="仿宋" w:cs="仿宋"/>
          <w:b w:val="0"/>
          <w:bCs/>
          <w:color w:val="000000" w:themeColor="text1"/>
          <w:sz w:val="24"/>
          <w:szCs w:val="24"/>
          <w:lang w:eastAsia="zh-CN"/>
          <w14:textFill>
            <w14:solidFill>
              <w14:schemeClr w14:val="tx1"/>
            </w14:solidFill>
          </w14:textFill>
        </w:rPr>
        <w:t>：</w:t>
      </w:r>
      <w:r>
        <w:rPr>
          <w:rFonts w:hint="eastAsia" w:ascii="仿宋" w:hAnsi="仿宋" w:eastAsia="仿宋" w:cs="仿宋"/>
          <w:b w:val="0"/>
          <w:bCs/>
          <w:color w:val="000000" w:themeColor="text1"/>
          <w:sz w:val="24"/>
          <w:szCs w:val="24"/>
          <w14:textFill>
            <w14:solidFill>
              <w14:schemeClr w14:val="tx1"/>
            </w14:solidFill>
          </w14:textFill>
        </w:rPr>
        <w:t>以机械上挂为主，人工辅助参与上件。</w:t>
      </w:r>
    </w:p>
    <w:p w14:paraId="1A6D2B2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上挂工位设置</w:t>
      </w:r>
      <w:r>
        <w:rPr>
          <w:rFonts w:hint="eastAsia" w:ascii="仿宋" w:hAnsi="仿宋" w:eastAsia="仿宋" w:cs="仿宋"/>
          <w:b w:val="0"/>
          <w:bCs/>
          <w:color w:val="000000" w:themeColor="text1"/>
          <w:sz w:val="24"/>
          <w:szCs w:val="24"/>
          <w:lang w:val="en-US" w:eastAsia="zh-CN"/>
          <w14:textFill>
            <w14:solidFill>
              <w14:schemeClr w14:val="tx1"/>
            </w14:solidFill>
          </w14:textFill>
        </w:rPr>
        <w:t>操作屏</w:t>
      </w:r>
      <w:r>
        <w:rPr>
          <w:rFonts w:hint="eastAsia" w:ascii="仿宋" w:hAnsi="仿宋" w:eastAsia="仿宋" w:cs="仿宋"/>
          <w:b w:val="0"/>
          <w:bCs/>
          <w:color w:val="000000" w:themeColor="text1"/>
          <w:sz w:val="24"/>
          <w:szCs w:val="24"/>
          <w14:textFill>
            <w14:solidFill>
              <w14:schemeClr w14:val="tx1"/>
            </w14:solidFill>
          </w14:textFill>
        </w:rPr>
        <w:t>，可将工件信息人工输入到控制系统，协调系统各部分按照各自工艺及工件要求正确完成相应工作。</w:t>
      </w:r>
    </w:p>
    <w:p w14:paraId="33882FE3">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5.11.2.2</w:t>
      </w:r>
      <w:r>
        <w:rPr>
          <w:rFonts w:hint="eastAsia" w:ascii="仿宋" w:hAnsi="仿宋" w:eastAsia="仿宋" w:cs="仿宋"/>
          <w:b w:val="0"/>
          <w:bCs/>
          <w:color w:val="000000" w:themeColor="text1"/>
          <w:sz w:val="24"/>
          <w:szCs w:val="24"/>
          <w14:textFill>
            <w14:solidFill>
              <w14:schemeClr w14:val="tx1"/>
            </w14:solidFill>
          </w14:textFill>
        </w:rPr>
        <w:t>前处理及电泳控制功能</w:t>
      </w:r>
    </w:p>
    <w:p w14:paraId="56730FC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电泳线上所有传感器采集的数据都能在上位机监控系统上显示。</w:t>
      </w:r>
    </w:p>
    <w:p w14:paraId="1FBD0F3C">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系统具备自动槽液管理控制，实时监控槽液温度、液面高度等主要运行参数，并能按照检测结果及工艺要求对这些指标实施自动控制。运行参数实时显示并自动存储。</w:t>
      </w:r>
    </w:p>
    <w:p w14:paraId="5B222A1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电泳线上重要工艺槽（如电泳槽、冷水泵）设置备用泵，当系统故障时，可自动及时切换到备用系统，保证系统安全与维修方便。</w:t>
      </w:r>
    </w:p>
    <w:p w14:paraId="5EC9D3B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电泳循环泵和冷冻机需要不间断运行，当车间停电时，可自动切换到发电机组供电回路。若系统断电后重新上电，循环泵和冷冻机应自动切换供电方式，保持失电前的工作状态。</w:t>
      </w:r>
    </w:p>
    <w:p w14:paraId="61B561F3">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烘干室系统能对烘干室提供加热和自动恒温的控制。温控系统采用自动检测系统，如过温、热风循环风机故障时，系统自动关闭加热装置，同时发出报警。</w:t>
      </w:r>
    </w:p>
    <w:p w14:paraId="78D2EC07">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5.11.2.3</w:t>
      </w:r>
      <w:r>
        <w:rPr>
          <w:rFonts w:hint="eastAsia" w:ascii="仿宋" w:hAnsi="仿宋" w:eastAsia="仿宋" w:cs="仿宋"/>
          <w:b w:val="0"/>
          <w:bCs/>
          <w:color w:val="000000" w:themeColor="text1"/>
          <w:sz w:val="24"/>
          <w:szCs w:val="24"/>
          <w14:textFill>
            <w14:solidFill>
              <w14:schemeClr w14:val="tx1"/>
            </w14:solidFill>
          </w14:textFill>
        </w:rPr>
        <w:t>电柜与操作台</w:t>
      </w:r>
    </w:p>
    <w:p w14:paraId="0D748ED2">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普通动力柜和控制柜通过送排风扇冷却，变频器动力柜通过机柜空调冷却。</w:t>
      </w:r>
    </w:p>
    <w:p w14:paraId="7D858D2B">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柜内接线端子按照接线方便、清晰的原则来布置。高低压分隔，进出线分隔。超过安全电压的做防止触电的警示标志。</w:t>
      </w:r>
    </w:p>
    <w:p w14:paraId="49B82739">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所有电器元件保证稳定可靠，同种产品选择同一品牌。</w:t>
      </w:r>
    </w:p>
    <w:p w14:paraId="4EC190B8">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柜内所有元器件、端子排都要进行命名和编号，名称和编号与电气原理图中的元器件图号对应。</w:t>
      </w:r>
    </w:p>
    <w:p w14:paraId="14431ABC">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柜内元器件布置时留出足够的走线和电缆固定的空间。</w:t>
      </w:r>
    </w:p>
    <w:p w14:paraId="6DDE70FC">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操作台周边留有足够的操作空间及安全设施。部分操作台配备触摸屏，实现人机交互。</w:t>
      </w:r>
    </w:p>
    <w:p w14:paraId="30A4B035">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5.11.2.4 </w:t>
      </w:r>
      <w:r>
        <w:rPr>
          <w:rFonts w:hint="eastAsia" w:ascii="仿宋" w:hAnsi="仿宋" w:eastAsia="仿宋" w:cs="仿宋"/>
          <w:b w:val="0"/>
          <w:bCs/>
          <w:color w:val="000000" w:themeColor="text1"/>
          <w:sz w:val="24"/>
          <w:szCs w:val="24"/>
          <w14:textFill>
            <w14:solidFill>
              <w14:schemeClr w14:val="tx1"/>
            </w14:solidFill>
          </w14:textFill>
        </w:rPr>
        <w:t>PLC 控制器</w:t>
      </w:r>
    </w:p>
    <w:p w14:paraId="5B3BE07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全线总体采用PLC 集中控制方式。使用总线技术连接各功能模块控制站与主控站PLC 的控制。并和上位机监控系统联网。</w:t>
      </w:r>
    </w:p>
    <w:p w14:paraId="5A99D174">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所选型号具备足够的运行工作能力，并留有适度余量。</w:t>
      </w:r>
    </w:p>
    <w:p w14:paraId="1D2748AD">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5.11.2.5 </w:t>
      </w:r>
      <w:r>
        <w:rPr>
          <w:rFonts w:hint="eastAsia" w:ascii="仿宋" w:hAnsi="仿宋" w:eastAsia="仿宋" w:cs="仿宋"/>
          <w:b w:val="0"/>
          <w:bCs/>
          <w:color w:val="000000" w:themeColor="text1"/>
          <w:sz w:val="24"/>
          <w:szCs w:val="24"/>
          <w14:textFill>
            <w14:solidFill>
              <w14:schemeClr w14:val="tx1"/>
            </w14:solidFill>
          </w14:textFill>
        </w:rPr>
        <w:t>安全报警</w:t>
      </w:r>
    </w:p>
    <w:p w14:paraId="61FA5FB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电气设备的设计、制造和安装均符合国家有关规范的要求。</w:t>
      </w:r>
    </w:p>
    <w:p w14:paraId="7DA1ECDE">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有现场安全报警指示系统。系统具有故障声光报警功能。</w:t>
      </w:r>
    </w:p>
    <w:p w14:paraId="0DF9A995">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重要设备在必要并易于操作的地方设置系统急停按钮。</w:t>
      </w:r>
    </w:p>
    <w:p w14:paraId="489C1263">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电机选型具备适应现场使用环境的绝缘与防护等级要求。所有重要功能电机均设保护系统，对过载、短路、断路等进行自动保护。</w:t>
      </w:r>
    </w:p>
    <w:p w14:paraId="5527CDA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各设备间具有联锁保护。当操作者发生误操作时，存在前后动作逻辑关系的各应用单元之间具有可靠的联锁控制，不对机器设备造成毁坏。</w:t>
      </w:r>
    </w:p>
    <w:p w14:paraId="5DF13A2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所有检测传感器有适应于被测介质的防腐要求和防护等级。</w:t>
      </w:r>
    </w:p>
    <w:p w14:paraId="6F9BDFF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 xml:space="preserve">除现场安全警报外，可通过网络连接将系统警报发送给MES。 </w:t>
      </w:r>
    </w:p>
    <w:p w14:paraId="06901E3A">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5.11.2.6 </w:t>
      </w:r>
      <w:r>
        <w:rPr>
          <w:rFonts w:hint="eastAsia" w:ascii="仿宋" w:hAnsi="仿宋" w:eastAsia="仿宋" w:cs="仿宋"/>
          <w:b w:val="0"/>
          <w:bCs/>
          <w:color w:val="000000" w:themeColor="text1"/>
          <w:sz w:val="24"/>
          <w:szCs w:val="24"/>
          <w14:textFill>
            <w14:solidFill>
              <w14:schemeClr w14:val="tx1"/>
            </w14:solidFill>
          </w14:textFill>
        </w:rPr>
        <w:t>人机交互</w:t>
      </w:r>
    </w:p>
    <w:p w14:paraId="27F4ECB9">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人机界面HMI 至少应包含：操作模式选择、控制界面、运行信息、故障信息、状态信息等。</w:t>
      </w:r>
    </w:p>
    <w:p w14:paraId="32EFE8FB">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涂装线整线设置一个中央控制室，配有上位机监控系统和激光打印机。电泳线、喷粉线、废水处理设施及其它辅助设施共用一套上位机监控系统。中央监控系统可达到以下功能：通过工艺布置图的界面方式实时反映涂装线的生产运行状态，便于车间办公室监控人员远程监控设备运行；设置工艺参数，比如输送机运行速度、烘干室温度、电泳循环泵运行转速，该操作需要管理员级权限才能完成；</w:t>
      </w:r>
    </w:p>
    <w:p w14:paraId="2C1E0757">
      <w:pPr>
        <w:spacing w:line="360" w:lineRule="auto"/>
        <w:ind w:firstLine="480" w:firstLineChars="200"/>
        <w:rPr>
          <w:rFonts w:hint="eastAsia" w:ascii="仿宋" w:hAnsi="仿宋" w:eastAsia="仿宋" w:cs="仿宋"/>
          <w:b w:val="0"/>
          <w:bCs/>
          <w:color w:val="000000" w:themeColor="text1"/>
          <w:sz w:val="24"/>
          <w:szCs w:val="24"/>
          <w:lang w:eastAsia="zh-CN"/>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显示实时报警信息，通过报警指示器显示即时的报警；统计历史报警记录，通过历史报警列表供人查询历史报警；记录重要的数据，生成报表，并可打印，包括每个用电点的用电量和生产线的总用电量、生产线的各产品日产量、每个测温点的温度，其中用电量和日产量可以生成月报表和季报表，温度可以生成报表</w:t>
      </w:r>
      <w:r>
        <w:rPr>
          <w:rFonts w:hint="eastAsia" w:ascii="仿宋" w:hAnsi="仿宋" w:eastAsia="仿宋" w:cs="仿宋"/>
          <w:b w:val="0"/>
          <w:bCs/>
          <w:color w:val="000000" w:themeColor="text1"/>
          <w:sz w:val="24"/>
          <w:szCs w:val="24"/>
          <w:lang w:eastAsia="zh-CN"/>
          <w14:textFill>
            <w14:solidFill>
              <w14:schemeClr w14:val="tx1"/>
            </w14:solidFill>
          </w14:textFill>
        </w:rPr>
        <w:t>。</w:t>
      </w:r>
    </w:p>
    <w:p w14:paraId="2A13AF5F">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分</w:t>
      </w:r>
      <w:r>
        <w:rPr>
          <w:rFonts w:hint="eastAsia" w:ascii="仿宋" w:hAnsi="仿宋" w:eastAsia="仿宋" w:cs="仿宋"/>
          <w:b w:val="0"/>
          <w:bCs/>
          <w:color w:val="000000" w:themeColor="text1"/>
          <w:sz w:val="24"/>
          <w:szCs w:val="24"/>
          <w:lang w:val="en-US" w:eastAsia="zh-CN"/>
          <w14:textFill>
            <w14:solidFill>
              <w14:schemeClr w14:val="tx1"/>
            </w14:solidFill>
          </w14:textFill>
        </w:rPr>
        <w:t>区</w:t>
      </w:r>
      <w:r>
        <w:rPr>
          <w:rFonts w:hint="eastAsia" w:ascii="仿宋" w:hAnsi="仿宋" w:eastAsia="仿宋" w:cs="仿宋"/>
          <w:b w:val="0"/>
          <w:bCs/>
          <w:color w:val="000000" w:themeColor="text1"/>
          <w:sz w:val="24"/>
          <w:szCs w:val="24"/>
          <w14:textFill>
            <w14:solidFill>
              <w14:schemeClr w14:val="tx1"/>
            </w14:solidFill>
          </w14:textFill>
        </w:rPr>
        <w:t>单独设置触摸屏，实现各自的人机交互。</w:t>
      </w:r>
    </w:p>
    <w:p w14:paraId="0F88D46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操作台配备基本功能实体按钮，并配备综合控制触摸屏。触摸屏上需显示对应本控制柜控制范围内的所有设备状态、重要工艺参数及各种报警信息。需能通过触摸屏设置、调整各种控制参数及设定值。</w:t>
      </w:r>
    </w:p>
    <w:p w14:paraId="2123F7C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操控台触摸屏及上位机监控系统的界面语言为简体中文版本。</w:t>
      </w:r>
    </w:p>
    <w:p w14:paraId="3D931443">
      <w:pPr>
        <w:spacing w:before="120" w:beforeLines="50" w:after="120" w:afterLines="50"/>
        <w:ind w:left="57" w:firstLine="96" w:firstLineChars="40"/>
        <w:outlineLvl w:val="3"/>
        <w:rPr>
          <w:rFonts w:hint="eastAsia" w:ascii="仿宋" w:hAnsi="仿宋" w:eastAsia="仿宋" w:cs="仿宋"/>
          <w:b w:val="0"/>
          <w:bCs/>
          <w:sz w:val="24"/>
          <w:szCs w:val="24"/>
        </w:rPr>
      </w:pPr>
      <w:bookmarkStart w:id="40" w:name="_Toc236597325"/>
      <w:r>
        <w:rPr>
          <w:rFonts w:hint="eastAsia" w:ascii="仿宋" w:hAnsi="仿宋" w:eastAsia="仿宋" w:cs="仿宋"/>
          <w:b w:val="0"/>
          <w:bCs/>
          <w:sz w:val="24"/>
          <w:szCs w:val="24"/>
          <w:lang w:val="en-US" w:eastAsia="zh-CN"/>
        </w:rPr>
        <w:t>5.12</w:t>
      </w:r>
      <w:r>
        <w:rPr>
          <w:rFonts w:hint="eastAsia" w:ascii="仿宋" w:hAnsi="仿宋" w:eastAsia="仿宋" w:cs="仿宋"/>
          <w:b w:val="0"/>
          <w:bCs/>
          <w:sz w:val="24"/>
          <w:szCs w:val="24"/>
        </w:rPr>
        <w:t>热洁炉</w:t>
      </w:r>
      <w:bookmarkEnd w:id="40"/>
    </w:p>
    <w:p w14:paraId="16FB36F2">
      <w:pPr>
        <w:spacing w:line="360" w:lineRule="auto"/>
        <w:ind w:firstLine="720" w:firstLineChars="300"/>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配置一套热洁炉设备，对产线喷涂挂具进行处理，满足粉末喷涂后的挂具粉末残留热洁；</w:t>
      </w:r>
    </w:p>
    <w:p w14:paraId="0A328523">
      <w:pPr>
        <w:widowControl w:val="0"/>
        <w:numPr>
          <w:ilvl w:val="0"/>
          <w:numId w:val="0"/>
        </w:numPr>
        <w:spacing w:line="360" w:lineRule="auto"/>
        <w:jc w:val="both"/>
        <w:rPr>
          <w:rFonts w:hint="default" w:ascii="仿宋" w:hAnsi="仿宋" w:eastAsia="仿宋" w:cs="仿宋"/>
          <w:b w:val="0"/>
          <w:bCs/>
          <w:sz w:val="24"/>
          <w:szCs w:val="24"/>
          <w:lang w:val="en-US" w:eastAsia="zh-CN"/>
        </w:rPr>
        <w:sectPr>
          <w:footerReference r:id="rId13" w:type="default"/>
          <w:pgSz w:w="11906" w:h="16838"/>
          <w:pgMar w:top="1440" w:right="1080" w:bottom="1440" w:left="1080" w:header="851" w:footer="992" w:gutter="0"/>
          <w:cols w:space="720" w:num="1"/>
          <w:docGrid w:linePitch="326" w:charSpace="0"/>
        </w:sectPr>
      </w:pPr>
      <w:r>
        <w:rPr>
          <w:rFonts w:hint="eastAsia" w:ascii="仿宋" w:hAnsi="仿宋" w:eastAsia="仿宋" w:cs="仿宋"/>
          <w:b w:val="0"/>
          <w:bCs/>
          <w:sz w:val="24"/>
          <w:szCs w:val="24"/>
          <w:lang w:val="en-US" w:eastAsia="zh-CN"/>
        </w:rPr>
        <w:t>热洁炉需控制</w:t>
      </w:r>
      <w:r>
        <w:rPr>
          <w:rFonts w:hint="eastAsia" w:ascii="仿宋" w:hAnsi="仿宋" w:eastAsia="仿宋" w:cs="仿宋"/>
          <w:b w:val="0"/>
          <w:bCs/>
          <w:sz w:val="24"/>
          <w:szCs w:val="24"/>
        </w:rPr>
        <w:t>烟气浓度</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炉内温度</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炉内负压运行，有效防止有机气体的积蓄</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多点测温，有效控制炉温</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配置</w:t>
      </w:r>
      <w:r>
        <w:rPr>
          <w:rFonts w:hint="eastAsia" w:ascii="仿宋" w:hAnsi="仿宋" w:eastAsia="仿宋" w:cs="仿宋"/>
          <w:b w:val="0"/>
          <w:bCs/>
          <w:sz w:val="24"/>
          <w:szCs w:val="24"/>
        </w:rPr>
        <w:t>故障检测，自动指示故障部位，</w:t>
      </w:r>
      <w:r>
        <w:rPr>
          <w:rFonts w:hint="eastAsia" w:ascii="仿宋" w:hAnsi="仿宋" w:eastAsia="仿宋" w:cs="仿宋"/>
          <w:b w:val="0"/>
          <w:bCs/>
          <w:sz w:val="24"/>
          <w:szCs w:val="24"/>
          <w:lang w:val="en-US" w:eastAsia="zh-CN"/>
        </w:rPr>
        <w:t>并输出报警信息。热洁炉需配置相关安全环保保障设备。保证符合安全环保、消防等法规要求。</w:t>
      </w:r>
    </w:p>
    <w:p w14:paraId="57F36698">
      <w:pPr>
        <w:spacing w:before="120" w:beforeLines="50" w:after="120" w:afterLines="50"/>
        <w:ind w:left="57" w:firstLine="96" w:firstLineChars="40"/>
        <w:outlineLvl w:val="3"/>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5.13污水处理站</w:t>
      </w:r>
      <w:r>
        <w:rPr>
          <w:rFonts w:hint="eastAsia" w:ascii="仿宋" w:hAnsi="仿宋" w:eastAsia="仿宋" w:cs="仿宋"/>
          <w:b w:val="0"/>
          <w:bCs/>
          <w:sz w:val="24"/>
          <w:szCs w:val="24"/>
        </w:rPr>
        <w:t>改造</w:t>
      </w:r>
    </w:p>
    <w:p w14:paraId="7CADC1B9">
      <w:pPr>
        <w:spacing w:line="360" w:lineRule="auto"/>
        <w:ind w:firstLine="643"/>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投标方可根据现场实地考察对废水处处理装置进行改造，以满足前处理电泳脱脂废水及废液、表调废液、磷化废水及废液、电泳废水及废液（洗槽时）、</w:t>
      </w:r>
      <w:r>
        <w:rPr>
          <w:rFonts w:hint="eastAsia" w:ascii="仿宋" w:hAnsi="仿宋" w:eastAsia="仿宋" w:cs="仿宋"/>
          <w:b w:val="0"/>
          <w:bCs/>
          <w:color w:val="000000"/>
          <w:sz w:val="24"/>
          <w:szCs w:val="24"/>
          <w:lang w:val="en-US" w:eastAsia="zh-CN"/>
        </w:rPr>
        <w:t>新增脱脂、磷化</w:t>
      </w:r>
      <w:r>
        <w:rPr>
          <w:rFonts w:hint="eastAsia" w:ascii="仿宋" w:hAnsi="仿宋" w:eastAsia="仿宋" w:cs="仿宋"/>
          <w:b w:val="0"/>
          <w:bCs/>
          <w:color w:val="000000"/>
          <w:sz w:val="24"/>
          <w:szCs w:val="24"/>
        </w:rPr>
        <w:t>废水及废液进行处理</w:t>
      </w:r>
    </w:p>
    <w:p w14:paraId="4B6ED4EB">
      <w:pPr>
        <w:spacing w:line="360" w:lineRule="auto"/>
        <w:ind w:firstLine="643"/>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废水经改造后满足章丘工业园废水排放标准必须同时满足《污水排入城镇下水道水质标准》（GB/T31962-2015）B级排放标准（以下简称“下水道标准”）综合后的标准见</w:t>
      </w:r>
      <w:r>
        <w:rPr>
          <w:rFonts w:hint="eastAsia" w:ascii="仿宋" w:hAnsi="仿宋" w:eastAsia="仿宋" w:cs="仿宋"/>
          <w:b w:val="0"/>
          <w:bCs/>
          <w:color w:val="000000"/>
          <w:sz w:val="24"/>
          <w:szCs w:val="24"/>
          <w:lang w:val="en-US" w:eastAsia="zh-CN"/>
        </w:rPr>
        <w:t>下表</w:t>
      </w:r>
      <w:r>
        <w:rPr>
          <w:rFonts w:hint="eastAsia" w:ascii="仿宋" w:hAnsi="仿宋" w:eastAsia="仿宋" w:cs="仿宋"/>
          <w:b w:val="0"/>
          <w:bCs/>
          <w:color w:val="000000"/>
          <w:sz w:val="24"/>
          <w:szCs w:val="24"/>
        </w:rPr>
        <w:t>。</w:t>
      </w:r>
    </w:p>
    <w:p w14:paraId="41ED98E0">
      <w:pPr>
        <w:spacing w:line="360" w:lineRule="auto"/>
        <w:jc w:val="center"/>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排放标准对照一览表（单位：mg/L，pH无纲量）</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908"/>
        <w:gridCol w:w="2463"/>
        <w:gridCol w:w="1580"/>
        <w:gridCol w:w="1950"/>
      </w:tblGrid>
      <w:tr w14:paraId="54E3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640" w:type="pct"/>
            <w:vMerge w:val="restart"/>
            <w:tcBorders>
              <w:top w:val="single" w:color="000000" w:sz="4" w:space="0"/>
              <w:left w:val="single" w:color="000000" w:sz="4" w:space="0"/>
              <w:bottom w:val="single" w:color="000000" w:sz="4" w:space="0"/>
              <w:right w:val="single" w:color="000000" w:sz="4" w:space="0"/>
              <w:insideV w:val="single" w:sz="8" w:space="0"/>
            </w:tcBorders>
            <w:shd w:val="clear" w:color="auto" w:fill="auto"/>
          </w:tcPr>
          <w:p w14:paraId="5DBCB6A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序号</w:t>
            </w:r>
          </w:p>
        </w:tc>
        <w:tc>
          <w:tcPr>
            <w:tcW w:w="1053" w:type="pct"/>
            <w:vMerge w:val="restart"/>
            <w:tcBorders>
              <w:top w:val="single" w:color="000000" w:sz="4" w:space="0"/>
              <w:left w:val="single" w:color="000000" w:sz="4" w:space="0"/>
              <w:bottom w:val="single" w:color="000000" w:sz="4" w:space="0"/>
              <w:right w:val="single" w:color="000000" w:sz="4" w:space="0"/>
              <w:insideV w:val="single" w:sz="8" w:space="0"/>
            </w:tcBorders>
            <w:shd w:val="clear" w:color="auto" w:fill="auto"/>
          </w:tcPr>
          <w:p w14:paraId="49FA4CA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污染</w:t>
            </w:r>
          </w:p>
          <w:p w14:paraId="5913955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指标</w:t>
            </w:r>
          </w:p>
        </w:tc>
        <w:tc>
          <w:tcPr>
            <w:tcW w:w="3307" w:type="pct"/>
            <w:gridSpan w:val="3"/>
            <w:tcBorders>
              <w:top w:val="single" w:color="000000" w:sz="4" w:space="0"/>
              <w:left w:val="single" w:color="000000" w:sz="4" w:space="0"/>
              <w:bottom w:val="single" w:color="000000" w:sz="4" w:space="0"/>
              <w:right w:val="single" w:color="000000" w:sz="4" w:space="0"/>
              <w:insideV w:val="single" w:sz="8" w:space="0"/>
            </w:tcBorders>
            <w:shd w:val="clear" w:color="auto" w:fill="auto"/>
          </w:tcPr>
          <w:p w14:paraId="43E6A90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标准值</w:t>
            </w:r>
          </w:p>
        </w:tc>
      </w:tr>
      <w:tr w14:paraId="3F3A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4954594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p>
        </w:tc>
        <w:tc>
          <w:tcPr>
            <w:tcW w:w="1053"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6C82C3A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2430C156">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下水道B级标准</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06DC5E14">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三厂标准</w:t>
            </w:r>
          </w:p>
        </w:tc>
        <w:tc>
          <w:tcPr>
            <w:tcW w:w="1076" w:type="pct"/>
            <w:tcBorders>
              <w:left w:val="single" w:color="000000" w:sz="4" w:space="0"/>
            </w:tcBorders>
            <w:shd w:val="clear" w:color="auto" w:fill="auto"/>
          </w:tcPr>
          <w:p w14:paraId="7DDEDAE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综合后标准</w:t>
            </w:r>
          </w:p>
        </w:tc>
      </w:tr>
      <w:tr w14:paraId="0DB2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05916AF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042CF2A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pH</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33F4000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6～9</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64B7110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6～9</w:t>
            </w:r>
          </w:p>
        </w:tc>
        <w:tc>
          <w:tcPr>
            <w:tcW w:w="1076" w:type="pct"/>
            <w:tcBorders>
              <w:left w:val="single" w:color="000000" w:sz="4" w:space="0"/>
            </w:tcBorders>
            <w:shd w:val="clear" w:color="auto" w:fill="auto"/>
          </w:tcPr>
          <w:p w14:paraId="73038C3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6～9</w:t>
            </w:r>
          </w:p>
        </w:tc>
      </w:tr>
      <w:tr w14:paraId="6E15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69715EEE">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67F7C5F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COD</w:t>
            </w:r>
            <w:r>
              <w:rPr>
                <w:rFonts w:hint="eastAsia" w:ascii="仿宋" w:hAnsi="仿宋" w:eastAsia="仿宋" w:cs="仿宋"/>
                <w:b w:val="0"/>
                <w:bCs/>
                <w:sz w:val="24"/>
                <w:szCs w:val="24"/>
                <w:vertAlign w:val="subscript"/>
              </w:rPr>
              <w:t>cr</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42D0CCC6">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500</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78014F0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200</w:t>
            </w:r>
          </w:p>
        </w:tc>
        <w:tc>
          <w:tcPr>
            <w:tcW w:w="1076" w:type="pct"/>
            <w:tcBorders>
              <w:left w:val="single" w:color="000000" w:sz="4" w:space="0"/>
            </w:tcBorders>
            <w:shd w:val="clear" w:color="auto" w:fill="auto"/>
          </w:tcPr>
          <w:p w14:paraId="685FFF8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200</w:t>
            </w:r>
          </w:p>
        </w:tc>
      </w:tr>
      <w:tr w14:paraId="566D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3BB97EB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4B2619A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氨氮</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380926A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45</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4949686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w:t>
            </w:r>
          </w:p>
        </w:tc>
        <w:tc>
          <w:tcPr>
            <w:tcW w:w="1076" w:type="pct"/>
            <w:tcBorders>
              <w:left w:val="single" w:color="000000" w:sz="4" w:space="0"/>
            </w:tcBorders>
            <w:shd w:val="clear" w:color="auto" w:fill="auto"/>
          </w:tcPr>
          <w:p w14:paraId="60959CA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w:t>
            </w:r>
          </w:p>
        </w:tc>
      </w:tr>
      <w:tr w14:paraId="5ACA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1A35330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5374A97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SS</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7CAEFCA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400</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256C115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50</w:t>
            </w:r>
          </w:p>
        </w:tc>
        <w:tc>
          <w:tcPr>
            <w:tcW w:w="1076" w:type="pct"/>
            <w:tcBorders>
              <w:left w:val="single" w:color="000000" w:sz="4" w:space="0"/>
            </w:tcBorders>
            <w:shd w:val="clear" w:color="auto" w:fill="auto"/>
          </w:tcPr>
          <w:p w14:paraId="1AE8307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50</w:t>
            </w:r>
          </w:p>
        </w:tc>
      </w:tr>
      <w:tr w14:paraId="2678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7F92E77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52ACE30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石油类</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27252B4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15</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4DE06DE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1076" w:type="pct"/>
            <w:tcBorders>
              <w:left w:val="single" w:color="000000" w:sz="4" w:space="0"/>
            </w:tcBorders>
            <w:shd w:val="clear" w:color="auto" w:fill="auto"/>
          </w:tcPr>
          <w:p w14:paraId="333DA0F4">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r>
      <w:tr w14:paraId="7B9B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706EBFB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7CDC2094">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总磷</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4E5987C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8</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0A30F1E0">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1076" w:type="pct"/>
            <w:tcBorders>
              <w:left w:val="single" w:color="000000" w:sz="4" w:space="0"/>
            </w:tcBorders>
            <w:shd w:val="clear" w:color="auto" w:fill="auto"/>
          </w:tcPr>
          <w:p w14:paraId="09A20BB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r>
      <w:tr w14:paraId="7963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68D091F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7</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42A85D4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总锌</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60560A1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2CB9D4E6">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1076" w:type="pct"/>
            <w:tcBorders>
              <w:left w:val="single" w:color="000000" w:sz="4" w:space="0"/>
            </w:tcBorders>
            <w:shd w:val="clear" w:color="auto" w:fill="auto"/>
          </w:tcPr>
          <w:p w14:paraId="323373BB">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r>
      <w:tr w14:paraId="6CFD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7112960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8</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36D1CC7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总镍</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59E3CE5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60FBFAA8">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1076" w:type="pct"/>
            <w:tcBorders>
              <w:left w:val="single" w:color="000000" w:sz="4" w:space="0"/>
            </w:tcBorders>
            <w:shd w:val="clear" w:color="auto" w:fill="auto"/>
          </w:tcPr>
          <w:p w14:paraId="25A0F9C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r>
      <w:tr w14:paraId="55F7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130D3E98">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9</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1242436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总氮</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6EF6720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70</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17CC7CB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30</w:t>
            </w:r>
          </w:p>
        </w:tc>
        <w:tc>
          <w:tcPr>
            <w:tcW w:w="1076" w:type="pct"/>
            <w:tcBorders>
              <w:left w:val="single" w:color="000000" w:sz="4" w:space="0"/>
            </w:tcBorders>
            <w:shd w:val="clear" w:color="auto" w:fill="auto"/>
          </w:tcPr>
          <w:p w14:paraId="27A6786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30</w:t>
            </w:r>
          </w:p>
        </w:tc>
      </w:tr>
      <w:tr w14:paraId="787F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40" w:type="pct"/>
            <w:tcBorders>
              <w:top w:val="single" w:color="000000" w:sz="4" w:space="0"/>
            </w:tcBorders>
            <w:shd w:val="clear" w:color="auto" w:fill="auto"/>
          </w:tcPr>
          <w:p w14:paraId="522B06D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w:t>
            </w:r>
          </w:p>
        </w:tc>
        <w:tc>
          <w:tcPr>
            <w:tcW w:w="1053" w:type="pct"/>
            <w:tcBorders>
              <w:top w:val="single" w:color="000000" w:sz="4" w:space="0"/>
            </w:tcBorders>
            <w:shd w:val="clear" w:color="auto" w:fill="auto"/>
          </w:tcPr>
          <w:p w14:paraId="32C6339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全盐量</w:t>
            </w:r>
          </w:p>
        </w:tc>
        <w:tc>
          <w:tcPr>
            <w:tcW w:w="1359" w:type="pct"/>
            <w:tcBorders>
              <w:top w:val="single" w:color="000000" w:sz="4" w:space="0"/>
            </w:tcBorders>
            <w:shd w:val="clear" w:color="auto" w:fill="auto"/>
          </w:tcPr>
          <w:p w14:paraId="19E0E70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2000</w:t>
            </w:r>
          </w:p>
        </w:tc>
        <w:tc>
          <w:tcPr>
            <w:tcW w:w="872" w:type="pct"/>
            <w:tcBorders>
              <w:top w:val="single" w:color="000000" w:sz="4" w:space="0"/>
            </w:tcBorders>
            <w:shd w:val="clear" w:color="auto" w:fill="auto"/>
          </w:tcPr>
          <w:p w14:paraId="595B95E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1600</w:t>
            </w:r>
          </w:p>
        </w:tc>
        <w:tc>
          <w:tcPr>
            <w:tcW w:w="1076" w:type="pct"/>
            <w:shd w:val="clear" w:color="auto" w:fill="auto"/>
          </w:tcPr>
          <w:p w14:paraId="7D6A699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1600</w:t>
            </w:r>
          </w:p>
        </w:tc>
      </w:tr>
      <w:tr w14:paraId="61C4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40" w:type="pct"/>
            <w:shd w:val="clear" w:color="auto" w:fill="auto"/>
          </w:tcPr>
          <w:p w14:paraId="1BDB3AA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11</w:t>
            </w:r>
          </w:p>
        </w:tc>
        <w:tc>
          <w:tcPr>
            <w:tcW w:w="1053" w:type="pct"/>
            <w:shd w:val="clear" w:color="auto" w:fill="auto"/>
          </w:tcPr>
          <w:p w14:paraId="1EB0A2A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氟化物</w:t>
            </w:r>
          </w:p>
        </w:tc>
        <w:tc>
          <w:tcPr>
            <w:tcW w:w="1359" w:type="pct"/>
            <w:shd w:val="clear" w:color="auto" w:fill="auto"/>
          </w:tcPr>
          <w:p w14:paraId="153AEFCB">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w:t>
            </w:r>
          </w:p>
        </w:tc>
        <w:tc>
          <w:tcPr>
            <w:tcW w:w="872" w:type="pct"/>
            <w:shd w:val="clear" w:color="auto" w:fill="auto"/>
          </w:tcPr>
          <w:p w14:paraId="7165577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1.5</w:t>
            </w:r>
          </w:p>
        </w:tc>
        <w:tc>
          <w:tcPr>
            <w:tcW w:w="1076" w:type="pct"/>
            <w:shd w:val="clear" w:color="auto" w:fill="auto"/>
          </w:tcPr>
          <w:p w14:paraId="7706345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1.5</w:t>
            </w:r>
          </w:p>
        </w:tc>
      </w:tr>
      <w:tr w14:paraId="1C47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0" w:type="pct"/>
            <w:shd w:val="clear" w:color="auto" w:fill="auto"/>
          </w:tcPr>
          <w:p w14:paraId="5A5B8D9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12</w:t>
            </w:r>
          </w:p>
        </w:tc>
        <w:tc>
          <w:tcPr>
            <w:tcW w:w="1053" w:type="pct"/>
            <w:shd w:val="clear" w:color="auto" w:fill="auto"/>
          </w:tcPr>
          <w:p w14:paraId="3045CB0E">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大肠菌落数</w:t>
            </w:r>
          </w:p>
        </w:tc>
        <w:tc>
          <w:tcPr>
            <w:tcW w:w="1359" w:type="pct"/>
            <w:shd w:val="clear" w:color="auto" w:fill="auto"/>
          </w:tcPr>
          <w:p w14:paraId="1D337CB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w:t>
            </w:r>
          </w:p>
        </w:tc>
        <w:tc>
          <w:tcPr>
            <w:tcW w:w="872" w:type="pct"/>
            <w:shd w:val="clear" w:color="auto" w:fill="auto"/>
          </w:tcPr>
          <w:p w14:paraId="5EC38B1B">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1000</w:t>
            </w:r>
          </w:p>
        </w:tc>
        <w:tc>
          <w:tcPr>
            <w:tcW w:w="1076" w:type="pct"/>
            <w:shd w:val="clear" w:color="auto" w:fill="auto"/>
          </w:tcPr>
          <w:p w14:paraId="7EA4C9C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1000</w:t>
            </w:r>
          </w:p>
        </w:tc>
      </w:tr>
    </w:tbl>
    <w:p w14:paraId="18669EF6">
      <w:pPr>
        <w:spacing w:before="120" w:beforeLines="50" w:after="120" w:afterLines="50" w:line="360" w:lineRule="auto"/>
        <w:ind w:firstLine="468" w:firstLineChars="200"/>
        <w:rPr>
          <w:rFonts w:hint="eastAsia" w:ascii="仿宋" w:hAnsi="仿宋" w:eastAsia="仿宋" w:cs="仿宋"/>
          <w:b w:val="0"/>
          <w:bCs/>
          <w:color w:val="000000"/>
          <w:sz w:val="24"/>
          <w:szCs w:val="24"/>
          <w:lang w:val="en-US" w:eastAsia="zh-CN"/>
        </w:rPr>
      </w:pPr>
      <w:r>
        <w:rPr>
          <w:rFonts w:hint="eastAsia" w:ascii="仿宋" w:hAnsi="仿宋" w:eastAsia="仿宋" w:cs="仿宋"/>
          <w:b w:val="0"/>
          <w:bCs/>
          <w:spacing w:val="-3"/>
          <w:kern w:val="2"/>
          <w:sz w:val="24"/>
          <w:szCs w:val="24"/>
          <w:highlight w:val="none"/>
          <w:lang w:val="en-US" w:eastAsia="zh-CN" w:bidi="ar-SA"/>
        </w:rPr>
        <w:t>改造内容包含不限于以下内容，在改造过程中对于未能识别的问题需进行完善，确保污水处理站正常运行。</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408"/>
        <w:gridCol w:w="4202"/>
        <w:gridCol w:w="921"/>
        <w:gridCol w:w="1803"/>
      </w:tblGrid>
      <w:tr w14:paraId="379C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90E284E">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序号</w:t>
            </w:r>
          </w:p>
        </w:tc>
        <w:tc>
          <w:tcPr>
            <w:tcW w:w="777" w:type="pct"/>
          </w:tcPr>
          <w:p w14:paraId="3079A583">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设备</w:t>
            </w:r>
          </w:p>
        </w:tc>
        <w:tc>
          <w:tcPr>
            <w:tcW w:w="2319" w:type="pct"/>
            <w:vAlign w:val="center"/>
          </w:tcPr>
          <w:p w14:paraId="2D10BC56">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改造内容</w:t>
            </w:r>
          </w:p>
        </w:tc>
        <w:tc>
          <w:tcPr>
            <w:tcW w:w="508" w:type="pct"/>
            <w:vAlign w:val="center"/>
          </w:tcPr>
          <w:p w14:paraId="6C218EE9">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数量</w:t>
            </w:r>
          </w:p>
        </w:tc>
        <w:tc>
          <w:tcPr>
            <w:tcW w:w="995" w:type="pct"/>
            <w:vAlign w:val="center"/>
          </w:tcPr>
          <w:p w14:paraId="1BACFC5B">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备注</w:t>
            </w:r>
          </w:p>
        </w:tc>
      </w:tr>
      <w:tr w14:paraId="3221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399D526">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777" w:type="pct"/>
            <w:vAlign w:val="center"/>
          </w:tcPr>
          <w:p w14:paraId="79003B15">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加药系统</w:t>
            </w:r>
          </w:p>
        </w:tc>
        <w:tc>
          <w:tcPr>
            <w:tcW w:w="2319" w:type="pct"/>
            <w:vAlign w:val="center"/>
          </w:tcPr>
          <w:p w14:paraId="65F2A6ED">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1.更换加药泵及管道；</w:t>
            </w:r>
          </w:p>
          <w:p w14:paraId="24FB1E8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2.增加混药箱；</w:t>
            </w:r>
          </w:p>
          <w:p w14:paraId="021D108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3.损坏的搅拌器进行更换或修复</w:t>
            </w:r>
          </w:p>
          <w:p w14:paraId="04FEE887">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4.仪器仪表进行修复或更换；</w:t>
            </w:r>
          </w:p>
        </w:tc>
        <w:tc>
          <w:tcPr>
            <w:tcW w:w="508" w:type="pct"/>
            <w:vAlign w:val="center"/>
          </w:tcPr>
          <w:p w14:paraId="07D49C4C">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全套</w:t>
            </w:r>
          </w:p>
        </w:tc>
        <w:tc>
          <w:tcPr>
            <w:tcW w:w="995" w:type="pct"/>
            <w:vAlign w:val="center"/>
          </w:tcPr>
          <w:p w14:paraId="1E92441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4BB9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A1B707C">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w:t>
            </w:r>
          </w:p>
        </w:tc>
        <w:tc>
          <w:tcPr>
            <w:tcW w:w="777" w:type="pct"/>
            <w:vAlign w:val="center"/>
          </w:tcPr>
          <w:p w14:paraId="76EC226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混凝、沉淀装置</w:t>
            </w:r>
          </w:p>
        </w:tc>
        <w:tc>
          <w:tcPr>
            <w:tcW w:w="2319" w:type="pct"/>
            <w:vAlign w:val="center"/>
          </w:tcPr>
          <w:p w14:paraId="25C0F14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1.更换仪表及搅拌器；</w:t>
            </w:r>
          </w:p>
          <w:p w14:paraId="4F2B92FA">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2.槽内防腐蚀涂层检查，修复；</w:t>
            </w:r>
          </w:p>
          <w:p w14:paraId="006E3009">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3.沉淀槽填料更换；</w:t>
            </w:r>
          </w:p>
          <w:p w14:paraId="4AB27DA9">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4.仪器仪表进行修复或更换；</w:t>
            </w:r>
          </w:p>
          <w:p w14:paraId="24623A81">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5.沉淀槽修复，叠螺机修复或根据使用情况更换隔膜式压滤机，重金属污染与普通污泥分开处理；</w:t>
            </w:r>
          </w:p>
          <w:p w14:paraId="614BC0FC">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6.槽体外油漆；</w:t>
            </w:r>
          </w:p>
          <w:p w14:paraId="6F3CD71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7.管路修复或更换；</w:t>
            </w:r>
          </w:p>
          <w:p w14:paraId="06ACAEB1">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8.提升泵修复或更换；</w:t>
            </w:r>
          </w:p>
        </w:tc>
        <w:tc>
          <w:tcPr>
            <w:tcW w:w="508" w:type="pct"/>
            <w:vAlign w:val="center"/>
          </w:tcPr>
          <w:p w14:paraId="2BC1527F">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全线</w:t>
            </w:r>
          </w:p>
        </w:tc>
        <w:tc>
          <w:tcPr>
            <w:tcW w:w="995" w:type="pct"/>
            <w:vAlign w:val="center"/>
          </w:tcPr>
          <w:p w14:paraId="4D62B0A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54BF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5C3085C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w:t>
            </w:r>
          </w:p>
        </w:tc>
        <w:tc>
          <w:tcPr>
            <w:tcW w:w="777" w:type="pct"/>
            <w:vAlign w:val="center"/>
          </w:tcPr>
          <w:p w14:paraId="431521C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废水、废液池</w:t>
            </w:r>
          </w:p>
        </w:tc>
        <w:tc>
          <w:tcPr>
            <w:tcW w:w="2319" w:type="pct"/>
            <w:vAlign w:val="center"/>
          </w:tcPr>
          <w:p w14:paraId="251E9CFC">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1.相应管路、提升泵、仪器仪表等损坏部件进行更换或修复；</w:t>
            </w:r>
          </w:p>
          <w:p w14:paraId="5E004245">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2.检查内部涂层，对损坏处进行修复；</w:t>
            </w:r>
          </w:p>
        </w:tc>
        <w:tc>
          <w:tcPr>
            <w:tcW w:w="508" w:type="pct"/>
            <w:vAlign w:val="center"/>
          </w:tcPr>
          <w:p w14:paraId="4A346174">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151D88B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1809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26E7C01E">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777" w:type="pct"/>
            <w:vAlign w:val="center"/>
          </w:tcPr>
          <w:p w14:paraId="0CC78524">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水解酸化池</w:t>
            </w:r>
          </w:p>
        </w:tc>
        <w:tc>
          <w:tcPr>
            <w:tcW w:w="2319" w:type="pct"/>
            <w:vAlign w:val="center"/>
          </w:tcPr>
          <w:p w14:paraId="5267FAE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1.检查相关部件及搅拌器，对故障部件进行修复更换；</w:t>
            </w:r>
          </w:p>
          <w:p w14:paraId="5D6F4F08">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2.检查内部涂层，对损坏处进行修复；</w:t>
            </w:r>
          </w:p>
        </w:tc>
        <w:tc>
          <w:tcPr>
            <w:tcW w:w="508" w:type="pct"/>
            <w:vAlign w:val="center"/>
          </w:tcPr>
          <w:p w14:paraId="6299AFD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619A351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5E9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52C1D8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777" w:type="pct"/>
            <w:vAlign w:val="center"/>
          </w:tcPr>
          <w:p w14:paraId="1031122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接触氧化池</w:t>
            </w:r>
          </w:p>
        </w:tc>
        <w:tc>
          <w:tcPr>
            <w:tcW w:w="2319" w:type="pct"/>
            <w:vAlign w:val="center"/>
          </w:tcPr>
          <w:p w14:paraId="6DE3AD4C">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1.填料及支架更换；</w:t>
            </w:r>
          </w:p>
          <w:p w14:paraId="6A4AB519">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2.检查内部涂层，对损坏处进行修复；</w:t>
            </w:r>
          </w:p>
          <w:p w14:paraId="1C6B917E">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3.检查曝气系统（含风机）对损坏处进行修复或更换；</w:t>
            </w:r>
          </w:p>
        </w:tc>
        <w:tc>
          <w:tcPr>
            <w:tcW w:w="508" w:type="pct"/>
            <w:vAlign w:val="center"/>
          </w:tcPr>
          <w:p w14:paraId="25C78130">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4BBB68C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2E20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9726EA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w:t>
            </w:r>
          </w:p>
        </w:tc>
        <w:tc>
          <w:tcPr>
            <w:tcW w:w="777" w:type="pct"/>
            <w:vAlign w:val="center"/>
          </w:tcPr>
          <w:p w14:paraId="250AA8D1">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排放监测槽</w:t>
            </w:r>
          </w:p>
        </w:tc>
        <w:tc>
          <w:tcPr>
            <w:tcW w:w="2319" w:type="pct"/>
            <w:vAlign w:val="center"/>
          </w:tcPr>
          <w:p w14:paraId="487064F4">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1.对相应部件进行检查、修复或更换</w:t>
            </w:r>
          </w:p>
        </w:tc>
        <w:tc>
          <w:tcPr>
            <w:tcW w:w="508" w:type="pct"/>
            <w:vAlign w:val="center"/>
          </w:tcPr>
          <w:p w14:paraId="6C77CE3B">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1160502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0371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5D44DF2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7</w:t>
            </w:r>
          </w:p>
        </w:tc>
        <w:tc>
          <w:tcPr>
            <w:tcW w:w="777" w:type="pct"/>
            <w:vAlign w:val="center"/>
          </w:tcPr>
          <w:p w14:paraId="3D6A7A03">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电气</w:t>
            </w:r>
          </w:p>
        </w:tc>
        <w:tc>
          <w:tcPr>
            <w:tcW w:w="2319" w:type="pct"/>
            <w:vAlign w:val="center"/>
          </w:tcPr>
          <w:p w14:paraId="74B57AF5">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新增、修复或更换</w:t>
            </w:r>
          </w:p>
        </w:tc>
        <w:tc>
          <w:tcPr>
            <w:tcW w:w="508" w:type="pct"/>
            <w:vAlign w:val="center"/>
          </w:tcPr>
          <w:p w14:paraId="627517C0">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25FCF3E0">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494B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FA1EFB5">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8</w:t>
            </w:r>
          </w:p>
        </w:tc>
        <w:tc>
          <w:tcPr>
            <w:tcW w:w="777" w:type="pct"/>
            <w:vAlign w:val="center"/>
          </w:tcPr>
          <w:p w14:paraId="58469AD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提升泵</w:t>
            </w:r>
          </w:p>
        </w:tc>
        <w:tc>
          <w:tcPr>
            <w:tcW w:w="2319" w:type="pct"/>
            <w:vAlign w:val="center"/>
          </w:tcPr>
          <w:p w14:paraId="0EAE5865">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检查、修复或更换</w:t>
            </w:r>
          </w:p>
        </w:tc>
        <w:tc>
          <w:tcPr>
            <w:tcW w:w="508" w:type="pct"/>
            <w:vAlign w:val="center"/>
          </w:tcPr>
          <w:p w14:paraId="325DF0FB">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44684579">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bl>
    <w:p w14:paraId="216C3349">
      <w:pPr>
        <w:pStyle w:val="34"/>
        <w:keepNext w:val="0"/>
        <w:keepLines w:val="0"/>
        <w:widowControl/>
        <w:suppressLineNumbers w:val="0"/>
        <w:spacing w:beforeAutospacing="1" w:afterAutospacing="1" w:line="240" w:lineRule="auto"/>
        <w:outlineLvl w:val="3"/>
        <w:rPr>
          <w:rFonts w:hint="eastAsia" w:ascii="仿宋" w:hAnsi="仿宋" w:eastAsia="仿宋" w:cs="仿宋"/>
          <w:sz w:val="24"/>
          <w:szCs w:val="24"/>
          <w:lang w:val="en-US" w:eastAsia="zh-CN"/>
        </w:rPr>
      </w:pPr>
      <w:r>
        <w:rPr>
          <w:rFonts w:hint="eastAsia" w:ascii="仿宋" w:hAnsi="仿宋" w:eastAsia="仿宋" w:cs="仿宋"/>
          <w:spacing w:val="-3"/>
          <w:kern w:val="2"/>
          <w:sz w:val="24"/>
          <w:szCs w:val="24"/>
          <w:highlight w:val="none"/>
          <w:lang w:val="en-US" w:eastAsia="zh-CN" w:bidi="ar-SA"/>
        </w:rPr>
        <w:t>5.14</w:t>
      </w:r>
      <w:r>
        <w:rPr>
          <w:rFonts w:hint="eastAsia" w:ascii="仿宋" w:hAnsi="仿宋" w:eastAsia="仿宋" w:cs="仿宋"/>
          <w:sz w:val="24"/>
          <w:szCs w:val="24"/>
          <w:lang w:val="en-US" w:eastAsia="zh-CN"/>
        </w:rPr>
        <w:t>危废间、危化品库改造</w:t>
      </w:r>
    </w:p>
    <w:p w14:paraId="52ED08CA">
      <w:pPr>
        <w:pStyle w:val="34"/>
        <w:keepNext w:val="0"/>
        <w:keepLines w:val="0"/>
        <w:widowControl/>
        <w:suppressLineNumbers w:val="0"/>
        <w:spacing w:beforeAutospacing="1" w:afterAutospacing="1"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投标方负责对招标返回现场的涂装辅料及危废的存储间进行现场勘探，并对现有设备进行改造，满足现场涂装辅料、涂装危废的存储需求，符合当地相关法规要求。</w:t>
      </w:r>
    </w:p>
    <w:p w14:paraId="28A98AD2">
      <w:pPr>
        <w:pStyle w:val="34"/>
        <w:keepNext w:val="0"/>
        <w:keepLines w:val="0"/>
        <w:widowControl/>
        <w:suppressLineNumbers w:val="0"/>
        <w:spacing w:beforeAutospacing="1" w:afterAutospacing="1" w:line="240" w:lineRule="auto"/>
        <w:outlineLvl w:val="3"/>
        <w:rPr>
          <w:rStyle w:val="198"/>
          <w:rFonts w:hint="default"/>
          <w:lang w:val="en-US" w:eastAsia="zh-CN"/>
        </w:rPr>
      </w:pPr>
      <w:r>
        <w:rPr>
          <w:rFonts w:hint="eastAsia" w:ascii="仿宋" w:hAnsi="仿宋" w:eastAsia="仿宋" w:cs="仿宋"/>
          <w:spacing w:val="-3"/>
          <w:kern w:val="2"/>
          <w:sz w:val="24"/>
          <w:szCs w:val="24"/>
          <w:highlight w:val="none"/>
          <w:lang w:val="en-US" w:eastAsia="zh-CN" w:bidi="ar-SA"/>
        </w:rPr>
        <w:t>5.15</w:t>
      </w:r>
      <w:r>
        <w:rPr>
          <w:rFonts w:hint="eastAsia" w:ascii="仿宋" w:hAnsi="仿宋" w:eastAsia="仿宋" w:cs="仿宋"/>
          <w:sz w:val="24"/>
          <w:szCs w:val="24"/>
          <w:lang w:val="en-US" w:eastAsia="zh-CN"/>
        </w:rPr>
        <w:t>转运AGV</w:t>
      </w:r>
    </w:p>
    <w:p w14:paraId="5CCE9307">
      <w:pPr>
        <w:pStyle w:val="19"/>
        <w:numPr>
          <w:ilvl w:val="0"/>
          <w:numId w:val="0"/>
        </w:numPr>
        <w:spacing w:line="360" w:lineRule="auto"/>
        <w:outlineLvl w:val="0"/>
        <w:rPr>
          <w:rStyle w:val="198"/>
          <w:rFonts w:hint="eastAsia"/>
          <w:b w:val="0"/>
          <w:bCs/>
          <w:lang w:val="en-US" w:eastAsia="zh-CN"/>
        </w:rPr>
      </w:pPr>
      <w:r>
        <w:rPr>
          <w:rStyle w:val="198"/>
          <w:rFonts w:hint="eastAsia"/>
          <w:b w:val="0"/>
          <w:bCs/>
          <w:lang w:val="en-US" w:eastAsia="zh-CN"/>
        </w:rPr>
        <w:t>5.15.1 整体结构说明：</w:t>
      </w:r>
    </w:p>
    <w:p w14:paraId="3B0C7479">
      <w:pPr>
        <w:pStyle w:val="19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lang w:val="en-US" w:eastAsia="zh-CN"/>
        </w:rPr>
      </w:pPr>
      <w:r>
        <w:rPr>
          <w:rFonts w:hint="eastAsia"/>
          <w:b w:val="0"/>
          <w:bCs/>
          <w:lang w:val="en-US" w:eastAsia="zh-CN"/>
        </w:rPr>
        <w:t>用于车架、副车架、自卸车箱及罐体的转运作业，AGV进入产线工位器具底部，液压机构升起工位器具连同工件，通过呼叫系统调度（定点调度），控制器程序控制车体，导引器指引方向，运送到指定工位位置，液压升降机构落下，工件与工位器具随之落下，AGV返回，舵轮结构实现车体各种动作的旋转，精确将货物送至目的地。</w:t>
      </w:r>
    </w:p>
    <w:p w14:paraId="27459563">
      <w:pPr>
        <w:pStyle w:val="19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color w:val="auto"/>
          <w:kern w:val="2"/>
          <w:sz w:val="28"/>
          <w:szCs w:val="28"/>
          <w:lang w:val="en-US" w:eastAsia="zh-CN" w:bidi="ar"/>
        </w:rPr>
      </w:pPr>
      <w:r>
        <w:rPr>
          <w:rFonts w:hint="eastAsia"/>
          <w:b w:val="0"/>
          <w:bCs/>
          <w:lang w:val="en-US" w:eastAsia="zh-CN"/>
        </w:rPr>
        <w:t>5.15.2 技术参数</w:t>
      </w:r>
    </w:p>
    <w:tbl>
      <w:tblPr>
        <w:tblStyle w:val="40"/>
        <w:tblW w:w="432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7"/>
        <w:gridCol w:w="2525"/>
        <w:gridCol w:w="4352"/>
      </w:tblGrid>
      <w:tr w14:paraId="50C56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611" w:type="pct"/>
            <w:shd w:val="clear" w:color="auto" w:fill="D9D9D9"/>
            <w:noWrap w:val="0"/>
            <w:vAlign w:val="center"/>
          </w:tcPr>
          <w:p w14:paraId="39CBF69E">
            <w:pPr>
              <w:keepNext w:val="0"/>
              <w:keepLines w:val="0"/>
              <w:suppressLineNumbers w:val="0"/>
              <w:spacing w:before="62" w:beforeLines="20" w:beforeAutospacing="0" w:after="62" w:afterLines="20" w:afterAutospacing="0" w:line="240" w:lineRule="auto"/>
              <w:ind w:left="0" w:right="0" w:firstLine="0" w:firstLineChars="0"/>
              <w:rPr>
                <w:rFonts w:hint="eastAsia" w:ascii="仿宋" w:hAnsi="仿宋" w:eastAsia="仿宋" w:cs="仿宋"/>
                <w:b/>
                <w:sz w:val="24"/>
                <w:szCs w:val="24"/>
              </w:rPr>
            </w:pPr>
            <w:r>
              <w:rPr>
                <w:rFonts w:hint="eastAsia" w:ascii="仿宋" w:hAnsi="仿宋" w:eastAsia="仿宋" w:cs="仿宋"/>
                <w:b/>
                <w:sz w:val="24"/>
                <w:szCs w:val="24"/>
              </w:rPr>
              <w:t>序号</w:t>
            </w:r>
          </w:p>
        </w:tc>
        <w:tc>
          <w:tcPr>
            <w:tcW w:w="1611" w:type="pct"/>
            <w:shd w:val="clear" w:color="auto" w:fill="D9D9D9"/>
            <w:noWrap w:val="0"/>
            <w:vAlign w:val="center"/>
          </w:tcPr>
          <w:p w14:paraId="7D34110A">
            <w:pPr>
              <w:keepNext w:val="0"/>
              <w:keepLines w:val="0"/>
              <w:suppressLineNumbers w:val="0"/>
              <w:spacing w:before="62" w:beforeLines="20" w:beforeAutospacing="0" w:after="62" w:afterLines="20" w:afterAutospacing="0" w:line="240" w:lineRule="auto"/>
              <w:ind w:left="0" w:right="0" w:firstLine="480" w:firstLineChars="0"/>
              <w:jc w:val="center"/>
              <w:rPr>
                <w:rFonts w:hint="eastAsia" w:ascii="仿宋" w:hAnsi="仿宋" w:eastAsia="仿宋" w:cs="仿宋"/>
                <w:b/>
                <w:sz w:val="24"/>
                <w:szCs w:val="24"/>
              </w:rPr>
            </w:pPr>
            <w:r>
              <w:rPr>
                <w:rFonts w:hint="eastAsia" w:ascii="仿宋" w:hAnsi="仿宋" w:eastAsia="仿宋" w:cs="仿宋"/>
                <w:b/>
                <w:sz w:val="24"/>
                <w:szCs w:val="24"/>
              </w:rPr>
              <w:t>项目</w:t>
            </w:r>
          </w:p>
        </w:tc>
        <w:tc>
          <w:tcPr>
            <w:tcW w:w="2777" w:type="pct"/>
            <w:tcBorders>
              <w:right w:val="single" w:color="auto" w:sz="4" w:space="0"/>
            </w:tcBorders>
            <w:shd w:val="clear" w:color="auto" w:fill="D9D9D9"/>
            <w:noWrap w:val="0"/>
            <w:vAlign w:val="center"/>
          </w:tcPr>
          <w:p w14:paraId="2C989AC6">
            <w:pPr>
              <w:keepNext w:val="0"/>
              <w:keepLines w:val="0"/>
              <w:suppressLineNumbers w:val="0"/>
              <w:spacing w:before="62" w:beforeLines="20" w:beforeAutospacing="0" w:after="62" w:afterLines="20" w:afterAutospacing="0" w:line="240" w:lineRule="auto"/>
              <w:ind w:left="0" w:right="0" w:firstLine="480" w:firstLineChars="0"/>
              <w:jc w:val="center"/>
              <w:rPr>
                <w:rFonts w:hint="eastAsia" w:ascii="仿宋" w:hAnsi="仿宋" w:eastAsia="仿宋" w:cs="仿宋"/>
                <w:b/>
                <w:sz w:val="24"/>
                <w:szCs w:val="24"/>
              </w:rPr>
            </w:pPr>
            <w:r>
              <w:rPr>
                <w:rFonts w:hint="eastAsia" w:ascii="仿宋" w:hAnsi="仿宋" w:eastAsia="仿宋" w:cs="仿宋"/>
                <w:b/>
                <w:sz w:val="24"/>
                <w:szCs w:val="24"/>
              </w:rPr>
              <w:t>参数</w:t>
            </w:r>
          </w:p>
        </w:tc>
      </w:tr>
      <w:tr w14:paraId="1F3AD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666F7A7">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3F629853">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车体尺寸长*宽*高</w:t>
            </w:r>
          </w:p>
        </w:tc>
        <w:tc>
          <w:tcPr>
            <w:tcW w:w="2777" w:type="pct"/>
            <w:tcBorders>
              <w:right w:val="single" w:color="auto" w:sz="4" w:space="0"/>
            </w:tcBorders>
            <w:noWrap w:val="0"/>
            <w:vAlign w:val="center"/>
          </w:tcPr>
          <w:p w14:paraId="525C6B3D">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2500*1500*500mm</w:t>
            </w:r>
          </w:p>
        </w:tc>
      </w:tr>
      <w:tr w14:paraId="5CC56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1426472E">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432323E9">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额定载荷</w:t>
            </w:r>
          </w:p>
        </w:tc>
        <w:tc>
          <w:tcPr>
            <w:tcW w:w="2777" w:type="pct"/>
            <w:tcBorders>
              <w:right w:val="single" w:color="auto" w:sz="4" w:space="0"/>
            </w:tcBorders>
            <w:noWrap w:val="0"/>
            <w:vAlign w:val="center"/>
          </w:tcPr>
          <w:p w14:paraId="5454EDD4">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highlight w:val="none"/>
                <w:lang w:val="en-US" w:eastAsia="zh-CN"/>
              </w:rPr>
              <w:t>5/10</w:t>
            </w:r>
            <w:r>
              <w:rPr>
                <w:rFonts w:hint="eastAsia" w:ascii="仿宋" w:hAnsi="仿宋" w:eastAsia="仿宋" w:cs="仿宋"/>
                <w:sz w:val="24"/>
                <w:szCs w:val="24"/>
                <w:highlight w:val="none"/>
              </w:rPr>
              <w:t>t</w:t>
            </w:r>
          </w:p>
        </w:tc>
      </w:tr>
      <w:tr w14:paraId="2D24F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453911D5">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84FA600">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举升高度</w:t>
            </w:r>
          </w:p>
        </w:tc>
        <w:tc>
          <w:tcPr>
            <w:tcW w:w="2777" w:type="pct"/>
            <w:tcBorders>
              <w:right w:val="single" w:color="auto" w:sz="4" w:space="0"/>
            </w:tcBorders>
            <w:noWrap w:val="0"/>
            <w:vAlign w:val="center"/>
          </w:tcPr>
          <w:p w14:paraId="60AF3A21">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0-100mm</w:t>
            </w:r>
          </w:p>
        </w:tc>
      </w:tr>
      <w:tr w14:paraId="1E12B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133758B1">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45C4A6A">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车身自重</w:t>
            </w:r>
          </w:p>
        </w:tc>
        <w:tc>
          <w:tcPr>
            <w:tcW w:w="2777" w:type="pct"/>
            <w:tcBorders>
              <w:right w:val="single" w:color="auto" w:sz="4" w:space="0"/>
            </w:tcBorders>
            <w:noWrap w:val="0"/>
            <w:vAlign w:val="center"/>
          </w:tcPr>
          <w:p w14:paraId="28610AF9">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≈2t</w:t>
            </w:r>
          </w:p>
        </w:tc>
      </w:tr>
      <w:tr w14:paraId="2A35E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502CAC58">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C549408">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安全区域保护范围</w:t>
            </w:r>
          </w:p>
        </w:tc>
        <w:tc>
          <w:tcPr>
            <w:tcW w:w="2777" w:type="pct"/>
            <w:tcBorders>
              <w:right w:val="single" w:color="auto" w:sz="4" w:space="0"/>
            </w:tcBorders>
            <w:noWrap w:val="0"/>
            <w:vAlign w:val="center"/>
          </w:tcPr>
          <w:p w14:paraId="315BCB18">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0-4000mm（3层保护，16区域场景切换）</w:t>
            </w:r>
          </w:p>
        </w:tc>
      </w:tr>
      <w:tr w14:paraId="1D60A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FE63C74">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3FC3D60">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行驶速度</w:t>
            </w:r>
          </w:p>
        </w:tc>
        <w:tc>
          <w:tcPr>
            <w:tcW w:w="2777" w:type="pct"/>
            <w:tcBorders>
              <w:right w:val="single" w:color="auto" w:sz="4" w:space="0"/>
            </w:tcBorders>
            <w:noWrap w:val="0"/>
            <w:vAlign w:val="center"/>
          </w:tcPr>
          <w:p w14:paraId="51EDE2D8">
            <w:pPr>
              <w:pStyle w:val="200"/>
              <w:keepNext w:val="0"/>
              <w:keepLines w:val="0"/>
              <w:suppressLineNumbers w:val="0"/>
              <w:spacing w:before="62" w:beforeAutospacing="0" w:after="62"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highlight w:val="none"/>
                <w:lang w:val="en-US" w:eastAsia="zh-CN"/>
              </w:rPr>
              <w:t>负载</w:t>
            </w:r>
            <w:r>
              <w:rPr>
                <w:rFonts w:hint="eastAsia" w:ascii="仿宋" w:hAnsi="仿宋" w:eastAsia="仿宋" w:cs="仿宋"/>
                <w:sz w:val="24"/>
                <w:szCs w:val="24"/>
                <w:highlight w:val="none"/>
              </w:rPr>
              <w:t>35000mm/min</w:t>
            </w:r>
          </w:p>
        </w:tc>
      </w:tr>
      <w:tr w14:paraId="6F1AD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F23831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4D04965">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支持行走动作</w:t>
            </w:r>
          </w:p>
        </w:tc>
        <w:tc>
          <w:tcPr>
            <w:tcW w:w="2777" w:type="pct"/>
            <w:tcBorders>
              <w:right w:val="single" w:color="auto" w:sz="4" w:space="0"/>
            </w:tcBorders>
            <w:noWrap w:val="0"/>
            <w:vAlign w:val="center"/>
          </w:tcPr>
          <w:p w14:paraId="285F9832">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纵向行走、横向行走、原地旋转360°</w:t>
            </w:r>
          </w:p>
        </w:tc>
      </w:tr>
      <w:tr w14:paraId="68550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1B5411E8">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5714ECA5">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载货越障高度</w:t>
            </w:r>
          </w:p>
        </w:tc>
        <w:tc>
          <w:tcPr>
            <w:tcW w:w="2777" w:type="pct"/>
            <w:vMerge w:val="restart"/>
            <w:tcBorders>
              <w:right w:val="single" w:color="auto" w:sz="4" w:space="0"/>
            </w:tcBorders>
            <w:noWrap w:val="0"/>
            <w:vAlign w:val="center"/>
          </w:tcPr>
          <w:p w14:paraId="0C689C5E">
            <w:pPr>
              <w:pStyle w:val="200"/>
              <w:keepNext w:val="0"/>
              <w:keepLines w:val="0"/>
              <w:suppressLineNumbers w:val="0"/>
              <w:spacing w:before="62" w:beforeAutospacing="0" w:after="62"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满足厂房路面平稳行走</w:t>
            </w:r>
          </w:p>
        </w:tc>
      </w:tr>
      <w:tr w14:paraId="770CF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37507410">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0DB543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载货爬坡斜度</w:t>
            </w:r>
          </w:p>
        </w:tc>
        <w:tc>
          <w:tcPr>
            <w:tcW w:w="2777" w:type="pct"/>
            <w:vMerge w:val="continue"/>
            <w:tcBorders>
              <w:right w:val="single" w:color="auto" w:sz="4" w:space="0"/>
            </w:tcBorders>
            <w:noWrap w:val="0"/>
            <w:vAlign w:val="center"/>
          </w:tcPr>
          <w:p w14:paraId="5032552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p>
        </w:tc>
      </w:tr>
      <w:tr w14:paraId="07E01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323E849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4083EA72">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导航方式</w:t>
            </w:r>
          </w:p>
        </w:tc>
        <w:tc>
          <w:tcPr>
            <w:tcW w:w="2777" w:type="pct"/>
            <w:tcBorders>
              <w:right w:val="single" w:color="auto" w:sz="4" w:space="0"/>
            </w:tcBorders>
            <w:noWrap w:val="0"/>
            <w:vAlign w:val="center"/>
          </w:tcPr>
          <w:p w14:paraId="7B80057E">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激光导航</w:t>
            </w:r>
          </w:p>
        </w:tc>
      </w:tr>
      <w:tr w14:paraId="75926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FDB342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01B5B539">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控制方式</w:t>
            </w:r>
          </w:p>
        </w:tc>
        <w:tc>
          <w:tcPr>
            <w:tcW w:w="2777" w:type="pct"/>
            <w:tcBorders>
              <w:right w:val="single" w:color="auto" w:sz="4" w:space="0"/>
            </w:tcBorders>
            <w:noWrap w:val="0"/>
            <w:vAlign w:val="center"/>
          </w:tcPr>
          <w:p w14:paraId="0B4AE51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定点呼叫+手动遥控</w:t>
            </w:r>
          </w:p>
        </w:tc>
      </w:tr>
      <w:tr w14:paraId="5D02A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5E1DE602">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0FE9A3EE">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动力源参数</w:t>
            </w:r>
          </w:p>
        </w:tc>
        <w:tc>
          <w:tcPr>
            <w:tcW w:w="2777" w:type="pct"/>
            <w:tcBorders>
              <w:right w:val="single" w:color="auto" w:sz="4" w:space="0"/>
            </w:tcBorders>
            <w:noWrap w:val="0"/>
            <w:vAlign w:val="center"/>
          </w:tcPr>
          <w:p w14:paraId="4997AC77">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DC48V锂电池，储电量100Ah。</w:t>
            </w:r>
          </w:p>
        </w:tc>
      </w:tr>
      <w:tr w14:paraId="53144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7E23B71B">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124599F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控制媒介</w:t>
            </w:r>
          </w:p>
        </w:tc>
        <w:tc>
          <w:tcPr>
            <w:tcW w:w="2777" w:type="pct"/>
            <w:tcBorders>
              <w:right w:val="single" w:color="auto" w:sz="4" w:space="0"/>
            </w:tcBorders>
            <w:noWrap w:val="0"/>
            <w:vAlign w:val="center"/>
          </w:tcPr>
          <w:p w14:paraId="237D1F68">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专业工业局域网络</w:t>
            </w:r>
          </w:p>
        </w:tc>
      </w:tr>
      <w:tr w14:paraId="41A92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0EDB1A9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05605261">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舵轮</w:t>
            </w:r>
          </w:p>
        </w:tc>
        <w:tc>
          <w:tcPr>
            <w:tcW w:w="2777" w:type="pct"/>
            <w:tcBorders>
              <w:right w:val="single" w:color="auto" w:sz="4" w:space="0"/>
            </w:tcBorders>
            <w:shd w:val="clear" w:color="auto" w:fill="auto"/>
            <w:noWrap w:val="0"/>
            <w:vAlign w:val="center"/>
          </w:tcPr>
          <w:p w14:paraId="7074BD43">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夏伯穆</w:t>
            </w:r>
            <w:r>
              <w:rPr>
                <w:rFonts w:hint="eastAsia" w:ascii="仿宋" w:hAnsi="仿宋" w:eastAsia="仿宋" w:cs="仿宋"/>
                <w:sz w:val="24"/>
                <w:szCs w:val="24"/>
                <w:lang w:eastAsia="zh-CN"/>
              </w:rPr>
              <w:t>、</w:t>
            </w:r>
            <w:r>
              <w:rPr>
                <w:rFonts w:hint="eastAsia" w:ascii="仿宋" w:hAnsi="仿宋" w:eastAsia="仿宋" w:cs="仿宋"/>
                <w:sz w:val="24"/>
                <w:szCs w:val="24"/>
              </w:rPr>
              <w:t>CFR</w:t>
            </w:r>
            <w:r>
              <w:rPr>
                <w:rFonts w:hint="eastAsia" w:ascii="仿宋" w:hAnsi="仿宋" w:eastAsia="仿宋" w:cs="仿宋"/>
                <w:sz w:val="24"/>
                <w:szCs w:val="24"/>
                <w:lang w:eastAsia="zh-CN"/>
              </w:rPr>
              <w:t>、</w:t>
            </w:r>
            <w:r>
              <w:rPr>
                <w:rFonts w:hint="eastAsia" w:ascii="仿宋" w:hAnsi="仿宋" w:eastAsia="仿宋" w:cs="仿宋"/>
                <w:sz w:val="24"/>
                <w:szCs w:val="24"/>
              </w:rPr>
              <w:t>马路达</w:t>
            </w:r>
          </w:p>
        </w:tc>
      </w:tr>
      <w:tr w14:paraId="553FE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6E8A42E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6B0C134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驱动电机</w:t>
            </w:r>
          </w:p>
        </w:tc>
        <w:tc>
          <w:tcPr>
            <w:tcW w:w="2777" w:type="pct"/>
            <w:tcBorders>
              <w:right w:val="single" w:color="auto" w:sz="4" w:space="0"/>
            </w:tcBorders>
            <w:shd w:val="clear" w:color="auto" w:fill="auto"/>
            <w:noWrap w:val="0"/>
            <w:vAlign w:val="center"/>
          </w:tcPr>
          <w:p w14:paraId="69B6BC6B">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步科</w:t>
            </w:r>
            <w:r>
              <w:rPr>
                <w:rFonts w:hint="eastAsia" w:ascii="仿宋" w:hAnsi="仿宋" w:eastAsia="仿宋" w:cs="仿宋"/>
                <w:sz w:val="24"/>
                <w:szCs w:val="24"/>
                <w:lang w:eastAsia="zh-CN"/>
              </w:rPr>
              <w:t>、</w:t>
            </w:r>
            <w:r>
              <w:rPr>
                <w:rFonts w:hint="eastAsia" w:ascii="仿宋" w:hAnsi="仿宋" w:eastAsia="仿宋" w:cs="仿宋"/>
                <w:sz w:val="24"/>
                <w:szCs w:val="24"/>
              </w:rPr>
              <w:t>同毅</w:t>
            </w:r>
            <w:r>
              <w:rPr>
                <w:rFonts w:hint="eastAsia" w:ascii="仿宋" w:hAnsi="仿宋" w:eastAsia="仿宋" w:cs="仿宋"/>
                <w:sz w:val="24"/>
                <w:szCs w:val="24"/>
                <w:lang w:eastAsia="zh-CN"/>
              </w:rPr>
              <w:t>、</w:t>
            </w:r>
            <w:r>
              <w:rPr>
                <w:rFonts w:hint="eastAsia" w:ascii="仿宋" w:hAnsi="仿宋" w:eastAsia="仿宋" w:cs="仿宋"/>
                <w:sz w:val="24"/>
                <w:szCs w:val="24"/>
              </w:rPr>
              <w:t>雷赛</w:t>
            </w:r>
          </w:p>
        </w:tc>
      </w:tr>
      <w:tr w14:paraId="31F2F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3658A888">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4AE2177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行星减速机</w:t>
            </w:r>
          </w:p>
        </w:tc>
        <w:tc>
          <w:tcPr>
            <w:tcW w:w="2777" w:type="pct"/>
            <w:tcBorders>
              <w:right w:val="single" w:color="auto" w:sz="4" w:space="0"/>
            </w:tcBorders>
            <w:shd w:val="clear" w:color="auto" w:fill="auto"/>
            <w:noWrap w:val="0"/>
            <w:vAlign w:val="center"/>
          </w:tcPr>
          <w:p w14:paraId="62A3127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科峰</w:t>
            </w:r>
            <w:r>
              <w:rPr>
                <w:rFonts w:hint="eastAsia" w:ascii="仿宋" w:hAnsi="仿宋" w:eastAsia="仿宋" w:cs="仿宋"/>
                <w:sz w:val="24"/>
                <w:szCs w:val="24"/>
                <w:lang w:eastAsia="zh-CN"/>
              </w:rPr>
              <w:t>、</w:t>
            </w:r>
            <w:r>
              <w:rPr>
                <w:rFonts w:hint="eastAsia" w:ascii="仿宋" w:hAnsi="仿宋" w:eastAsia="仿宋" w:cs="仿宋"/>
                <w:sz w:val="24"/>
                <w:szCs w:val="24"/>
              </w:rPr>
              <w:t>纽氏达特</w:t>
            </w:r>
            <w:r>
              <w:rPr>
                <w:rFonts w:hint="eastAsia" w:ascii="仿宋" w:hAnsi="仿宋" w:eastAsia="仿宋" w:cs="仿宋"/>
                <w:sz w:val="24"/>
                <w:szCs w:val="24"/>
                <w:lang w:eastAsia="zh-CN"/>
              </w:rPr>
              <w:t>、</w:t>
            </w:r>
            <w:r>
              <w:rPr>
                <w:rFonts w:hint="eastAsia" w:ascii="仿宋" w:hAnsi="仿宋" w:eastAsia="仿宋" w:cs="仿宋"/>
                <w:sz w:val="24"/>
                <w:szCs w:val="24"/>
              </w:rPr>
              <w:t>卓蓝</w:t>
            </w:r>
          </w:p>
        </w:tc>
      </w:tr>
      <w:tr w14:paraId="23241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47E30BB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5E8F220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锂电池</w:t>
            </w:r>
          </w:p>
        </w:tc>
        <w:tc>
          <w:tcPr>
            <w:tcW w:w="2777" w:type="pct"/>
            <w:tcBorders>
              <w:right w:val="single" w:color="auto" w:sz="4" w:space="0"/>
            </w:tcBorders>
            <w:shd w:val="clear" w:color="auto" w:fill="auto"/>
            <w:noWrap w:val="0"/>
            <w:vAlign w:val="center"/>
          </w:tcPr>
          <w:p w14:paraId="3A2231C6">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霍克</w:t>
            </w:r>
            <w:r>
              <w:rPr>
                <w:rFonts w:hint="eastAsia" w:ascii="仿宋" w:hAnsi="仿宋" w:eastAsia="仿宋" w:cs="仿宋"/>
                <w:sz w:val="24"/>
                <w:szCs w:val="24"/>
                <w:lang w:eastAsia="zh-CN"/>
              </w:rPr>
              <w:t>、</w:t>
            </w:r>
            <w:r>
              <w:rPr>
                <w:rFonts w:hint="eastAsia" w:ascii="仿宋" w:hAnsi="仿宋" w:eastAsia="仿宋" w:cs="仿宋"/>
                <w:sz w:val="24"/>
                <w:szCs w:val="24"/>
              </w:rPr>
              <w:t>泰坦</w:t>
            </w:r>
            <w:r>
              <w:rPr>
                <w:rFonts w:hint="eastAsia" w:ascii="仿宋" w:hAnsi="仿宋" w:eastAsia="仿宋" w:cs="仿宋"/>
                <w:sz w:val="24"/>
                <w:szCs w:val="24"/>
                <w:lang w:eastAsia="zh-CN"/>
              </w:rPr>
              <w:t>、</w:t>
            </w:r>
            <w:r>
              <w:rPr>
                <w:rFonts w:hint="eastAsia" w:ascii="仿宋" w:hAnsi="仿宋" w:eastAsia="仿宋" w:cs="仿宋"/>
                <w:sz w:val="24"/>
                <w:szCs w:val="24"/>
              </w:rPr>
              <w:t>聚云</w:t>
            </w:r>
          </w:p>
        </w:tc>
      </w:tr>
      <w:tr w14:paraId="711B2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741E06E7">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381E7113">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充电系统</w:t>
            </w:r>
          </w:p>
        </w:tc>
        <w:tc>
          <w:tcPr>
            <w:tcW w:w="2777" w:type="pct"/>
            <w:tcBorders>
              <w:right w:val="single" w:color="auto" w:sz="4" w:space="0"/>
            </w:tcBorders>
            <w:shd w:val="clear" w:color="auto" w:fill="auto"/>
            <w:noWrap w:val="0"/>
            <w:vAlign w:val="center"/>
          </w:tcPr>
          <w:p w14:paraId="48157764">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霍克</w:t>
            </w:r>
            <w:r>
              <w:rPr>
                <w:rFonts w:hint="eastAsia" w:ascii="仿宋" w:hAnsi="仿宋" w:eastAsia="仿宋" w:cs="仿宋"/>
                <w:sz w:val="24"/>
                <w:szCs w:val="24"/>
                <w:lang w:eastAsia="zh-CN"/>
              </w:rPr>
              <w:t>、</w:t>
            </w:r>
            <w:r>
              <w:rPr>
                <w:rFonts w:hint="eastAsia" w:ascii="仿宋" w:hAnsi="仿宋" w:eastAsia="仿宋" w:cs="仿宋"/>
                <w:sz w:val="24"/>
                <w:szCs w:val="24"/>
              </w:rPr>
              <w:t>泰坦</w:t>
            </w:r>
            <w:r>
              <w:rPr>
                <w:rFonts w:hint="eastAsia" w:ascii="仿宋" w:hAnsi="仿宋" w:eastAsia="仿宋" w:cs="仿宋"/>
                <w:sz w:val="24"/>
                <w:szCs w:val="24"/>
                <w:lang w:eastAsia="zh-CN"/>
              </w:rPr>
              <w:t>、</w:t>
            </w:r>
            <w:r>
              <w:rPr>
                <w:rFonts w:hint="eastAsia" w:ascii="仿宋" w:hAnsi="仿宋" w:eastAsia="仿宋" w:cs="仿宋"/>
                <w:sz w:val="24"/>
                <w:szCs w:val="24"/>
              </w:rPr>
              <w:t>施能</w:t>
            </w:r>
          </w:p>
        </w:tc>
      </w:tr>
      <w:tr w14:paraId="6C92E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03F394C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0AAF3D28">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脚轮</w:t>
            </w:r>
          </w:p>
        </w:tc>
        <w:tc>
          <w:tcPr>
            <w:tcW w:w="2777" w:type="pct"/>
            <w:tcBorders>
              <w:right w:val="single" w:color="auto" w:sz="4" w:space="0"/>
            </w:tcBorders>
            <w:shd w:val="clear" w:color="auto" w:fill="auto"/>
            <w:noWrap w:val="0"/>
            <w:vAlign w:val="center"/>
          </w:tcPr>
          <w:p w14:paraId="2871499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信希</w:t>
            </w:r>
            <w:r>
              <w:rPr>
                <w:rFonts w:hint="eastAsia" w:ascii="仿宋" w:hAnsi="仿宋" w:eastAsia="仿宋" w:cs="仿宋"/>
                <w:sz w:val="24"/>
                <w:szCs w:val="24"/>
                <w:lang w:eastAsia="zh-CN"/>
              </w:rPr>
              <w:t>、</w:t>
            </w:r>
            <w:r>
              <w:rPr>
                <w:rFonts w:hint="eastAsia" w:ascii="仿宋" w:hAnsi="仿宋" w:eastAsia="仿宋" w:cs="仿宋"/>
                <w:sz w:val="24"/>
                <w:szCs w:val="24"/>
              </w:rPr>
              <w:t>禾达</w:t>
            </w:r>
            <w:r>
              <w:rPr>
                <w:rFonts w:hint="eastAsia" w:ascii="仿宋" w:hAnsi="仿宋" w:eastAsia="仿宋" w:cs="仿宋"/>
                <w:sz w:val="24"/>
                <w:szCs w:val="24"/>
                <w:lang w:eastAsia="zh-CN"/>
              </w:rPr>
              <w:t>、</w:t>
            </w:r>
            <w:r>
              <w:rPr>
                <w:rFonts w:hint="eastAsia" w:ascii="仿宋" w:hAnsi="仿宋" w:eastAsia="仿宋" w:cs="仿宋"/>
                <w:sz w:val="24"/>
                <w:szCs w:val="24"/>
              </w:rPr>
              <w:t>屹上</w:t>
            </w:r>
          </w:p>
        </w:tc>
      </w:tr>
      <w:tr w14:paraId="6C452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08AAC5B9">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46EFF59B">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激光避障传感器</w:t>
            </w:r>
          </w:p>
        </w:tc>
        <w:tc>
          <w:tcPr>
            <w:tcW w:w="2777" w:type="pct"/>
            <w:tcBorders>
              <w:right w:val="single" w:color="auto" w:sz="4" w:space="0"/>
            </w:tcBorders>
            <w:shd w:val="clear" w:color="auto" w:fill="auto"/>
            <w:noWrap w:val="0"/>
            <w:vAlign w:val="center"/>
          </w:tcPr>
          <w:p w14:paraId="31326BB9">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SICK</w:t>
            </w:r>
            <w:r>
              <w:rPr>
                <w:rFonts w:hint="eastAsia" w:ascii="仿宋" w:hAnsi="仿宋" w:eastAsia="仿宋" w:cs="仿宋"/>
                <w:sz w:val="24"/>
                <w:szCs w:val="24"/>
                <w:lang w:eastAsia="zh-CN"/>
              </w:rPr>
              <w:t>、</w:t>
            </w:r>
            <w:r>
              <w:rPr>
                <w:rFonts w:hint="eastAsia" w:ascii="仿宋" w:hAnsi="仿宋" w:eastAsia="仿宋" w:cs="仿宋"/>
                <w:sz w:val="24"/>
                <w:szCs w:val="24"/>
              </w:rPr>
              <w:t>KEYENCE</w:t>
            </w:r>
            <w:r>
              <w:rPr>
                <w:rFonts w:hint="eastAsia" w:ascii="仿宋" w:hAnsi="仿宋" w:eastAsia="仿宋" w:cs="仿宋"/>
                <w:sz w:val="24"/>
                <w:szCs w:val="24"/>
                <w:lang w:eastAsia="zh-CN"/>
              </w:rPr>
              <w:t>、</w:t>
            </w:r>
            <w:r>
              <w:rPr>
                <w:rFonts w:hint="eastAsia" w:ascii="仿宋" w:hAnsi="仿宋" w:eastAsia="仿宋" w:cs="仿宋"/>
                <w:sz w:val="24"/>
                <w:szCs w:val="24"/>
              </w:rPr>
              <w:t>兴颂</w:t>
            </w:r>
          </w:p>
        </w:tc>
      </w:tr>
      <w:tr w14:paraId="19288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1B93058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2D59C768">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安全触边</w:t>
            </w:r>
          </w:p>
        </w:tc>
        <w:tc>
          <w:tcPr>
            <w:tcW w:w="2777" w:type="pct"/>
            <w:tcBorders>
              <w:right w:val="single" w:color="auto" w:sz="4" w:space="0"/>
            </w:tcBorders>
            <w:shd w:val="clear" w:color="auto" w:fill="auto"/>
            <w:noWrap w:val="0"/>
            <w:vAlign w:val="center"/>
          </w:tcPr>
          <w:p w14:paraId="4A1C9D3F">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ASO（ASO）</w:t>
            </w:r>
            <w:r>
              <w:rPr>
                <w:rFonts w:hint="eastAsia" w:ascii="仿宋" w:hAnsi="仿宋" w:eastAsia="仿宋" w:cs="仿宋"/>
                <w:sz w:val="24"/>
                <w:szCs w:val="24"/>
                <w:lang w:eastAsia="zh-CN"/>
              </w:rPr>
              <w:t>、</w:t>
            </w:r>
            <w:r>
              <w:rPr>
                <w:rFonts w:hint="eastAsia" w:ascii="仿宋" w:hAnsi="仿宋" w:eastAsia="仿宋" w:cs="仿宋"/>
                <w:sz w:val="24"/>
                <w:szCs w:val="24"/>
              </w:rPr>
              <w:t>上海迪罗</w:t>
            </w:r>
            <w:r>
              <w:rPr>
                <w:rFonts w:hint="eastAsia" w:ascii="仿宋" w:hAnsi="仿宋" w:eastAsia="仿宋" w:cs="仿宋"/>
                <w:sz w:val="24"/>
                <w:szCs w:val="24"/>
                <w:lang w:eastAsia="zh-CN"/>
              </w:rPr>
              <w:t>、</w:t>
            </w:r>
            <w:r>
              <w:rPr>
                <w:rFonts w:hint="eastAsia" w:ascii="仿宋" w:hAnsi="仿宋" w:eastAsia="仿宋" w:cs="仿宋"/>
                <w:sz w:val="24"/>
                <w:szCs w:val="24"/>
              </w:rPr>
              <w:t>艾智威</w:t>
            </w:r>
          </w:p>
        </w:tc>
      </w:tr>
      <w:tr w14:paraId="0EAAF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1C9A3DF4">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395F60E0">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色带导航传感器</w:t>
            </w:r>
          </w:p>
        </w:tc>
        <w:tc>
          <w:tcPr>
            <w:tcW w:w="2777" w:type="pct"/>
            <w:tcBorders>
              <w:right w:val="single" w:color="auto" w:sz="4" w:space="0"/>
            </w:tcBorders>
            <w:shd w:val="clear" w:color="auto" w:fill="auto"/>
            <w:noWrap w:val="0"/>
            <w:vAlign w:val="center"/>
          </w:tcPr>
          <w:p w14:paraId="04B60ECE">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倍加福</w:t>
            </w:r>
            <w:r>
              <w:rPr>
                <w:rFonts w:hint="eastAsia" w:ascii="仿宋" w:hAnsi="仿宋" w:eastAsia="仿宋" w:cs="仿宋"/>
                <w:sz w:val="24"/>
                <w:szCs w:val="24"/>
                <w:lang w:eastAsia="zh-CN"/>
              </w:rPr>
              <w:t>、</w:t>
            </w:r>
            <w:r>
              <w:rPr>
                <w:rFonts w:hint="eastAsia" w:ascii="仿宋" w:hAnsi="仿宋" w:eastAsia="仿宋" w:cs="仿宋"/>
                <w:sz w:val="24"/>
                <w:szCs w:val="24"/>
              </w:rPr>
              <w:t>海康</w:t>
            </w:r>
            <w:r>
              <w:rPr>
                <w:rFonts w:hint="eastAsia" w:ascii="仿宋" w:hAnsi="仿宋" w:eastAsia="仿宋" w:cs="仿宋"/>
                <w:sz w:val="24"/>
                <w:szCs w:val="24"/>
                <w:lang w:eastAsia="zh-CN"/>
              </w:rPr>
              <w:t>、</w:t>
            </w:r>
            <w:r>
              <w:rPr>
                <w:rFonts w:hint="eastAsia" w:ascii="仿宋" w:hAnsi="仿宋" w:eastAsia="仿宋" w:cs="仿宋"/>
                <w:sz w:val="24"/>
                <w:szCs w:val="24"/>
              </w:rPr>
              <w:t>SICK</w:t>
            </w:r>
          </w:p>
        </w:tc>
      </w:tr>
      <w:tr w14:paraId="0CE91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310E96D1">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69B52641">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无线模块</w:t>
            </w:r>
          </w:p>
        </w:tc>
        <w:tc>
          <w:tcPr>
            <w:tcW w:w="2777" w:type="pct"/>
            <w:tcBorders>
              <w:right w:val="single" w:color="auto" w:sz="4" w:space="0"/>
            </w:tcBorders>
            <w:shd w:val="clear" w:color="auto" w:fill="auto"/>
            <w:noWrap w:val="0"/>
            <w:vAlign w:val="center"/>
          </w:tcPr>
          <w:p w14:paraId="5C16138D">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rPr>
              <w:t>MOXA</w:t>
            </w:r>
            <w:r>
              <w:rPr>
                <w:rFonts w:hint="eastAsia" w:ascii="仿宋" w:hAnsi="仿宋" w:eastAsia="仿宋" w:cs="仿宋"/>
                <w:sz w:val="24"/>
                <w:szCs w:val="24"/>
                <w:lang w:eastAsia="zh-CN"/>
              </w:rPr>
              <w:t>、</w:t>
            </w:r>
            <w:r>
              <w:rPr>
                <w:rFonts w:hint="eastAsia" w:ascii="仿宋" w:hAnsi="仿宋" w:eastAsia="仿宋" w:cs="仿宋"/>
                <w:sz w:val="24"/>
                <w:szCs w:val="24"/>
              </w:rPr>
              <w:t>多倍通</w:t>
            </w:r>
          </w:p>
        </w:tc>
      </w:tr>
      <w:tr w14:paraId="0B107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27C07CC6">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3189F0E9">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无线AP</w:t>
            </w:r>
          </w:p>
        </w:tc>
        <w:tc>
          <w:tcPr>
            <w:tcW w:w="2777" w:type="pct"/>
            <w:tcBorders>
              <w:right w:val="single" w:color="auto" w:sz="4" w:space="0"/>
            </w:tcBorders>
            <w:shd w:val="clear" w:color="auto" w:fill="auto"/>
            <w:noWrap w:val="0"/>
            <w:vAlign w:val="center"/>
          </w:tcPr>
          <w:p w14:paraId="2720E70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rPr>
              <w:t>MOXA</w:t>
            </w:r>
            <w:r>
              <w:rPr>
                <w:rFonts w:hint="eastAsia" w:ascii="仿宋" w:hAnsi="仿宋" w:eastAsia="仿宋" w:cs="仿宋"/>
                <w:sz w:val="24"/>
                <w:szCs w:val="24"/>
                <w:lang w:eastAsia="zh-CN"/>
              </w:rPr>
              <w:t>、</w:t>
            </w:r>
            <w:r>
              <w:rPr>
                <w:rFonts w:hint="eastAsia" w:ascii="仿宋" w:hAnsi="仿宋" w:eastAsia="仿宋" w:cs="仿宋"/>
                <w:sz w:val="24"/>
                <w:szCs w:val="24"/>
              </w:rPr>
              <w:t>多倍通</w:t>
            </w:r>
          </w:p>
        </w:tc>
      </w:tr>
      <w:tr w14:paraId="2B33C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319A80F9">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716197D4">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音乐报警器</w:t>
            </w:r>
          </w:p>
        </w:tc>
        <w:tc>
          <w:tcPr>
            <w:tcW w:w="2777" w:type="pct"/>
            <w:tcBorders>
              <w:right w:val="single" w:color="auto" w:sz="4" w:space="0"/>
            </w:tcBorders>
            <w:shd w:val="clear" w:color="auto" w:fill="auto"/>
            <w:noWrap w:val="0"/>
            <w:vAlign w:val="center"/>
          </w:tcPr>
          <w:p w14:paraId="2BB03F9F">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天逸</w:t>
            </w:r>
            <w:r>
              <w:rPr>
                <w:rFonts w:hint="eastAsia" w:ascii="仿宋" w:hAnsi="仿宋" w:eastAsia="仿宋" w:cs="仿宋"/>
                <w:sz w:val="24"/>
                <w:szCs w:val="24"/>
                <w:lang w:eastAsia="zh-CN"/>
              </w:rPr>
              <w:t>、</w:t>
            </w:r>
            <w:r>
              <w:rPr>
                <w:rFonts w:hint="eastAsia" w:ascii="仿宋" w:hAnsi="仿宋" w:eastAsia="仿宋" w:cs="仿宋"/>
                <w:sz w:val="24"/>
                <w:szCs w:val="24"/>
              </w:rPr>
              <w:t>艾智威</w:t>
            </w:r>
            <w:r>
              <w:rPr>
                <w:rFonts w:hint="eastAsia" w:ascii="仿宋" w:hAnsi="仿宋" w:eastAsia="仿宋" w:cs="仿宋"/>
                <w:sz w:val="24"/>
                <w:szCs w:val="24"/>
                <w:lang w:eastAsia="zh-CN"/>
              </w:rPr>
              <w:t>、</w:t>
            </w:r>
            <w:r>
              <w:rPr>
                <w:rFonts w:hint="eastAsia" w:ascii="仿宋" w:hAnsi="仿宋" w:eastAsia="仿宋" w:cs="仿宋"/>
                <w:sz w:val="24"/>
                <w:szCs w:val="24"/>
              </w:rPr>
              <w:t>帮那</w:t>
            </w:r>
          </w:p>
        </w:tc>
      </w:tr>
      <w:tr w14:paraId="184B1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5BCC752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6F4E45E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触摸屏</w:t>
            </w:r>
          </w:p>
        </w:tc>
        <w:tc>
          <w:tcPr>
            <w:tcW w:w="2777" w:type="pct"/>
            <w:tcBorders>
              <w:right w:val="single" w:color="auto" w:sz="4" w:space="0"/>
            </w:tcBorders>
            <w:shd w:val="clear" w:color="auto" w:fill="auto"/>
            <w:noWrap w:val="0"/>
            <w:vAlign w:val="center"/>
          </w:tcPr>
          <w:p w14:paraId="4D00D38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rPr>
              <w:t>步科</w:t>
            </w:r>
            <w:r>
              <w:rPr>
                <w:rFonts w:hint="eastAsia" w:ascii="仿宋" w:hAnsi="仿宋" w:eastAsia="仿宋" w:cs="仿宋"/>
                <w:sz w:val="24"/>
                <w:szCs w:val="24"/>
                <w:lang w:eastAsia="zh-CN"/>
              </w:rPr>
              <w:t>、</w:t>
            </w:r>
            <w:r>
              <w:rPr>
                <w:rFonts w:hint="eastAsia" w:ascii="仿宋" w:hAnsi="仿宋" w:eastAsia="仿宋" w:cs="仿宋"/>
                <w:sz w:val="24"/>
                <w:szCs w:val="24"/>
              </w:rPr>
              <w:t>AB（罗克韦尔）</w:t>
            </w:r>
          </w:p>
        </w:tc>
      </w:tr>
    </w:tbl>
    <w:p w14:paraId="18CAE224">
      <w:pPr>
        <w:pStyle w:val="19"/>
        <w:numPr>
          <w:ilvl w:val="0"/>
          <w:numId w:val="0"/>
        </w:numPr>
        <w:spacing w:line="360" w:lineRule="auto"/>
        <w:outlineLvl w:val="3"/>
        <w:rPr>
          <w:rFonts w:hint="default"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5.16 数据采集要求：</w:t>
      </w:r>
    </w:p>
    <w:p w14:paraId="63C350E9">
      <w:pPr>
        <w:pStyle w:val="19"/>
        <w:numPr>
          <w:ilvl w:val="0"/>
          <w:numId w:val="0"/>
        </w:numPr>
        <w:spacing w:line="360" w:lineRule="auto"/>
        <w:outlineLvl w:val="3"/>
        <w:rPr>
          <w:rStyle w:val="198"/>
          <w:rFonts w:hint="eastAsia" w:ascii="仿宋" w:hAnsi="仿宋" w:eastAsia="仿宋" w:cs="仿宋"/>
          <w:b w:val="0"/>
          <w:bCs w:val="0"/>
          <w:sz w:val="24"/>
          <w:szCs w:val="24"/>
          <w:lang w:val="en-US" w:eastAsia="zh-CN"/>
        </w:rPr>
      </w:pPr>
      <w:r>
        <w:rPr>
          <w:rFonts w:hint="eastAsia" w:ascii="仿宋" w:hAnsi="仿宋" w:eastAsia="仿宋" w:cs="仿宋"/>
          <w:b w:val="0"/>
          <w:bCs w:val="0"/>
          <w:color w:val="000000"/>
          <w:kern w:val="0"/>
          <w:sz w:val="24"/>
          <w:szCs w:val="24"/>
          <w:lang w:val="en-US" w:eastAsia="zh-CN" w:bidi="ar"/>
        </w:rPr>
        <w:t>5.16.1接口与协议要求</w:t>
      </w:r>
      <w:r>
        <w:rPr>
          <w:rStyle w:val="198"/>
          <w:rFonts w:hint="eastAsia" w:ascii="仿宋" w:hAnsi="仿宋" w:eastAsia="仿宋" w:cs="仿宋"/>
          <w:b w:val="0"/>
          <w:bCs w:val="0"/>
          <w:sz w:val="24"/>
          <w:szCs w:val="24"/>
          <w:lang w:val="en-US" w:eastAsia="zh-CN"/>
        </w:rPr>
        <w:t>：</w:t>
      </w:r>
    </w:p>
    <w:p w14:paraId="680FED9C">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数据接口支持与现有MES、PLC、SCADA等系统互联互通，应满足GB/T 20540.6、GB/T 26804.5、GB/T 31230.6、GB/T 33863.1要求，采用通用行业协议，具体要求如下： </w:t>
      </w:r>
    </w:p>
    <w:p w14:paraId="66EFDDEA">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a) 供应商预留数采专用通讯接口，包括但不限于以太网、PROFINET、MODBUS TCP，以及设备特有 的专用接口。机器人控制器应至少提供1个独立的100/1000Mbps自适应以太网接口（RJ45），专用于数据采集，可与控制网络物理或逻辑隔离； </w:t>
      </w:r>
    </w:p>
    <w:p w14:paraId="60E71474">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b) 设备及上位控制系统（工控机）应接入工厂工控网络，用于数据采集； </w:t>
      </w:r>
    </w:p>
    <w:p w14:paraId="6D27B699">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c) 供应商免费提供应用层面系统接口，包括但不限WebAPI、MQTT、NCLink、OpenProtocol、OPCUA、Socket等，以及第三方接口开发包； </w:t>
      </w:r>
    </w:p>
    <w:p w14:paraId="04F36F6E">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d) 供应商免费提供数据交互功能，交互数据包括但不限于实时数据、历史数据、报警信息等； </w:t>
      </w:r>
    </w:p>
    <w:p w14:paraId="7A6C2F25">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e) 数据采集在设备上电状态下持续进行，不受设备待机、休眠等状态影响(主动上传设备除外)； </w:t>
      </w:r>
    </w:p>
    <w:p w14:paraId="0D694FD7">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f) 所有上位机程序、专用软件、数据库等提供所有权限的用户名和密码； </w:t>
      </w:r>
    </w:p>
    <w:p w14:paraId="3163DF77">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g) 设备使用周期内，供应商免费派遣技术人员与设备使用单位调试团队共同进行设备通讯接口调试工作； </w:t>
      </w:r>
    </w:p>
    <w:p w14:paraId="45DC638F">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h) 供应商在设备入场前提供接口的技术文档和参数说明，包括但不限于接口协议、通讯速率、数 据格式等； </w:t>
      </w:r>
    </w:p>
    <w:p w14:paraId="4240BA4A">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i) OPC UA服务器：机器人必须内置OPC UA服务器，或提供同等功能的独立软件授权，永久有效； </w:t>
      </w:r>
    </w:p>
    <w:p w14:paraId="5DF6E736">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j) 协议版本：支持OPC UA 1.04及以上，实现数据访问（DA）、事件（Events）、订阅 （Subscription）机制； </w:t>
      </w:r>
    </w:p>
    <w:p w14:paraId="58C3BE3F">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k) 安全策略：支持 Basic256Sha256 加密及签名，支持匿名及用户名/密码认证； </w:t>
      </w:r>
    </w:p>
    <w:p w14:paraId="655C173B">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l) 信息模型：提供结构清晰的节点映射文档。 </w:t>
      </w:r>
    </w:p>
    <w:p w14:paraId="7DE024D1">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5.16.2 程序权限要求 ：</w:t>
      </w:r>
    </w:p>
    <w:p w14:paraId="534309C7">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为便于后期设备维护及优化调整，程序权限要求如下： </w:t>
      </w:r>
    </w:p>
    <w:p w14:paraId="44A81057">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供应商必须提供所有设备程序的源代码，包括但不限于PLC程序、HMI程序、机器人程序、视觉程序、伺服、上位机(含SCADA、产线MES等)等，并根据需求，免费提供相对应的参数点址； </w:t>
      </w:r>
    </w:p>
    <w:p w14:paraId="423D0322">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供应商所提供的程序不得设置任何密码、保护等限制手段，PLC不得设置修改下载权限，功能块不得设置密码保护； </w:t>
      </w:r>
    </w:p>
    <w:p w14:paraId="657A8E64">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HMI界面等需要密码保护的程序，供应商必须提供所有级别的用户名、密码； </w:t>
      </w:r>
    </w:p>
    <w:p w14:paraId="120C071F">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供应商需在设备入场前提供设备程序源码，HMI界面各级用户名和密码，并保证与现场程序一致； </w:t>
      </w:r>
    </w:p>
    <w:p w14:paraId="1027F783">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e) 供应商需在终验收前提供最新的设备程序源码和电气图纸，图纸要求为可编辑原格式（EPLAN、CAD格式）且与实际接线一致。 </w:t>
      </w:r>
    </w:p>
    <w:p w14:paraId="74B102D1">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5.16.3数据采集要求：</w:t>
      </w:r>
    </w:p>
    <w:p w14:paraId="1EF5B7A1">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数据采集范围应覆盖设备核心运行参数（如转速、负载、温度、精度、故障信息等），满足生产工艺数据追溯、运维分析需求。数据采集方式（有线/无线）适配现场安装环境，采集频率、数据精度满足 </w:t>
      </w:r>
    </w:p>
    <w:p w14:paraId="7F17C494">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生产监控及智能化管理要求。具体要求如下： </w:t>
      </w:r>
    </w:p>
    <w:p w14:paraId="1ECF434C">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信息安全:供应商不允许私自将设备数据接入自己云平台； </w:t>
      </w:r>
    </w:p>
    <w:p w14:paraId="5D45A176">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设备应支持运行参数实时采集，采集范围包括：设备运行参数、生产数据、运行状态、维护维保相关信息(如:维保到期提醒、历史维保记录、维保图纸资料等)、故障报警信息、操作指导、能耗数据，以及压力、电流、电压等关键运行参数；优先支持故障前置数据采集，用于故障分析； </w:t>
      </w:r>
    </w:p>
    <w:p w14:paraId="35CF42F8">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PLC参数标准:设备设置参数、设备操作模式(自动/手动/调整)、设备状态(电源状态、运行/停止/急停/报警)、位置数据（关节坐标/各轴角度、工具坐标/TCP位置及姿态、轴位置/各轴绝对坐标）、主轴与进给(主轴转速、主轴负载、进给速率、进给倍率)、工艺参数/程序信息（当前程序名、程序行号、 速度倍率）、生产信息（循环时间、生产计数/工件数量）、设备动作输出与反馈、设备安全及检测信息、报警信息（当前激活报警代码及描述）、能耗信息、部件累计运行次数(如:电磁阀、气缸、接触器等)、运行保养信息（保养间隔、运行时间等)、辅助状态(冷却/润滑状态)、伺服电机数据（各轴伺服电机实时电流、实时温度、实时扭矩及伺服电机额定电流、额定温度、额定扭矩参数），均需配置独立PLC输出点位； </w:t>
      </w:r>
    </w:p>
    <w:p w14:paraId="34EC2347">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设备数据传输格式、传输速率，确保与现有数据采集设备、中控系统无缝对接，无需大规模更换配套硬件；支持多设备组网采集，满足车间集中管控需求。 </w:t>
      </w:r>
    </w:p>
    <w:p w14:paraId="3D9C4B29">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5.16.4设备数采性能与实施：</w:t>
      </w:r>
    </w:p>
    <w:p w14:paraId="575C6252">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为保障设备数采性能与实施，包括但不限于以下要求： </w:t>
      </w:r>
    </w:p>
    <w:p w14:paraId="5AF92239">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单台设备OPC UA服务器应支持不少于5个独立客户端并发连接； </w:t>
      </w:r>
    </w:p>
    <w:p w14:paraId="0464A1D1">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数据变化上报延迟≤100ms，采样周期可配置； </w:t>
      </w:r>
    </w:p>
    <w:p w14:paraId="4910BBC9">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投标时须提供数据点表（节点ID、数据类型、描述），并在合同签订后配合测试验证。 </w:t>
      </w:r>
    </w:p>
    <w:p w14:paraId="7A2093BF">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5.16.5设备数采功能验收：</w:t>
      </w:r>
    </w:p>
    <w:p w14:paraId="48D61541">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设备数采功能验收要求包括但不限于以下要求： </w:t>
      </w:r>
    </w:p>
    <w:p w14:paraId="47ACDEBD">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使用标准OPC UA客户端（如UaExpert）可成功连接设备，浏览地址空间，读取本规格书要求的核心变量（含伺服电机电流、温度、扭矩），刷新频率不低于1Hz； </w:t>
      </w:r>
    </w:p>
    <w:p w14:paraId="3FBCEC06">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b) 连续运行72小时，无数据中断、无内存溢出、无CPU持续高负载（平均负载≤30%）。</w:t>
      </w:r>
    </w:p>
    <w:p w14:paraId="06B56CF7">
      <w:pPr>
        <w:pStyle w:val="195"/>
        <w:keepNext w:val="0"/>
        <w:keepLines w:val="0"/>
        <w:pageBreakBefore w:val="0"/>
        <w:kinsoku/>
        <w:wordWrap/>
        <w:overflowPunct/>
        <w:topLinePunct w:val="0"/>
        <w:bidi w:val="0"/>
        <w:spacing w:line="276" w:lineRule="auto"/>
        <w:ind w:left="0" w:leftChars="0" w:firstLine="0" w:firstLineChars="0"/>
        <w:outlineLvl w:val="1"/>
        <w:rPr>
          <w:rFonts w:hint="default" w:ascii="仿宋" w:hAnsi="仿宋" w:eastAsia="仿宋" w:cs="仿宋"/>
          <w:b w:val="0"/>
          <w:bCs/>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四、主要配置品牌要求（上述设备涉及的主要外购件）</w:t>
      </w:r>
    </w:p>
    <w:tbl>
      <w:tblPr>
        <w:tblStyle w:val="40"/>
        <w:tblW w:w="46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2696"/>
        <w:gridCol w:w="1400"/>
        <w:gridCol w:w="3412"/>
      </w:tblGrid>
      <w:tr w14:paraId="329B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6E656AF9">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序号</w:t>
            </w:r>
          </w:p>
        </w:tc>
        <w:tc>
          <w:tcPr>
            <w:tcW w:w="1610" w:type="pct"/>
            <w:vAlign w:val="center"/>
          </w:tcPr>
          <w:p w14:paraId="43C5C9F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名称</w:t>
            </w:r>
          </w:p>
        </w:tc>
        <w:tc>
          <w:tcPr>
            <w:tcW w:w="836" w:type="pct"/>
            <w:vAlign w:val="center"/>
          </w:tcPr>
          <w:p w14:paraId="15E1FE2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规格型号</w:t>
            </w:r>
          </w:p>
        </w:tc>
        <w:tc>
          <w:tcPr>
            <w:tcW w:w="2037" w:type="pct"/>
            <w:vAlign w:val="center"/>
          </w:tcPr>
          <w:p w14:paraId="19DF9D1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lang w:val="en-US" w:eastAsia="zh-CN"/>
              </w:rPr>
              <w:t>推荐</w:t>
            </w:r>
            <w:r>
              <w:rPr>
                <w:rFonts w:hint="eastAsia" w:ascii="仿宋" w:hAnsi="仿宋" w:eastAsia="仿宋" w:cs="仿宋"/>
                <w:sz w:val="24"/>
                <w:szCs w:val="24"/>
              </w:rPr>
              <w:t>品牌</w:t>
            </w:r>
          </w:p>
        </w:tc>
      </w:tr>
      <w:tr w14:paraId="4091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10A20313">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1610" w:type="pct"/>
            <w:vAlign w:val="center"/>
          </w:tcPr>
          <w:p w14:paraId="325C9DAF">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前处理水泵</w:t>
            </w:r>
          </w:p>
        </w:tc>
        <w:tc>
          <w:tcPr>
            <w:tcW w:w="836" w:type="pct"/>
            <w:vAlign w:val="center"/>
          </w:tcPr>
          <w:p w14:paraId="261A1BBE">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6BEB6515">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ABD</w:t>
            </w:r>
            <w:r>
              <w:rPr>
                <w:rFonts w:hint="eastAsia" w:ascii="仿宋" w:hAnsi="仿宋" w:eastAsia="仿宋" w:cs="仿宋"/>
                <w:sz w:val="24"/>
                <w:szCs w:val="24"/>
                <w:lang w:eastAsia="zh-CN"/>
              </w:rPr>
              <w:t>、</w:t>
            </w:r>
            <w:r>
              <w:rPr>
                <w:rFonts w:hint="eastAsia" w:ascii="仿宋" w:hAnsi="仿宋" w:eastAsia="仿宋" w:cs="仿宋"/>
                <w:sz w:val="24"/>
                <w:szCs w:val="24"/>
              </w:rPr>
              <w:t>新久扬</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南方泵业</w:t>
            </w:r>
          </w:p>
        </w:tc>
      </w:tr>
      <w:tr w14:paraId="6017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515" w:type="pct"/>
            <w:vAlign w:val="center"/>
          </w:tcPr>
          <w:p w14:paraId="5FC080D2">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1610" w:type="pct"/>
            <w:vAlign w:val="center"/>
          </w:tcPr>
          <w:p w14:paraId="771AE981">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隔膜阀</w:t>
            </w:r>
          </w:p>
        </w:tc>
        <w:tc>
          <w:tcPr>
            <w:tcW w:w="836" w:type="pct"/>
            <w:vAlign w:val="center"/>
          </w:tcPr>
          <w:p w14:paraId="5E7CE54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7875F3D1">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SED、上阀二厂、欧利威</w:t>
            </w:r>
          </w:p>
        </w:tc>
      </w:tr>
      <w:tr w14:paraId="3851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04F871B3">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610" w:type="pct"/>
            <w:vAlign w:val="center"/>
          </w:tcPr>
          <w:p w14:paraId="4A2EA48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阀门</w:t>
            </w:r>
          </w:p>
        </w:tc>
        <w:tc>
          <w:tcPr>
            <w:tcW w:w="836" w:type="pct"/>
            <w:vAlign w:val="center"/>
          </w:tcPr>
          <w:p w14:paraId="7A6A102D">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51FB7F57">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上阀五厂、大宇合力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良工</w:t>
            </w:r>
          </w:p>
        </w:tc>
      </w:tr>
      <w:tr w14:paraId="6303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16F29AC7">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1610" w:type="pct"/>
            <w:tcBorders>
              <w:bottom w:val="single" w:color="auto" w:sz="4" w:space="0"/>
            </w:tcBorders>
            <w:vAlign w:val="center"/>
          </w:tcPr>
          <w:p w14:paraId="7428933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风阀</w:t>
            </w:r>
          </w:p>
        </w:tc>
        <w:tc>
          <w:tcPr>
            <w:tcW w:w="836" w:type="pct"/>
            <w:vAlign w:val="center"/>
          </w:tcPr>
          <w:p w14:paraId="53A3A2E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47AD6B8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上海显隆、天工、上海五厂</w:t>
            </w:r>
          </w:p>
        </w:tc>
      </w:tr>
      <w:tr w14:paraId="73D9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0AA2429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p>
        </w:tc>
        <w:tc>
          <w:tcPr>
            <w:tcW w:w="1610" w:type="pct"/>
            <w:vAlign w:val="center"/>
          </w:tcPr>
          <w:p w14:paraId="0DE12A2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V型喷淋喷嘴、搅拌混流喷嘴</w:t>
            </w:r>
          </w:p>
        </w:tc>
        <w:tc>
          <w:tcPr>
            <w:tcW w:w="836" w:type="pct"/>
            <w:vAlign w:val="center"/>
          </w:tcPr>
          <w:p w14:paraId="121A830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1E21056D">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无锡东晖</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杰斯特、斯普瑞</w:t>
            </w:r>
          </w:p>
        </w:tc>
      </w:tr>
      <w:tr w14:paraId="521C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07731DD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6</w:t>
            </w:r>
          </w:p>
        </w:tc>
        <w:tc>
          <w:tcPr>
            <w:tcW w:w="1610" w:type="pct"/>
            <w:vAlign w:val="center"/>
          </w:tcPr>
          <w:p w14:paraId="664DA9E2">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热电阻、压力表、温度计</w:t>
            </w:r>
          </w:p>
        </w:tc>
        <w:tc>
          <w:tcPr>
            <w:tcW w:w="836" w:type="pct"/>
            <w:vAlign w:val="center"/>
          </w:tcPr>
          <w:p w14:paraId="4C7B33F1">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2D84938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rPr>
              <w:t>北京力兆源</w:t>
            </w:r>
            <w:r>
              <w:rPr>
                <w:rFonts w:hint="eastAsia" w:ascii="仿宋" w:hAnsi="仿宋" w:eastAsia="仿宋" w:cs="仿宋"/>
                <w:sz w:val="24"/>
                <w:szCs w:val="24"/>
                <w:lang w:eastAsia="zh-CN"/>
              </w:rPr>
              <w:t>、</w:t>
            </w:r>
            <w:r>
              <w:rPr>
                <w:rFonts w:hint="eastAsia" w:ascii="仿宋" w:hAnsi="仿宋" w:eastAsia="仿宋" w:cs="仿宋"/>
                <w:sz w:val="24"/>
                <w:szCs w:val="24"/>
              </w:rPr>
              <w:t>上海仪表</w:t>
            </w:r>
            <w:r>
              <w:rPr>
                <w:rFonts w:hint="eastAsia" w:ascii="仿宋" w:hAnsi="仿宋" w:eastAsia="仿宋" w:cs="仿宋"/>
                <w:sz w:val="24"/>
                <w:szCs w:val="24"/>
                <w:lang w:eastAsia="zh-CN"/>
              </w:rPr>
              <w:t>、</w:t>
            </w:r>
            <w:r>
              <w:rPr>
                <w:rFonts w:hint="eastAsia" w:ascii="仿宋" w:hAnsi="仿宋" w:eastAsia="仿宋" w:cs="仿宋"/>
                <w:sz w:val="24"/>
                <w:szCs w:val="24"/>
              </w:rPr>
              <w:t>E+H</w:t>
            </w:r>
          </w:p>
        </w:tc>
      </w:tr>
      <w:tr w14:paraId="3344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1E58428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p>
        </w:tc>
        <w:tc>
          <w:tcPr>
            <w:tcW w:w="1610" w:type="pct"/>
            <w:vAlign w:val="center"/>
          </w:tcPr>
          <w:p w14:paraId="3AFE2CBC">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静压式液位计</w:t>
            </w:r>
          </w:p>
        </w:tc>
        <w:tc>
          <w:tcPr>
            <w:tcW w:w="836" w:type="pct"/>
            <w:vAlign w:val="center"/>
          </w:tcPr>
          <w:p w14:paraId="4406F86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5A741B33">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凡宜</w:t>
            </w:r>
            <w:r>
              <w:rPr>
                <w:rFonts w:hint="eastAsia" w:ascii="仿宋" w:hAnsi="仿宋" w:eastAsia="仿宋" w:cs="仿宋"/>
                <w:sz w:val="24"/>
                <w:szCs w:val="24"/>
                <w:lang w:eastAsia="zh-CN"/>
              </w:rPr>
              <w:t>、</w:t>
            </w:r>
            <w:r>
              <w:rPr>
                <w:rFonts w:hint="eastAsia" w:ascii="仿宋" w:hAnsi="仿宋" w:eastAsia="仿宋" w:cs="仿宋"/>
                <w:sz w:val="24"/>
                <w:szCs w:val="24"/>
              </w:rPr>
              <w:t>E+H</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西门子</w:t>
            </w:r>
          </w:p>
        </w:tc>
      </w:tr>
      <w:tr w14:paraId="26B6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5E13E3EC">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p>
        </w:tc>
        <w:tc>
          <w:tcPr>
            <w:tcW w:w="1610" w:type="pct"/>
            <w:vAlign w:val="center"/>
          </w:tcPr>
          <w:p w14:paraId="3C1BC44E">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预脱脂、脱脂、磷化电泳板式换热器</w:t>
            </w:r>
          </w:p>
        </w:tc>
        <w:tc>
          <w:tcPr>
            <w:tcW w:w="836" w:type="pct"/>
            <w:vAlign w:val="center"/>
          </w:tcPr>
          <w:p w14:paraId="1046A993">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01E41997">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南京维克斯</w:t>
            </w:r>
            <w:r>
              <w:rPr>
                <w:rFonts w:hint="eastAsia" w:ascii="仿宋" w:hAnsi="仿宋" w:eastAsia="仿宋" w:cs="仿宋"/>
                <w:sz w:val="24"/>
                <w:szCs w:val="24"/>
                <w:lang w:eastAsia="zh-CN"/>
              </w:rPr>
              <w:t>、</w:t>
            </w:r>
            <w:r>
              <w:rPr>
                <w:rFonts w:hint="eastAsia" w:ascii="仿宋" w:hAnsi="仿宋" w:eastAsia="仿宋" w:cs="仿宋"/>
                <w:sz w:val="24"/>
                <w:szCs w:val="24"/>
              </w:rPr>
              <w:t>凯洛文</w:t>
            </w:r>
            <w:r>
              <w:rPr>
                <w:rFonts w:hint="eastAsia" w:ascii="仿宋" w:hAnsi="仿宋" w:eastAsia="仿宋" w:cs="仿宋"/>
                <w:sz w:val="24"/>
                <w:szCs w:val="24"/>
                <w:lang w:eastAsia="zh-CN"/>
              </w:rPr>
              <w:t>、</w:t>
            </w:r>
            <w:r>
              <w:rPr>
                <w:rFonts w:hint="eastAsia" w:ascii="仿宋" w:hAnsi="仿宋" w:eastAsia="仿宋" w:cs="仿宋"/>
                <w:sz w:val="24"/>
                <w:szCs w:val="24"/>
              </w:rPr>
              <w:t>无锡锡惠</w:t>
            </w:r>
          </w:p>
        </w:tc>
      </w:tr>
      <w:tr w14:paraId="229B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3C3EF2B9">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9</w:t>
            </w:r>
          </w:p>
        </w:tc>
        <w:tc>
          <w:tcPr>
            <w:tcW w:w="1610" w:type="pct"/>
            <w:vAlign w:val="center"/>
          </w:tcPr>
          <w:p w14:paraId="55F268F7">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风机</w:t>
            </w:r>
          </w:p>
        </w:tc>
        <w:tc>
          <w:tcPr>
            <w:tcW w:w="836" w:type="pct"/>
            <w:vAlign w:val="center"/>
          </w:tcPr>
          <w:p w14:paraId="4FB1A9B1">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6DC7BC9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上海通用</w:t>
            </w:r>
            <w:r>
              <w:rPr>
                <w:rFonts w:hint="eastAsia" w:ascii="仿宋" w:hAnsi="仿宋" w:eastAsia="仿宋" w:cs="仿宋"/>
                <w:sz w:val="24"/>
                <w:szCs w:val="24"/>
                <w:lang w:eastAsia="zh-CN"/>
              </w:rPr>
              <w:t>、</w:t>
            </w:r>
            <w:r>
              <w:rPr>
                <w:rFonts w:hint="eastAsia" w:ascii="仿宋" w:hAnsi="仿宋" w:eastAsia="仿宋" w:cs="仿宋"/>
                <w:sz w:val="24"/>
                <w:szCs w:val="24"/>
              </w:rPr>
              <w:t>上海德惠</w:t>
            </w:r>
          </w:p>
        </w:tc>
      </w:tr>
      <w:tr w14:paraId="00F8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32BAC29B">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10</w:t>
            </w:r>
          </w:p>
        </w:tc>
        <w:tc>
          <w:tcPr>
            <w:tcW w:w="1610" w:type="pct"/>
            <w:vAlign w:val="center"/>
          </w:tcPr>
          <w:p w14:paraId="41C87E30">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照明装置</w:t>
            </w:r>
          </w:p>
        </w:tc>
        <w:tc>
          <w:tcPr>
            <w:tcW w:w="836" w:type="pct"/>
            <w:vAlign w:val="center"/>
          </w:tcPr>
          <w:p w14:paraId="439DD50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19021C00">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飞利浦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雷士、欧司朗</w:t>
            </w:r>
          </w:p>
        </w:tc>
      </w:tr>
      <w:tr w14:paraId="324F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6A2E741F">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11</w:t>
            </w:r>
          </w:p>
        </w:tc>
        <w:tc>
          <w:tcPr>
            <w:tcW w:w="1610" w:type="pct"/>
            <w:vAlign w:val="center"/>
          </w:tcPr>
          <w:p w14:paraId="1329CB1E">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两位三通电动合流阀</w:t>
            </w:r>
          </w:p>
        </w:tc>
        <w:tc>
          <w:tcPr>
            <w:tcW w:w="836" w:type="pct"/>
            <w:vAlign w:val="center"/>
          </w:tcPr>
          <w:p w14:paraId="4561F48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2D1C50A8">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西门子</w:t>
            </w:r>
            <w:r>
              <w:rPr>
                <w:rFonts w:hint="eastAsia" w:ascii="仿宋" w:hAnsi="仿宋" w:eastAsia="仿宋" w:cs="仿宋"/>
                <w:sz w:val="24"/>
                <w:szCs w:val="24"/>
                <w:lang w:eastAsia="zh-CN"/>
              </w:rPr>
              <w:t>、</w:t>
            </w:r>
            <w:r>
              <w:rPr>
                <w:rFonts w:hint="eastAsia" w:ascii="仿宋" w:hAnsi="仿宋" w:eastAsia="仿宋" w:cs="仿宋"/>
                <w:sz w:val="24"/>
                <w:szCs w:val="24"/>
              </w:rPr>
              <w:t>RTK</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霍尼韦尔</w:t>
            </w:r>
          </w:p>
        </w:tc>
      </w:tr>
      <w:tr w14:paraId="3DEA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1FCB5393">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12</w:t>
            </w:r>
          </w:p>
        </w:tc>
        <w:tc>
          <w:tcPr>
            <w:tcW w:w="1610" w:type="pct"/>
            <w:tcBorders>
              <w:top w:val="single" w:color="auto" w:sz="4" w:space="0"/>
              <w:left w:val="single" w:color="auto" w:sz="4" w:space="0"/>
              <w:bottom w:val="single" w:color="auto" w:sz="4" w:space="0"/>
              <w:right w:val="single" w:color="auto" w:sz="4" w:space="0"/>
            </w:tcBorders>
            <w:vAlign w:val="center"/>
          </w:tcPr>
          <w:p w14:paraId="5651E4F3">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袋式过滤器</w:t>
            </w:r>
          </w:p>
        </w:tc>
        <w:tc>
          <w:tcPr>
            <w:tcW w:w="836" w:type="pct"/>
            <w:tcBorders>
              <w:top w:val="single" w:color="auto" w:sz="4" w:space="0"/>
              <w:left w:val="single" w:color="auto" w:sz="4" w:space="0"/>
              <w:bottom w:val="single" w:color="auto" w:sz="4" w:space="0"/>
              <w:right w:val="single" w:color="auto" w:sz="4" w:space="0"/>
            </w:tcBorders>
            <w:vAlign w:val="center"/>
          </w:tcPr>
          <w:p w14:paraId="1EC9211C">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2507F90E">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飞潮</w:t>
            </w:r>
            <w:r>
              <w:rPr>
                <w:rFonts w:hint="eastAsia" w:ascii="仿宋" w:hAnsi="仿宋" w:eastAsia="仿宋" w:cs="仿宋"/>
                <w:sz w:val="24"/>
                <w:szCs w:val="24"/>
                <w:lang w:eastAsia="zh-CN"/>
              </w:rPr>
              <w:t>、</w:t>
            </w:r>
            <w:r>
              <w:rPr>
                <w:rFonts w:hint="eastAsia" w:ascii="仿宋" w:hAnsi="仿宋" w:eastAsia="仿宋" w:cs="仿宋"/>
                <w:sz w:val="24"/>
                <w:szCs w:val="24"/>
              </w:rPr>
              <w:t>苏州辉龙</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3M</w:t>
            </w:r>
          </w:p>
        </w:tc>
      </w:tr>
      <w:tr w14:paraId="7B39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5F71BC84">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13</w:t>
            </w:r>
          </w:p>
        </w:tc>
        <w:tc>
          <w:tcPr>
            <w:tcW w:w="1610" w:type="pct"/>
            <w:tcBorders>
              <w:top w:val="single" w:color="auto" w:sz="4" w:space="0"/>
              <w:left w:val="single" w:color="auto" w:sz="4" w:space="0"/>
              <w:bottom w:val="single" w:color="auto" w:sz="4" w:space="0"/>
              <w:right w:val="single" w:color="auto" w:sz="4" w:space="0"/>
            </w:tcBorders>
            <w:vAlign w:val="center"/>
          </w:tcPr>
          <w:p w14:paraId="295A0579">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计量泵</w:t>
            </w:r>
          </w:p>
        </w:tc>
        <w:tc>
          <w:tcPr>
            <w:tcW w:w="836" w:type="pct"/>
            <w:tcBorders>
              <w:top w:val="single" w:color="auto" w:sz="4" w:space="0"/>
              <w:left w:val="single" w:color="auto" w:sz="4" w:space="0"/>
              <w:bottom w:val="single" w:color="auto" w:sz="4" w:space="0"/>
              <w:right w:val="single" w:color="auto" w:sz="4" w:space="0"/>
            </w:tcBorders>
            <w:vAlign w:val="center"/>
          </w:tcPr>
          <w:p w14:paraId="7D90AD8C">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325ED5B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米顿罗</w:t>
            </w:r>
            <w:r>
              <w:rPr>
                <w:rFonts w:hint="eastAsia" w:ascii="仿宋" w:hAnsi="仿宋" w:eastAsia="仿宋" w:cs="仿宋"/>
                <w:sz w:val="24"/>
                <w:szCs w:val="24"/>
                <w:lang w:eastAsia="zh-CN"/>
              </w:rPr>
              <w:t>、</w:t>
            </w:r>
            <w:r>
              <w:rPr>
                <w:rFonts w:hint="eastAsia" w:ascii="仿宋" w:hAnsi="仿宋" w:eastAsia="仿宋" w:cs="仿宋"/>
                <w:sz w:val="24"/>
                <w:szCs w:val="24"/>
              </w:rPr>
              <w:t>普罗铭特</w:t>
            </w:r>
            <w:r>
              <w:rPr>
                <w:rFonts w:hint="eastAsia" w:ascii="仿宋" w:hAnsi="仿宋" w:eastAsia="仿宋" w:cs="仿宋"/>
                <w:sz w:val="24"/>
                <w:szCs w:val="24"/>
                <w:lang w:eastAsia="zh-CN"/>
              </w:rPr>
              <w:t>、</w:t>
            </w:r>
            <w:r>
              <w:rPr>
                <w:rFonts w:hint="eastAsia" w:ascii="仿宋" w:hAnsi="仿宋" w:eastAsia="仿宋" w:cs="仿宋"/>
                <w:sz w:val="24"/>
                <w:szCs w:val="24"/>
              </w:rPr>
              <w:t>帕斯菲达</w:t>
            </w:r>
          </w:p>
        </w:tc>
      </w:tr>
      <w:tr w14:paraId="6BE1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66D8D6E6">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14</w:t>
            </w:r>
          </w:p>
        </w:tc>
        <w:tc>
          <w:tcPr>
            <w:tcW w:w="1610" w:type="pct"/>
            <w:tcBorders>
              <w:top w:val="single" w:color="auto" w:sz="4" w:space="0"/>
              <w:left w:val="single" w:color="auto" w:sz="4" w:space="0"/>
              <w:bottom w:val="single" w:color="auto" w:sz="4" w:space="0"/>
              <w:right w:val="single" w:color="auto" w:sz="4" w:space="0"/>
            </w:tcBorders>
          </w:tcPr>
          <w:p w14:paraId="27B92E44">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旋液分离器</w:t>
            </w:r>
          </w:p>
        </w:tc>
        <w:tc>
          <w:tcPr>
            <w:tcW w:w="836" w:type="pct"/>
            <w:tcBorders>
              <w:top w:val="single" w:color="auto" w:sz="4" w:space="0"/>
              <w:left w:val="single" w:color="auto" w:sz="4" w:space="0"/>
              <w:bottom w:val="single" w:color="auto" w:sz="4" w:space="0"/>
              <w:right w:val="single" w:color="auto" w:sz="4" w:space="0"/>
            </w:tcBorders>
          </w:tcPr>
          <w:p w14:paraId="0630B21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152C9F21">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WOLF</w:t>
            </w:r>
            <w:r>
              <w:rPr>
                <w:rFonts w:hint="eastAsia" w:ascii="仿宋" w:hAnsi="仿宋" w:eastAsia="仿宋" w:cs="仿宋"/>
                <w:sz w:val="24"/>
                <w:szCs w:val="24"/>
                <w:lang w:eastAsia="zh-CN"/>
              </w:rPr>
              <w:t>、</w:t>
            </w:r>
            <w:r>
              <w:rPr>
                <w:rFonts w:hint="eastAsia" w:ascii="仿宋" w:hAnsi="仿宋" w:eastAsia="仿宋" w:cs="仿宋"/>
                <w:sz w:val="24"/>
                <w:szCs w:val="24"/>
              </w:rPr>
              <w:t>LAKOS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阿科</w:t>
            </w:r>
          </w:p>
        </w:tc>
      </w:tr>
      <w:tr w14:paraId="0BB4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63169C19">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15</w:t>
            </w:r>
          </w:p>
        </w:tc>
        <w:tc>
          <w:tcPr>
            <w:tcW w:w="1610" w:type="pct"/>
            <w:tcBorders>
              <w:top w:val="single" w:color="auto" w:sz="4" w:space="0"/>
              <w:left w:val="single" w:color="auto" w:sz="4" w:space="0"/>
              <w:bottom w:val="single" w:color="auto" w:sz="4" w:space="0"/>
              <w:right w:val="single" w:color="auto" w:sz="4" w:space="0"/>
            </w:tcBorders>
            <w:vAlign w:val="center"/>
          </w:tcPr>
          <w:p w14:paraId="756F6596">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积放链输送系统</w:t>
            </w:r>
          </w:p>
        </w:tc>
        <w:tc>
          <w:tcPr>
            <w:tcW w:w="836" w:type="pct"/>
            <w:tcBorders>
              <w:top w:val="single" w:color="auto" w:sz="4" w:space="0"/>
              <w:left w:val="single" w:color="auto" w:sz="4" w:space="0"/>
              <w:bottom w:val="single" w:color="auto" w:sz="4" w:space="0"/>
              <w:right w:val="single" w:color="auto" w:sz="4" w:space="0"/>
            </w:tcBorders>
            <w:vAlign w:val="center"/>
          </w:tcPr>
          <w:p w14:paraId="4D992B0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p>
        </w:tc>
        <w:tc>
          <w:tcPr>
            <w:tcW w:w="2037" w:type="pct"/>
            <w:tcBorders>
              <w:top w:val="single" w:color="auto" w:sz="4" w:space="0"/>
              <w:left w:val="single" w:color="auto" w:sz="4" w:space="0"/>
              <w:bottom w:val="single" w:color="auto" w:sz="4" w:space="0"/>
              <w:right w:val="single" w:color="auto" w:sz="4" w:space="0"/>
            </w:tcBorders>
            <w:vAlign w:val="center"/>
          </w:tcPr>
          <w:p w14:paraId="31B512F6">
            <w:pPr>
              <w:keepNext w:val="0"/>
              <w:keepLines w:val="0"/>
              <w:suppressLineNumbers w:val="0"/>
              <w:snapToGrid w:val="0"/>
              <w:spacing w:before="0" w:beforeAutospacing="0" w:after="0" w:afterAutospacing="0"/>
              <w:ind w:left="0" w:right="0"/>
              <w:jc w:val="both"/>
              <w:rPr>
                <w:rFonts w:hint="eastAsia" w:ascii="仿宋" w:hAnsi="仿宋" w:eastAsia="仿宋" w:cs="仿宋"/>
                <w:sz w:val="24"/>
                <w:szCs w:val="24"/>
                <w:lang w:eastAsia="zh-CN"/>
              </w:rPr>
            </w:pPr>
            <w:r>
              <w:rPr>
                <w:rFonts w:hint="eastAsia" w:ascii="仿宋" w:hAnsi="仿宋" w:eastAsia="仿宋" w:cs="仿宋"/>
                <w:sz w:val="24"/>
                <w:szCs w:val="24"/>
              </w:rPr>
              <w:t>电机减速机SEW</w:t>
            </w:r>
            <w:r>
              <w:rPr>
                <w:rFonts w:hint="eastAsia" w:ascii="仿宋" w:hAnsi="仿宋" w:eastAsia="仿宋" w:cs="仿宋"/>
                <w:sz w:val="24"/>
                <w:szCs w:val="24"/>
                <w:lang w:eastAsia="zh-CN"/>
              </w:rPr>
              <w:t>、</w:t>
            </w:r>
            <w:r>
              <w:rPr>
                <w:rFonts w:hint="eastAsia" w:ascii="仿宋" w:hAnsi="仿宋" w:eastAsia="仿宋" w:cs="仿宋"/>
                <w:sz w:val="24"/>
                <w:szCs w:val="24"/>
              </w:rPr>
              <w:t>诺德、弗兰德</w:t>
            </w:r>
          </w:p>
        </w:tc>
      </w:tr>
      <w:tr w14:paraId="4B0B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524888D6">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6</w:t>
            </w:r>
          </w:p>
        </w:tc>
        <w:tc>
          <w:tcPr>
            <w:tcW w:w="1610" w:type="pct"/>
            <w:tcBorders>
              <w:top w:val="single" w:color="auto" w:sz="4" w:space="0"/>
              <w:left w:val="single" w:color="auto" w:sz="4" w:space="0"/>
              <w:bottom w:val="single" w:color="auto" w:sz="4" w:space="0"/>
              <w:right w:val="single" w:color="auto" w:sz="4" w:space="0"/>
            </w:tcBorders>
            <w:vAlign w:val="center"/>
          </w:tcPr>
          <w:p w14:paraId="43B64F9C">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烘干燃烧机(低氮80mg/m3)</w:t>
            </w:r>
          </w:p>
        </w:tc>
        <w:tc>
          <w:tcPr>
            <w:tcW w:w="836" w:type="pct"/>
            <w:tcBorders>
              <w:top w:val="single" w:color="auto" w:sz="4" w:space="0"/>
              <w:left w:val="single" w:color="auto" w:sz="4" w:space="0"/>
              <w:bottom w:val="single" w:color="auto" w:sz="4" w:space="0"/>
              <w:right w:val="single" w:color="auto" w:sz="4" w:space="0"/>
            </w:tcBorders>
            <w:vAlign w:val="center"/>
          </w:tcPr>
          <w:p w14:paraId="4418F3A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left w:val="single" w:color="auto" w:sz="4" w:space="0"/>
              <w:bottom w:val="single" w:color="auto" w:sz="4" w:space="0"/>
              <w:right w:val="single" w:color="auto" w:sz="4" w:space="0"/>
            </w:tcBorders>
            <w:vAlign w:val="center"/>
          </w:tcPr>
          <w:p w14:paraId="0C4841A9">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利雅路</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霍尼韦尔、天时</w:t>
            </w:r>
          </w:p>
        </w:tc>
      </w:tr>
      <w:tr w14:paraId="68CC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515" w:type="pct"/>
            <w:tcBorders>
              <w:top w:val="single" w:color="auto" w:sz="4" w:space="0"/>
              <w:left w:val="single" w:color="auto" w:sz="4" w:space="0"/>
              <w:bottom w:val="single" w:color="auto" w:sz="4" w:space="0"/>
              <w:right w:val="single" w:color="auto" w:sz="4" w:space="0"/>
            </w:tcBorders>
            <w:vAlign w:val="center"/>
          </w:tcPr>
          <w:p w14:paraId="19A2E7CA">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610" w:type="pct"/>
            <w:tcBorders>
              <w:top w:val="single" w:color="auto" w:sz="4" w:space="0"/>
              <w:left w:val="single" w:color="auto" w:sz="4" w:space="0"/>
              <w:bottom w:val="single" w:color="auto" w:sz="4" w:space="0"/>
              <w:right w:val="single" w:color="auto" w:sz="4" w:space="0"/>
            </w:tcBorders>
            <w:vAlign w:val="center"/>
          </w:tcPr>
          <w:p w14:paraId="19A2E7E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粉房</w:t>
            </w:r>
          </w:p>
        </w:tc>
        <w:tc>
          <w:tcPr>
            <w:tcW w:w="836" w:type="pct"/>
            <w:tcBorders>
              <w:top w:val="single" w:color="auto" w:sz="4" w:space="0"/>
              <w:left w:val="single" w:color="auto" w:sz="4" w:space="0"/>
              <w:bottom w:val="single" w:color="auto" w:sz="4" w:space="0"/>
              <w:right w:val="single" w:color="auto" w:sz="4" w:space="0"/>
            </w:tcBorders>
            <w:vAlign w:val="center"/>
          </w:tcPr>
          <w:p w14:paraId="19A7799D">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48F136B4">
            <w:pPr>
              <w:keepNext w:val="0"/>
              <w:keepLines w:val="0"/>
              <w:suppressLineNumbers w:val="0"/>
              <w:snapToGrid w:val="0"/>
              <w:spacing w:before="0" w:beforeAutospacing="0" w:after="0" w:afterAutospacing="0"/>
              <w:ind w:left="0" w:right="0"/>
              <w:jc w:val="both"/>
              <w:rPr>
                <w:rFonts w:hint="default" w:ascii="仿宋" w:hAnsi="仿宋" w:eastAsia="仿宋" w:cs="仿宋"/>
                <w:sz w:val="24"/>
                <w:szCs w:val="24"/>
                <w:lang w:val="en-US" w:eastAsia="zh-CN"/>
              </w:rPr>
            </w:pPr>
            <w:r>
              <w:rPr>
                <w:rFonts w:hint="eastAsia" w:ascii="仿宋" w:hAnsi="仿宋" w:eastAsia="仿宋" w:cs="仿宋"/>
                <w:sz w:val="24"/>
                <w:szCs w:val="24"/>
              </w:rPr>
              <w:t>瓦格纳、金马</w:t>
            </w:r>
            <w:r>
              <w:rPr>
                <w:rFonts w:hint="eastAsia" w:ascii="仿宋" w:hAnsi="仿宋" w:eastAsia="仿宋" w:cs="仿宋"/>
                <w:sz w:val="24"/>
                <w:szCs w:val="24"/>
                <w:lang w:eastAsia="zh-CN"/>
              </w:rPr>
              <w:t>、泽享、</w:t>
            </w:r>
            <w:r>
              <w:rPr>
                <w:rFonts w:hint="eastAsia" w:ascii="仿宋" w:hAnsi="仿宋" w:eastAsia="仿宋" w:cs="仿宋"/>
                <w:sz w:val="24"/>
                <w:szCs w:val="24"/>
                <w:lang w:val="en-US" w:eastAsia="zh-CN"/>
              </w:rPr>
              <w:t>君和</w:t>
            </w:r>
          </w:p>
        </w:tc>
      </w:tr>
      <w:tr w14:paraId="713D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37CFD13A">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1610" w:type="pct"/>
            <w:tcBorders>
              <w:top w:val="single" w:color="auto" w:sz="4" w:space="0"/>
              <w:left w:val="single" w:color="auto" w:sz="4" w:space="0"/>
              <w:bottom w:val="single" w:color="auto" w:sz="4" w:space="0"/>
              <w:right w:val="single" w:color="auto" w:sz="4" w:space="0"/>
            </w:tcBorders>
            <w:vAlign w:val="center"/>
          </w:tcPr>
          <w:p w14:paraId="5E56280F">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粉枪</w:t>
            </w:r>
          </w:p>
        </w:tc>
        <w:tc>
          <w:tcPr>
            <w:tcW w:w="836" w:type="pct"/>
            <w:tcBorders>
              <w:top w:val="single" w:color="auto" w:sz="4" w:space="0"/>
              <w:left w:val="single" w:color="auto" w:sz="4" w:space="0"/>
              <w:bottom w:val="single" w:color="auto" w:sz="4" w:space="0"/>
              <w:right w:val="single" w:color="auto" w:sz="4" w:space="0"/>
            </w:tcBorders>
            <w:vAlign w:val="center"/>
          </w:tcPr>
          <w:p w14:paraId="71CC90C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3C3BE6DB">
            <w:pPr>
              <w:keepNext w:val="0"/>
              <w:keepLines w:val="0"/>
              <w:suppressLineNumbers w:val="0"/>
              <w:snapToGrid w:val="0"/>
              <w:spacing w:before="0" w:beforeAutospacing="0" w:after="0" w:afterAutospacing="0"/>
              <w:ind w:left="0" w:right="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瓦格纳、金马</w:t>
            </w:r>
          </w:p>
        </w:tc>
      </w:tr>
      <w:tr w14:paraId="7CD2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076B473D">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1610" w:type="pct"/>
            <w:tcBorders>
              <w:top w:val="single" w:color="auto" w:sz="4" w:space="0"/>
              <w:left w:val="single" w:color="auto" w:sz="4" w:space="0"/>
              <w:bottom w:val="single" w:color="auto" w:sz="4" w:space="0"/>
              <w:right w:val="single" w:color="auto" w:sz="4" w:space="0"/>
            </w:tcBorders>
          </w:tcPr>
          <w:p w14:paraId="399894A0">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内置式可调风嘴</w:t>
            </w:r>
          </w:p>
        </w:tc>
        <w:tc>
          <w:tcPr>
            <w:tcW w:w="836" w:type="pct"/>
            <w:tcBorders>
              <w:top w:val="single" w:color="auto" w:sz="4" w:space="0"/>
              <w:left w:val="single" w:color="auto" w:sz="4" w:space="0"/>
              <w:bottom w:val="single" w:color="auto" w:sz="4" w:space="0"/>
              <w:right w:val="single" w:color="auto" w:sz="4" w:space="0"/>
            </w:tcBorders>
            <w:vAlign w:val="center"/>
          </w:tcPr>
          <w:p w14:paraId="2D8A9112">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37EC3C4D">
            <w:pPr>
              <w:keepNext w:val="0"/>
              <w:keepLines w:val="0"/>
              <w:suppressLineNumbers w:val="0"/>
              <w:snapToGrid w:val="0"/>
              <w:spacing w:before="0" w:beforeAutospacing="0" w:after="0" w:afterAutospacing="0"/>
              <w:ind w:left="0" w:right="0"/>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无锡东晖、斯普瑞、杰斯特</w:t>
            </w:r>
          </w:p>
        </w:tc>
      </w:tr>
    </w:tbl>
    <w:p w14:paraId="71C66C7D">
      <w:pPr>
        <w:snapToGrid w:val="0"/>
        <w:spacing w:line="300" w:lineRule="auto"/>
        <w:rPr>
          <w:rFonts w:hint="eastAsia" w:ascii="仿宋" w:hAnsi="仿宋" w:eastAsia="仿宋" w:cs="仿宋"/>
          <w:sz w:val="24"/>
          <w:szCs w:val="24"/>
        </w:rPr>
      </w:pPr>
      <w:r>
        <w:rPr>
          <w:rFonts w:hint="eastAsia" w:ascii="仿宋" w:hAnsi="仿宋" w:eastAsia="仿宋" w:cs="仿宋"/>
          <w:sz w:val="24"/>
          <w:szCs w:val="24"/>
        </w:rPr>
        <w:t>主要电气元件品牌:</w:t>
      </w:r>
    </w:p>
    <w:tbl>
      <w:tblPr>
        <w:tblStyle w:val="40"/>
        <w:tblW w:w="46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506"/>
        <w:gridCol w:w="1996"/>
        <w:gridCol w:w="3456"/>
      </w:tblGrid>
      <w:tr w14:paraId="1BCC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vAlign w:val="center"/>
          </w:tcPr>
          <w:p w14:paraId="643CE81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0" w:type="auto"/>
            <w:vAlign w:val="center"/>
          </w:tcPr>
          <w:p w14:paraId="0FA10E7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PLC</w:t>
            </w:r>
          </w:p>
        </w:tc>
        <w:tc>
          <w:tcPr>
            <w:tcW w:w="0" w:type="auto"/>
            <w:vAlign w:val="center"/>
          </w:tcPr>
          <w:p w14:paraId="30B540C7">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p>
        </w:tc>
        <w:tc>
          <w:tcPr>
            <w:tcW w:w="0" w:type="auto"/>
            <w:vAlign w:val="center"/>
          </w:tcPr>
          <w:p w14:paraId="3482DFB2">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SIEMENS、三菱、汇川</w:t>
            </w:r>
          </w:p>
        </w:tc>
      </w:tr>
      <w:tr w14:paraId="22AD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EAA63B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39C0669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分布式I/O站</w:t>
            </w:r>
          </w:p>
        </w:tc>
        <w:tc>
          <w:tcPr>
            <w:tcW w:w="0" w:type="auto"/>
            <w:vAlign w:val="center"/>
          </w:tcPr>
          <w:p w14:paraId="252D1D34">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4EC62603">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2323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661E8F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3</w:t>
            </w:r>
          </w:p>
        </w:tc>
        <w:tc>
          <w:tcPr>
            <w:tcW w:w="0" w:type="auto"/>
            <w:vAlign w:val="center"/>
          </w:tcPr>
          <w:p w14:paraId="5532F35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光电开关</w:t>
            </w:r>
          </w:p>
        </w:tc>
        <w:tc>
          <w:tcPr>
            <w:tcW w:w="0" w:type="auto"/>
            <w:vAlign w:val="center"/>
          </w:tcPr>
          <w:p w14:paraId="1EAF3A5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435EB3C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258C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15800FA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4</w:t>
            </w:r>
          </w:p>
        </w:tc>
        <w:tc>
          <w:tcPr>
            <w:tcW w:w="0" w:type="auto"/>
            <w:vAlign w:val="center"/>
          </w:tcPr>
          <w:p w14:paraId="6CE5D9DA">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接近开关</w:t>
            </w:r>
          </w:p>
        </w:tc>
        <w:tc>
          <w:tcPr>
            <w:tcW w:w="0" w:type="auto"/>
            <w:vAlign w:val="center"/>
          </w:tcPr>
          <w:p w14:paraId="48E36C04">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57B3BDFA">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4CA9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831A05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5</w:t>
            </w:r>
          </w:p>
        </w:tc>
        <w:tc>
          <w:tcPr>
            <w:tcW w:w="0" w:type="auto"/>
            <w:vAlign w:val="center"/>
          </w:tcPr>
          <w:p w14:paraId="72E0A7C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指示灯</w:t>
            </w:r>
          </w:p>
        </w:tc>
        <w:tc>
          <w:tcPr>
            <w:tcW w:w="0" w:type="auto"/>
            <w:vAlign w:val="center"/>
          </w:tcPr>
          <w:p w14:paraId="2F927C41">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21B58B2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205F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D8C826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6</w:t>
            </w:r>
          </w:p>
        </w:tc>
        <w:tc>
          <w:tcPr>
            <w:tcW w:w="0" w:type="auto"/>
            <w:vAlign w:val="center"/>
          </w:tcPr>
          <w:p w14:paraId="62728B2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按钮、旋钮</w:t>
            </w:r>
          </w:p>
        </w:tc>
        <w:tc>
          <w:tcPr>
            <w:tcW w:w="0" w:type="auto"/>
            <w:vAlign w:val="center"/>
          </w:tcPr>
          <w:p w14:paraId="5F51D8D8">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61F8C9B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442B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97086D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7</w:t>
            </w:r>
          </w:p>
        </w:tc>
        <w:tc>
          <w:tcPr>
            <w:tcW w:w="0" w:type="auto"/>
            <w:vAlign w:val="center"/>
          </w:tcPr>
          <w:p w14:paraId="6CF199E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组合指示灯</w:t>
            </w:r>
          </w:p>
        </w:tc>
        <w:tc>
          <w:tcPr>
            <w:tcW w:w="0" w:type="auto"/>
            <w:vAlign w:val="center"/>
          </w:tcPr>
          <w:p w14:paraId="0BA93A5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（塔式，含报警）</w:t>
            </w:r>
          </w:p>
        </w:tc>
        <w:tc>
          <w:tcPr>
            <w:tcW w:w="3456" w:type="dxa"/>
            <w:vAlign w:val="center"/>
          </w:tcPr>
          <w:p w14:paraId="7630AB5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7038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793BC1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8</w:t>
            </w:r>
          </w:p>
        </w:tc>
        <w:tc>
          <w:tcPr>
            <w:tcW w:w="0" w:type="auto"/>
            <w:vAlign w:val="center"/>
          </w:tcPr>
          <w:p w14:paraId="09A282E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电控柜（喷塑）</w:t>
            </w:r>
          </w:p>
        </w:tc>
        <w:tc>
          <w:tcPr>
            <w:tcW w:w="0" w:type="auto"/>
            <w:vAlign w:val="center"/>
          </w:tcPr>
          <w:p w14:paraId="3A84067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75F918C9">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国产优质</w:t>
            </w:r>
          </w:p>
        </w:tc>
      </w:tr>
      <w:tr w14:paraId="50A0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D1614F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9</w:t>
            </w:r>
          </w:p>
        </w:tc>
        <w:tc>
          <w:tcPr>
            <w:tcW w:w="0" w:type="auto"/>
            <w:vAlign w:val="center"/>
          </w:tcPr>
          <w:p w14:paraId="632E2E8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现场操作站</w:t>
            </w:r>
          </w:p>
        </w:tc>
        <w:tc>
          <w:tcPr>
            <w:tcW w:w="0" w:type="auto"/>
            <w:vAlign w:val="center"/>
          </w:tcPr>
          <w:p w14:paraId="7DBAD33E">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0346DD3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好夫满/贝拓/东安</w:t>
            </w:r>
          </w:p>
        </w:tc>
      </w:tr>
      <w:tr w14:paraId="7CF8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18A592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11</w:t>
            </w:r>
          </w:p>
        </w:tc>
        <w:tc>
          <w:tcPr>
            <w:tcW w:w="0" w:type="auto"/>
            <w:vAlign w:val="center"/>
          </w:tcPr>
          <w:p w14:paraId="738BAF2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100A及以上低压断路器</w:t>
            </w:r>
          </w:p>
        </w:tc>
        <w:tc>
          <w:tcPr>
            <w:tcW w:w="0" w:type="auto"/>
            <w:vAlign w:val="center"/>
          </w:tcPr>
          <w:p w14:paraId="50CB0731">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17DFBA3F">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施耐德/常熟开关/正泰</w:t>
            </w:r>
          </w:p>
        </w:tc>
      </w:tr>
      <w:tr w14:paraId="0A20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C53812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12</w:t>
            </w:r>
          </w:p>
        </w:tc>
        <w:tc>
          <w:tcPr>
            <w:tcW w:w="0" w:type="auto"/>
            <w:vAlign w:val="center"/>
          </w:tcPr>
          <w:p w14:paraId="5A8E046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电机保护用低压断路器</w:t>
            </w:r>
          </w:p>
        </w:tc>
        <w:tc>
          <w:tcPr>
            <w:tcW w:w="0" w:type="auto"/>
            <w:vAlign w:val="center"/>
          </w:tcPr>
          <w:p w14:paraId="154B40BB">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02FEF59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0DAE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1878CCE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13</w:t>
            </w:r>
          </w:p>
        </w:tc>
        <w:tc>
          <w:tcPr>
            <w:tcW w:w="0" w:type="auto"/>
            <w:vAlign w:val="center"/>
          </w:tcPr>
          <w:p w14:paraId="6D593F4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配电用低压断路器</w:t>
            </w:r>
          </w:p>
        </w:tc>
        <w:tc>
          <w:tcPr>
            <w:tcW w:w="0" w:type="auto"/>
            <w:vAlign w:val="center"/>
          </w:tcPr>
          <w:p w14:paraId="13DE60E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55392E3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53F4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2CD814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14</w:t>
            </w:r>
          </w:p>
        </w:tc>
        <w:tc>
          <w:tcPr>
            <w:tcW w:w="0" w:type="auto"/>
            <w:vAlign w:val="center"/>
          </w:tcPr>
          <w:p w14:paraId="50E526B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交流接触器</w:t>
            </w:r>
          </w:p>
        </w:tc>
        <w:tc>
          <w:tcPr>
            <w:tcW w:w="0" w:type="auto"/>
            <w:vAlign w:val="center"/>
          </w:tcPr>
          <w:p w14:paraId="020AC44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7219699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089B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D7C2FA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15</w:t>
            </w:r>
          </w:p>
        </w:tc>
        <w:tc>
          <w:tcPr>
            <w:tcW w:w="0" w:type="auto"/>
            <w:vAlign w:val="center"/>
          </w:tcPr>
          <w:p w14:paraId="003CDDD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变频器（输送外）</w:t>
            </w:r>
          </w:p>
        </w:tc>
        <w:tc>
          <w:tcPr>
            <w:tcW w:w="0" w:type="auto"/>
            <w:vAlign w:val="center"/>
          </w:tcPr>
          <w:p w14:paraId="3A17D946">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3FF72D8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汇川</w:t>
            </w:r>
            <w:r>
              <w:rPr>
                <w:rFonts w:hint="eastAsia" w:ascii="仿宋" w:hAnsi="仿宋" w:eastAsia="仿宋" w:cs="仿宋"/>
                <w:sz w:val="24"/>
                <w:szCs w:val="24"/>
                <w:lang w:eastAsia="zh-CN"/>
              </w:rPr>
              <w:t>、</w:t>
            </w: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三菱</w:t>
            </w:r>
          </w:p>
        </w:tc>
      </w:tr>
      <w:tr w14:paraId="33DA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3FE52F5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16</w:t>
            </w:r>
          </w:p>
        </w:tc>
        <w:tc>
          <w:tcPr>
            <w:tcW w:w="0" w:type="auto"/>
            <w:vAlign w:val="center"/>
          </w:tcPr>
          <w:p w14:paraId="5656BF6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变频器（输送）</w:t>
            </w:r>
          </w:p>
        </w:tc>
        <w:tc>
          <w:tcPr>
            <w:tcW w:w="0" w:type="auto"/>
            <w:vAlign w:val="center"/>
          </w:tcPr>
          <w:p w14:paraId="58F9AA3C">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7D04952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汇川</w:t>
            </w:r>
            <w:r>
              <w:rPr>
                <w:rFonts w:hint="eastAsia" w:ascii="仿宋" w:hAnsi="仿宋" w:eastAsia="仿宋" w:cs="仿宋"/>
                <w:sz w:val="24"/>
                <w:szCs w:val="24"/>
                <w:lang w:eastAsia="zh-CN"/>
              </w:rPr>
              <w:t>、</w:t>
            </w: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三菱</w:t>
            </w:r>
          </w:p>
        </w:tc>
      </w:tr>
      <w:tr w14:paraId="082E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AFAB39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17</w:t>
            </w:r>
          </w:p>
        </w:tc>
        <w:tc>
          <w:tcPr>
            <w:tcW w:w="0" w:type="auto"/>
            <w:vAlign w:val="center"/>
          </w:tcPr>
          <w:p w14:paraId="5EC7875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中间继电器</w:t>
            </w:r>
          </w:p>
        </w:tc>
        <w:tc>
          <w:tcPr>
            <w:tcW w:w="0" w:type="auto"/>
            <w:vAlign w:val="center"/>
          </w:tcPr>
          <w:p w14:paraId="27A0AB6A">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59DCD6E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5657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C5A133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18</w:t>
            </w:r>
          </w:p>
        </w:tc>
        <w:tc>
          <w:tcPr>
            <w:tcW w:w="0" w:type="auto"/>
            <w:vAlign w:val="center"/>
          </w:tcPr>
          <w:p w14:paraId="569F906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HMI</w:t>
            </w:r>
          </w:p>
        </w:tc>
        <w:tc>
          <w:tcPr>
            <w:tcW w:w="0" w:type="auto"/>
            <w:vAlign w:val="center"/>
          </w:tcPr>
          <w:p w14:paraId="42728EAA">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3FD7D6CA">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三菱、汇川</w:t>
            </w:r>
          </w:p>
        </w:tc>
      </w:tr>
      <w:tr w14:paraId="70D9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4EE187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19</w:t>
            </w:r>
          </w:p>
        </w:tc>
        <w:tc>
          <w:tcPr>
            <w:tcW w:w="0" w:type="auto"/>
            <w:vAlign w:val="center"/>
          </w:tcPr>
          <w:p w14:paraId="3D2CB0B2">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开关电源</w:t>
            </w:r>
          </w:p>
        </w:tc>
        <w:tc>
          <w:tcPr>
            <w:tcW w:w="0" w:type="auto"/>
            <w:vAlign w:val="center"/>
          </w:tcPr>
          <w:p w14:paraId="768369F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2A85FA22">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phoenix/MURR/明纬</w:t>
            </w:r>
          </w:p>
        </w:tc>
      </w:tr>
      <w:tr w14:paraId="53D6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CE0E22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20</w:t>
            </w:r>
          </w:p>
        </w:tc>
        <w:tc>
          <w:tcPr>
            <w:tcW w:w="0" w:type="auto"/>
            <w:vAlign w:val="center"/>
          </w:tcPr>
          <w:p w14:paraId="0A4FE07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接线端子</w:t>
            </w:r>
          </w:p>
        </w:tc>
        <w:tc>
          <w:tcPr>
            <w:tcW w:w="0" w:type="auto"/>
            <w:vAlign w:val="center"/>
          </w:tcPr>
          <w:p w14:paraId="3561D113">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049E9C1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Phoenix/魏德米勒</w:t>
            </w:r>
          </w:p>
        </w:tc>
      </w:tr>
      <w:tr w14:paraId="41F0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F59300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23</w:t>
            </w:r>
          </w:p>
        </w:tc>
        <w:tc>
          <w:tcPr>
            <w:tcW w:w="0" w:type="auto"/>
            <w:vAlign w:val="center"/>
          </w:tcPr>
          <w:p w14:paraId="4B94F5C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总线电缆（PN）</w:t>
            </w:r>
          </w:p>
        </w:tc>
        <w:tc>
          <w:tcPr>
            <w:tcW w:w="0" w:type="auto"/>
            <w:vAlign w:val="center"/>
          </w:tcPr>
          <w:p w14:paraId="2CA4CC5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4940470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SIEMENS/igus</w:t>
            </w:r>
          </w:p>
        </w:tc>
      </w:tr>
      <w:tr w14:paraId="0748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9664CF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24</w:t>
            </w:r>
          </w:p>
        </w:tc>
        <w:tc>
          <w:tcPr>
            <w:tcW w:w="0" w:type="auto"/>
            <w:vAlign w:val="center"/>
          </w:tcPr>
          <w:p w14:paraId="74A37A7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柔性总线电缆（PN）</w:t>
            </w:r>
          </w:p>
        </w:tc>
        <w:tc>
          <w:tcPr>
            <w:tcW w:w="0" w:type="auto"/>
            <w:vAlign w:val="center"/>
          </w:tcPr>
          <w:p w14:paraId="3E9E262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542AC15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SIEMENS/igus</w:t>
            </w:r>
          </w:p>
        </w:tc>
      </w:tr>
      <w:tr w14:paraId="43B3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70B391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25</w:t>
            </w:r>
          </w:p>
        </w:tc>
        <w:tc>
          <w:tcPr>
            <w:tcW w:w="0" w:type="auto"/>
            <w:vAlign w:val="center"/>
          </w:tcPr>
          <w:p w14:paraId="049A7C7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柔性动力电缆</w:t>
            </w:r>
          </w:p>
        </w:tc>
        <w:tc>
          <w:tcPr>
            <w:tcW w:w="0" w:type="auto"/>
            <w:vAlign w:val="center"/>
          </w:tcPr>
          <w:p w14:paraId="35A5381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1E65D54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和柔/igus/易初</w:t>
            </w:r>
          </w:p>
        </w:tc>
      </w:tr>
      <w:tr w14:paraId="4940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F52508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26</w:t>
            </w:r>
          </w:p>
        </w:tc>
        <w:tc>
          <w:tcPr>
            <w:tcW w:w="0" w:type="auto"/>
            <w:vAlign w:val="center"/>
          </w:tcPr>
          <w:p w14:paraId="73E7B56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多功能电能表</w:t>
            </w:r>
          </w:p>
        </w:tc>
        <w:tc>
          <w:tcPr>
            <w:tcW w:w="0" w:type="auto"/>
            <w:vAlign w:val="center"/>
          </w:tcPr>
          <w:p w14:paraId="1B268436">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2FAADF2A">
            <w:pPr>
              <w:keepNext w:val="0"/>
              <w:keepLines w:val="0"/>
              <w:suppressLineNumbers w:val="0"/>
              <w:spacing w:before="0" w:beforeAutospacing="0" w:after="0"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rPr>
              <w:t>SIEMENS/安科瑞</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ABB</w:t>
            </w:r>
          </w:p>
        </w:tc>
      </w:tr>
      <w:tr w14:paraId="3CEC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vAlign w:val="center"/>
          </w:tcPr>
          <w:p w14:paraId="3A9A57E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27</w:t>
            </w:r>
          </w:p>
        </w:tc>
        <w:tc>
          <w:tcPr>
            <w:tcW w:w="0" w:type="auto"/>
            <w:vAlign w:val="center"/>
          </w:tcPr>
          <w:p w14:paraId="4E2BCDDA">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交换机</w:t>
            </w:r>
          </w:p>
        </w:tc>
        <w:tc>
          <w:tcPr>
            <w:tcW w:w="0" w:type="auto"/>
            <w:vAlign w:val="center"/>
          </w:tcPr>
          <w:p w14:paraId="01850B3A">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680C5A2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lang w:val="en-US" w:eastAsia="zh-CN"/>
              </w:rPr>
              <w:t>SIEMENS、三菱、汇川</w:t>
            </w:r>
          </w:p>
        </w:tc>
      </w:tr>
      <w:tr w14:paraId="0AA5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61F68ED">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28</w:t>
            </w:r>
          </w:p>
        </w:tc>
        <w:tc>
          <w:tcPr>
            <w:tcW w:w="0" w:type="auto"/>
            <w:vAlign w:val="center"/>
          </w:tcPr>
          <w:p w14:paraId="0E093035">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小车识别系统</w:t>
            </w:r>
          </w:p>
        </w:tc>
        <w:tc>
          <w:tcPr>
            <w:tcW w:w="0" w:type="auto"/>
            <w:vAlign w:val="center"/>
          </w:tcPr>
          <w:p w14:paraId="118B0825">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p>
        </w:tc>
        <w:tc>
          <w:tcPr>
            <w:tcW w:w="0" w:type="auto"/>
            <w:vAlign w:val="center"/>
          </w:tcPr>
          <w:p w14:paraId="1DC4315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基恩士/康耐视/西门子</w:t>
            </w:r>
          </w:p>
        </w:tc>
      </w:tr>
      <w:tr w14:paraId="43F5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623193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29</w:t>
            </w:r>
          </w:p>
        </w:tc>
        <w:tc>
          <w:tcPr>
            <w:tcW w:w="0" w:type="auto"/>
            <w:vAlign w:val="center"/>
          </w:tcPr>
          <w:p w14:paraId="0B8A2261">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工控机IPC</w:t>
            </w:r>
          </w:p>
        </w:tc>
        <w:tc>
          <w:tcPr>
            <w:tcW w:w="0" w:type="auto"/>
            <w:vAlign w:val="center"/>
          </w:tcPr>
          <w:p w14:paraId="4D5591D8">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p>
        </w:tc>
        <w:tc>
          <w:tcPr>
            <w:tcW w:w="0" w:type="auto"/>
            <w:vAlign w:val="center"/>
          </w:tcPr>
          <w:p w14:paraId="66C8E48E">
            <w:pPr>
              <w:keepNext w:val="0"/>
              <w:keepLines w:val="0"/>
              <w:suppressLineNumbers w:val="0"/>
              <w:spacing w:before="0" w:beforeAutospacing="0" w:after="0"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rPr>
              <w:t>研华</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西门子、威强</w:t>
            </w:r>
          </w:p>
        </w:tc>
      </w:tr>
    </w:tbl>
    <w:p w14:paraId="66108AE6">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仿宋" w:hAnsi="仿宋" w:eastAsia="仿宋" w:cs="仿宋"/>
          <w:b w:val="0"/>
          <w:bCs/>
          <w:color w:val="auto"/>
          <w:kern w:val="2"/>
          <w:sz w:val="24"/>
          <w:szCs w:val="24"/>
          <w:lang w:val="en-US" w:eastAsia="zh-CN" w:bidi="ar-SA"/>
        </w:rPr>
      </w:pPr>
    </w:p>
    <w:p w14:paraId="6344DDC9">
      <w:pPr>
        <w:pStyle w:val="195"/>
        <w:keepNext w:val="0"/>
        <w:keepLines w:val="0"/>
        <w:pageBreakBefore w:val="0"/>
        <w:kinsoku/>
        <w:wordWrap/>
        <w:overflowPunct/>
        <w:topLinePunct w:val="0"/>
        <w:bidi w:val="0"/>
        <w:spacing w:line="276" w:lineRule="auto"/>
        <w:ind w:left="0" w:leftChars="0" w:firstLine="0" w:firstLineChars="0"/>
        <w:outlineLvl w:val="1"/>
        <w:rPr>
          <w:rFonts w:hint="eastAsia" w:ascii="仿宋" w:hAnsi="仿宋" w:eastAsia="仿宋" w:cs="仿宋"/>
          <w:b/>
          <w:bCs w:val="0"/>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五、随机附件（非装机件，验收前移交，调试耗材由卖方自备）</w:t>
      </w:r>
    </w:p>
    <w:tbl>
      <w:tblPr>
        <w:tblStyle w:val="40"/>
        <w:tblW w:w="92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273"/>
        <w:gridCol w:w="705"/>
        <w:gridCol w:w="900"/>
        <w:gridCol w:w="4582"/>
      </w:tblGrid>
      <w:tr w14:paraId="5761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6ACE288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序号</w:t>
            </w:r>
          </w:p>
        </w:tc>
        <w:tc>
          <w:tcPr>
            <w:tcW w:w="2273" w:type="dxa"/>
            <w:vAlign w:val="center"/>
          </w:tcPr>
          <w:p w14:paraId="3F11658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名称</w:t>
            </w:r>
          </w:p>
        </w:tc>
        <w:tc>
          <w:tcPr>
            <w:tcW w:w="705" w:type="dxa"/>
            <w:vAlign w:val="center"/>
          </w:tcPr>
          <w:p w14:paraId="0CEE391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单位</w:t>
            </w:r>
          </w:p>
        </w:tc>
        <w:tc>
          <w:tcPr>
            <w:tcW w:w="900" w:type="dxa"/>
            <w:vAlign w:val="center"/>
          </w:tcPr>
          <w:p w14:paraId="73F9B39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数量</w:t>
            </w:r>
          </w:p>
        </w:tc>
        <w:tc>
          <w:tcPr>
            <w:tcW w:w="4582" w:type="dxa"/>
            <w:vAlign w:val="center"/>
          </w:tcPr>
          <w:p w14:paraId="2F2D5BA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备注</w:t>
            </w:r>
          </w:p>
        </w:tc>
      </w:tr>
      <w:tr w14:paraId="543F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0476EA8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1</w:t>
            </w:r>
          </w:p>
        </w:tc>
        <w:tc>
          <w:tcPr>
            <w:tcW w:w="8460" w:type="dxa"/>
            <w:gridSpan w:val="4"/>
            <w:vAlign w:val="center"/>
          </w:tcPr>
          <w:p w14:paraId="2007F6F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见第三章中备品备件相关要求</w:t>
            </w:r>
          </w:p>
        </w:tc>
      </w:tr>
    </w:tbl>
    <w:p w14:paraId="7CB6FCC6">
      <w:pPr>
        <w:rPr>
          <w:rFonts w:hint="default"/>
          <w:lang w:val="en-US" w:eastAsia="zh-CN"/>
        </w:rPr>
      </w:pPr>
    </w:p>
    <w:p w14:paraId="14B9F2E5">
      <w:pPr>
        <w:pStyle w:val="3"/>
        <w:widowControl/>
        <w:numPr>
          <w:ilvl w:val="0"/>
          <w:numId w:val="10"/>
        </w:numPr>
        <w:ind w:leftChars="0"/>
        <w:rPr>
          <w:rFonts w:hint="eastAsia"/>
          <w:sz w:val="21"/>
          <w:szCs w:val="21"/>
        </w:rPr>
      </w:pPr>
      <w:r>
        <w:rPr>
          <w:rFonts w:hint="eastAsia" w:ascii="仿宋" w:hAnsi="仿宋" w:eastAsia="仿宋" w:cs="仿宋"/>
          <w:b/>
          <w:bCs w:val="0"/>
          <w:color w:val="auto"/>
          <w:kern w:val="2"/>
          <w:sz w:val="28"/>
          <w:szCs w:val="28"/>
          <w:lang w:val="en-US" w:eastAsia="zh-CN" w:bidi="ar-SA"/>
        </w:rPr>
        <w:t>分工界面</w:t>
      </w:r>
    </w:p>
    <w:tbl>
      <w:tblPr>
        <w:tblStyle w:val="137"/>
        <w:tblW w:w="510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75"/>
        <w:gridCol w:w="712"/>
        <w:gridCol w:w="773"/>
        <w:gridCol w:w="7284"/>
      </w:tblGrid>
      <w:tr w14:paraId="49C2C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Header/>
        </w:trPr>
        <w:tc>
          <w:tcPr>
            <w:tcW w:w="0" w:type="auto"/>
            <w:vAlign w:val="center"/>
          </w:tcPr>
          <w:p w14:paraId="37BF22E8">
            <w:pPr>
              <w:jc w:val="center"/>
              <w:textAlignment w:val="center"/>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序号</w:t>
            </w:r>
          </w:p>
        </w:tc>
        <w:tc>
          <w:tcPr>
            <w:tcW w:w="385" w:type="pct"/>
            <w:vAlign w:val="center"/>
          </w:tcPr>
          <w:p w14:paraId="3AAAE277">
            <w:pPr>
              <w:jc w:val="center"/>
              <w:textAlignment w:val="center"/>
              <w:rPr>
                <w:rFonts w:hint="eastAsia" w:ascii="仿宋" w:hAnsi="仿宋" w:eastAsia="仿宋" w:cs="仿宋"/>
                <w:b/>
                <w:bCs/>
                <w:sz w:val="24"/>
                <w:szCs w:val="24"/>
              </w:rPr>
            </w:pPr>
            <w:r>
              <w:rPr>
                <w:rFonts w:hint="eastAsia" w:ascii="仿宋" w:hAnsi="仿宋" w:eastAsia="仿宋" w:cs="仿宋"/>
                <w:b/>
                <w:bCs/>
                <w:sz w:val="24"/>
                <w:szCs w:val="24"/>
              </w:rPr>
              <w:t>投标方</w:t>
            </w:r>
          </w:p>
        </w:tc>
        <w:tc>
          <w:tcPr>
            <w:tcW w:w="418" w:type="pct"/>
            <w:vAlign w:val="center"/>
          </w:tcPr>
          <w:p w14:paraId="48BED44F">
            <w:pPr>
              <w:jc w:val="center"/>
              <w:textAlignment w:val="center"/>
              <w:rPr>
                <w:rFonts w:hint="eastAsia" w:ascii="仿宋" w:hAnsi="仿宋" w:eastAsia="仿宋" w:cs="仿宋"/>
                <w:b/>
                <w:bCs/>
                <w:sz w:val="24"/>
                <w:szCs w:val="24"/>
              </w:rPr>
            </w:pPr>
            <w:r>
              <w:rPr>
                <w:rFonts w:hint="eastAsia" w:ascii="仿宋" w:hAnsi="仿宋" w:eastAsia="仿宋" w:cs="仿宋"/>
                <w:b/>
                <w:bCs/>
                <w:sz w:val="24"/>
                <w:szCs w:val="24"/>
              </w:rPr>
              <w:t>招标方</w:t>
            </w:r>
          </w:p>
        </w:tc>
        <w:tc>
          <w:tcPr>
            <w:tcW w:w="3940" w:type="pct"/>
            <w:vAlign w:val="center"/>
          </w:tcPr>
          <w:p w14:paraId="5BE3B5D0">
            <w:pPr>
              <w:jc w:val="center"/>
              <w:textAlignment w:val="center"/>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工程内容</w:t>
            </w:r>
          </w:p>
        </w:tc>
      </w:tr>
      <w:tr w14:paraId="67DF7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25AF9B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一</w:t>
            </w:r>
          </w:p>
        </w:tc>
        <w:tc>
          <w:tcPr>
            <w:tcW w:w="385" w:type="pct"/>
            <w:vAlign w:val="center"/>
          </w:tcPr>
          <w:p w14:paraId="0F9A4443">
            <w:pPr>
              <w:jc w:val="center"/>
              <w:textAlignment w:val="center"/>
              <w:rPr>
                <w:rFonts w:hint="eastAsia" w:ascii="仿宋" w:hAnsi="仿宋" w:eastAsia="仿宋" w:cs="仿宋"/>
                <w:sz w:val="24"/>
                <w:szCs w:val="24"/>
                <w:lang w:eastAsia="en-US"/>
              </w:rPr>
            </w:pPr>
          </w:p>
        </w:tc>
        <w:tc>
          <w:tcPr>
            <w:tcW w:w="418" w:type="pct"/>
            <w:vAlign w:val="center"/>
          </w:tcPr>
          <w:p w14:paraId="5AEAD512">
            <w:pPr>
              <w:jc w:val="center"/>
              <w:textAlignment w:val="center"/>
              <w:rPr>
                <w:rFonts w:hint="eastAsia" w:ascii="仿宋" w:hAnsi="仿宋" w:eastAsia="仿宋" w:cs="仿宋"/>
                <w:sz w:val="24"/>
                <w:szCs w:val="24"/>
                <w:lang w:eastAsia="en-US"/>
              </w:rPr>
            </w:pPr>
          </w:p>
        </w:tc>
        <w:tc>
          <w:tcPr>
            <w:tcW w:w="3940" w:type="pct"/>
            <w:vAlign w:val="center"/>
          </w:tcPr>
          <w:p w14:paraId="056D1B6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工程设计</w:t>
            </w:r>
          </w:p>
        </w:tc>
      </w:tr>
      <w:tr w14:paraId="64A40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AFE70F2">
            <w:pPr>
              <w:jc w:val="center"/>
              <w:textAlignment w:val="center"/>
              <w:rPr>
                <w:rFonts w:hint="eastAsia" w:ascii="仿宋" w:hAnsi="仿宋" w:eastAsia="仿宋" w:cs="仿宋"/>
                <w:sz w:val="24"/>
                <w:szCs w:val="24"/>
                <w:lang w:eastAsia="en-US"/>
              </w:rPr>
            </w:pPr>
          </w:p>
        </w:tc>
        <w:tc>
          <w:tcPr>
            <w:tcW w:w="385" w:type="pct"/>
            <w:vAlign w:val="center"/>
          </w:tcPr>
          <w:p w14:paraId="08B319B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C3D3846">
            <w:pPr>
              <w:jc w:val="center"/>
              <w:textAlignment w:val="center"/>
              <w:rPr>
                <w:rFonts w:hint="eastAsia" w:ascii="仿宋" w:hAnsi="仿宋" w:eastAsia="仿宋" w:cs="仿宋"/>
                <w:sz w:val="24"/>
                <w:szCs w:val="24"/>
                <w:lang w:eastAsia="en-US"/>
              </w:rPr>
            </w:pPr>
          </w:p>
        </w:tc>
        <w:tc>
          <w:tcPr>
            <w:tcW w:w="3940" w:type="pct"/>
            <w:vAlign w:val="center"/>
          </w:tcPr>
          <w:p w14:paraId="7CA6C5AB">
            <w:pPr>
              <w:jc w:val="center"/>
              <w:textAlignment w:val="center"/>
              <w:rPr>
                <w:rFonts w:hint="eastAsia" w:ascii="仿宋" w:hAnsi="仿宋" w:eastAsia="仿宋" w:cs="仿宋"/>
                <w:sz w:val="24"/>
                <w:szCs w:val="24"/>
              </w:rPr>
            </w:pPr>
            <w:r>
              <w:rPr>
                <w:rFonts w:hint="eastAsia" w:ascii="仿宋" w:hAnsi="仿宋" w:eastAsia="仿宋" w:cs="仿宋"/>
                <w:sz w:val="24"/>
                <w:szCs w:val="24"/>
              </w:rPr>
              <w:t>厂房结构、负荷要求资料输出</w:t>
            </w:r>
          </w:p>
        </w:tc>
      </w:tr>
      <w:tr w14:paraId="18C36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A7C08DD">
            <w:pPr>
              <w:jc w:val="center"/>
              <w:textAlignment w:val="center"/>
              <w:rPr>
                <w:rFonts w:hint="eastAsia" w:ascii="仿宋" w:hAnsi="仿宋" w:eastAsia="仿宋" w:cs="仿宋"/>
                <w:sz w:val="24"/>
                <w:szCs w:val="24"/>
              </w:rPr>
            </w:pPr>
          </w:p>
        </w:tc>
        <w:tc>
          <w:tcPr>
            <w:tcW w:w="385" w:type="pct"/>
            <w:vAlign w:val="center"/>
          </w:tcPr>
          <w:p w14:paraId="2C17967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FD8CF22">
            <w:pPr>
              <w:jc w:val="center"/>
              <w:textAlignment w:val="center"/>
              <w:rPr>
                <w:rFonts w:hint="eastAsia" w:ascii="仿宋" w:hAnsi="仿宋" w:eastAsia="仿宋" w:cs="仿宋"/>
                <w:sz w:val="24"/>
                <w:szCs w:val="24"/>
                <w:lang w:eastAsia="en-US"/>
              </w:rPr>
            </w:pPr>
          </w:p>
        </w:tc>
        <w:tc>
          <w:tcPr>
            <w:tcW w:w="3940" w:type="pct"/>
            <w:vAlign w:val="center"/>
          </w:tcPr>
          <w:p w14:paraId="043EC5BF">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设备基础、结构要求资料输出</w:t>
            </w:r>
          </w:p>
        </w:tc>
      </w:tr>
      <w:tr w14:paraId="11D55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216B14F">
            <w:pPr>
              <w:jc w:val="center"/>
              <w:textAlignment w:val="center"/>
              <w:rPr>
                <w:rFonts w:hint="eastAsia" w:ascii="仿宋" w:hAnsi="仿宋" w:eastAsia="仿宋" w:cs="仿宋"/>
                <w:sz w:val="24"/>
                <w:szCs w:val="24"/>
              </w:rPr>
            </w:pPr>
          </w:p>
        </w:tc>
        <w:tc>
          <w:tcPr>
            <w:tcW w:w="385" w:type="pct"/>
            <w:vAlign w:val="center"/>
          </w:tcPr>
          <w:p w14:paraId="7DBDD21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D803593">
            <w:pPr>
              <w:jc w:val="center"/>
              <w:textAlignment w:val="center"/>
              <w:rPr>
                <w:rFonts w:hint="eastAsia" w:ascii="仿宋" w:hAnsi="仿宋" w:eastAsia="仿宋" w:cs="仿宋"/>
                <w:sz w:val="24"/>
                <w:szCs w:val="24"/>
                <w:lang w:eastAsia="en-US"/>
              </w:rPr>
            </w:pPr>
          </w:p>
        </w:tc>
        <w:tc>
          <w:tcPr>
            <w:tcW w:w="3940" w:type="pct"/>
            <w:vAlign w:val="center"/>
          </w:tcPr>
          <w:p w14:paraId="23A60B9F">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车间内天然气需求、位置、数量</w:t>
            </w:r>
          </w:p>
        </w:tc>
      </w:tr>
      <w:tr w14:paraId="4905A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0984FFF">
            <w:pPr>
              <w:jc w:val="center"/>
              <w:textAlignment w:val="center"/>
              <w:rPr>
                <w:rFonts w:hint="eastAsia" w:ascii="仿宋" w:hAnsi="仿宋" w:eastAsia="仿宋" w:cs="仿宋"/>
                <w:sz w:val="24"/>
                <w:szCs w:val="24"/>
              </w:rPr>
            </w:pPr>
          </w:p>
        </w:tc>
        <w:tc>
          <w:tcPr>
            <w:tcW w:w="385" w:type="pct"/>
            <w:vAlign w:val="center"/>
          </w:tcPr>
          <w:p w14:paraId="3190C59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B06127A">
            <w:pPr>
              <w:jc w:val="center"/>
              <w:textAlignment w:val="center"/>
              <w:rPr>
                <w:rFonts w:hint="eastAsia" w:ascii="仿宋" w:hAnsi="仿宋" w:eastAsia="仿宋" w:cs="仿宋"/>
                <w:sz w:val="24"/>
                <w:szCs w:val="24"/>
                <w:lang w:eastAsia="en-US"/>
              </w:rPr>
            </w:pPr>
          </w:p>
        </w:tc>
        <w:tc>
          <w:tcPr>
            <w:tcW w:w="3940" w:type="pct"/>
            <w:vAlign w:val="center"/>
          </w:tcPr>
          <w:p w14:paraId="19584224">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车间内压缩空气需求、位置、数量</w:t>
            </w:r>
          </w:p>
        </w:tc>
      </w:tr>
      <w:tr w14:paraId="3BA23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A404961">
            <w:pPr>
              <w:jc w:val="center"/>
              <w:textAlignment w:val="center"/>
              <w:rPr>
                <w:rFonts w:hint="eastAsia" w:ascii="仿宋" w:hAnsi="仿宋" w:eastAsia="仿宋" w:cs="仿宋"/>
                <w:sz w:val="24"/>
                <w:szCs w:val="24"/>
              </w:rPr>
            </w:pPr>
          </w:p>
        </w:tc>
        <w:tc>
          <w:tcPr>
            <w:tcW w:w="385" w:type="pct"/>
            <w:vAlign w:val="center"/>
          </w:tcPr>
          <w:p w14:paraId="73666EF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27746C0">
            <w:pPr>
              <w:jc w:val="center"/>
              <w:textAlignment w:val="center"/>
              <w:rPr>
                <w:rFonts w:hint="eastAsia" w:ascii="仿宋" w:hAnsi="仿宋" w:eastAsia="仿宋" w:cs="仿宋"/>
                <w:sz w:val="24"/>
                <w:szCs w:val="24"/>
                <w:lang w:eastAsia="en-US"/>
              </w:rPr>
            </w:pPr>
          </w:p>
        </w:tc>
        <w:tc>
          <w:tcPr>
            <w:tcW w:w="3940" w:type="pct"/>
            <w:vAlign w:val="center"/>
          </w:tcPr>
          <w:p w14:paraId="343C974A">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车间土建要求资料的输出</w:t>
            </w:r>
          </w:p>
        </w:tc>
      </w:tr>
      <w:tr w14:paraId="2FD35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68C2174">
            <w:pPr>
              <w:jc w:val="center"/>
              <w:textAlignment w:val="center"/>
              <w:rPr>
                <w:rFonts w:hint="eastAsia" w:ascii="仿宋" w:hAnsi="仿宋" w:eastAsia="仿宋" w:cs="仿宋"/>
                <w:sz w:val="24"/>
                <w:szCs w:val="24"/>
              </w:rPr>
            </w:pPr>
          </w:p>
        </w:tc>
        <w:tc>
          <w:tcPr>
            <w:tcW w:w="385" w:type="pct"/>
            <w:vAlign w:val="center"/>
          </w:tcPr>
          <w:p w14:paraId="0D584A0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1E582A5">
            <w:pPr>
              <w:jc w:val="center"/>
              <w:textAlignment w:val="center"/>
              <w:rPr>
                <w:rFonts w:hint="eastAsia" w:ascii="仿宋" w:hAnsi="仿宋" w:eastAsia="仿宋" w:cs="仿宋"/>
                <w:sz w:val="24"/>
                <w:szCs w:val="24"/>
                <w:lang w:eastAsia="en-US"/>
              </w:rPr>
            </w:pPr>
          </w:p>
        </w:tc>
        <w:tc>
          <w:tcPr>
            <w:tcW w:w="3940" w:type="pct"/>
            <w:vAlign w:val="center"/>
          </w:tcPr>
          <w:p w14:paraId="3107525D">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设备原理图、功能图、装配图、部件图的设计</w:t>
            </w:r>
          </w:p>
        </w:tc>
      </w:tr>
      <w:tr w14:paraId="06CB7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3D6C9BB">
            <w:pPr>
              <w:jc w:val="center"/>
              <w:textAlignment w:val="center"/>
              <w:rPr>
                <w:rFonts w:hint="eastAsia" w:ascii="仿宋" w:hAnsi="仿宋" w:eastAsia="仿宋" w:cs="仿宋"/>
                <w:sz w:val="24"/>
                <w:szCs w:val="24"/>
              </w:rPr>
            </w:pPr>
          </w:p>
        </w:tc>
        <w:tc>
          <w:tcPr>
            <w:tcW w:w="385" w:type="pct"/>
            <w:vAlign w:val="center"/>
          </w:tcPr>
          <w:p w14:paraId="1924137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5613BDE">
            <w:pPr>
              <w:jc w:val="center"/>
              <w:textAlignment w:val="center"/>
              <w:rPr>
                <w:rFonts w:hint="eastAsia" w:ascii="仿宋" w:hAnsi="仿宋" w:eastAsia="仿宋" w:cs="仿宋"/>
                <w:sz w:val="24"/>
                <w:szCs w:val="24"/>
                <w:lang w:eastAsia="en-US"/>
              </w:rPr>
            </w:pPr>
          </w:p>
        </w:tc>
        <w:tc>
          <w:tcPr>
            <w:tcW w:w="3940" w:type="pct"/>
            <w:vAlign w:val="center"/>
          </w:tcPr>
          <w:p w14:paraId="26F2592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设备规格说明书</w:t>
            </w:r>
          </w:p>
        </w:tc>
      </w:tr>
      <w:tr w14:paraId="73D2C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2CCA54A">
            <w:pPr>
              <w:jc w:val="center"/>
              <w:textAlignment w:val="center"/>
              <w:rPr>
                <w:rFonts w:hint="eastAsia" w:ascii="仿宋" w:hAnsi="仿宋" w:eastAsia="仿宋" w:cs="仿宋"/>
                <w:sz w:val="24"/>
                <w:szCs w:val="24"/>
                <w:lang w:eastAsia="en-US"/>
              </w:rPr>
            </w:pPr>
          </w:p>
        </w:tc>
        <w:tc>
          <w:tcPr>
            <w:tcW w:w="385" w:type="pct"/>
            <w:vAlign w:val="center"/>
          </w:tcPr>
          <w:p w14:paraId="4DA8774D">
            <w:pPr>
              <w:jc w:val="center"/>
              <w:textAlignment w:val="center"/>
              <w:rPr>
                <w:rFonts w:hint="eastAsia" w:ascii="仿宋" w:hAnsi="仿宋" w:eastAsia="仿宋" w:cs="仿宋"/>
                <w:sz w:val="24"/>
                <w:szCs w:val="24"/>
                <w:lang w:eastAsia="en-US"/>
              </w:rPr>
            </w:pPr>
          </w:p>
        </w:tc>
        <w:tc>
          <w:tcPr>
            <w:tcW w:w="418" w:type="pct"/>
            <w:vAlign w:val="center"/>
          </w:tcPr>
          <w:p w14:paraId="30EB9AF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176FEF80">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en-US"/>
              </w:rPr>
              <w:t>厂房设计、施工</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设备基础</w:t>
            </w:r>
          </w:p>
        </w:tc>
      </w:tr>
      <w:tr w14:paraId="6F7FF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D794A3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二</w:t>
            </w:r>
          </w:p>
        </w:tc>
        <w:tc>
          <w:tcPr>
            <w:tcW w:w="385" w:type="pct"/>
            <w:vAlign w:val="center"/>
          </w:tcPr>
          <w:p w14:paraId="30A7E16E">
            <w:pPr>
              <w:jc w:val="center"/>
              <w:textAlignment w:val="center"/>
              <w:rPr>
                <w:rFonts w:hint="eastAsia" w:ascii="仿宋" w:hAnsi="仿宋" w:eastAsia="仿宋" w:cs="仿宋"/>
                <w:sz w:val="24"/>
                <w:szCs w:val="24"/>
                <w:lang w:eastAsia="en-US"/>
              </w:rPr>
            </w:pPr>
          </w:p>
        </w:tc>
        <w:tc>
          <w:tcPr>
            <w:tcW w:w="418" w:type="pct"/>
            <w:vAlign w:val="center"/>
          </w:tcPr>
          <w:p w14:paraId="0E3C42CC">
            <w:pPr>
              <w:jc w:val="center"/>
              <w:textAlignment w:val="center"/>
              <w:rPr>
                <w:rFonts w:hint="eastAsia" w:ascii="仿宋" w:hAnsi="仿宋" w:eastAsia="仿宋" w:cs="仿宋"/>
                <w:sz w:val="24"/>
                <w:szCs w:val="24"/>
                <w:lang w:eastAsia="en-US"/>
              </w:rPr>
            </w:pPr>
          </w:p>
        </w:tc>
        <w:tc>
          <w:tcPr>
            <w:tcW w:w="3940" w:type="pct"/>
            <w:vAlign w:val="center"/>
          </w:tcPr>
          <w:p w14:paraId="562C86A0">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安装</w:t>
            </w:r>
            <w:r>
              <w:rPr>
                <w:rFonts w:hint="eastAsia" w:ascii="仿宋" w:hAnsi="仿宋" w:eastAsia="仿宋" w:cs="仿宋"/>
                <w:sz w:val="24"/>
                <w:szCs w:val="24"/>
              </w:rPr>
              <w:t>调试</w:t>
            </w:r>
          </w:p>
        </w:tc>
      </w:tr>
      <w:tr w14:paraId="3313D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3502F75">
            <w:pPr>
              <w:jc w:val="center"/>
              <w:textAlignment w:val="center"/>
              <w:rPr>
                <w:rFonts w:hint="eastAsia" w:ascii="仿宋" w:hAnsi="仿宋" w:eastAsia="仿宋" w:cs="仿宋"/>
                <w:sz w:val="24"/>
                <w:szCs w:val="24"/>
                <w:lang w:eastAsia="en-US"/>
              </w:rPr>
            </w:pPr>
          </w:p>
        </w:tc>
        <w:tc>
          <w:tcPr>
            <w:tcW w:w="385" w:type="pct"/>
            <w:vAlign w:val="center"/>
          </w:tcPr>
          <w:p w14:paraId="62EC7ECD">
            <w:pPr>
              <w:jc w:val="center"/>
              <w:textAlignment w:val="center"/>
              <w:rPr>
                <w:rFonts w:hint="eastAsia" w:ascii="仿宋" w:hAnsi="仿宋" w:eastAsia="仿宋" w:cs="仿宋"/>
                <w:sz w:val="24"/>
                <w:szCs w:val="24"/>
                <w:lang w:eastAsia="en-US"/>
              </w:rPr>
            </w:pPr>
          </w:p>
        </w:tc>
        <w:tc>
          <w:tcPr>
            <w:tcW w:w="418" w:type="pct"/>
            <w:vAlign w:val="center"/>
          </w:tcPr>
          <w:p w14:paraId="723BE7E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61A14BDA">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施工期间现场卫生清洁等用水提供</w:t>
            </w:r>
          </w:p>
        </w:tc>
      </w:tr>
      <w:tr w14:paraId="49E0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60FF1A3">
            <w:pPr>
              <w:jc w:val="center"/>
              <w:textAlignment w:val="center"/>
              <w:rPr>
                <w:rFonts w:hint="eastAsia" w:ascii="仿宋" w:hAnsi="仿宋" w:eastAsia="仿宋" w:cs="仿宋"/>
                <w:sz w:val="24"/>
                <w:szCs w:val="24"/>
              </w:rPr>
            </w:pPr>
          </w:p>
        </w:tc>
        <w:tc>
          <w:tcPr>
            <w:tcW w:w="385" w:type="pct"/>
            <w:vAlign w:val="center"/>
          </w:tcPr>
          <w:p w14:paraId="309F1F1F">
            <w:pPr>
              <w:jc w:val="center"/>
              <w:textAlignment w:val="center"/>
              <w:rPr>
                <w:rFonts w:hint="eastAsia" w:ascii="仿宋" w:hAnsi="仿宋" w:eastAsia="仿宋" w:cs="仿宋"/>
                <w:sz w:val="24"/>
                <w:szCs w:val="24"/>
              </w:rPr>
            </w:pPr>
          </w:p>
        </w:tc>
        <w:tc>
          <w:tcPr>
            <w:tcW w:w="418" w:type="pct"/>
            <w:vAlign w:val="center"/>
          </w:tcPr>
          <w:p w14:paraId="6F09B7B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C4D4391">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施工期间提供两处现场施工用电点</w:t>
            </w:r>
          </w:p>
        </w:tc>
      </w:tr>
      <w:tr w14:paraId="0AB0D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34E42E2">
            <w:pPr>
              <w:jc w:val="center"/>
              <w:textAlignment w:val="center"/>
              <w:rPr>
                <w:rFonts w:hint="eastAsia" w:ascii="仿宋" w:hAnsi="仿宋" w:eastAsia="仿宋" w:cs="仿宋"/>
                <w:sz w:val="24"/>
                <w:szCs w:val="24"/>
              </w:rPr>
            </w:pPr>
          </w:p>
        </w:tc>
        <w:tc>
          <w:tcPr>
            <w:tcW w:w="385" w:type="pct"/>
            <w:vAlign w:val="center"/>
          </w:tcPr>
          <w:p w14:paraId="2E41634B">
            <w:pPr>
              <w:jc w:val="center"/>
              <w:textAlignment w:val="center"/>
              <w:rPr>
                <w:rFonts w:hint="eastAsia" w:ascii="仿宋" w:hAnsi="仿宋" w:eastAsia="仿宋" w:cs="仿宋"/>
                <w:sz w:val="24"/>
                <w:szCs w:val="24"/>
              </w:rPr>
            </w:pPr>
          </w:p>
        </w:tc>
        <w:tc>
          <w:tcPr>
            <w:tcW w:w="418" w:type="pct"/>
            <w:vAlign w:val="center"/>
          </w:tcPr>
          <w:p w14:paraId="4EFCBAC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51377C7A">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施工期间现场施工用电、气提供</w:t>
            </w:r>
          </w:p>
        </w:tc>
      </w:tr>
      <w:tr w14:paraId="4794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42F50D9">
            <w:pPr>
              <w:jc w:val="center"/>
              <w:textAlignment w:val="center"/>
              <w:rPr>
                <w:rFonts w:hint="eastAsia" w:ascii="仿宋" w:hAnsi="仿宋" w:eastAsia="仿宋" w:cs="仿宋"/>
                <w:sz w:val="24"/>
                <w:szCs w:val="24"/>
              </w:rPr>
            </w:pPr>
          </w:p>
        </w:tc>
        <w:tc>
          <w:tcPr>
            <w:tcW w:w="385" w:type="pct"/>
            <w:vAlign w:val="center"/>
          </w:tcPr>
          <w:p w14:paraId="5C80C6D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4961E2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7D5276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检查校正安装基础</w:t>
            </w:r>
          </w:p>
        </w:tc>
      </w:tr>
      <w:tr w14:paraId="3FE59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36194E6">
            <w:pPr>
              <w:jc w:val="center"/>
              <w:textAlignment w:val="center"/>
              <w:rPr>
                <w:rFonts w:hint="eastAsia" w:ascii="仿宋" w:hAnsi="仿宋" w:eastAsia="仿宋" w:cs="仿宋"/>
                <w:sz w:val="24"/>
                <w:szCs w:val="24"/>
                <w:lang w:eastAsia="en-US"/>
              </w:rPr>
            </w:pPr>
          </w:p>
        </w:tc>
        <w:tc>
          <w:tcPr>
            <w:tcW w:w="385" w:type="pct"/>
            <w:vAlign w:val="center"/>
          </w:tcPr>
          <w:p w14:paraId="524650F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9805273">
            <w:pPr>
              <w:jc w:val="center"/>
              <w:textAlignment w:val="center"/>
              <w:rPr>
                <w:rFonts w:hint="eastAsia" w:ascii="仿宋" w:hAnsi="仿宋" w:eastAsia="仿宋" w:cs="仿宋"/>
                <w:sz w:val="24"/>
                <w:szCs w:val="24"/>
                <w:lang w:eastAsia="en-US"/>
              </w:rPr>
            </w:pPr>
          </w:p>
        </w:tc>
        <w:tc>
          <w:tcPr>
            <w:tcW w:w="3940" w:type="pct"/>
            <w:vAlign w:val="center"/>
          </w:tcPr>
          <w:p w14:paraId="5C62C576">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设备制作地到现场的安装</w:t>
            </w:r>
          </w:p>
        </w:tc>
      </w:tr>
      <w:tr w14:paraId="5BBC9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23D57EF">
            <w:pPr>
              <w:jc w:val="center"/>
              <w:textAlignment w:val="center"/>
              <w:rPr>
                <w:rFonts w:hint="eastAsia" w:ascii="仿宋" w:hAnsi="仿宋" w:eastAsia="仿宋" w:cs="仿宋"/>
                <w:sz w:val="24"/>
                <w:szCs w:val="24"/>
              </w:rPr>
            </w:pPr>
          </w:p>
        </w:tc>
        <w:tc>
          <w:tcPr>
            <w:tcW w:w="385" w:type="pct"/>
            <w:vAlign w:val="center"/>
          </w:tcPr>
          <w:p w14:paraId="15FF005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0D5A8F8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4B2BC55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临时办公室</w:t>
            </w:r>
          </w:p>
        </w:tc>
      </w:tr>
      <w:tr w14:paraId="0BC32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4BDE835">
            <w:pPr>
              <w:jc w:val="center"/>
              <w:textAlignment w:val="center"/>
              <w:rPr>
                <w:rFonts w:hint="eastAsia" w:ascii="仿宋" w:hAnsi="仿宋" w:eastAsia="仿宋" w:cs="仿宋"/>
                <w:sz w:val="24"/>
                <w:szCs w:val="24"/>
              </w:rPr>
            </w:pPr>
          </w:p>
        </w:tc>
        <w:tc>
          <w:tcPr>
            <w:tcW w:w="385" w:type="pct"/>
            <w:vAlign w:val="center"/>
          </w:tcPr>
          <w:p w14:paraId="481EC757">
            <w:pPr>
              <w:jc w:val="center"/>
              <w:textAlignment w:val="center"/>
              <w:rPr>
                <w:rFonts w:hint="eastAsia" w:ascii="仿宋" w:hAnsi="仿宋" w:eastAsia="仿宋" w:cs="仿宋"/>
                <w:sz w:val="24"/>
                <w:szCs w:val="24"/>
              </w:rPr>
            </w:pPr>
          </w:p>
        </w:tc>
        <w:tc>
          <w:tcPr>
            <w:tcW w:w="418" w:type="pct"/>
            <w:vAlign w:val="center"/>
          </w:tcPr>
          <w:p w14:paraId="24C54BF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56FD724A">
            <w:pPr>
              <w:jc w:val="center"/>
              <w:textAlignment w:val="center"/>
              <w:rPr>
                <w:rFonts w:hint="eastAsia" w:ascii="仿宋" w:hAnsi="仿宋" w:eastAsia="仿宋" w:cs="仿宋"/>
                <w:sz w:val="24"/>
                <w:szCs w:val="24"/>
              </w:rPr>
            </w:pPr>
            <w:r>
              <w:rPr>
                <w:rFonts w:hint="eastAsia" w:ascii="仿宋" w:hAnsi="仿宋" w:eastAsia="仿宋" w:cs="仿宋"/>
                <w:sz w:val="24"/>
                <w:szCs w:val="24"/>
              </w:rPr>
              <w:t>临时办公用水、电、卫生等设施</w:t>
            </w:r>
          </w:p>
        </w:tc>
      </w:tr>
      <w:tr w14:paraId="356DE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E31E970">
            <w:pPr>
              <w:jc w:val="center"/>
              <w:textAlignment w:val="center"/>
              <w:rPr>
                <w:rFonts w:hint="eastAsia" w:ascii="仿宋" w:hAnsi="仿宋" w:eastAsia="仿宋" w:cs="仿宋"/>
                <w:sz w:val="24"/>
                <w:szCs w:val="24"/>
              </w:rPr>
            </w:pPr>
          </w:p>
        </w:tc>
        <w:tc>
          <w:tcPr>
            <w:tcW w:w="385" w:type="pct"/>
            <w:vAlign w:val="center"/>
          </w:tcPr>
          <w:p w14:paraId="51C95DE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0B06ED9">
            <w:pPr>
              <w:jc w:val="center"/>
              <w:textAlignment w:val="center"/>
              <w:rPr>
                <w:rFonts w:hint="eastAsia" w:ascii="仿宋" w:hAnsi="仿宋" w:eastAsia="仿宋" w:cs="仿宋"/>
                <w:sz w:val="24"/>
                <w:szCs w:val="24"/>
                <w:lang w:eastAsia="en-US"/>
              </w:rPr>
            </w:pPr>
          </w:p>
        </w:tc>
        <w:tc>
          <w:tcPr>
            <w:tcW w:w="3940" w:type="pct"/>
            <w:vAlign w:val="center"/>
          </w:tcPr>
          <w:p w14:paraId="281D089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防火隔离及覆盖</w:t>
            </w:r>
          </w:p>
        </w:tc>
      </w:tr>
      <w:tr w14:paraId="52E22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8427019">
            <w:pPr>
              <w:jc w:val="center"/>
              <w:textAlignment w:val="center"/>
              <w:rPr>
                <w:rFonts w:hint="eastAsia" w:ascii="仿宋" w:hAnsi="仿宋" w:eastAsia="仿宋" w:cs="仿宋"/>
                <w:sz w:val="24"/>
                <w:szCs w:val="24"/>
              </w:rPr>
            </w:pPr>
          </w:p>
        </w:tc>
        <w:tc>
          <w:tcPr>
            <w:tcW w:w="385" w:type="pct"/>
            <w:vAlign w:val="center"/>
          </w:tcPr>
          <w:p w14:paraId="48328869">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2C4C24CF">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3940" w:type="pct"/>
            <w:vAlign w:val="center"/>
          </w:tcPr>
          <w:p w14:paraId="487CF7A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现场保安、安全</w:t>
            </w:r>
          </w:p>
        </w:tc>
      </w:tr>
      <w:tr w14:paraId="2CF70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3A37F1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三</w:t>
            </w:r>
          </w:p>
        </w:tc>
        <w:tc>
          <w:tcPr>
            <w:tcW w:w="385" w:type="pct"/>
            <w:vAlign w:val="center"/>
          </w:tcPr>
          <w:p w14:paraId="5B6ED650">
            <w:pPr>
              <w:jc w:val="center"/>
              <w:textAlignment w:val="center"/>
              <w:rPr>
                <w:rFonts w:hint="eastAsia" w:ascii="仿宋" w:hAnsi="仿宋" w:eastAsia="仿宋" w:cs="仿宋"/>
                <w:sz w:val="24"/>
                <w:szCs w:val="24"/>
              </w:rPr>
            </w:pPr>
          </w:p>
        </w:tc>
        <w:tc>
          <w:tcPr>
            <w:tcW w:w="418" w:type="pct"/>
            <w:vAlign w:val="center"/>
          </w:tcPr>
          <w:p w14:paraId="6CD604DB">
            <w:pPr>
              <w:jc w:val="center"/>
              <w:textAlignment w:val="center"/>
              <w:rPr>
                <w:rFonts w:hint="eastAsia" w:ascii="仿宋" w:hAnsi="仿宋" w:eastAsia="仿宋" w:cs="仿宋"/>
                <w:sz w:val="24"/>
                <w:szCs w:val="24"/>
              </w:rPr>
            </w:pPr>
          </w:p>
        </w:tc>
        <w:tc>
          <w:tcPr>
            <w:tcW w:w="3940" w:type="pct"/>
            <w:vAlign w:val="center"/>
          </w:tcPr>
          <w:p w14:paraId="64F8592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设备接地</w:t>
            </w:r>
          </w:p>
        </w:tc>
      </w:tr>
      <w:tr w14:paraId="31DC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EA7AEF2">
            <w:pPr>
              <w:jc w:val="center"/>
              <w:textAlignment w:val="center"/>
              <w:rPr>
                <w:rFonts w:hint="eastAsia" w:ascii="仿宋" w:hAnsi="仿宋" w:eastAsia="仿宋" w:cs="仿宋"/>
                <w:sz w:val="24"/>
                <w:szCs w:val="24"/>
              </w:rPr>
            </w:pPr>
          </w:p>
        </w:tc>
        <w:tc>
          <w:tcPr>
            <w:tcW w:w="385" w:type="pct"/>
            <w:vAlign w:val="center"/>
          </w:tcPr>
          <w:p w14:paraId="58FF7AF9">
            <w:pPr>
              <w:jc w:val="center"/>
              <w:textAlignment w:val="center"/>
              <w:rPr>
                <w:rFonts w:hint="eastAsia" w:ascii="仿宋" w:hAnsi="仿宋" w:eastAsia="仿宋" w:cs="仿宋"/>
                <w:sz w:val="24"/>
                <w:szCs w:val="24"/>
              </w:rPr>
            </w:pPr>
          </w:p>
        </w:tc>
        <w:tc>
          <w:tcPr>
            <w:tcW w:w="418" w:type="pct"/>
            <w:vAlign w:val="center"/>
          </w:tcPr>
          <w:p w14:paraId="5B77771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1A34093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车间厂房防雷接地</w:t>
            </w:r>
          </w:p>
        </w:tc>
      </w:tr>
      <w:tr w14:paraId="63F6E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124E9C2">
            <w:pPr>
              <w:jc w:val="center"/>
              <w:textAlignment w:val="center"/>
              <w:rPr>
                <w:rFonts w:hint="eastAsia" w:ascii="仿宋" w:hAnsi="仿宋" w:eastAsia="仿宋" w:cs="仿宋"/>
                <w:sz w:val="24"/>
                <w:szCs w:val="24"/>
              </w:rPr>
            </w:pPr>
          </w:p>
        </w:tc>
        <w:tc>
          <w:tcPr>
            <w:tcW w:w="385" w:type="pct"/>
            <w:vAlign w:val="center"/>
          </w:tcPr>
          <w:p w14:paraId="21CE357F">
            <w:pPr>
              <w:jc w:val="center"/>
              <w:textAlignment w:val="center"/>
              <w:rPr>
                <w:rFonts w:hint="eastAsia" w:ascii="仿宋" w:hAnsi="仿宋" w:eastAsia="仿宋" w:cs="仿宋"/>
                <w:sz w:val="24"/>
                <w:szCs w:val="24"/>
              </w:rPr>
            </w:pPr>
          </w:p>
        </w:tc>
        <w:tc>
          <w:tcPr>
            <w:tcW w:w="418" w:type="pct"/>
            <w:vAlign w:val="center"/>
          </w:tcPr>
          <w:p w14:paraId="1B614FB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2F1F77F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车间厂房接地桩</w:t>
            </w:r>
          </w:p>
        </w:tc>
      </w:tr>
      <w:tr w14:paraId="56EB0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402E2BB">
            <w:pPr>
              <w:jc w:val="center"/>
              <w:textAlignment w:val="center"/>
              <w:rPr>
                <w:rFonts w:hint="eastAsia" w:ascii="仿宋" w:hAnsi="仿宋" w:eastAsia="仿宋" w:cs="仿宋"/>
                <w:sz w:val="24"/>
                <w:szCs w:val="24"/>
              </w:rPr>
            </w:pPr>
          </w:p>
        </w:tc>
        <w:tc>
          <w:tcPr>
            <w:tcW w:w="385" w:type="pct"/>
            <w:vAlign w:val="center"/>
          </w:tcPr>
          <w:p w14:paraId="1EFBD23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7B39CF34">
            <w:pPr>
              <w:jc w:val="center"/>
              <w:textAlignment w:val="center"/>
              <w:rPr>
                <w:rFonts w:hint="eastAsia" w:ascii="仿宋" w:hAnsi="仿宋" w:eastAsia="仿宋" w:cs="仿宋"/>
                <w:sz w:val="24"/>
                <w:szCs w:val="24"/>
              </w:rPr>
            </w:pPr>
          </w:p>
        </w:tc>
        <w:tc>
          <w:tcPr>
            <w:tcW w:w="3940" w:type="pct"/>
            <w:vAlign w:val="center"/>
          </w:tcPr>
          <w:p w14:paraId="601A16B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设备接地</w:t>
            </w:r>
          </w:p>
        </w:tc>
      </w:tr>
      <w:tr w14:paraId="6AF9F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1EEF387">
            <w:pPr>
              <w:jc w:val="center"/>
              <w:textAlignment w:val="center"/>
              <w:rPr>
                <w:rFonts w:hint="eastAsia" w:ascii="仿宋" w:hAnsi="仿宋" w:eastAsia="仿宋" w:cs="仿宋"/>
                <w:sz w:val="24"/>
                <w:szCs w:val="24"/>
              </w:rPr>
            </w:pPr>
          </w:p>
        </w:tc>
        <w:tc>
          <w:tcPr>
            <w:tcW w:w="385" w:type="pct"/>
            <w:vAlign w:val="center"/>
          </w:tcPr>
          <w:p w14:paraId="532ECC1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681A04B">
            <w:pPr>
              <w:jc w:val="center"/>
              <w:textAlignment w:val="center"/>
              <w:rPr>
                <w:rFonts w:hint="eastAsia" w:ascii="仿宋" w:hAnsi="仿宋" w:eastAsia="仿宋" w:cs="仿宋"/>
                <w:sz w:val="24"/>
                <w:szCs w:val="24"/>
              </w:rPr>
            </w:pPr>
          </w:p>
        </w:tc>
        <w:tc>
          <w:tcPr>
            <w:tcW w:w="3940" w:type="pct"/>
            <w:vAlign w:val="center"/>
          </w:tcPr>
          <w:p w14:paraId="29026A7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风管防雷接地</w:t>
            </w:r>
          </w:p>
        </w:tc>
      </w:tr>
      <w:tr w14:paraId="233B0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5E9B67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四</w:t>
            </w:r>
          </w:p>
        </w:tc>
        <w:tc>
          <w:tcPr>
            <w:tcW w:w="385" w:type="pct"/>
            <w:vAlign w:val="center"/>
          </w:tcPr>
          <w:p w14:paraId="4E1995F8">
            <w:pPr>
              <w:jc w:val="center"/>
              <w:textAlignment w:val="center"/>
              <w:rPr>
                <w:rFonts w:hint="eastAsia" w:ascii="仿宋" w:hAnsi="仿宋" w:eastAsia="仿宋" w:cs="仿宋"/>
                <w:sz w:val="24"/>
                <w:szCs w:val="24"/>
              </w:rPr>
            </w:pPr>
          </w:p>
        </w:tc>
        <w:tc>
          <w:tcPr>
            <w:tcW w:w="418" w:type="pct"/>
            <w:vAlign w:val="center"/>
          </w:tcPr>
          <w:p w14:paraId="52042C7F">
            <w:pPr>
              <w:jc w:val="center"/>
              <w:textAlignment w:val="center"/>
              <w:rPr>
                <w:rFonts w:hint="eastAsia" w:ascii="仿宋" w:hAnsi="仿宋" w:eastAsia="仿宋" w:cs="仿宋"/>
                <w:sz w:val="24"/>
                <w:szCs w:val="24"/>
              </w:rPr>
            </w:pPr>
          </w:p>
        </w:tc>
        <w:tc>
          <w:tcPr>
            <w:tcW w:w="3940" w:type="pct"/>
            <w:vAlign w:val="center"/>
          </w:tcPr>
          <w:p w14:paraId="72F346E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照明工程</w:t>
            </w:r>
          </w:p>
        </w:tc>
      </w:tr>
      <w:tr w14:paraId="3E1AB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5FFBD75">
            <w:pPr>
              <w:jc w:val="center"/>
              <w:textAlignment w:val="center"/>
              <w:rPr>
                <w:rFonts w:hint="eastAsia" w:ascii="仿宋" w:hAnsi="仿宋" w:eastAsia="仿宋" w:cs="仿宋"/>
                <w:sz w:val="24"/>
                <w:szCs w:val="24"/>
              </w:rPr>
            </w:pPr>
          </w:p>
        </w:tc>
        <w:tc>
          <w:tcPr>
            <w:tcW w:w="385" w:type="pct"/>
            <w:vAlign w:val="center"/>
          </w:tcPr>
          <w:p w14:paraId="1F37943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46322D12">
            <w:pPr>
              <w:jc w:val="center"/>
              <w:textAlignment w:val="center"/>
              <w:rPr>
                <w:rFonts w:hint="eastAsia" w:ascii="仿宋" w:hAnsi="仿宋" w:eastAsia="仿宋" w:cs="仿宋"/>
                <w:sz w:val="24"/>
                <w:szCs w:val="24"/>
              </w:rPr>
            </w:pPr>
          </w:p>
        </w:tc>
        <w:tc>
          <w:tcPr>
            <w:tcW w:w="3940" w:type="pct"/>
            <w:vAlign w:val="center"/>
          </w:tcPr>
          <w:p w14:paraId="7F03BCE5">
            <w:pPr>
              <w:jc w:val="center"/>
              <w:textAlignment w:val="center"/>
              <w:rPr>
                <w:rFonts w:hint="eastAsia" w:ascii="仿宋" w:hAnsi="仿宋" w:eastAsia="仿宋" w:cs="仿宋"/>
                <w:sz w:val="24"/>
                <w:szCs w:val="24"/>
              </w:rPr>
            </w:pPr>
            <w:r>
              <w:rPr>
                <w:rFonts w:hint="eastAsia" w:ascii="仿宋" w:hAnsi="仿宋" w:eastAsia="仿宋" w:cs="仿宋"/>
                <w:sz w:val="24"/>
                <w:szCs w:val="24"/>
              </w:rPr>
              <w:t>所有设备、室体照明设施、含钢平台底部照明</w:t>
            </w:r>
          </w:p>
        </w:tc>
      </w:tr>
      <w:tr w14:paraId="752BE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DDDC95C">
            <w:pPr>
              <w:jc w:val="center"/>
              <w:textAlignment w:val="center"/>
              <w:rPr>
                <w:rFonts w:hint="eastAsia" w:ascii="仿宋" w:hAnsi="仿宋" w:eastAsia="仿宋" w:cs="仿宋"/>
                <w:sz w:val="24"/>
                <w:szCs w:val="24"/>
              </w:rPr>
            </w:pPr>
          </w:p>
        </w:tc>
        <w:tc>
          <w:tcPr>
            <w:tcW w:w="385" w:type="pct"/>
            <w:vAlign w:val="center"/>
          </w:tcPr>
          <w:p w14:paraId="29304A94">
            <w:pPr>
              <w:jc w:val="center"/>
              <w:textAlignment w:val="center"/>
              <w:rPr>
                <w:rFonts w:hint="eastAsia" w:ascii="仿宋" w:hAnsi="仿宋" w:eastAsia="仿宋" w:cs="仿宋"/>
                <w:sz w:val="24"/>
                <w:szCs w:val="24"/>
              </w:rPr>
            </w:pPr>
          </w:p>
        </w:tc>
        <w:tc>
          <w:tcPr>
            <w:tcW w:w="418" w:type="pct"/>
            <w:vAlign w:val="center"/>
          </w:tcPr>
          <w:p w14:paraId="1E2B177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3E810F90">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车间厂房、辅房的照明工程及车间应急照明</w:t>
            </w:r>
          </w:p>
        </w:tc>
      </w:tr>
      <w:tr w14:paraId="30978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1C1B02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五</w:t>
            </w:r>
          </w:p>
        </w:tc>
        <w:tc>
          <w:tcPr>
            <w:tcW w:w="385" w:type="pct"/>
            <w:vAlign w:val="center"/>
          </w:tcPr>
          <w:p w14:paraId="56BF52A9">
            <w:pPr>
              <w:jc w:val="center"/>
              <w:textAlignment w:val="center"/>
              <w:rPr>
                <w:rFonts w:hint="eastAsia" w:ascii="仿宋" w:hAnsi="仿宋" w:eastAsia="仿宋" w:cs="仿宋"/>
                <w:sz w:val="24"/>
                <w:szCs w:val="24"/>
              </w:rPr>
            </w:pPr>
          </w:p>
        </w:tc>
        <w:tc>
          <w:tcPr>
            <w:tcW w:w="418" w:type="pct"/>
            <w:vAlign w:val="center"/>
          </w:tcPr>
          <w:p w14:paraId="62A9560E">
            <w:pPr>
              <w:jc w:val="center"/>
              <w:textAlignment w:val="center"/>
              <w:rPr>
                <w:rFonts w:hint="eastAsia" w:ascii="仿宋" w:hAnsi="仿宋" w:eastAsia="仿宋" w:cs="仿宋"/>
                <w:sz w:val="24"/>
                <w:szCs w:val="24"/>
              </w:rPr>
            </w:pPr>
          </w:p>
        </w:tc>
        <w:tc>
          <w:tcPr>
            <w:tcW w:w="3940" w:type="pct"/>
            <w:vAlign w:val="center"/>
          </w:tcPr>
          <w:p w14:paraId="2B70B26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设备保洁</w:t>
            </w:r>
          </w:p>
        </w:tc>
      </w:tr>
      <w:tr w14:paraId="75067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8D094CE">
            <w:pPr>
              <w:jc w:val="center"/>
              <w:textAlignment w:val="center"/>
              <w:rPr>
                <w:rFonts w:hint="eastAsia" w:ascii="仿宋" w:hAnsi="仿宋" w:eastAsia="仿宋" w:cs="仿宋"/>
                <w:sz w:val="24"/>
                <w:szCs w:val="24"/>
              </w:rPr>
            </w:pPr>
          </w:p>
        </w:tc>
        <w:tc>
          <w:tcPr>
            <w:tcW w:w="385" w:type="pct"/>
            <w:vAlign w:val="center"/>
          </w:tcPr>
          <w:p w14:paraId="3E830EA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43AD2F7">
            <w:pPr>
              <w:jc w:val="center"/>
              <w:textAlignment w:val="center"/>
              <w:rPr>
                <w:rFonts w:hint="eastAsia" w:ascii="仿宋" w:hAnsi="仿宋" w:eastAsia="仿宋" w:cs="仿宋"/>
                <w:sz w:val="24"/>
                <w:szCs w:val="24"/>
              </w:rPr>
            </w:pPr>
          </w:p>
        </w:tc>
        <w:tc>
          <w:tcPr>
            <w:tcW w:w="3940" w:type="pct"/>
            <w:vAlign w:val="center"/>
          </w:tcPr>
          <w:p w14:paraId="7E414013">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施工期间现场和设备的清洁的一般清洁</w:t>
            </w:r>
          </w:p>
        </w:tc>
      </w:tr>
      <w:tr w14:paraId="54F0B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F34B6B1">
            <w:pPr>
              <w:jc w:val="center"/>
              <w:textAlignment w:val="center"/>
              <w:rPr>
                <w:rFonts w:hint="eastAsia" w:ascii="仿宋" w:hAnsi="仿宋" w:eastAsia="仿宋" w:cs="仿宋"/>
                <w:sz w:val="24"/>
                <w:szCs w:val="24"/>
              </w:rPr>
            </w:pPr>
          </w:p>
        </w:tc>
        <w:tc>
          <w:tcPr>
            <w:tcW w:w="385" w:type="pct"/>
            <w:vAlign w:val="center"/>
          </w:tcPr>
          <w:p w14:paraId="44D6132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81F65CB">
            <w:pPr>
              <w:jc w:val="center"/>
              <w:textAlignment w:val="center"/>
              <w:rPr>
                <w:rFonts w:hint="eastAsia" w:ascii="仿宋" w:hAnsi="仿宋" w:eastAsia="仿宋" w:cs="仿宋"/>
                <w:sz w:val="24"/>
                <w:szCs w:val="24"/>
              </w:rPr>
            </w:pPr>
          </w:p>
        </w:tc>
        <w:tc>
          <w:tcPr>
            <w:tcW w:w="3940" w:type="pct"/>
            <w:vAlign w:val="center"/>
          </w:tcPr>
          <w:p w14:paraId="631B9F67">
            <w:pPr>
              <w:jc w:val="center"/>
              <w:textAlignment w:val="center"/>
              <w:rPr>
                <w:rFonts w:hint="eastAsia" w:ascii="仿宋" w:hAnsi="仿宋" w:eastAsia="仿宋" w:cs="仿宋"/>
                <w:sz w:val="24"/>
                <w:szCs w:val="24"/>
              </w:rPr>
            </w:pPr>
            <w:r>
              <w:rPr>
                <w:rFonts w:hint="eastAsia" w:ascii="仿宋" w:hAnsi="仿宋" w:eastAsia="仿宋" w:cs="仿宋"/>
                <w:sz w:val="24"/>
                <w:szCs w:val="24"/>
              </w:rPr>
              <w:t>设备投产前的深度保洁工程</w:t>
            </w:r>
          </w:p>
        </w:tc>
      </w:tr>
      <w:tr w14:paraId="134C3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BCDA13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六</w:t>
            </w:r>
          </w:p>
        </w:tc>
        <w:tc>
          <w:tcPr>
            <w:tcW w:w="385" w:type="pct"/>
            <w:vAlign w:val="center"/>
          </w:tcPr>
          <w:p w14:paraId="3B94CB0A">
            <w:pPr>
              <w:jc w:val="center"/>
              <w:textAlignment w:val="center"/>
              <w:rPr>
                <w:rFonts w:hint="eastAsia" w:ascii="仿宋" w:hAnsi="仿宋" w:eastAsia="仿宋" w:cs="仿宋"/>
                <w:sz w:val="24"/>
                <w:szCs w:val="24"/>
              </w:rPr>
            </w:pPr>
          </w:p>
        </w:tc>
        <w:tc>
          <w:tcPr>
            <w:tcW w:w="418" w:type="pct"/>
            <w:vAlign w:val="center"/>
          </w:tcPr>
          <w:p w14:paraId="7242C378">
            <w:pPr>
              <w:jc w:val="center"/>
              <w:textAlignment w:val="center"/>
              <w:rPr>
                <w:rFonts w:hint="eastAsia" w:ascii="仿宋" w:hAnsi="仿宋" w:eastAsia="仿宋" w:cs="仿宋"/>
                <w:sz w:val="24"/>
                <w:szCs w:val="24"/>
              </w:rPr>
            </w:pPr>
          </w:p>
        </w:tc>
        <w:tc>
          <w:tcPr>
            <w:tcW w:w="3940" w:type="pct"/>
            <w:vAlign w:val="center"/>
          </w:tcPr>
          <w:p w14:paraId="7769D75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通风系统</w:t>
            </w:r>
          </w:p>
        </w:tc>
      </w:tr>
      <w:tr w14:paraId="0610A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E8FF847">
            <w:pPr>
              <w:jc w:val="center"/>
              <w:textAlignment w:val="center"/>
              <w:rPr>
                <w:rFonts w:hint="eastAsia" w:ascii="仿宋" w:hAnsi="仿宋" w:eastAsia="仿宋" w:cs="仿宋"/>
                <w:sz w:val="24"/>
                <w:szCs w:val="24"/>
              </w:rPr>
            </w:pPr>
          </w:p>
        </w:tc>
        <w:tc>
          <w:tcPr>
            <w:tcW w:w="385" w:type="pct"/>
            <w:vAlign w:val="center"/>
          </w:tcPr>
          <w:p w14:paraId="4BA991E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0BB3979">
            <w:pPr>
              <w:jc w:val="center"/>
              <w:textAlignment w:val="center"/>
              <w:rPr>
                <w:rFonts w:hint="eastAsia" w:ascii="仿宋" w:hAnsi="仿宋" w:eastAsia="仿宋" w:cs="仿宋"/>
                <w:sz w:val="24"/>
                <w:szCs w:val="24"/>
              </w:rPr>
            </w:pPr>
          </w:p>
        </w:tc>
        <w:tc>
          <w:tcPr>
            <w:tcW w:w="3940" w:type="pct"/>
            <w:vAlign w:val="center"/>
          </w:tcPr>
          <w:p w14:paraId="0972BF90">
            <w:pPr>
              <w:jc w:val="center"/>
              <w:textAlignment w:val="center"/>
              <w:rPr>
                <w:rFonts w:hint="eastAsia" w:ascii="仿宋" w:hAnsi="仿宋" w:eastAsia="仿宋" w:cs="仿宋"/>
                <w:sz w:val="24"/>
                <w:szCs w:val="24"/>
              </w:rPr>
            </w:pPr>
            <w:r>
              <w:rPr>
                <w:rFonts w:hint="eastAsia" w:ascii="仿宋" w:hAnsi="仿宋" w:eastAsia="仿宋" w:cs="仿宋"/>
                <w:sz w:val="24"/>
                <w:szCs w:val="24"/>
              </w:rPr>
              <w:t>设备的通风（包括接至车间外的部分）</w:t>
            </w:r>
          </w:p>
        </w:tc>
      </w:tr>
      <w:tr w14:paraId="34590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3F751A2">
            <w:pPr>
              <w:jc w:val="center"/>
              <w:textAlignment w:val="center"/>
              <w:rPr>
                <w:rFonts w:hint="eastAsia" w:ascii="仿宋" w:hAnsi="仿宋" w:eastAsia="仿宋" w:cs="仿宋"/>
                <w:sz w:val="24"/>
                <w:szCs w:val="24"/>
              </w:rPr>
            </w:pPr>
          </w:p>
        </w:tc>
        <w:tc>
          <w:tcPr>
            <w:tcW w:w="385" w:type="pct"/>
            <w:vAlign w:val="center"/>
          </w:tcPr>
          <w:p w14:paraId="61D412C6">
            <w:pPr>
              <w:jc w:val="center"/>
              <w:textAlignment w:val="center"/>
              <w:rPr>
                <w:rFonts w:hint="eastAsia" w:ascii="仿宋" w:hAnsi="仿宋" w:eastAsia="仿宋" w:cs="仿宋"/>
                <w:sz w:val="24"/>
                <w:szCs w:val="24"/>
              </w:rPr>
            </w:pPr>
          </w:p>
        </w:tc>
        <w:tc>
          <w:tcPr>
            <w:tcW w:w="418" w:type="pct"/>
            <w:vAlign w:val="center"/>
          </w:tcPr>
          <w:p w14:paraId="083ACCCD">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3940" w:type="pct"/>
            <w:vAlign w:val="center"/>
          </w:tcPr>
          <w:p w14:paraId="45DE51CB">
            <w:pPr>
              <w:jc w:val="center"/>
              <w:textAlignment w:val="center"/>
              <w:rPr>
                <w:rFonts w:hint="eastAsia" w:ascii="仿宋" w:hAnsi="仿宋" w:eastAsia="仿宋" w:cs="仿宋"/>
                <w:sz w:val="24"/>
                <w:szCs w:val="24"/>
              </w:rPr>
            </w:pPr>
            <w:r>
              <w:rPr>
                <w:rFonts w:hint="eastAsia" w:ascii="仿宋" w:hAnsi="仿宋" w:eastAsia="仿宋" w:cs="仿宋"/>
                <w:sz w:val="24"/>
                <w:szCs w:val="24"/>
              </w:rPr>
              <w:t>如有厂房空调招标方负责</w:t>
            </w:r>
          </w:p>
        </w:tc>
      </w:tr>
      <w:tr w14:paraId="67A28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917C54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七</w:t>
            </w:r>
          </w:p>
        </w:tc>
        <w:tc>
          <w:tcPr>
            <w:tcW w:w="385" w:type="pct"/>
            <w:vAlign w:val="center"/>
          </w:tcPr>
          <w:p w14:paraId="0CDE8378">
            <w:pPr>
              <w:jc w:val="center"/>
              <w:textAlignment w:val="center"/>
              <w:rPr>
                <w:rFonts w:hint="eastAsia" w:ascii="仿宋" w:hAnsi="仿宋" w:eastAsia="仿宋" w:cs="仿宋"/>
                <w:sz w:val="24"/>
                <w:szCs w:val="24"/>
              </w:rPr>
            </w:pPr>
          </w:p>
        </w:tc>
        <w:tc>
          <w:tcPr>
            <w:tcW w:w="418" w:type="pct"/>
            <w:vAlign w:val="center"/>
          </w:tcPr>
          <w:p w14:paraId="3C4260E6">
            <w:pPr>
              <w:jc w:val="center"/>
              <w:textAlignment w:val="center"/>
              <w:rPr>
                <w:rFonts w:hint="eastAsia" w:ascii="仿宋" w:hAnsi="仿宋" w:eastAsia="仿宋" w:cs="仿宋"/>
                <w:sz w:val="24"/>
                <w:szCs w:val="24"/>
              </w:rPr>
            </w:pPr>
          </w:p>
        </w:tc>
        <w:tc>
          <w:tcPr>
            <w:tcW w:w="3940" w:type="pct"/>
            <w:vAlign w:val="center"/>
          </w:tcPr>
          <w:p w14:paraId="2E7D027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环保工程</w:t>
            </w:r>
          </w:p>
        </w:tc>
      </w:tr>
      <w:tr w14:paraId="53193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7191E7A">
            <w:pPr>
              <w:jc w:val="center"/>
              <w:textAlignment w:val="center"/>
              <w:rPr>
                <w:rFonts w:hint="eastAsia" w:ascii="仿宋" w:hAnsi="仿宋" w:eastAsia="仿宋" w:cs="仿宋"/>
                <w:sz w:val="24"/>
                <w:szCs w:val="24"/>
              </w:rPr>
            </w:pPr>
          </w:p>
        </w:tc>
        <w:tc>
          <w:tcPr>
            <w:tcW w:w="385" w:type="pct"/>
            <w:vAlign w:val="center"/>
          </w:tcPr>
          <w:p w14:paraId="0F94E079">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35BC6B24">
            <w:pPr>
              <w:jc w:val="center"/>
              <w:textAlignment w:val="center"/>
              <w:rPr>
                <w:rFonts w:hint="eastAsia" w:ascii="仿宋" w:hAnsi="仿宋" w:eastAsia="仿宋" w:cs="仿宋"/>
                <w:sz w:val="24"/>
                <w:szCs w:val="24"/>
                <w:lang w:eastAsia="en-US"/>
              </w:rPr>
            </w:pPr>
          </w:p>
        </w:tc>
        <w:tc>
          <w:tcPr>
            <w:tcW w:w="3940" w:type="pct"/>
            <w:vAlign w:val="center"/>
          </w:tcPr>
          <w:p w14:paraId="6FD62063">
            <w:pPr>
              <w:jc w:val="center"/>
              <w:textAlignment w:val="center"/>
              <w:rPr>
                <w:rFonts w:hint="eastAsia" w:ascii="仿宋" w:hAnsi="仿宋" w:eastAsia="仿宋" w:cs="仿宋"/>
                <w:sz w:val="24"/>
                <w:szCs w:val="24"/>
              </w:rPr>
            </w:pPr>
            <w:r>
              <w:rPr>
                <w:rFonts w:hint="eastAsia" w:ascii="仿宋" w:hAnsi="仿宋" w:eastAsia="仿宋" w:cs="仿宋"/>
                <w:sz w:val="24"/>
                <w:szCs w:val="24"/>
              </w:rPr>
              <w:t>废气处理设备（废气排放满足中国标准要求）</w:t>
            </w:r>
          </w:p>
        </w:tc>
      </w:tr>
      <w:tr w14:paraId="5D08471D">
        <w:tblPrEx>
          <w:tblCellMar>
            <w:top w:w="0" w:type="dxa"/>
            <w:left w:w="0" w:type="dxa"/>
            <w:bottom w:w="0" w:type="dxa"/>
            <w:right w:w="0" w:type="dxa"/>
          </w:tblCellMar>
        </w:tblPrEx>
        <w:tc>
          <w:tcPr>
            <w:tcW w:w="0" w:type="auto"/>
            <w:vAlign w:val="center"/>
          </w:tcPr>
          <w:p w14:paraId="0573530D">
            <w:pPr>
              <w:jc w:val="center"/>
              <w:textAlignment w:val="center"/>
              <w:rPr>
                <w:rFonts w:hint="eastAsia" w:ascii="仿宋" w:hAnsi="仿宋" w:eastAsia="仿宋" w:cs="仿宋"/>
                <w:sz w:val="24"/>
                <w:szCs w:val="24"/>
              </w:rPr>
            </w:pPr>
          </w:p>
        </w:tc>
        <w:tc>
          <w:tcPr>
            <w:tcW w:w="385" w:type="pct"/>
            <w:vAlign w:val="center"/>
          </w:tcPr>
          <w:p w14:paraId="7E5C6955">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5AA9A4C8">
            <w:pPr>
              <w:jc w:val="center"/>
              <w:textAlignment w:val="center"/>
              <w:rPr>
                <w:rFonts w:hint="eastAsia" w:ascii="仿宋" w:hAnsi="仿宋" w:eastAsia="仿宋" w:cs="仿宋"/>
                <w:sz w:val="24"/>
                <w:szCs w:val="24"/>
                <w:lang w:eastAsia="en-US"/>
              </w:rPr>
            </w:pPr>
          </w:p>
        </w:tc>
        <w:tc>
          <w:tcPr>
            <w:tcW w:w="3940" w:type="pct"/>
            <w:vAlign w:val="center"/>
          </w:tcPr>
          <w:p w14:paraId="53995C8E">
            <w:pPr>
              <w:jc w:val="center"/>
              <w:textAlignment w:val="center"/>
              <w:rPr>
                <w:rFonts w:hint="eastAsia" w:ascii="仿宋" w:hAnsi="仿宋" w:eastAsia="仿宋" w:cs="仿宋"/>
                <w:sz w:val="24"/>
                <w:szCs w:val="24"/>
              </w:rPr>
            </w:pPr>
            <w:r>
              <w:rPr>
                <w:rFonts w:hint="eastAsia" w:ascii="仿宋" w:hAnsi="仿宋" w:eastAsia="仿宋" w:cs="仿宋"/>
                <w:sz w:val="24"/>
                <w:szCs w:val="24"/>
              </w:rPr>
              <w:t>废水处理设备改造</w:t>
            </w:r>
          </w:p>
        </w:tc>
      </w:tr>
      <w:tr w14:paraId="60D9D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A08C26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八</w:t>
            </w:r>
          </w:p>
        </w:tc>
        <w:tc>
          <w:tcPr>
            <w:tcW w:w="385" w:type="pct"/>
            <w:vAlign w:val="center"/>
          </w:tcPr>
          <w:p w14:paraId="6D6DF290">
            <w:pPr>
              <w:jc w:val="center"/>
              <w:textAlignment w:val="center"/>
              <w:rPr>
                <w:rFonts w:hint="eastAsia" w:ascii="仿宋" w:hAnsi="仿宋" w:eastAsia="仿宋" w:cs="仿宋"/>
                <w:sz w:val="24"/>
                <w:szCs w:val="24"/>
              </w:rPr>
            </w:pPr>
          </w:p>
        </w:tc>
        <w:tc>
          <w:tcPr>
            <w:tcW w:w="418" w:type="pct"/>
            <w:vAlign w:val="center"/>
          </w:tcPr>
          <w:p w14:paraId="60D01343">
            <w:pPr>
              <w:jc w:val="center"/>
              <w:textAlignment w:val="center"/>
              <w:rPr>
                <w:rFonts w:hint="eastAsia" w:ascii="仿宋" w:hAnsi="仿宋" w:eastAsia="仿宋" w:cs="仿宋"/>
                <w:sz w:val="24"/>
                <w:szCs w:val="24"/>
              </w:rPr>
            </w:pPr>
          </w:p>
        </w:tc>
        <w:tc>
          <w:tcPr>
            <w:tcW w:w="3940" w:type="pct"/>
            <w:vAlign w:val="center"/>
          </w:tcPr>
          <w:p w14:paraId="00C68DB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生产用设备设施</w:t>
            </w:r>
          </w:p>
        </w:tc>
      </w:tr>
      <w:tr w14:paraId="44222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88E37DD">
            <w:pPr>
              <w:jc w:val="center"/>
              <w:textAlignment w:val="center"/>
              <w:rPr>
                <w:rFonts w:hint="eastAsia" w:ascii="仿宋" w:hAnsi="仿宋" w:eastAsia="仿宋" w:cs="仿宋"/>
                <w:sz w:val="24"/>
                <w:szCs w:val="24"/>
              </w:rPr>
            </w:pPr>
          </w:p>
        </w:tc>
        <w:tc>
          <w:tcPr>
            <w:tcW w:w="385" w:type="pct"/>
            <w:vAlign w:val="center"/>
          </w:tcPr>
          <w:p w14:paraId="4813BED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D1085BC">
            <w:pPr>
              <w:jc w:val="center"/>
              <w:textAlignment w:val="center"/>
              <w:rPr>
                <w:rFonts w:hint="eastAsia" w:ascii="仿宋" w:hAnsi="仿宋" w:eastAsia="仿宋" w:cs="仿宋"/>
                <w:sz w:val="24"/>
                <w:szCs w:val="24"/>
              </w:rPr>
            </w:pPr>
          </w:p>
        </w:tc>
        <w:tc>
          <w:tcPr>
            <w:tcW w:w="3940" w:type="pct"/>
            <w:vAlign w:val="center"/>
          </w:tcPr>
          <w:p w14:paraId="25186FF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w:t>
            </w:r>
            <w:r>
              <w:rPr>
                <w:rFonts w:hint="eastAsia" w:ascii="仿宋" w:hAnsi="仿宋" w:eastAsia="仿宋" w:cs="仿宋"/>
                <w:sz w:val="24"/>
                <w:szCs w:val="24"/>
              </w:rPr>
              <w:t>改造</w:t>
            </w:r>
          </w:p>
        </w:tc>
      </w:tr>
      <w:tr w14:paraId="5080BAB0">
        <w:tblPrEx>
          <w:tblCellMar>
            <w:top w:w="0" w:type="dxa"/>
            <w:left w:w="0" w:type="dxa"/>
            <w:bottom w:w="0" w:type="dxa"/>
            <w:right w:w="0" w:type="dxa"/>
          </w:tblCellMar>
        </w:tblPrEx>
        <w:tc>
          <w:tcPr>
            <w:tcW w:w="0" w:type="auto"/>
            <w:vAlign w:val="center"/>
          </w:tcPr>
          <w:p w14:paraId="7F960CE8">
            <w:pPr>
              <w:jc w:val="center"/>
              <w:textAlignment w:val="center"/>
              <w:rPr>
                <w:rFonts w:hint="eastAsia" w:ascii="仿宋" w:hAnsi="仿宋" w:eastAsia="仿宋" w:cs="仿宋"/>
                <w:sz w:val="24"/>
                <w:szCs w:val="24"/>
              </w:rPr>
            </w:pPr>
          </w:p>
        </w:tc>
        <w:tc>
          <w:tcPr>
            <w:tcW w:w="385" w:type="pct"/>
            <w:vAlign w:val="center"/>
          </w:tcPr>
          <w:p w14:paraId="6C0B66C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14BF403">
            <w:pPr>
              <w:jc w:val="center"/>
              <w:textAlignment w:val="center"/>
              <w:rPr>
                <w:rFonts w:hint="eastAsia" w:ascii="仿宋" w:hAnsi="仿宋" w:eastAsia="仿宋" w:cs="仿宋"/>
                <w:sz w:val="24"/>
                <w:szCs w:val="24"/>
              </w:rPr>
            </w:pPr>
          </w:p>
        </w:tc>
        <w:tc>
          <w:tcPr>
            <w:tcW w:w="3940" w:type="pct"/>
            <w:vAlign w:val="center"/>
          </w:tcPr>
          <w:p w14:paraId="291D0CF8">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工艺设备</w:t>
            </w:r>
          </w:p>
        </w:tc>
      </w:tr>
      <w:tr w14:paraId="5951D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65FBC85">
            <w:pPr>
              <w:jc w:val="center"/>
              <w:textAlignment w:val="center"/>
              <w:rPr>
                <w:rFonts w:hint="eastAsia" w:ascii="仿宋" w:hAnsi="仿宋" w:eastAsia="仿宋" w:cs="仿宋"/>
                <w:sz w:val="24"/>
                <w:szCs w:val="24"/>
              </w:rPr>
            </w:pPr>
          </w:p>
        </w:tc>
        <w:tc>
          <w:tcPr>
            <w:tcW w:w="385" w:type="pct"/>
            <w:vAlign w:val="center"/>
          </w:tcPr>
          <w:p w14:paraId="4DDF424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762B18A1">
            <w:pPr>
              <w:jc w:val="center"/>
              <w:textAlignment w:val="center"/>
              <w:rPr>
                <w:rFonts w:hint="eastAsia" w:ascii="仿宋" w:hAnsi="仿宋" w:eastAsia="仿宋" w:cs="仿宋"/>
                <w:sz w:val="24"/>
                <w:szCs w:val="24"/>
              </w:rPr>
            </w:pPr>
          </w:p>
        </w:tc>
        <w:tc>
          <w:tcPr>
            <w:tcW w:w="3940" w:type="pct"/>
            <w:vAlign w:val="center"/>
          </w:tcPr>
          <w:p w14:paraId="1CE6425E">
            <w:pPr>
              <w:jc w:val="center"/>
              <w:textAlignment w:val="center"/>
              <w:rPr>
                <w:rFonts w:hint="eastAsia" w:ascii="仿宋" w:hAnsi="仿宋" w:eastAsia="仿宋" w:cs="仿宋"/>
                <w:sz w:val="24"/>
                <w:szCs w:val="24"/>
              </w:rPr>
            </w:pPr>
            <w:r>
              <w:rPr>
                <w:rFonts w:hint="eastAsia" w:ascii="仿宋" w:hAnsi="仿宋" w:eastAsia="仿宋" w:cs="仿宋"/>
                <w:sz w:val="24"/>
                <w:szCs w:val="24"/>
              </w:rPr>
              <w:t>热水系统（热水锅炉、管路和管件等）</w:t>
            </w:r>
          </w:p>
        </w:tc>
      </w:tr>
      <w:tr w14:paraId="352CA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35C076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九</w:t>
            </w:r>
          </w:p>
        </w:tc>
        <w:tc>
          <w:tcPr>
            <w:tcW w:w="385" w:type="pct"/>
            <w:vAlign w:val="center"/>
          </w:tcPr>
          <w:p w14:paraId="2678B604">
            <w:pPr>
              <w:jc w:val="center"/>
              <w:textAlignment w:val="center"/>
              <w:rPr>
                <w:rFonts w:hint="eastAsia" w:ascii="仿宋" w:hAnsi="仿宋" w:eastAsia="仿宋" w:cs="仿宋"/>
                <w:sz w:val="24"/>
                <w:szCs w:val="24"/>
              </w:rPr>
            </w:pPr>
          </w:p>
        </w:tc>
        <w:tc>
          <w:tcPr>
            <w:tcW w:w="418" w:type="pct"/>
            <w:vAlign w:val="center"/>
          </w:tcPr>
          <w:p w14:paraId="0EE25E82">
            <w:pPr>
              <w:jc w:val="center"/>
              <w:textAlignment w:val="center"/>
              <w:rPr>
                <w:rFonts w:hint="eastAsia" w:ascii="仿宋" w:hAnsi="仿宋" w:eastAsia="仿宋" w:cs="仿宋"/>
                <w:sz w:val="24"/>
                <w:szCs w:val="24"/>
              </w:rPr>
            </w:pPr>
          </w:p>
        </w:tc>
        <w:tc>
          <w:tcPr>
            <w:tcW w:w="3940" w:type="pct"/>
            <w:vAlign w:val="center"/>
          </w:tcPr>
          <w:p w14:paraId="65F4A5B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公用设施</w:t>
            </w:r>
          </w:p>
        </w:tc>
      </w:tr>
      <w:tr w14:paraId="278C2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620E688">
            <w:pPr>
              <w:jc w:val="center"/>
              <w:textAlignment w:val="center"/>
              <w:rPr>
                <w:rFonts w:hint="eastAsia" w:ascii="仿宋" w:hAnsi="仿宋" w:eastAsia="仿宋" w:cs="仿宋"/>
                <w:sz w:val="24"/>
                <w:szCs w:val="24"/>
              </w:rPr>
            </w:pPr>
          </w:p>
        </w:tc>
        <w:tc>
          <w:tcPr>
            <w:tcW w:w="385" w:type="pct"/>
            <w:vAlign w:val="center"/>
          </w:tcPr>
          <w:p w14:paraId="49EFA76D">
            <w:pPr>
              <w:jc w:val="center"/>
              <w:textAlignment w:val="center"/>
              <w:rPr>
                <w:rFonts w:hint="eastAsia" w:ascii="仿宋" w:hAnsi="仿宋" w:eastAsia="仿宋" w:cs="仿宋"/>
                <w:sz w:val="24"/>
                <w:szCs w:val="24"/>
              </w:rPr>
            </w:pPr>
          </w:p>
        </w:tc>
        <w:tc>
          <w:tcPr>
            <w:tcW w:w="418" w:type="pct"/>
            <w:vAlign w:val="center"/>
          </w:tcPr>
          <w:p w14:paraId="721A923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21A2537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变配电间</w:t>
            </w:r>
          </w:p>
        </w:tc>
      </w:tr>
      <w:tr w14:paraId="1C49A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428357C">
            <w:pPr>
              <w:jc w:val="center"/>
              <w:textAlignment w:val="center"/>
              <w:rPr>
                <w:rFonts w:hint="eastAsia" w:ascii="仿宋" w:hAnsi="仿宋" w:eastAsia="仿宋" w:cs="仿宋"/>
                <w:sz w:val="24"/>
                <w:szCs w:val="24"/>
              </w:rPr>
            </w:pPr>
          </w:p>
        </w:tc>
        <w:tc>
          <w:tcPr>
            <w:tcW w:w="385" w:type="pct"/>
            <w:vAlign w:val="center"/>
          </w:tcPr>
          <w:p w14:paraId="31C914D2">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07AA689B">
            <w:pPr>
              <w:jc w:val="center"/>
              <w:textAlignment w:val="center"/>
              <w:rPr>
                <w:rFonts w:hint="eastAsia" w:ascii="仿宋" w:hAnsi="仿宋" w:eastAsia="仿宋" w:cs="仿宋"/>
                <w:sz w:val="24"/>
                <w:szCs w:val="24"/>
                <w:lang w:eastAsia="en-US"/>
              </w:rPr>
            </w:pPr>
          </w:p>
        </w:tc>
        <w:tc>
          <w:tcPr>
            <w:tcW w:w="3940" w:type="pct"/>
            <w:vAlign w:val="center"/>
          </w:tcPr>
          <w:p w14:paraId="398C4ED9">
            <w:pPr>
              <w:jc w:val="center"/>
              <w:textAlignment w:val="center"/>
              <w:rPr>
                <w:rFonts w:hint="eastAsia" w:ascii="仿宋" w:hAnsi="仿宋" w:eastAsia="仿宋" w:cs="仿宋"/>
                <w:sz w:val="24"/>
                <w:szCs w:val="24"/>
              </w:rPr>
            </w:pPr>
            <w:r>
              <w:rPr>
                <w:rFonts w:hint="eastAsia" w:ascii="仿宋" w:hAnsi="仿宋" w:eastAsia="仿宋" w:cs="仿宋"/>
                <w:sz w:val="24"/>
                <w:szCs w:val="24"/>
              </w:rPr>
              <w:t>废水处理站改造</w:t>
            </w:r>
          </w:p>
        </w:tc>
      </w:tr>
      <w:tr w14:paraId="2FAE8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433A95F">
            <w:pPr>
              <w:jc w:val="center"/>
              <w:textAlignment w:val="center"/>
              <w:rPr>
                <w:rFonts w:hint="eastAsia" w:ascii="仿宋" w:hAnsi="仿宋" w:eastAsia="仿宋" w:cs="仿宋"/>
                <w:sz w:val="24"/>
                <w:szCs w:val="24"/>
              </w:rPr>
            </w:pPr>
          </w:p>
        </w:tc>
        <w:tc>
          <w:tcPr>
            <w:tcW w:w="385" w:type="pct"/>
            <w:vAlign w:val="center"/>
          </w:tcPr>
          <w:p w14:paraId="25BA2A9A">
            <w:pPr>
              <w:jc w:val="center"/>
              <w:textAlignment w:val="center"/>
              <w:rPr>
                <w:rFonts w:hint="eastAsia" w:ascii="仿宋" w:hAnsi="仿宋" w:eastAsia="仿宋" w:cs="仿宋"/>
                <w:sz w:val="24"/>
                <w:szCs w:val="24"/>
              </w:rPr>
            </w:pPr>
          </w:p>
        </w:tc>
        <w:tc>
          <w:tcPr>
            <w:tcW w:w="418" w:type="pct"/>
            <w:vAlign w:val="center"/>
          </w:tcPr>
          <w:p w14:paraId="4F225D4C">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22AF411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生活污水排放管路</w:t>
            </w:r>
          </w:p>
        </w:tc>
      </w:tr>
      <w:tr w14:paraId="6C7D1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37F9D01">
            <w:pPr>
              <w:jc w:val="center"/>
              <w:textAlignment w:val="center"/>
              <w:rPr>
                <w:rFonts w:hint="eastAsia" w:ascii="仿宋" w:hAnsi="仿宋" w:eastAsia="仿宋" w:cs="仿宋"/>
                <w:sz w:val="24"/>
                <w:szCs w:val="24"/>
              </w:rPr>
            </w:pPr>
          </w:p>
        </w:tc>
        <w:tc>
          <w:tcPr>
            <w:tcW w:w="385" w:type="pct"/>
            <w:vAlign w:val="center"/>
          </w:tcPr>
          <w:p w14:paraId="7AB01DCE">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0B806787">
            <w:pPr>
              <w:jc w:val="center"/>
              <w:textAlignment w:val="center"/>
              <w:rPr>
                <w:rFonts w:hint="eastAsia" w:ascii="仿宋" w:hAnsi="仿宋" w:eastAsia="仿宋" w:cs="仿宋"/>
                <w:sz w:val="24"/>
                <w:szCs w:val="24"/>
                <w:lang w:eastAsia="en-US"/>
              </w:rPr>
            </w:pPr>
          </w:p>
        </w:tc>
        <w:tc>
          <w:tcPr>
            <w:tcW w:w="3940" w:type="pct"/>
            <w:vAlign w:val="center"/>
          </w:tcPr>
          <w:p w14:paraId="1B406974">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车间屋面开洞需求的提资，风管固定</w:t>
            </w:r>
          </w:p>
        </w:tc>
      </w:tr>
      <w:tr w14:paraId="3A3EE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05C11C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十</w:t>
            </w:r>
          </w:p>
        </w:tc>
        <w:tc>
          <w:tcPr>
            <w:tcW w:w="385" w:type="pct"/>
            <w:vAlign w:val="center"/>
          </w:tcPr>
          <w:p w14:paraId="2487AD4A">
            <w:pPr>
              <w:jc w:val="center"/>
              <w:textAlignment w:val="center"/>
              <w:rPr>
                <w:rFonts w:hint="eastAsia" w:ascii="仿宋" w:hAnsi="仿宋" w:eastAsia="仿宋" w:cs="仿宋"/>
                <w:sz w:val="24"/>
                <w:szCs w:val="24"/>
              </w:rPr>
            </w:pPr>
          </w:p>
        </w:tc>
        <w:tc>
          <w:tcPr>
            <w:tcW w:w="418" w:type="pct"/>
            <w:vAlign w:val="center"/>
          </w:tcPr>
          <w:p w14:paraId="41E616A6">
            <w:pPr>
              <w:jc w:val="center"/>
              <w:textAlignment w:val="center"/>
              <w:rPr>
                <w:rFonts w:hint="eastAsia" w:ascii="仿宋" w:hAnsi="仿宋" w:eastAsia="仿宋" w:cs="仿宋"/>
                <w:sz w:val="24"/>
                <w:szCs w:val="24"/>
              </w:rPr>
            </w:pPr>
          </w:p>
        </w:tc>
        <w:tc>
          <w:tcPr>
            <w:tcW w:w="3940" w:type="pct"/>
            <w:vAlign w:val="center"/>
          </w:tcPr>
          <w:p w14:paraId="232B627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消防工程</w:t>
            </w:r>
          </w:p>
        </w:tc>
      </w:tr>
      <w:tr w14:paraId="5242C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3EC4D9E">
            <w:pPr>
              <w:jc w:val="center"/>
              <w:textAlignment w:val="center"/>
              <w:rPr>
                <w:rFonts w:hint="eastAsia" w:ascii="仿宋" w:hAnsi="仿宋" w:eastAsia="仿宋" w:cs="仿宋"/>
                <w:sz w:val="24"/>
                <w:szCs w:val="24"/>
              </w:rPr>
            </w:pPr>
          </w:p>
        </w:tc>
        <w:tc>
          <w:tcPr>
            <w:tcW w:w="385" w:type="pct"/>
            <w:vAlign w:val="center"/>
          </w:tcPr>
          <w:p w14:paraId="2074610A">
            <w:pPr>
              <w:jc w:val="center"/>
              <w:textAlignment w:val="center"/>
              <w:rPr>
                <w:rFonts w:hint="eastAsia" w:ascii="仿宋" w:hAnsi="仿宋" w:eastAsia="仿宋" w:cs="仿宋"/>
                <w:sz w:val="24"/>
                <w:szCs w:val="24"/>
              </w:rPr>
            </w:pPr>
          </w:p>
        </w:tc>
        <w:tc>
          <w:tcPr>
            <w:tcW w:w="418" w:type="pct"/>
            <w:vAlign w:val="center"/>
          </w:tcPr>
          <w:p w14:paraId="4B07360C">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332B47A">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车间内所有消防设施及消防的验收工作</w:t>
            </w:r>
          </w:p>
        </w:tc>
      </w:tr>
      <w:tr w14:paraId="78A19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3090BC9">
            <w:pPr>
              <w:jc w:val="center"/>
              <w:textAlignment w:val="center"/>
              <w:rPr>
                <w:rFonts w:hint="eastAsia" w:ascii="仿宋" w:hAnsi="仿宋" w:eastAsia="仿宋" w:cs="仿宋"/>
                <w:sz w:val="24"/>
                <w:szCs w:val="24"/>
              </w:rPr>
            </w:pPr>
          </w:p>
        </w:tc>
        <w:tc>
          <w:tcPr>
            <w:tcW w:w="385" w:type="pct"/>
            <w:vAlign w:val="center"/>
          </w:tcPr>
          <w:p w14:paraId="67BA885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A278056">
            <w:pPr>
              <w:jc w:val="center"/>
              <w:textAlignment w:val="center"/>
              <w:rPr>
                <w:rFonts w:hint="eastAsia" w:ascii="仿宋" w:hAnsi="仿宋" w:eastAsia="仿宋" w:cs="仿宋"/>
                <w:sz w:val="24"/>
                <w:szCs w:val="24"/>
              </w:rPr>
            </w:pPr>
          </w:p>
        </w:tc>
        <w:tc>
          <w:tcPr>
            <w:tcW w:w="3940" w:type="pct"/>
            <w:vAlign w:val="center"/>
          </w:tcPr>
          <w:p w14:paraId="1BC213D2">
            <w:pPr>
              <w:jc w:val="center"/>
              <w:textAlignment w:val="center"/>
              <w:rPr>
                <w:rFonts w:hint="eastAsia" w:ascii="仿宋" w:hAnsi="仿宋" w:eastAsia="仿宋" w:cs="仿宋"/>
                <w:sz w:val="24"/>
                <w:szCs w:val="24"/>
              </w:rPr>
            </w:pPr>
            <w:r>
              <w:rPr>
                <w:rFonts w:hint="eastAsia" w:ascii="仿宋" w:hAnsi="仿宋" w:eastAsia="仿宋" w:cs="仿宋"/>
                <w:sz w:val="24"/>
                <w:szCs w:val="24"/>
              </w:rPr>
              <w:t>投标方消防设备用水用电从招标方消防供水、供电点取</w:t>
            </w:r>
          </w:p>
        </w:tc>
      </w:tr>
      <w:tr w14:paraId="4652A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53FB7D7">
            <w:pPr>
              <w:jc w:val="center"/>
              <w:textAlignment w:val="center"/>
              <w:rPr>
                <w:rFonts w:hint="eastAsia" w:ascii="仿宋" w:hAnsi="仿宋" w:eastAsia="仿宋" w:cs="仿宋"/>
                <w:color w:val="FF0000"/>
                <w:sz w:val="24"/>
                <w:szCs w:val="24"/>
                <w:lang w:val="en-US" w:eastAsia="zh-CN"/>
              </w:rPr>
            </w:pPr>
            <w:r>
              <w:rPr>
                <w:rFonts w:hint="eastAsia" w:ascii="仿宋" w:hAnsi="仿宋" w:eastAsia="仿宋" w:cs="仿宋"/>
                <w:sz w:val="24"/>
                <w:szCs w:val="24"/>
                <w:lang w:eastAsia="en-US"/>
              </w:rPr>
              <w:t>十</w:t>
            </w:r>
            <w:r>
              <w:rPr>
                <w:rFonts w:hint="eastAsia" w:ascii="仿宋" w:hAnsi="仿宋" w:eastAsia="仿宋" w:cs="仿宋"/>
                <w:sz w:val="24"/>
                <w:szCs w:val="24"/>
                <w:lang w:val="en-US" w:eastAsia="zh-CN"/>
              </w:rPr>
              <w:t>一</w:t>
            </w:r>
          </w:p>
        </w:tc>
        <w:tc>
          <w:tcPr>
            <w:tcW w:w="385" w:type="pct"/>
            <w:vAlign w:val="center"/>
          </w:tcPr>
          <w:p w14:paraId="74B94C46">
            <w:pPr>
              <w:jc w:val="center"/>
              <w:textAlignment w:val="center"/>
              <w:rPr>
                <w:rFonts w:hint="eastAsia" w:ascii="仿宋" w:hAnsi="仿宋" w:eastAsia="仿宋" w:cs="仿宋"/>
                <w:color w:val="FF0000"/>
                <w:sz w:val="24"/>
                <w:szCs w:val="24"/>
              </w:rPr>
            </w:pPr>
          </w:p>
        </w:tc>
        <w:tc>
          <w:tcPr>
            <w:tcW w:w="418" w:type="pct"/>
            <w:vAlign w:val="center"/>
          </w:tcPr>
          <w:p w14:paraId="69408035">
            <w:pPr>
              <w:jc w:val="center"/>
              <w:textAlignment w:val="center"/>
              <w:rPr>
                <w:rFonts w:hint="eastAsia" w:ascii="仿宋" w:hAnsi="仿宋" w:eastAsia="仿宋" w:cs="仿宋"/>
                <w:color w:val="FF0000"/>
                <w:sz w:val="24"/>
                <w:szCs w:val="24"/>
              </w:rPr>
            </w:pPr>
          </w:p>
        </w:tc>
        <w:tc>
          <w:tcPr>
            <w:tcW w:w="3940" w:type="pct"/>
            <w:vAlign w:val="center"/>
          </w:tcPr>
          <w:p w14:paraId="653F79D7">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公用动力</w:t>
            </w:r>
          </w:p>
        </w:tc>
      </w:tr>
      <w:tr w14:paraId="78A5C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0" w:type="auto"/>
            <w:vAlign w:val="center"/>
          </w:tcPr>
          <w:p w14:paraId="142CC6EA">
            <w:pPr>
              <w:jc w:val="center"/>
              <w:textAlignment w:val="center"/>
              <w:rPr>
                <w:rFonts w:hint="eastAsia" w:ascii="仿宋" w:hAnsi="仿宋" w:eastAsia="仿宋" w:cs="仿宋"/>
                <w:sz w:val="24"/>
                <w:szCs w:val="24"/>
                <w:lang w:eastAsia="en-US"/>
              </w:rPr>
            </w:pPr>
          </w:p>
        </w:tc>
        <w:tc>
          <w:tcPr>
            <w:tcW w:w="385" w:type="pct"/>
            <w:vAlign w:val="center"/>
          </w:tcPr>
          <w:p w14:paraId="35E9D1F6">
            <w:pPr>
              <w:jc w:val="center"/>
              <w:textAlignment w:val="center"/>
              <w:rPr>
                <w:rFonts w:hint="eastAsia" w:ascii="仿宋" w:hAnsi="仿宋" w:eastAsia="仿宋" w:cs="仿宋"/>
                <w:color w:val="FF0000"/>
                <w:sz w:val="24"/>
                <w:szCs w:val="24"/>
              </w:rPr>
            </w:pPr>
          </w:p>
        </w:tc>
        <w:tc>
          <w:tcPr>
            <w:tcW w:w="418" w:type="pct"/>
            <w:vAlign w:val="center"/>
          </w:tcPr>
          <w:p w14:paraId="4E5213AF">
            <w:pPr>
              <w:jc w:val="center"/>
              <w:textAlignment w:val="center"/>
              <w:rPr>
                <w:rFonts w:hint="eastAsia" w:ascii="仿宋" w:hAnsi="仿宋" w:eastAsia="仿宋" w:cs="仿宋"/>
                <w:color w:val="FF0000"/>
                <w:sz w:val="24"/>
                <w:szCs w:val="24"/>
              </w:rPr>
            </w:pPr>
            <w:r>
              <w:rPr>
                <w:rFonts w:hint="eastAsia" w:ascii="仿宋" w:hAnsi="仿宋" w:eastAsia="仿宋" w:cs="仿宋"/>
                <w:sz w:val="24"/>
                <w:szCs w:val="24"/>
                <w:lang w:eastAsia="en-US"/>
              </w:rPr>
              <w:t>◆</w:t>
            </w:r>
          </w:p>
        </w:tc>
        <w:tc>
          <w:tcPr>
            <w:tcW w:w="3940" w:type="pct"/>
            <w:vAlign w:val="center"/>
          </w:tcPr>
          <w:p w14:paraId="01BD956A">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天然气</w:t>
            </w:r>
            <w:r>
              <w:rPr>
                <w:rFonts w:hint="eastAsia" w:ascii="仿宋" w:hAnsi="仿宋" w:eastAsia="仿宋" w:cs="仿宋"/>
                <w:sz w:val="24"/>
                <w:szCs w:val="24"/>
                <w:lang w:eastAsia="en-US"/>
              </w:rPr>
              <w:t>一次管网，预留接口阀门</w:t>
            </w:r>
          </w:p>
        </w:tc>
      </w:tr>
      <w:tr w14:paraId="2FD76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2DED12E">
            <w:pPr>
              <w:jc w:val="center"/>
              <w:textAlignment w:val="center"/>
              <w:rPr>
                <w:rFonts w:hint="eastAsia" w:ascii="仿宋" w:hAnsi="仿宋" w:eastAsia="仿宋" w:cs="仿宋"/>
                <w:sz w:val="24"/>
                <w:szCs w:val="24"/>
                <w:lang w:eastAsia="en-US"/>
              </w:rPr>
            </w:pPr>
          </w:p>
        </w:tc>
        <w:tc>
          <w:tcPr>
            <w:tcW w:w="385" w:type="pct"/>
            <w:vAlign w:val="center"/>
          </w:tcPr>
          <w:p w14:paraId="7E5F6337">
            <w:pPr>
              <w:jc w:val="center"/>
              <w:textAlignment w:val="center"/>
              <w:rPr>
                <w:rFonts w:hint="eastAsia" w:ascii="仿宋" w:hAnsi="仿宋" w:eastAsia="仿宋" w:cs="仿宋"/>
                <w:color w:val="FF0000"/>
                <w:sz w:val="24"/>
                <w:szCs w:val="24"/>
              </w:rPr>
            </w:pPr>
          </w:p>
        </w:tc>
        <w:tc>
          <w:tcPr>
            <w:tcW w:w="418" w:type="pct"/>
            <w:vAlign w:val="center"/>
          </w:tcPr>
          <w:p w14:paraId="497C6814">
            <w:pPr>
              <w:jc w:val="center"/>
              <w:textAlignment w:val="center"/>
              <w:rPr>
                <w:rFonts w:hint="eastAsia" w:ascii="仿宋" w:hAnsi="仿宋" w:eastAsia="仿宋" w:cs="仿宋"/>
                <w:color w:val="FF0000"/>
                <w:sz w:val="24"/>
                <w:szCs w:val="24"/>
              </w:rPr>
            </w:pPr>
            <w:r>
              <w:rPr>
                <w:rFonts w:hint="eastAsia" w:ascii="仿宋" w:hAnsi="仿宋" w:eastAsia="仿宋" w:cs="仿宋"/>
                <w:sz w:val="24"/>
                <w:szCs w:val="24"/>
                <w:lang w:eastAsia="en-US"/>
              </w:rPr>
              <w:t>◆</w:t>
            </w:r>
          </w:p>
        </w:tc>
        <w:tc>
          <w:tcPr>
            <w:tcW w:w="3940" w:type="pct"/>
            <w:vAlign w:val="center"/>
          </w:tcPr>
          <w:p w14:paraId="0B8BD8A9">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工业水</w:t>
            </w:r>
            <w:r>
              <w:rPr>
                <w:rFonts w:hint="eastAsia" w:ascii="仿宋" w:hAnsi="仿宋" w:eastAsia="仿宋" w:cs="仿宋"/>
                <w:sz w:val="24"/>
                <w:szCs w:val="24"/>
                <w:lang w:eastAsia="en-US"/>
              </w:rPr>
              <w:t>一次管网，预留接口阀门</w:t>
            </w:r>
          </w:p>
        </w:tc>
      </w:tr>
      <w:tr w14:paraId="0DCA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D61B415">
            <w:pPr>
              <w:jc w:val="center"/>
              <w:textAlignment w:val="center"/>
              <w:rPr>
                <w:rFonts w:hint="eastAsia" w:ascii="仿宋" w:hAnsi="仿宋" w:eastAsia="仿宋" w:cs="仿宋"/>
                <w:sz w:val="24"/>
                <w:szCs w:val="24"/>
                <w:lang w:eastAsia="en-US"/>
              </w:rPr>
            </w:pPr>
          </w:p>
        </w:tc>
        <w:tc>
          <w:tcPr>
            <w:tcW w:w="385" w:type="pct"/>
            <w:vAlign w:val="center"/>
          </w:tcPr>
          <w:p w14:paraId="58519B54">
            <w:pPr>
              <w:jc w:val="center"/>
              <w:textAlignment w:val="center"/>
              <w:rPr>
                <w:rFonts w:hint="eastAsia" w:ascii="仿宋" w:hAnsi="仿宋" w:eastAsia="仿宋" w:cs="仿宋"/>
                <w:color w:val="FF0000"/>
                <w:sz w:val="24"/>
                <w:szCs w:val="24"/>
              </w:rPr>
            </w:pPr>
          </w:p>
        </w:tc>
        <w:tc>
          <w:tcPr>
            <w:tcW w:w="418" w:type="pct"/>
            <w:vAlign w:val="center"/>
          </w:tcPr>
          <w:p w14:paraId="1E0E0D14">
            <w:pPr>
              <w:jc w:val="center"/>
              <w:textAlignment w:val="center"/>
              <w:rPr>
                <w:rFonts w:hint="eastAsia" w:ascii="仿宋" w:hAnsi="仿宋" w:eastAsia="仿宋" w:cs="仿宋"/>
                <w:color w:val="FF0000"/>
                <w:sz w:val="24"/>
                <w:szCs w:val="24"/>
              </w:rPr>
            </w:pPr>
            <w:r>
              <w:rPr>
                <w:rFonts w:hint="eastAsia" w:ascii="仿宋" w:hAnsi="仿宋" w:eastAsia="仿宋" w:cs="仿宋"/>
                <w:sz w:val="24"/>
                <w:szCs w:val="24"/>
                <w:lang w:eastAsia="en-US"/>
              </w:rPr>
              <w:t>◆</w:t>
            </w:r>
          </w:p>
        </w:tc>
        <w:tc>
          <w:tcPr>
            <w:tcW w:w="3940" w:type="pct"/>
            <w:vAlign w:val="center"/>
          </w:tcPr>
          <w:p w14:paraId="1A2D3E3E">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压缩空气</w:t>
            </w:r>
            <w:r>
              <w:rPr>
                <w:rFonts w:hint="eastAsia" w:ascii="仿宋" w:hAnsi="仿宋" w:eastAsia="仿宋" w:cs="仿宋"/>
                <w:sz w:val="24"/>
                <w:szCs w:val="24"/>
                <w:lang w:eastAsia="en-US"/>
              </w:rPr>
              <w:t>一次管网，预留接口阀门</w:t>
            </w:r>
          </w:p>
        </w:tc>
      </w:tr>
      <w:tr w14:paraId="4BD87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FB3E0EE">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en-US"/>
              </w:rPr>
              <w:t>十</w:t>
            </w:r>
            <w:r>
              <w:rPr>
                <w:rFonts w:hint="eastAsia" w:ascii="仿宋" w:hAnsi="仿宋" w:eastAsia="仿宋" w:cs="仿宋"/>
                <w:sz w:val="24"/>
                <w:szCs w:val="24"/>
                <w:lang w:val="en-US" w:eastAsia="zh-CN"/>
              </w:rPr>
              <w:t>二</w:t>
            </w:r>
          </w:p>
        </w:tc>
        <w:tc>
          <w:tcPr>
            <w:tcW w:w="385" w:type="pct"/>
            <w:vAlign w:val="center"/>
          </w:tcPr>
          <w:p w14:paraId="0BDA8C02">
            <w:pPr>
              <w:jc w:val="center"/>
              <w:textAlignment w:val="center"/>
              <w:rPr>
                <w:rFonts w:hint="eastAsia" w:ascii="仿宋" w:hAnsi="仿宋" w:eastAsia="仿宋" w:cs="仿宋"/>
                <w:sz w:val="24"/>
                <w:szCs w:val="24"/>
              </w:rPr>
            </w:pPr>
          </w:p>
        </w:tc>
        <w:tc>
          <w:tcPr>
            <w:tcW w:w="418" w:type="pct"/>
            <w:vAlign w:val="center"/>
          </w:tcPr>
          <w:p w14:paraId="45E462C7">
            <w:pPr>
              <w:jc w:val="center"/>
              <w:textAlignment w:val="center"/>
              <w:rPr>
                <w:rFonts w:hint="eastAsia" w:ascii="仿宋" w:hAnsi="仿宋" w:eastAsia="仿宋" w:cs="仿宋"/>
                <w:sz w:val="24"/>
                <w:szCs w:val="24"/>
              </w:rPr>
            </w:pPr>
          </w:p>
        </w:tc>
        <w:tc>
          <w:tcPr>
            <w:tcW w:w="3940" w:type="pct"/>
            <w:vAlign w:val="center"/>
          </w:tcPr>
          <w:p w14:paraId="20F69F3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设备调试、试生产</w:t>
            </w:r>
          </w:p>
        </w:tc>
      </w:tr>
      <w:tr w14:paraId="59363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295BC57">
            <w:pPr>
              <w:jc w:val="center"/>
              <w:textAlignment w:val="center"/>
              <w:rPr>
                <w:rFonts w:hint="eastAsia" w:ascii="仿宋" w:hAnsi="仿宋" w:eastAsia="仿宋" w:cs="仿宋"/>
                <w:sz w:val="24"/>
                <w:szCs w:val="24"/>
              </w:rPr>
            </w:pPr>
          </w:p>
        </w:tc>
        <w:tc>
          <w:tcPr>
            <w:tcW w:w="385" w:type="pct"/>
            <w:vAlign w:val="center"/>
          </w:tcPr>
          <w:p w14:paraId="694E6235">
            <w:pPr>
              <w:jc w:val="center"/>
              <w:textAlignment w:val="center"/>
              <w:rPr>
                <w:rFonts w:hint="eastAsia" w:ascii="仿宋" w:hAnsi="仿宋" w:eastAsia="仿宋" w:cs="仿宋"/>
                <w:sz w:val="24"/>
                <w:szCs w:val="24"/>
              </w:rPr>
            </w:pPr>
          </w:p>
        </w:tc>
        <w:tc>
          <w:tcPr>
            <w:tcW w:w="418" w:type="pct"/>
            <w:vAlign w:val="center"/>
          </w:tcPr>
          <w:p w14:paraId="4DEEE87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49B6E1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生产用</w:t>
            </w:r>
            <w:r>
              <w:rPr>
                <w:rFonts w:hint="eastAsia" w:ascii="仿宋" w:hAnsi="仿宋" w:eastAsia="仿宋" w:cs="仿宋"/>
                <w:sz w:val="24"/>
                <w:szCs w:val="24"/>
              </w:rPr>
              <w:t>工件</w:t>
            </w:r>
          </w:p>
        </w:tc>
      </w:tr>
      <w:tr w14:paraId="3D757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B3153C4">
            <w:pPr>
              <w:jc w:val="center"/>
              <w:textAlignment w:val="center"/>
              <w:rPr>
                <w:rFonts w:hint="eastAsia" w:ascii="仿宋" w:hAnsi="仿宋" w:eastAsia="仿宋" w:cs="仿宋"/>
                <w:sz w:val="24"/>
                <w:szCs w:val="24"/>
              </w:rPr>
            </w:pPr>
          </w:p>
        </w:tc>
        <w:tc>
          <w:tcPr>
            <w:tcW w:w="385" w:type="pct"/>
            <w:vAlign w:val="center"/>
          </w:tcPr>
          <w:p w14:paraId="4D4179B8">
            <w:pPr>
              <w:jc w:val="center"/>
              <w:textAlignment w:val="center"/>
              <w:rPr>
                <w:rFonts w:hint="eastAsia" w:ascii="仿宋" w:hAnsi="仿宋" w:eastAsia="仿宋" w:cs="仿宋"/>
                <w:sz w:val="24"/>
                <w:szCs w:val="24"/>
              </w:rPr>
            </w:pPr>
          </w:p>
        </w:tc>
        <w:tc>
          <w:tcPr>
            <w:tcW w:w="418" w:type="pct"/>
            <w:vAlign w:val="center"/>
          </w:tcPr>
          <w:p w14:paraId="7143114C">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05A0162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化学清洗及材料</w:t>
            </w:r>
          </w:p>
        </w:tc>
      </w:tr>
      <w:tr w14:paraId="0DD8F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9A5C0C3">
            <w:pPr>
              <w:jc w:val="center"/>
              <w:textAlignment w:val="center"/>
              <w:rPr>
                <w:rFonts w:hint="eastAsia" w:ascii="仿宋" w:hAnsi="仿宋" w:eastAsia="仿宋" w:cs="仿宋"/>
                <w:sz w:val="24"/>
                <w:szCs w:val="24"/>
              </w:rPr>
            </w:pPr>
          </w:p>
        </w:tc>
        <w:tc>
          <w:tcPr>
            <w:tcW w:w="385" w:type="pct"/>
            <w:vAlign w:val="center"/>
          </w:tcPr>
          <w:p w14:paraId="2BDE16D3">
            <w:pPr>
              <w:jc w:val="center"/>
              <w:textAlignment w:val="center"/>
              <w:rPr>
                <w:rFonts w:hint="eastAsia" w:ascii="仿宋" w:hAnsi="仿宋" w:eastAsia="仿宋" w:cs="仿宋"/>
                <w:sz w:val="24"/>
                <w:szCs w:val="24"/>
              </w:rPr>
            </w:pPr>
          </w:p>
        </w:tc>
        <w:tc>
          <w:tcPr>
            <w:tcW w:w="418" w:type="pct"/>
            <w:vAlign w:val="center"/>
          </w:tcPr>
          <w:p w14:paraId="53696D8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196CD1E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投槽材料</w:t>
            </w:r>
          </w:p>
        </w:tc>
      </w:tr>
      <w:tr w14:paraId="02D83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CFBD97C">
            <w:pPr>
              <w:jc w:val="center"/>
              <w:textAlignment w:val="center"/>
              <w:rPr>
                <w:rFonts w:hint="eastAsia" w:ascii="仿宋" w:hAnsi="仿宋" w:eastAsia="仿宋" w:cs="仿宋"/>
                <w:sz w:val="24"/>
                <w:szCs w:val="24"/>
              </w:rPr>
            </w:pPr>
          </w:p>
        </w:tc>
        <w:tc>
          <w:tcPr>
            <w:tcW w:w="385" w:type="pct"/>
            <w:vAlign w:val="center"/>
          </w:tcPr>
          <w:p w14:paraId="00F7F6E3">
            <w:pPr>
              <w:jc w:val="center"/>
              <w:textAlignment w:val="center"/>
              <w:rPr>
                <w:rFonts w:hint="eastAsia" w:ascii="仿宋" w:hAnsi="仿宋" w:eastAsia="仿宋" w:cs="仿宋"/>
                <w:sz w:val="24"/>
                <w:szCs w:val="24"/>
              </w:rPr>
            </w:pPr>
          </w:p>
        </w:tc>
        <w:tc>
          <w:tcPr>
            <w:tcW w:w="418" w:type="pct"/>
            <w:vAlign w:val="center"/>
          </w:tcPr>
          <w:p w14:paraId="3BE42C3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5A7656E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漆料</w:t>
            </w:r>
          </w:p>
        </w:tc>
      </w:tr>
      <w:tr w14:paraId="7E7B0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E63BB54">
            <w:pPr>
              <w:jc w:val="center"/>
              <w:textAlignment w:val="center"/>
              <w:rPr>
                <w:rFonts w:hint="eastAsia" w:ascii="仿宋" w:hAnsi="仿宋" w:eastAsia="仿宋" w:cs="仿宋"/>
                <w:sz w:val="24"/>
                <w:szCs w:val="24"/>
              </w:rPr>
            </w:pPr>
          </w:p>
        </w:tc>
        <w:tc>
          <w:tcPr>
            <w:tcW w:w="385" w:type="pct"/>
            <w:vAlign w:val="center"/>
          </w:tcPr>
          <w:p w14:paraId="552717D3">
            <w:pPr>
              <w:jc w:val="center"/>
              <w:textAlignment w:val="center"/>
              <w:rPr>
                <w:rFonts w:hint="eastAsia" w:ascii="仿宋" w:hAnsi="仿宋" w:eastAsia="仿宋" w:cs="仿宋"/>
                <w:sz w:val="24"/>
                <w:szCs w:val="24"/>
              </w:rPr>
            </w:pPr>
          </w:p>
        </w:tc>
        <w:tc>
          <w:tcPr>
            <w:tcW w:w="418" w:type="pct"/>
            <w:vAlign w:val="center"/>
          </w:tcPr>
          <w:p w14:paraId="4E1A679D">
            <w:pPr>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0" distR="0">
                  <wp:extent cx="164465" cy="151765"/>
                  <wp:effectExtent l="0" t="0" r="635" b="635"/>
                  <wp:docPr id="18" name="IM 16"/>
                  <wp:cNvGraphicFramePr/>
                  <a:graphic xmlns:a="http://schemas.openxmlformats.org/drawingml/2006/main">
                    <a:graphicData uri="http://schemas.openxmlformats.org/drawingml/2006/picture">
                      <pic:pic xmlns:pic="http://schemas.openxmlformats.org/drawingml/2006/picture">
                        <pic:nvPicPr>
                          <pic:cNvPr id="18" name="IM 16"/>
                          <pic:cNvPicPr/>
                        </pic:nvPicPr>
                        <pic:blipFill>
                          <a:blip r:embed="rId47"/>
                          <a:stretch>
                            <a:fillRect/>
                          </a:stretch>
                        </pic:blipFill>
                        <pic:spPr>
                          <a:xfrm>
                            <a:off x="0" y="0"/>
                            <a:ext cx="165097" cy="152381"/>
                          </a:xfrm>
                          <a:prstGeom prst="rect">
                            <a:avLst/>
                          </a:prstGeom>
                        </pic:spPr>
                      </pic:pic>
                    </a:graphicData>
                  </a:graphic>
                </wp:inline>
              </w:drawing>
            </w:r>
          </w:p>
        </w:tc>
        <w:tc>
          <w:tcPr>
            <w:tcW w:w="3940" w:type="pct"/>
            <w:vAlign w:val="center"/>
          </w:tcPr>
          <w:p w14:paraId="34A9A1AF">
            <w:pPr>
              <w:jc w:val="center"/>
              <w:textAlignment w:val="center"/>
              <w:rPr>
                <w:rFonts w:hint="eastAsia" w:ascii="仿宋" w:hAnsi="仿宋" w:eastAsia="仿宋" w:cs="仿宋"/>
                <w:sz w:val="24"/>
                <w:szCs w:val="24"/>
              </w:rPr>
            </w:pPr>
            <w:r>
              <w:rPr>
                <w:rFonts w:hint="eastAsia" w:ascii="仿宋" w:hAnsi="仿宋" w:eastAsia="仿宋" w:cs="仿宋"/>
                <w:sz w:val="24"/>
                <w:szCs w:val="24"/>
              </w:rPr>
              <w:t>调试、试生产、生产用动力</w:t>
            </w:r>
          </w:p>
        </w:tc>
      </w:tr>
      <w:tr w14:paraId="01F0D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783256B">
            <w:pPr>
              <w:jc w:val="center"/>
              <w:textAlignment w:val="center"/>
              <w:rPr>
                <w:rFonts w:hint="eastAsia" w:ascii="仿宋" w:hAnsi="仿宋" w:eastAsia="仿宋" w:cs="仿宋"/>
                <w:sz w:val="24"/>
                <w:szCs w:val="24"/>
              </w:rPr>
            </w:pPr>
          </w:p>
        </w:tc>
        <w:tc>
          <w:tcPr>
            <w:tcW w:w="385" w:type="pct"/>
            <w:vAlign w:val="center"/>
          </w:tcPr>
          <w:p w14:paraId="0B93CE1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0C72EC0">
            <w:pPr>
              <w:jc w:val="center"/>
              <w:textAlignment w:val="center"/>
              <w:rPr>
                <w:rFonts w:hint="eastAsia" w:ascii="仿宋" w:hAnsi="仿宋" w:eastAsia="仿宋" w:cs="仿宋"/>
                <w:sz w:val="24"/>
                <w:szCs w:val="24"/>
              </w:rPr>
            </w:pPr>
          </w:p>
        </w:tc>
        <w:tc>
          <w:tcPr>
            <w:tcW w:w="3940" w:type="pct"/>
            <w:vAlign w:val="center"/>
          </w:tcPr>
          <w:p w14:paraId="0B21350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设备调试</w:t>
            </w:r>
          </w:p>
        </w:tc>
      </w:tr>
      <w:tr w14:paraId="245F7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440105E">
            <w:pPr>
              <w:jc w:val="center"/>
              <w:textAlignment w:val="center"/>
              <w:rPr>
                <w:rFonts w:hint="eastAsia" w:ascii="仿宋" w:hAnsi="仿宋" w:eastAsia="仿宋" w:cs="仿宋"/>
                <w:sz w:val="24"/>
                <w:szCs w:val="24"/>
              </w:rPr>
            </w:pPr>
          </w:p>
        </w:tc>
        <w:tc>
          <w:tcPr>
            <w:tcW w:w="385" w:type="pct"/>
            <w:vAlign w:val="center"/>
          </w:tcPr>
          <w:p w14:paraId="68D5C19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1127E5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33E09CA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试生产</w:t>
            </w:r>
          </w:p>
        </w:tc>
      </w:tr>
      <w:tr w14:paraId="15CE5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7D77BDF">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en-US"/>
              </w:rPr>
              <w:t>十</w:t>
            </w:r>
            <w:r>
              <w:rPr>
                <w:rFonts w:hint="eastAsia" w:ascii="仿宋" w:hAnsi="仿宋" w:eastAsia="仿宋" w:cs="仿宋"/>
                <w:sz w:val="24"/>
                <w:szCs w:val="24"/>
                <w:lang w:val="en-US" w:eastAsia="zh-CN"/>
              </w:rPr>
              <w:t>三</w:t>
            </w:r>
          </w:p>
        </w:tc>
        <w:tc>
          <w:tcPr>
            <w:tcW w:w="385" w:type="pct"/>
            <w:vAlign w:val="center"/>
          </w:tcPr>
          <w:p w14:paraId="1888B464">
            <w:pPr>
              <w:jc w:val="center"/>
              <w:textAlignment w:val="center"/>
              <w:rPr>
                <w:rFonts w:hint="eastAsia" w:ascii="仿宋" w:hAnsi="仿宋" w:eastAsia="仿宋" w:cs="仿宋"/>
                <w:sz w:val="24"/>
                <w:szCs w:val="24"/>
              </w:rPr>
            </w:pPr>
          </w:p>
        </w:tc>
        <w:tc>
          <w:tcPr>
            <w:tcW w:w="418" w:type="pct"/>
            <w:vAlign w:val="center"/>
          </w:tcPr>
          <w:p w14:paraId="4CC02AD4">
            <w:pPr>
              <w:jc w:val="center"/>
              <w:textAlignment w:val="center"/>
              <w:rPr>
                <w:rFonts w:hint="eastAsia" w:ascii="仿宋" w:hAnsi="仿宋" w:eastAsia="仿宋" w:cs="仿宋"/>
                <w:sz w:val="24"/>
                <w:szCs w:val="24"/>
              </w:rPr>
            </w:pPr>
          </w:p>
        </w:tc>
        <w:tc>
          <w:tcPr>
            <w:tcW w:w="3940" w:type="pct"/>
            <w:vAlign w:val="center"/>
          </w:tcPr>
          <w:p w14:paraId="2B6FC561">
            <w:pPr>
              <w:jc w:val="center"/>
              <w:textAlignment w:val="center"/>
              <w:rPr>
                <w:rFonts w:hint="eastAsia" w:ascii="仿宋" w:hAnsi="仿宋" w:eastAsia="仿宋" w:cs="仿宋"/>
                <w:sz w:val="24"/>
                <w:szCs w:val="24"/>
              </w:rPr>
            </w:pPr>
            <w:r>
              <w:rPr>
                <w:rFonts w:hint="eastAsia" w:ascii="仿宋" w:hAnsi="仿宋" w:eastAsia="仿宋" w:cs="仿宋"/>
                <w:sz w:val="24"/>
                <w:szCs w:val="24"/>
              </w:rPr>
              <w:t>一次吊具</w:t>
            </w:r>
          </w:p>
        </w:tc>
      </w:tr>
      <w:tr w14:paraId="045B6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E81D14E">
            <w:pPr>
              <w:jc w:val="center"/>
              <w:textAlignment w:val="center"/>
              <w:rPr>
                <w:rFonts w:hint="eastAsia" w:ascii="仿宋" w:hAnsi="仿宋" w:eastAsia="仿宋" w:cs="仿宋"/>
                <w:sz w:val="24"/>
                <w:szCs w:val="24"/>
              </w:rPr>
            </w:pPr>
          </w:p>
        </w:tc>
        <w:tc>
          <w:tcPr>
            <w:tcW w:w="385" w:type="pct"/>
            <w:vAlign w:val="center"/>
          </w:tcPr>
          <w:p w14:paraId="71E4711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21A60709">
            <w:pPr>
              <w:jc w:val="center"/>
              <w:textAlignment w:val="center"/>
              <w:rPr>
                <w:rFonts w:hint="eastAsia" w:ascii="仿宋" w:hAnsi="仿宋" w:eastAsia="仿宋" w:cs="仿宋"/>
                <w:sz w:val="24"/>
                <w:szCs w:val="24"/>
              </w:rPr>
            </w:pPr>
          </w:p>
        </w:tc>
        <w:tc>
          <w:tcPr>
            <w:tcW w:w="3940" w:type="pct"/>
            <w:vAlign w:val="center"/>
          </w:tcPr>
          <w:p w14:paraId="4F32C7EB">
            <w:pPr>
              <w:jc w:val="center"/>
              <w:textAlignment w:val="center"/>
              <w:rPr>
                <w:rFonts w:hint="eastAsia" w:ascii="仿宋" w:hAnsi="仿宋" w:eastAsia="仿宋" w:cs="仿宋"/>
                <w:sz w:val="24"/>
                <w:szCs w:val="24"/>
              </w:rPr>
            </w:pPr>
            <w:r>
              <w:rPr>
                <w:rFonts w:hint="eastAsia" w:ascii="仿宋" w:hAnsi="仿宋" w:eastAsia="仿宋" w:cs="仿宋"/>
                <w:sz w:val="24"/>
                <w:szCs w:val="24"/>
              </w:rPr>
              <w:t>一次员具</w:t>
            </w:r>
          </w:p>
        </w:tc>
      </w:tr>
      <w:tr w14:paraId="3C2B7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4E12AE0">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rPr>
              <w:t>十</w:t>
            </w:r>
            <w:r>
              <w:rPr>
                <w:rFonts w:hint="eastAsia" w:ascii="仿宋" w:hAnsi="仿宋" w:eastAsia="仿宋" w:cs="仿宋"/>
                <w:sz w:val="24"/>
                <w:szCs w:val="24"/>
                <w:lang w:val="en-US" w:eastAsia="zh-CN"/>
              </w:rPr>
              <w:t>四</w:t>
            </w:r>
          </w:p>
        </w:tc>
        <w:tc>
          <w:tcPr>
            <w:tcW w:w="385" w:type="pct"/>
            <w:vAlign w:val="center"/>
          </w:tcPr>
          <w:p w14:paraId="5F209F26">
            <w:pPr>
              <w:jc w:val="center"/>
              <w:textAlignment w:val="center"/>
              <w:rPr>
                <w:rFonts w:hint="eastAsia" w:ascii="仿宋" w:hAnsi="仿宋" w:eastAsia="仿宋" w:cs="仿宋"/>
                <w:sz w:val="24"/>
                <w:szCs w:val="24"/>
              </w:rPr>
            </w:pPr>
          </w:p>
        </w:tc>
        <w:tc>
          <w:tcPr>
            <w:tcW w:w="418" w:type="pct"/>
            <w:vAlign w:val="center"/>
          </w:tcPr>
          <w:p w14:paraId="462B7592">
            <w:pPr>
              <w:jc w:val="center"/>
              <w:textAlignment w:val="center"/>
              <w:rPr>
                <w:rFonts w:hint="eastAsia" w:ascii="仿宋" w:hAnsi="仿宋" w:eastAsia="仿宋" w:cs="仿宋"/>
                <w:sz w:val="24"/>
                <w:szCs w:val="24"/>
              </w:rPr>
            </w:pPr>
          </w:p>
        </w:tc>
        <w:tc>
          <w:tcPr>
            <w:tcW w:w="3940" w:type="pct"/>
            <w:vAlign w:val="center"/>
          </w:tcPr>
          <w:p w14:paraId="212EB5E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备品备件</w:t>
            </w:r>
          </w:p>
        </w:tc>
      </w:tr>
      <w:tr w14:paraId="7194E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CF21F00">
            <w:pPr>
              <w:jc w:val="center"/>
              <w:textAlignment w:val="center"/>
              <w:rPr>
                <w:rFonts w:hint="eastAsia" w:ascii="仿宋" w:hAnsi="仿宋" w:eastAsia="仿宋" w:cs="仿宋"/>
                <w:sz w:val="24"/>
                <w:szCs w:val="24"/>
              </w:rPr>
            </w:pPr>
          </w:p>
        </w:tc>
        <w:tc>
          <w:tcPr>
            <w:tcW w:w="385" w:type="pct"/>
            <w:vAlign w:val="center"/>
          </w:tcPr>
          <w:p w14:paraId="457F1B2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DBF8895">
            <w:pPr>
              <w:jc w:val="center"/>
              <w:textAlignment w:val="center"/>
              <w:rPr>
                <w:rFonts w:hint="eastAsia" w:ascii="仿宋" w:hAnsi="仿宋" w:eastAsia="仿宋" w:cs="仿宋"/>
                <w:sz w:val="24"/>
                <w:szCs w:val="24"/>
              </w:rPr>
            </w:pPr>
          </w:p>
        </w:tc>
        <w:tc>
          <w:tcPr>
            <w:tcW w:w="3940" w:type="pct"/>
            <w:vAlign w:val="center"/>
          </w:tcPr>
          <w:p w14:paraId="524B323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备件清单</w:t>
            </w:r>
          </w:p>
        </w:tc>
      </w:tr>
      <w:tr w14:paraId="59BFE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CC44889">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十五</w:t>
            </w:r>
          </w:p>
        </w:tc>
        <w:tc>
          <w:tcPr>
            <w:tcW w:w="385" w:type="pct"/>
            <w:vAlign w:val="center"/>
          </w:tcPr>
          <w:p w14:paraId="1E9A004D">
            <w:pPr>
              <w:jc w:val="center"/>
              <w:textAlignment w:val="center"/>
              <w:rPr>
                <w:rFonts w:hint="eastAsia" w:ascii="仿宋" w:hAnsi="仿宋" w:eastAsia="仿宋" w:cs="仿宋"/>
                <w:sz w:val="24"/>
                <w:szCs w:val="24"/>
              </w:rPr>
            </w:pPr>
          </w:p>
        </w:tc>
        <w:tc>
          <w:tcPr>
            <w:tcW w:w="418" w:type="pct"/>
            <w:vAlign w:val="center"/>
          </w:tcPr>
          <w:p w14:paraId="04295E0C">
            <w:pPr>
              <w:jc w:val="center"/>
              <w:textAlignment w:val="center"/>
              <w:rPr>
                <w:rFonts w:hint="eastAsia" w:ascii="仿宋" w:hAnsi="仿宋" w:eastAsia="仿宋" w:cs="仿宋"/>
                <w:sz w:val="24"/>
                <w:szCs w:val="24"/>
              </w:rPr>
            </w:pPr>
          </w:p>
        </w:tc>
        <w:tc>
          <w:tcPr>
            <w:tcW w:w="3940" w:type="pct"/>
            <w:vAlign w:val="center"/>
          </w:tcPr>
          <w:p w14:paraId="0FF6B1D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设备标识</w:t>
            </w:r>
          </w:p>
        </w:tc>
      </w:tr>
      <w:tr w14:paraId="18E5C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E8768B4">
            <w:pPr>
              <w:jc w:val="center"/>
              <w:textAlignment w:val="center"/>
              <w:rPr>
                <w:rFonts w:hint="eastAsia" w:ascii="仿宋" w:hAnsi="仿宋" w:eastAsia="仿宋" w:cs="仿宋"/>
                <w:sz w:val="24"/>
                <w:szCs w:val="24"/>
              </w:rPr>
            </w:pPr>
          </w:p>
        </w:tc>
        <w:tc>
          <w:tcPr>
            <w:tcW w:w="385" w:type="pct"/>
            <w:vAlign w:val="center"/>
          </w:tcPr>
          <w:p w14:paraId="108BE15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F22C3E9">
            <w:pPr>
              <w:jc w:val="center"/>
              <w:textAlignment w:val="center"/>
              <w:rPr>
                <w:rFonts w:hint="eastAsia" w:ascii="仿宋" w:hAnsi="仿宋" w:eastAsia="仿宋" w:cs="仿宋"/>
                <w:sz w:val="24"/>
                <w:szCs w:val="24"/>
              </w:rPr>
            </w:pPr>
          </w:p>
        </w:tc>
        <w:tc>
          <w:tcPr>
            <w:tcW w:w="3940" w:type="pct"/>
            <w:vAlign w:val="center"/>
          </w:tcPr>
          <w:p w14:paraId="18D4B5A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设备外表面油漆</w:t>
            </w:r>
          </w:p>
        </w:tc>
      </w:tr>
      <w:tr w14:paraId="7812F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A553C40">
            <w:pPr>
              <w:jc w:val="center"/>
              <w:textAlignment w:val="center"/>
              <w:rPr>
                <w:rFonts w:hint="eastAsia" w:ascii="仿宋" w:hAnsi="仿宋" w:eastAsia="仿宋" w:cs="仿宋"/>
                <w:sz w:val="24"/>
                <w:szCs w:val="24"/>
              </w:rPr>
            </w:pPr>
          </w:p>
        </w:tc>
        <w:tc>
          <w:tcPr>
            <w:tcW w:w="385" w:type="pct"/>
            <w:vAlign w:val="center"/>
          </w:tcPr>
          <w:p w14:paraId="3D90FDD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4F8F8ACD">
            <w:pPr>
              <w:jc w:val="center"/>
              <w:textAlignment w:val="center"/>
              <w:rPr>
                <w:rFonts w:hint="eastAsia" w:ascii="仿宋" w:hAnsi="仿宋" w:eastAsia="仿宋" w:cs="仿宋"/>
                <w:sz w:val="24"/>
                <w:szCs w:val="24"/>
              </w:rPr>
            </w:pPr>
          </w:p>
        </w:tc>
        <w:tc>
          <w:tcPr>
            <w:tcW w:w="3940" w:type="pct"/>
            <w:vAlign w:val="center"/>
          </w:tcPr>
          <w:p w14:paraId="4343FC9F">
            <w:pPr>
              <w:jc w:val="center"/>
              <w:textAlignment w:val="center"/>
              <w:rPr>
                <w:rFonts w:hint="eastAsia" w:ascii="仿宋" w:hAnsi="仿宋" w:eastAsia="仿宋" w:cs="仿宋"/>
                <w:sz w:val="24"/>
                <w:szCs w:val="24"/>
              </w:rPr>
            </w:pPr>
            <w:r>
              <w:rPr>
                <w:rFonts w:hint="eastAsia" w:ascii="仿宋" w:hAnsi="仿宋" w:eastAsia="仿宋" w:cs="仿宋"/>
                <w:sz w:val="24"/>
                <w:szCs w:val="24"/>
              </w:rPr>
              <w:t>管路指示（包括色环、指示箭头、文字说明）</w:t>
            </w:r>
          </w:p>
        </w:tc>
      </w:tr>
      <w:tr w14:paraId="4CD0A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EE0844E">
            <w:pPr>
              <w:jc w:val="center"/>
              <w:textAlignment w:val="center"/>
              <w:rPr>
                <w:rFonts w:hint="eastAsia" w:ascii="仿宋" w:hAnsi="仿宋" w:eastAsia="仿宋" w:cs="仿宋"/>
                <w:sz w:val="24"/>
                <w:szCs w:val="24"/>
              </w:rPr>
            </w:pPr>
          </w:p>
        </w:tc>
        <w:tc>
          <w:tcPr>
            <w:tcW w:w="385" w:type="pct"/>
            <w:vAlign w:val="center"/>
          </w:tcPr>
          <w:p w14:paraId="03EE4C9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935619E">
            <w:pPr>
              <w:jc w:val="center"/>
              <w:textAlignment w:val="center"/>
              <w:rPr>
                <w:rFonts w:hint="eastAsia" w:ascii="仿宋" w:hAnsi="仿宋" w:eastAsia="仿宋" w:cs="仿宋"/>
                <w:sz w:val="24"/>
                <w:szCs w:val="24"/>
              </w:rPr>
            </w:pPr>
          </w:p>
        </w:tc>
        <w:tc>
          <w:tcPr>
            <w:tcW w:w="3940" w:type="pct"/>
            <w:vAlign w:val="center"/>
          </w:tcPr>
          <w:p w14:paraId="362F04B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阀门常开常闭标识</w:t>
            </w:r>
          </w:p>
        </w:tc>
      </w:tr>
      <w:tr w14:paraId="7E1373E2">
        <w:tblPrEx>
          <w:tblCellMar>
            <w:top w:w="0" w:type="dxa"/>
            <w:left w:w="0" w:type="dxa"/>
            <w:bottom w:w="0" w:type="dxa"/>
            <w:right w:w="0" w:type="dxa"/>
          </w:tblCellMar>
        </w:tblPrEx>
        <w:tc>
          <w:tcPr>
            <w:tcW w:w="0" w:type="auto"/>
            <w:vAlign w:val="center"/>
          </w:tcPr>
          <w:p w14:paraId="14907F20">
            <w:pPr>
              <w:jc w:val="center"/>
              <w:textAlignment w:val="center"/>
              <w:rPr>
                <w:rFonts w:hint="eastAsia" w:ascii="仿宋" w:hAnsi="仿宋" w:eastAsia="仿宋" w:cs="仿宋"/>
                <w:sz w:val="24"/>
                <w:szCs w:val="24"/>
              </w:rPr>
            </w:pPr>
          </w:p>
        </w:tc>
        <w:tc>
          <w:tcPr>
            <w:tcW w:w="385" w:type="pct"/>
            <w:vAlign w:val="center"/>
          </w:tcPr>
          <w:p w14:paraId="055F206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7311D3A9">
            <w:pPr>
              <w:jc w:val="center"/>
              <w:textAlignment w:val="center"/>
              <w:rPr>
                <w:rFonts w:hint="eastAsia" w:ascii="仿宋" w:hAnsi="仿宋" w:eastAsia="仿宋" w:cs="仿宋"/>
                <w:sz w:val="24"/>
                <w:szCs w:val="24"/>
              </w:rPr>
            </w:pPr>
          </w:p>
        </w:tc>
        <w:tc>
          <w:tcPr>
            <w:tcW w:w="3940" w:type="pct"/>
            <w:vAlign w:val="center"/>
          </w:tcPr>
          <w:p w14:paraId="5789E3C3">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设备安全警示标示</w:t>
            </w:r>
          </w:p>
        </w:tc>
      </w:tr>
      <w:tr w14:paraId="16DBB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5DE1806">
            <w:pPr>
              <w:jc w:val="both"/>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十六</w:t>
            </w:r>
          </w:p>
        </w:tc>
        <w:tc>
          <w:tcPr>
            <w:tcW w:w="385" w:type="pct"/>
            <w:vAlign w:val="center"/>
          </w:tcPr>
          <w:p w14:paraId="1E4A14ED">
            <w:pPr>
              <w:jc w:val="center"/>
              <w:textAlignment w:val="center"/>
              <w:rPr>
                <w:rFonts w:hint="eastAsia" w:ascii="仿宋" w:hAnsi="仿宋" w:eastAsia="仿宋" w:cs="仿宋"/>
                <w:sz w:val="24"/>
                <w:szCs w:val="24"/>
              </w:rPr>
            </w:pPr>
          </w:p>
        </w:tc>
        <w:tc>
          <w:tcPr>
            <w:tcW w:w="418" w:type="pct"/>
            <w:vAlign w:val="center"/>
          </w:tcPr>
          <w:p w14:paraId="406FEDBA">
            <w:pPr>
              <w:jc w:val="center"/>
              <w:textAlignment w:val="center"/>
              <w:rPr>
                <w:rFonts w:hint="eastAsia" w:ascii="仿宋" w:hAnsi="仿宋" w:eastAsia="仿宋" w:cs="仿宋"/>
                <w:sz w:val="24"/>
                <w:szCs w:val="24"/>
              </w:rPr>
            </w:pPr>
          </w:p>
        </w:tc>
        <w:tc>
          <w:tcPr>
            <w:tcW w:w="3940" w:type="pct"/>
            <w:vAlign w:val="center"/>
          </w:tcPr>
          <w:p w14:paraId="7A76458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培训</w:t>
            </w:r>
          </w:p>
        </w:tc>
      </w:tr>
      <w:tr w14:paraId="7A668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63BCD03">
            <w:pPr>
              <w:jc w:val="center"/>
              <w:textAlignment w:val="center"/>
              <w:rPr>
                <w:rFonts w:hint="eastAsia" w:ascii="仿宋" w:hAnsi="仿宋" w:eastAsia="仿宋" w:cs="仿宋"/>
                <w:sz w:val="24"/>
                <w:szCs w:val="24"/>
              </w:rPr>
            </w:pPr>
          </w:p>
        </w:tc>
        <w:tc>
          <w:tcPr>
            <w:tcW w:w="385" w:type="pct"/>
            <w:vAlign w:val="center"/>
          </w:tcPr>
          <w:p w14:paraId="4A2ED65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409DE4B5">
            <w:pPr>
              <w:jc w:val="center"/>
              <w:textAlignment w:val="center"/>
              <w:rPr>
                <w:rFonts w:hint="eastAsia" w:ascii="仿宋" w:hAnsi="仿宋" w:eastAsia="仿宋" w:cs="仿宋"/>
                <w:sz w:val="24"/>
                <w:szCs w:val="24"/>
              </w:rPr>
            </w:pPr>
          </w:p>
        </w:tc>
        <w:tc>
          <w:tcPr>
            <w:tcW w:w="3940" w:type="pct"/>
            <w:vAlign w:val="center"/>
          </w:tcPr>
          <w:p w14:paraId="5BCF82E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培训</w:t>
            </w:r>
          </w:p>
        </w:tc>
      </w:tr>
      <w:tr w14:paraId="6D752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4741E8A">
            <w:pPr>
              <w:jc w:val="center"/>
              <w:textAlignment w:val="center"/>
              <w:rPr>
                <w:rFonts w:hint="eastAsia" w:ascii="仿宋" w:hAnsi="仿宋" w:eastAsia="仿宋" w:cs="仿宋"/>
                <w:sz w:val="24"/>
                <w:szCs w:val="24"/>
              </w:rPr>
            </w:pPr>
          </w:p>
        </w:tc>
        <w:tc>
          <w:tcPr>
            <w:tcW w:w="385" w:type="pct"/>
            <w:vAlign w:val="center"/>
          </w:tcPr>
          <w:p w14:paraId="6AC5B2B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86A71ED">
            <w:pPr>
              <w:jc w:val="center"/>
              <w:textAlignment w:val="center"/>
              <w:rPr>
                <w:rFonts w:hint="eastAsia" w:ascii="仿宋" w:hAnsi="仿宋" w:eastAsia="仿宋" w:cs="仿宋"/>
                <w:sz w:val="24"/>
                <w:szCs w:val="24"/>
              </w:rPr>
            </w:pPr>
          </w:p>
        </w:tc>
        <w:tc>
          <w:tcPr>
            <w:tcW w:w="3940" w:type="pct"/>
            <w:vAlign w:val="center"/>
          </w:tcPr>
          <w:p w14:paraId="59B2BEA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陪产及技术服务</w:t>
            </w:r>
          </w:p>
        </w:tc>
      </w:tr>
    </w:tbl>
    <w:p w14:paraId="0BCD6E9C">
      <w:pPr>
        <w:widowControl w:val="0"/>
        <w:numPr>
          <w:ilvl w:val="0"/>
          <w:numId w:val="0"/>
        </w:numPr>
        <w:jc w:val="both"/>
        <w:rPr>
          <w:rFonts w:hint="eastAsia" w:ascii="仿宋" w:hAnsi="仿宋" w:eastAsia="仿宋" w:cs="仿宋"/>
          <w:sz w:val="24"/>
          <w:szCs w:val="24"/>
          <w:lang w:val="en-US"/>
        </w:rPr>
      </w:pPr>
    </w:p>
    <w:p w14:paraId="04F373BB">
      <w:pPr>
        <w:pStyle w:val="3"/>
        <w:widowControl/>
        <w:ind w:leftChars="0"/>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val="en-US" w:eastAsia="zh-CN"/>
        </w:rPr>
        <w:t>七</w:t>
      </w:r>
      <w:r>
        <w:rPr>
          <w:rFonts w:hint="eastAsia" w:ascii="仿宋" w:hAnsi="仿宋" w:eastAsia="仿宋" w:cs="仿宋"/>
          <w:b/>
          <w:bCs/>
          <w:kern w:val="0"/>
          <w:sz w:val="28"/>
          <w:szCs w:val="28"/>
        </w:rPr>
        <w:t>、</w:t>
      </w:r>
      <w:r>
        <w:rPr>
          <w:rFonts w:hint="eastAsia" w:ascii="仿宋" w:hAnsi="仿宋" w:eastAsia="仿宋" w:cs="仿宋"/>
          <w:b/>
          <w:bCs/>
          <w:kern w:val="0"/>
          <w:sz w:val="28"/>
          <w:szCs w:val="28"/>
          <w:lang w:val="en-US" w:eastAsia="zh-CN"/>
        </w:rPr>
        <w:t>技术资料</w:t>
      </w:r>
    </w:p>
    <w:tbl>
      <w:tblPr>
        <w:tblStyle w:val="40"/>
        <w:tblW w:w="9131"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80"/>
        <w:gridCol w:w="6165"/>
        <w:gridCol w:w="1886"/>
      </w:tblGrid>
      <w:tr w14:paraId="27832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313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序号</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408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名称</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17D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数量</w:t>
            </w:r>
          </w:p>
        </w:tc>
      </w:tr>
      <w:tr w14:paraId="0A19E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EDA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DC3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使用说明书（机械、液压、气动部分）</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BF6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5E0B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A12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2</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B3F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操作及安全规程手册(电子档)</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F64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789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801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3</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B9F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编程手册</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8FC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B8C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913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4</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7F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电气原理图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229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B00A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BF4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5</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19E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液压、气动原理图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1AF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6442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966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6</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7FC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基础图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30DA">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1D46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55F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7</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F24E">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润滑原理图和保养手册及点检表</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F34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0620F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A8F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8</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040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合格证明书</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4ED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D1EA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462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9</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3AE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装箱单</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5B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69D4C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8C67">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10</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05BF">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机床保修卡</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B9D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CD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91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E23F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备注：</w:t>
            </w:r>
          </w:p>
          <w:p w14:paraId="7B21375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1、设备技术资料提供纸质及电子版，包含但不限于设备电气图纸、机械图纸、设备维保标准、非标件机械加工图纸等。</w:t>
            </w:r>
          </w:p>
          <w:p w14:paraId="6866D718">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2、空压机附带压力容器要求提供产品合格证、开工告知、监督检验证书、压力容器数据表，压力容器要求配备一用一备安全阀并提供第三方检验报告。</w:t>
            </w:r>
          </w:p>
          <w:p w14:paraId="47A51451">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Cs/>
                <w:kern w:val="2"/>
                <w:sz w:val="21"/>
                <w:szCs w:val="21"/>
                <w:lang w:val="en-US" w:eastAsia="zh-CN" w:bidi="ar"/>
              </w:rPr>
            </w:pPr>
            <w:r>
              <w:rPr>
                <w:rFonts w:hint="eastAsia" w:ascii="仿宋" w:hAnsi="仿宋" w:eastAsia="仿宋" w:cs="仿宋"/>
                <w:b/>
                <w:bCs w:val="0"/>
                <w:kern w:val="2"/>
                <w:sz w:val="21"/>
                <w:szCs w:val="21"/>
                <w:lang w:val="en-US" w:eastAsia="zh-CN" w:bidi="ar"/>
              </w:rPr>
              <w:t>3.要求厂家提供完整设备备件明细清单及自制件非标图纸。</w:t>
            </w:r>
          </w:p>
        </w:tc>
      </w:tr>
    </w:tbl>
    <w:p w14:paraId="4BB3649D">
      <w:pPr>
        <w:keepNext w:val="0"/>
        <w:keepLines w:val="0"/>
        <w:widowControl w:val="0"/>
        <w:suppressLineNumbers w:val="0"/>
        <w:spacing w:before="0" w:beforeAutospacing="0" w:after="0" w:afterAutospacing="0" w:line="360" w:lineRule="auto"/>
        <w:ind w:right="0"/>
        <w:jc w:val="both"/>
        <w:rPr>
          <w:rFonts w:hint="default" w:ascii="宋体" w:hAnsi="宋体" w:eastAsia="宋体" w:cs="宋体"/>
          <w:color w:val="auto"/>
          <w:kern w:val="2"/>
          <w:sz w:val="24"/>
          <w:szCs w:val="24"/>
          <w:lang w:val="en-US" w:eastAsia="zh-CN" w:bidi="ar"/>
        </w:rPr>
      </w:pPr>
    </w:p>
    <w:p w14:paraId="237ABB70">
      <w:pPr>
        <w:pStyle w:val="2"/>
        <w:spacing w:before="120" w:after="120" w:line="480" w:lineRule="exact"/>
        <w:jc w:val="center"/>
        <w:rPr>
          <w:rFonts w:ascii="黑体" w:eastAsia="黑体"/>
          <w:b w:val="0"/>
          <w:sz w:val="24"/>
          <w:szCs w:val="24"/>
        </w:rPr>
      </w:pPr>
      <w:r>
        <w:rPr>
          <w:rFonts w:hint="eastAsia" w:ascii="黑体" w:eastAsia="黑体"/>
          <w:b w:val="0"/>
          <w:sz w:val="24"/>
          <w:szCs w:val="24"/>
        </w:rPr>
        <w:t>第三章  供货范围及供货方式</w:t>
      </w:r>
    </w:p>
    <w:p w14:paraId="328511EE">
      <w:pPr>
        <w:pStyle w:val="3"/>
        <w:spacing w:before="120" w:after="120" w:line="480" w:lineRule="exact"/>
        <w:jc w:val="center"/>
        <w:rPr>
          <w:b/>
          <w:szCs w:val="24"/>
        </w:rPr>
      </w:pPr>
      <w:r>
        <w:rPr>
          <w:rFonts w:hint="eastAsia"/>
          <w:b/>
          <w:szCs w:val="24"/>
        </w:rPr>
        <w:t>第一节  供货范围</w:t>
      </w:r>
    </w:p>
    <w:p w14:paraId="5B8A14AE">
      <w:pPr>
        <w:spacing w:line="480" w:lineRule="exact"/>
        <w:ind w:firstLine="420" w:firstLineChars="200"/>
        <w:rPr>
          <w:rFonts w:ascii="黑体" w:hAnsi="宋体" w:eastAsia="黑体"/>
        </w:rPr>
      </w:pPr>
      <w:r>
        <w:rPr>
          <w:rFonts w:hint="eastAsia" w:ascii="黑体" w:hAnsi="宋体" w:eastAsia="黑体"/>
        </w:rPr>
        <w:t>一、主要货物一般供货范围界定</w:t>
      </w:r>
    </w:p>
    <w:p w14:paraId="1EAF94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1、供货范围包括本技术标书“采购货物概况” 所列及所要求的设备。</w:t>
      </w:r>
    </w:p>
    <w:p w14:paraId="529AEF0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2、供货范围包括为保证设备正常安装、调试和验收完成及以前所必需的整套配件、附件及材料、油料、控制软件及程序或指令等。</w:t>
      </w:r>
    </w:p>
    <w:p w14:paraId="006AF210">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如果终验收完成后，投标方有需要收回的配件、附件、材料、油料等，应当在投标文件的技术偏离条款中，予以详细说明；否则视同包括在供货范围之内。</w:t>
      </w:r>
    </w:p>
    <w:p w14:paraId="564839DE">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3、供货范围包括货物维护维修所必需的专用工具。</w:t>
      </w:r>
    </w:p>
    <w:p w14:paraId="5C9A9882">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F417526">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如投标方难以提供或无优势提供以及属于选用配置的，则应当在投标文件的技术偏离条款中，予以详细说明并注明投标报价未包含该部分的货值。</w:t>
      </w:r>
    </w:p>
    <w:p w14:paraId="187042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5、供货范围包括为保证设备自身正常运行所必需的、满足使用地点环境条件的通风、冷却、降温等必需设施。</w:t>
      </w:r>
    </w:p>
    <w:p w14:paraId="09A85AAF">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6、以“交钥匙”方式采购的设备，在满足技术标书本节上述要求之外，供货范围还包括如下界定（货物）：</w:t>
      </w:r>
    </w:p>
    <w:p w14:paraId="0E30AB0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7B55AB5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6.2  供货范围包括设备正常运行所必需的全套连线设备、材料等。如货物端联接法兰外端面之内的、电气系统接口压线板（插座等）之内的设备、材料、联接螺栓、垫片等。</w:t>
      </w:r>
    </w:p>
    <w:p w14:paraId="20CA7B2A">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6.3  供货范围包括设备正常运行、使用所需要的过桥、护栏、防护网、盖板等辅助设施。</w:t>
      </w:r>
    </w:p>
    <w:p w14:paraId="045825F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280DEE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二、备品备件、易损件和专用耗材供货范围</w:t>
      </w:r>
    </w:p>
    <w:p w14:paraId="761B6C90">
      <w:pPr>
        <w:spacing w:line="48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应有明细）。</w:t>
      </w:r>
    </w:p>
    <w:p w14:paraId="60841FC3">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2、供货范围包括易损件和专用耗材的制造图纸及其技术要求等资料。</w:t>
      </w:r>
    </w:p>
    <w:p w14:paraId="52FA99D4">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三、技术资料供货范围</w:t>
      </w:r>
    </w:p>
    <w:p w14:paraId="6BF319A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技术资料供货范围包括：</w:t>
      </w:r>
    </w:p>
    <w:p w14:paraId="3EBC8652">
      <w:pPr>
        <w:spacing w:line="480" w:lineRule="exact"/>
        <w:ind w:firstLine="480" w:firstLineChars="200"/>
        <w:rPr>
          <w:rFonts w:hint="eastAsia" w:ascii="仿宋" w:hAnsi="仿宋" w:eastAsia="仿宋" w:cs="仿宋"/>
          <w:bCs/>
          <w:sz w:val="24"/>
          <w:szCs w:val="28"/>
        </w:rPr>
      </w:pPr>
      <w:r>
        <w:rPr>
          <w:rFonts w:hint="eastAsia" w:ascii="仿宋" w:hAnsi="仿宋" w:eastAsia="仿宋" w:cs="仿宋"/>
          <w:sz w:val="24"/>
          <w:szCs w:val="28"/>
        </w:rPr>
        <w:t>1、在中标通知发出之</w:t>
      </w:r>
      <w:r>
        <w:rPr>
          <w:rFonts w:hint="eastAsia" w:ascii="仿宋" w:hAnsi="仿宋" w:eastAsia="仿宋" w:cs="仿宋"/>
          <w:bCs/>
          <w:sz w:val="24"/>
          <w:szCs w:val="28"/>
        </w:rPr>
        <w:t>后</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u w:val="single"/>
          <w:shd w:val="pct10" w:color="auto" w:fill="FFFFFF"/>
          <w:lang w:val="en-US" w:eastAsia="zh-CN"/>
        </w:rPr>
        <w:t>15</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rPr>
        <w:t>个日历日内，提供设备基础及相关的设计、制作所需的纸质及电子版资料；电子版文件应当能够使用常用版本软件可以阅读甚至使用，进口货物、设备应有中外文对照。</w:t>
      </w:r>
    </w:p>
    <w:p w14:paraId="3220E939">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2、在预验收前，</w:t>
      </w:r>
      <w:r>
        <w:rPr>
          <w:rFonts w:hint="eastAsia" w:ascii="仿宋" w:hAnsi="仿宋" w:eastAsia="仿宋" w:cs="仿宋"/>
          <w:bCs/>
          <w:sz w:val="24"/>
          <w:szCs w:val="28"/>
        </w:rPr>
        <w:t>提供设备各部分的功能描述文件、图片、影像等资料（进口、设备应有中外文对照）。</w:t>
      </w:r>
    </w:p>
    <w:p w14:paraId="625D604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3、在终验收前，提供为保证设备后续正常运行所需的工装、吊（挂）具明细及其图纸、具体技术要求等资料（如果供货范围包含该部分实物）。</w:t>
      </w:r>
    </w:p>
    <w:p w14:paraId="0B3D76A2">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4、在终验收前，提供确定的维修所需要且招标方可以自行采购的外购件、外协件、电气元件及主要原材料的供货厂家明细表。</w:t>
      </w:r>
    </w:p>
    <w:p w14:paraId="6B9F6F25">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5、在终验收后的第一笔货款支付日之前，提供包括设备的备品备件、易损件和专用耗材的图纸及技术参数、技术要求等资料。</w:t>
      </w:r>
    </w:p>
    <w:p w14:paraId="22CF1AB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0E47282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5248CD11">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8、本条款所列的技术资料、图片、影像等，投标方应各提供</w:t>
      </w:r>
      <w:r>
        <w:rPr>
          <w:rFonts w:hint="eastAsia" w:ascii="仿宋" w:hAnsi="仿宋" w:eastAsia="仿宋" w:cs="仿宋"/>
          <w:sz w:val="24"/>
          <w:szCs w:val="28"/>
          <w:lang w:val="en-US" w:eastAsia="zh-CN"/>
        </w:rPr>
        <w:t>5</w:t>
      </w:r>
      <w:r>
        <w:rPr>
          <w:rFonts w:hint="eastAsia" w:ascii="仿宋" w:hAnsi="仿宋" w:eastAsia="仿宋" w:cs="仿宋"/>
          <w:sz w:val="24"/>
          <w:szCs w:val="28"/>
        </w:rPr>
        <w:t>套，其中2套为电子版光（U）盘；每份技术文件应装有目录清单。</w:t>
      </w:r>
    </w:p>
    <w:p w14:paraId="01D73A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9、本条款所列要求，如招标方认为投标方提供的资料不能满足要求时，有权要求投标方免费补充或增加。</w:t>
      </w:r>
    </w:p>
    <w:p w14:paraId="7F7E0ABF">
      <w:pPr>
        <w:spacing w:line="480" w:lineRule="exact"/>
        <w:ind w:firstLine="420" w:firstLineChars="200"/>
        <w:rPr>
          <w:rFonts w:ascii="宋体" w:hAnsi="宋体"/>
        </w:rPr>
      </w:pPr>
    </w:p>
    <w:p w14:paraId="437B5E2C">
      <w:pPr>
        <w:pStyle w:val="3"/>
        <w:spacing w:before="120" w:after="120" w:line="480" w:lineRule="exact"/>
        <w:jc w:val="center"/>
        <w:rPr>
          <w:b/>
          <w:szCs w:val="24"/>
        </w:rPr>
      </w:pPr>
      <w:r>
        <w:rPr>
          <w:rFonts w:hint="eastAsia"/>
          <w:b/>
          <w:szCs w:val="24"/>
        </w:rPr>
        <w:t>第二节  供货方式</w:t>
      </w:r>
    </w:p>
    <w:p w14:paraId="6F191566">
      <w:pPr>
        <w:spacing w:line="480" w:lineRule="exact"/>
        <w:ind w:firstLine="420" w:firstLineChars="200"/>
        <w:rPr>
          <w:rFonts w:ascii="宋体" w:hAnsi="宋体"/>
        </w:rPr>
      </w:pPr>
      <w:r>
        <w:rPr>
          <w:rFonts w:hint="eastAsia" w:ascii="黑体" w:hAnsi="宋体" w:eastAsia="黑体"/>
        </w:rPr>
        <w:t>一、供货地点：</w:t>
      </w:r>
      <w:r>
        <w:rPr>
          <w:rFonts w:hint="eastAsia" w:ascii="宋体" w:hAnsi="宋体"/>
        </w:rPr>
        <w:t>本项目建设工地。</w:t>
      </w:r>
    </w:p>
    <w:p w14:paraId="6DF8FC8D">
      <w:pPr>
        <w:spacing w:line="480" w:lineRule="exact"/>
        <w:ind w:firstLine="420" w:firstLineChars="200"/>
        <w:jc w:val="left"/>
        <w:rPr>
          <w:rFonts w:ascii="黑体" w:hAnsi="宋体" w:eastAsia="黑体"/>
        </w:rPr>
      </w:pPr>
      <w:r>
        <w:rPr>
          <w:rFonts w:hint="eastAsia" w:ascii="黑体" w:hAnsi="宋体" w:eastAsia="黑体"/>
        </w:rPr>
        <w:t>二、供货时间</w:t>
      </w:r>
    </w:p>
    <w:p w14:paraId="70D518F5">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1、以交钥匙方式供货的，按照以下时间要求（安装调试工期超过10个日历日的，投标方应当随标书提供详细的工期计划）：</w:t>
      </w:r>
    </w:p>
    <w:p w14:paraId="6D8FE7D8">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1.1  自中标通知发出之日起</w:t>
      </w:r>
      <w:r>
        <w:rPr>
          <w:rFonts w:hint="eastAsia" w:ascii="仿宋" w:hAnsi="仿宋" w:eastAsia="仿宋" w:cs="仿宋"/>
          <w:sz w:val="24"/>
          <w:szCs w:val="28"/>
          <w:highlight w:val="none"/>
        </w:rPr>
        <w:t>，</w:t>
      </w:r>
      <w:r>
        <w:rPr>
          <w:rFonts w:hint="eastAsia" w:ascii="仿宋" w:hAnsi="仿宋" w:eastAsia="仿宋" w:cs="仿宋"/>
          <w:sz w:val="24"/>
          <w:szCs w:val="28"/>
          <w:highlight w:val="yellow"/>
          <w:u w:val="single"/>
          <w:shd w:val="pct10" w:color="auto" w:fill="FFFFFF"/>
          <w:lang w:val="en-US" w:eastAsia="zh-CN"/>
        </w:rPr>
        <w:t>60</w:t>
      </w:r>
      <w:r>
        <w:rPr>
          <w:rFonts w:hint="eastAsia" w:ascii="仿宋" w:hAnsi="仿宋" w:eastAsia="仿宋" w:cs="仿宋"/>
          <w:sz w:val="24"/>
          <w:szCs w:val="28"/>
          <w:highlight w:val="yellow"/>
        </w:rPr>
        <w:t>个</w:t>
      </w:r>
      <w:r>
        <w:rPr>
          <w:rFonts w:hint="eastAsia" w:ascii="仿宋" w:hAnsi="仿宋" w:eastAsia="仿宋" w:cs="仿宋"/>
          <w:sz w:val="24"/>
          <w:szCs w:val="28"/>
        </w:rPr>
        <w:t>日历日之内交货至供货地点。</w:t>
      </w:r>
    </w:p>
    <w:p w14:paraId="697EAE41">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1.2  接续</w:t>
      </w:r>
      <w:r>
        <w:rPr>
          <w:rFonts w:hint="eastAsia" w:ascii="仿宋" w:hAnsi="仿宋" w:eastAsia="仿宋" w:cs="仿宋"/>
          <w:sz w:val="24"/>
          <w:szCs w:val="28"/>
          <w:highlight w:val="yellow"/>
          <w:u w:val="single"/>
          <w:shd w:val="pct10" w:color="auto" w:fill="FFFFFF"/>
        </w:rPr>
        <w:t xml:space="preserve"> </w:t>
      </w:r>
      <w:r>
        <w:rPr>
          <w:rFonts w:hint="eastAsia" w:ascii="仿宋" w:hAnsi="仿宋" w:eastAsia="仿宋" w:cs="仿宋"/>
          <w:sz w:val="24"/>
          <w:szCs w:val="28"/>
          <w:highlight w:val="yellow"/>
          <w:u w:val="single"/>
          <w:shd w:val="pct10" w:color="auto" w:fill="FFFFFF"/>
          <w:lang w:val="en-US" w:eastAsia="zh-CN"/>
        </w:rPr>
        <w:t>30</w:t>
      </w:r>
      <w:r>
        <w:rPr>
          <w:rFonts w:hint="eastAsia" w:ascii="仿宋" w:hAnsi="仿宋" w:eastAsia="仿宋" w:cs="仿宋"/>
          <w:sz w:val="24"/>
          <w:szCs w:val="28"/>
          <w:highlight w:val="yellow"/>
        </w:rPr>
        <w:t>个</w:t>
      </w:r>
      <w:r>
        <w:rPr>
          <w:rFonts w:hint="eastAsia" w:ascii="仿宋" w:hAnsi="仿宋" w:eastAsia="仿宋" w:cs="仿宋"/>
          <w:sz w:val="24"/>
          <w:szCs w:val="28"/>
        </w:rPr>
        <w:t>日历日之内安装调试完毕。</w:t>
      </w:r>
    </w:p>
    <w:p w14:paraId="371CF406">
      <w:pPr>
        <w:spacing w:line="480" w:lineRule="exact"/>
        <w:ind w:firstLine="420" w:firstLineChars="200"/>
        <w:jc w:val="left"/>
        <w:rPr>
          <w:rFonts w:ascii="黑体" w:hAnsi="宋体" w:eastAsia="黑体"/>
        </w:rPr>
      </w:pPr>
      <w:r>
        <w:rPr>
          <w:rFonts w:hint="eastAsia" w:ascii="黑体" w:hAnsi="宋体" w:eastAsia="黑体"/>
        </w:rPr>
        <w:t>三、质保期及质保要求</w:t>
      </w:r>
    </w:p>
    <w:p w14:paraId="0CC474A9">
      <w:pPr>
        <w:spacing w:line="480" w:lineRule="exact"/>
        <w:ind w:firstLine="480" w:firstLineChars="200"/>
        <w:jc w:val="left"/>
        <w:rPr>
          <w:rFonts w:hint="eastAsia" w:ascii="仿宋" w:hAnsi="仿宋" w:eastAsia="仿宋" w:cs="仿宋"/>
          <w:sz w:val="24"/>
          <w:szCs w:val="28"/>
          <w:lang w:eastAsia="zh-CN"/>
        </w:rPr>
      </w:pPr>
      <w:r>
        <w:rPr>
          <w:rFonts w:hint="eastAsia" w:ascii="仿宋" w:hAnsi="仿宋" w:eastAsia="仿宋" w:cs="仿宋"/>
          <w:sz w:val="24"/>
          <w:szCs w:val="28"/>
        </w:rPr>
        <w:t>1、全部供货范围内的设备、材料、零配件和工器具等，除合同特别约定外，其质保期均自终验收签字生效之日起</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u w:val="single"/>
          <w:shd w:val="pct10" w:color="auto" w:fill="FFFFFF"/>
          <w:lang w:val="en-US" w:eastAsia="zh-CN"/>
        </w:rPr>
        <w:t>24</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rPr>
        <w:t>个月。</w:t>
      </w:r>
    </w:p>
    <w:p w14:paraId="53A8680B">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投标货物或涉及的关键总成和零件，如果有更长时间质保期，允许更改并说明，此将有利于投标方。</w:t>
      </w:r>
    </w:p>
    <w:p w14:paraId="39EB691C">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设计使用寿命短于质保期的易损件除外，但属于易损件的，应当有明确说明。</w:t>
      </w:r>
    </w:p>
    <w:p w14:paraId="1EE6555F">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2、质保期之内，如果设备出现设备、总成、关键零部件或者多处一般零部件的更换或维修行为，则质保期自更换或维修行为结束、设备重新正常运行使用之日起重新计算。</w:t>
      </w:r>
    </w:p>
    <w:p w14:paraId="26D81F12">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3、质保期内免费提供零部件和及时有效的服务。质保期内因货物本身缺陷造成的各种故障，投标方应负责免费维修和服务。</w:t>
      </w:r>
    </w:p>
    <w:p w14:paraId="1B347B9E">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4、质保期终止之日起1</w:t>
      </w:r>
      <w:r>
        <w:rPr>
          <w:rFonts w:hint="eastAsia" w:ascii="仿宋" w:hAnsi="仿宋" w:eastAsia="仿宋" w:cs="仿宋"/>
          <w:sz w:val="24"/>
          <w:szCs w:val="28"/>
          <w:lang w:val="en-US" w:eastAsia="zh-CN"/>
        </w:rPr>
        <w:t>2</w:t>
      </w:r>
      <w:r>
        <w:rPr>
          <w:rFonts w:hint="eastAsia" w:ascii="仿宋" w:hAnsi="仿宋" w:eastAsia="仿宋" w:cs="仿宋"/>
          <w:sz w:val="24"/>
          <w:szCs w:val="28"/>
        </w:rPr>
        <w:t>个月内重复出现的质保期之内出现的故障，仍属质保范围而且应当免费。</w:t>
      </w:r>
    </w:p>
    <w:p w14:paraId="4CD4BF57">
      <w:pPr>
        <w:spacing w:line="480" w:lineRule="exact"/>
        <w:ind w:firstLine="420" w:firstLineChars="200"/>
        <w:rPr>
          <w:rFonts w:ascii="黑体" w:hAnsi="宋体" w:eastAsia="黑体"/>
        </w:rPr>
      </w:pPr>
      <w:r>
        <w:rPr>
          <w:rFonts w:hint="eastAsia" w:ascii="黑体" w:hAnsi="宋体" w:eastAsia="黑体"/>
        </w:rPr>
        <w:t>四、包装</w:t>
      </w:r>
    </w:p>
    <w:p w14:paraId="236D2B0F">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1、所提供设备的包装，应遵照国家标准和有关包装、包皮的技术条件，或按照最好的商业惯例进行包装。</w:t>
      </w:r>
    </w:p>
    <w:p w14:paraId="2DD89C8C">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2、包装应能满足所需要采取的运输方式（船运、汽运或铁路运输）、多次吊装卸装、卸货以及长期露天堆放要求，应能防止雨淋、受潮、生锈、腐蚀、受振、受磁以及机械和化学因素等引起的损坏。</w:t>
      </w:r>
    </w:p>
    <w:p w14:paraId="5EDB528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3、所提供设备的包装，应能防止其一般性被窃或受外力破坏；一般不得采用有大缝隙的板条包装。</w:t>
      </w:r>
    </w:p>
    <w:p w14:paraId="6EE2A0A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4、应对包装件做必要的加固和固定，以防止运输可能造成的损坏。</w:t>
      </w:r>
    </w:p>
    <w:p w14:paraId="50790C04">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5、每个包装件应有装箱单，并至少标明名称、型号规格、数量、净重和毛重、投标方（或供货商）名称和制造日期等相关内容。</w:t>
      </w:r>
    </w:p>
    <w:p w14:paraId="011E19EA">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6、每个包装箱应有明显标志，并具有中文书写的合同号、装运标志、发货和到货地点名称、发货人和收货人名称、设备名称和项目号、箱号和外型尺寸等内容。</w:t>
      </w:r>
    </w:p>
    <w:p w14:paraId="11E6D289">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7、应按照不同的装运要求在包装箱上标明“小心轻放”、“箭头向上”、“防潮”、“防磁”、“不准平放”等标志，以及其它适用的国标通用标志。</w:t>
      </w:r>
    </w:p>
    <w:p w14:paraId="76AC624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8、包装箱应连续编号，不应出现重复编号。</w:t>
      </w:r>
    </w:p>
    <w:p w14:paraId="36018EA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9、在不受到外界破坏情况下，包装应保证自交货日起一年内货物（或设备）完好无损。</w:t>
      </w:r>
    </w:p>
    <w:p w14:paraId="1C0A46D3">
      <w:pPr>
        <w:adjustRightInd w:val="0"/>
        <w:snapToGrid w:val="0"/>
        <w:spacing w:line="460" w:lineRule="exact"/>
        <w:ind w:firstLine="420" w:firstLineChars="200"/>
        <w:rPr>
          <w:rFonts w:ascii="黑体" w:hAnsi="宋体" w:eastAsia="黑体"/>
        </w:rPr>
      </w:pPr>
      <w:r>
        <w:rPr>
          <w:rFonts w:hint="eastAsia" w:ascii="黑体" w:hAnsi="宋体" w:eastAsia="黑体"/>
        </w:rPr>
        <w:t>五、运输</w:t>
      </w:r>
    </w:p>
    <w:p w14:paraId="1CD282AD">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1、应负责将设备运到目的地，并必须做到设备在任何运输过程中不受损坏和遗失。</w:t>
      </w:r>
    </w:p>
    <w:p w14:paraId="3554FD5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2、同批设备应统一包装、编号运输。</w:t>
      </w:r>
    </w:p>
    <w:p w14:paraId="4715635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3、一般情况下，经由铁路、公路运输的包装件尺寸和重量不应超过国家所规定的尺寸限制。特殊情况应予以说明。</w:t>
      </w:r>
    </w:p>
    <w:p w14:paraId="64AC452E">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4、在每批设备发出后，应立即通知招标方；通知中应指明：合同号、货运单号、件数、重量和设备发出日期等相关内容。</w:t>
      </w:r>
    </w:p>
    <w:p w14:paraId="38B3D8E1">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5、设备运抵交货地点后，应负责货物（或设备）的卸货、搬运、保管等事宜；或按照合同约定。</w:t>
      </w:r>
    </w:p>
    <w:p w14:paraId="2040C9BE">
      <w:pPr>
        <w:pStyle w:val="2"/>
        <w:spacing w:before="120" w:after="120" w:line="480" w:lineRule="exact"/>
        <w:rPr>
          <w:rFonts w:ascii="黑体" w:eastAsia="黑体"/>
          <w:b w:val="0"/>
          <w:sz w:val="24"/>
          <w:szCs w:val="24"/>
        </w:rPr>
      </w:pPr>
      <w:r>
        <w:rPr>
          <w:rFonts w:ascii="宋体" w:hAnsi="宋体"/>
        </w:rPr>
        <w:br w:type="page"/>
      </w:r>
      <w:r>
        <w:rPr>
          <w:rFonts w:hint="eastAsia" w:ascii="黑体" w:eastAsia="黑体"/>
          <w:b w:val="0"/>
          <w:bCs w:val="0"/>
          <w:sz w:val="24"/>
          <w:szCs w:val="24"/>
        </w:rPr>
        <w:t xml:space="preserve">第四章  </w:t>
      </w:r>
      <w:r>
        <w:rPr>
          <w:rFonts w:hint="eastAsia" w:ascii="黑体" w:eastAsia="黑体"/>
          <w:b w:val="0"/>
          <w:bCs w:val="0"/>
          <w:sz w:val="24"/>
          <w:szCs w:val="24"/>
          <w:lang w:val="en-US" w:eastAsia="zh-CN"/>
        </w:rPr>
        <w:t>质保期及</w:t>
      </w:r>
      <w:r>
        <w:rPr>
          <w:rFonts w:hint="eastAsia" w:ascii="黑体" w:eastAsia="黑体"/>
          <w:b w:val="0"/>
          <w:bCs w:val="0"/>
          <w:sz w:val="24"/>
          <w:szCs w:val="24"/>
        </w:rPr>
        <w:t>售后服务</w:t>
      </w:r>
    </w:p>
    <w:p w14:paraId="409C305E">
      <w:pPr>
        <w:keepNext w:val="0"/>
        <w:keepLines w:val="0"/>
        <w:widowControl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一、质保期及质保要求</w:t>
      </w:r>
    </w:p>
    <w:p w14:paraId="10011B7A">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1、全部供货范围内的设备、材料、零配件和工器具等，除合同特别约定外，其质保期均自终验收签字生效之日起</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个月。</w:t>
      </w:r>
    </w:p>
    <w:p w14:paraId="359F14FE">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投标货物或涉及的关键总成和零件，如果有更长时间质保期，允许更改并说明，此将有利于投标方。</w:t>
      </w:r>
    </w:p>
    <w:p w14:paraId="097FFA5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设计使用寿命短于质保期的易损件除外，但属于易损件的，应当有明确说明。</w:t>
      </w:r>
    </w:p>
    <w:p w14:paraId="678A2CE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2、质保期之内，如果货物（生产线）出现设备、总成、关键零部件或者多处一般零部件的二次以上的更换或维修行为，则质保期自更换或维修行为结束、货物（生产线）重新正常运行使用之日起重新计算。</w:t>
      </w:r>
    </w:p>
    <w:p w14:paraId="100A2F35">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3、质保期内免费提供零部件和及时有效的服务。质保期内因货物本身缺陷造成的各种故障，卖方应负责免费维修和服务。</w:t>
      </w:r>
    </w:p>
    <w:p w14:paraId="334BDF76">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w:t>
      </w:r>
      <w:r>
        <w:rPr>
          <w:rFonts w:hint="eastAsia" w:ascii="仿宋" w:hAnsi="仿宋" w:eastAsia="仿宋" w:cs="仿宋"/>
          <w:b/>
          <w:bCs/>
          <w:kern w:val="2"/>
          <w:sz w:val="24"/>
          <w:szCs w:val="24"/>
          <w:lang w:val="en-US" w:eastAsia="zh-CN" w:bidi="ar"/>
        </w:rPr>
        <w:t>质保期终止之日起12个月内质保期之内依然重复出现的故障点，仍被认定质保范围且应当免费服务。</w:t>
      </w:r>
    </w:p>
    <w:p w14:paraId="2DA4093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二、技术及培训服务</w:t>
      </w:r>
    </w:p>
    <w:p w14:paraId="40566D4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1、应负责对买方至少</w:t>
      </w:r>
      <w:r>
        <w:rPr>
          <w:rFonts w:hint="eastAsia" w:ascii="仿宋" w:hAnsi="仿宋" w:eastAsia="仿宋" w:cs="仿宋"/>
          <w:b/>
          <w:bCs/>
          <w:kern w:val="2"/>
          <w:sz w:val="24"/>
          <w:szCs w:val="24"/>
          <w:lang w:val="en-US" w:eastAsia="zh-CN" w:bidi="ar"/>
        </w:rPr>
        <w:t>2</w:t>
      </w:r>
      <w:r>
        <w:rPr>
          <w:rFonts w:hint="eastAsia" w:ascii="仿宋" w:hAnsi="仿宋" w:eastAsia="仿宋" w:cs="仿宋"/>
          <w:kern w:val="2"/>
          <w:sz w:val="24"/>
          <w:szCs w:val="24"/>
          <w:lang w:val="en-US" w:eastAsia="zh-CN" w:bidi="ar"/>
        </w:rPr>
        <w:t>名技术、维修和操作人员提供不少于</w:t>
      </w:r>
      <w:r>
        <w:rPr>
          <w:rFonts w:hint="eastAsia" w:ascii="仿宋" w:hAnsi="仿宋" w:eastAsia="仿宋" w:cs="仿宋"/>
          <w:b/>
          <w:bCs/>
          <w:kern w:val="2"/>
          <w:sz w:val="24"/>
          <w:szCs w:val="24"/>
          <w:lang w:val="en-US" w:eastAsia="zh-CN" w:bidi="ar"/>
        </w:rPr>
        <w:t>3</w:t>
      </w:r>
      <w:r>
        <w:rPr>
          <w:rFonts w:hint="eastAsia" w:ascii="仿宋" w:hAnsi="仿宋" w:eastAsia="仿宋" w:cs="仿宋"/>
          <w:kern w:val="2"/>
          <w:sz w:val="24"/>
          <w:szCs w:val="24"/>
          <w:lang w:val="en-US" w:eastAsia="zh-CN" w:bidi="ar"/>
        </w:rPr>
        <w:t>个日历日的免费的、卖方生产制造现场的理论、技术和操作、维修等方面的技术指导和培训，并为买方受培训人员提供免费的培训地交通、食宿条件。</w:t>
      </w:r>
    </w:p>
    <w:p w14:paraId="7D6847A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2、应负责在买方货物（生产线）使用现场，进行1～2次免费的技术指导和培训，并接受买方有关人员的技术咨询。</w:t>
      </w:r>
    </w:p>
    <w:p w14:paraId="40E935D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3、应免费提供一定数量的培训资料。</w:t>
      </w:r>
    </w:p>
    <w:p w14:paraId="0846B0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4、应按要求免费积极协助和提供买方以及买方所委托的工程设计单位有关人员所需要的、与货物（生产线）有关的工程设计资料、技术咨询等。</w:t>
      </w:r>
    </w:p>
    <w:p w14:paraId="65E5F5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5、若卖方提供货物（生产线）涉及到外购外协货物、而且该货物的技术质量等较为关键时，卖方应能保证得到配套厂家的技术支持，并免费为买方提供技术服务。</w:t>
      </w:r>
    </w:p>
    <w:p w14:paraId="12AEF61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769FC6A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三、安装调试及验收服务</w:t>
      </w:r>
    </w:p>
    <w:p w14:paraId="693F671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779771E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2、若卖方提供的货物（生产线）涉及到外购外协货物、而且该货物的技术质量等较为关键时，应保证能得到供应商的技术支持，并免费为买方提供安装使用现场的指导与培训。</w:t>
      </w:r>
    </w:p>
    <w:p w14:paraId="0B5AC33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根据货物（生产线）的要求，调试及验收可分空载和负载两个阶段进行；买方将积极协助卖方达到货物（生产线）的各项技术指标和性能要求。卖方在买方现场进行的货物的安装、调试和试运行，买方有权参与，卖方应无条件向买方提供现场记录和试运行数据及报告。</w:t>
      </w:r>
    </w:p>
    <w:p w14:paraId="3EF54B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在卖方所提供货物（生产线）需要得到买方建设项目所在地政府或行业主管部门的查验、试验、验收时，卖方应当免费完成或协助招标方完成所需要的工作、材料和服务等。协助完成的，应当在投标文件报价内容中予以说明，否则视同免费。</w:t>
      </w:r>
    </w:p>
    <w:p w14:paraId="123786F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5、卖方应当向买方提供货物试验、验收的有关标准、规范和方法，同时提供货物涉及并使用的软件合法性证明。</w:t>
      </w:r>
    </w:p>
    <w:p w14:paraId="7F0B125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6、服务缺陷视同货物缺陷和履约延期。</w:t>
      </w:r>
    </w:p>
    <w:p w14:paraId="43F4549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四、售后服务</w:t>
      </w:r>
    </w:p>
    <w:p w14:paraId="7B1DC9D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1、卖方提供的货物（生产线）涉及的所有售后服务均由卖方负责。如果发生问题并且收到通知，卖方应当在2小时内予以答复。</w:t>
      </w:r>
    </w:p>
    <w:p w14:paraId="4935276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2、如发现所提供的货物（或生产线）存在问题，需要卖方解决或配合解决时：在质保期之内，应在接到通知后</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小时内派有关人员到达现场；在质保期之外，应在接到通知后</w:t>
      </w:r>
      <w:r>
        <w:rPr>
          <w:rFonts w:hint="eastAsia" w:ascii="仿宋" w:hAnsi="仿宋" w:eastAsia="仿宋" w:cs="仿宋"/>
          <w:b/>
          <w:bCs/>
          <w:kern w:val="2"/>
          <w:sz w:val="24"/>
          <w:szCs w:val="24"/>
          <w:lang w:val="en-US" w:eastAsia="zh-CN" w:bidi="ar"/>
        </w:rPr>
        <w:t>48</w:t>
      </w:r>
      <w:r>
        <w:rPr>
          <w:rFonts w:hint="eastAsia" w:ascii="仿宋" w:hAnsi="仿宋" w:eastAsia="仿宋" w:cs="仿宋"/>
          <w:kern w:val="2"/>
          <w:sz w:val="24"/>
          <w:szCs w:val="24"/>
          <w:lang w:val="en-US" w:eastAsia="zh-CN" w:bidi="ar"/>
        </w:rPr>
        <w:t>小时内派有关人员到达现场。</w:t>
      </w:r>
    </w:p>
    <w:p w14:paraId="7480B9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3、卖方派往买方使用现场的人员，应具有较高的业务素质；现场解决问题时，不得无故拖延或推迟，应为买方提供最佳的服务。</w:t>
      </w:r>
    </w:p>
    <w:p w14:paraId="106E382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五、其它服务</w:t>
      </w:r>
    </w:p>
    <w:p w14:paraId="603022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1、若卖方所提供货物（生产线）有需要进口的，卖方一般应自行、自费办理；必要时，买卖双方共同办理。</w:t>
      </w:r>
    </w:p>
    <w:p w14:paraId="0C4BB87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2、除招标文件、投标文件、答疑文件、技术协议、合同等约定之外，卖方应免费负责必要的或强制性的货物（生产线）的检验、试验、化验等直接费用。</w:t>
      </w:r>
    </w:p>
    <w:p w14:paraId="07D7029B">
      <w:pPr>
        <w:pStyle w:val="2"/>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3、本章节条款所列“免费”，并非指定不可收费，而是指招标文件、投标文件、答疑文件、技术交流文件、技术协议书和合同等范围之外，投标方不可另行收取的费用。</w:t>
      </w:r>
      <w:r>
        <w:rPr>
          <w:rFonts w:hint="eastAsia" w:ascii="仿宋" w:hAnsi="仿宋" w:eastAsia="仿宋" w:cs="仿宋"/>
          <w:sz w:val="24"/>
          <w:szCs w:val="24"/>
        </w:rPr>
        <w:br w:type="page"/>
      </w:r>
      <w:r>
        <w:rPr>
          <w:rFonts w:hint="eastAsia" w:ascii="黑体" w:eastAsia="黑体"/>
          <w:b w:val="0"/>
          <w:sz w:val="24"/>
          <w:szCs w:val="24"/>
        </w:rPr>
        <w:t>第五章  预验收和终验收</w:t>
      </w:r>
    </w:p>
    <w:p w14:paraId="493B0673">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一、验收依据和验收标准</w:t>
      </w:r>
    </w:p>
    <w:p w14:paraId="17808EF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1、验收标准一般以技术协议书和合同规定验收。无论技术协议书和合同，是否全部并准确列明验收所涉及的相关标准，均作为验收标准之一。</w:t>
      </w:r>
    </w:p>
    <w:p w14:paraId="61EF95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2、如果验收过程中，发现招标文件、投标文件、答疑文件、技术交流文件等与技术协议书、合同存在差异，原则上以涉及条款中对买方最有利条款为验收依据。</w:t>
      </w:r>
    </w:p>
    <w:p w14:paraId="1867033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二、检验</w:t>
      </w:r>
    </w:p>
    <w:p w14:paraId="00EF953E">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如果采购货物涉及必要的或必需的检验，投标方应当在投标文件中明确可能涉及的检验费用，并将该费用包含在投标总报价之内；不作针对性澄清或说明的，视同包含在投标总价之内。基本约定如下：</w:t>
      </w:r>
    </w:p>
    <w:p w14:paraId="766526F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1、国产货物（生产线）的检验一般由买卖双方共同进行或按照合同要求进行。</w:t>
      </w:r>
    </w:p>
    <w:p w14:paraId="16A87D9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2、进口货物（生产线）的检验，卖方需要按照下述要求进行：</w:t>
      </w:r>
    </w:p>
    <w:p w14:paraId="75EABD0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2.1进口货物（生产线）发货前，应对货物（生产线）的质量、型号、规格、性能和数量/重量作精密、全面的检验，并出具证明书，证明所供货物（或生产线）符合合同规定。</w:t>
      </w:r>
    </w:p>
    <w:p w14:paraId="6C909BB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2.2应依据合同规定的要求，提供买卖双方达成一致的货物（生产线）的验收标准和装箱单，作为买方检验的依据。</w:t>
      </w:r>
    </w:p>
    <w:p w14:paraId="44BD9D8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2.3进口货物（生产线）到达目的地后，买方有权申请中国商品检验检疫局进行检验，如发现货物（生产线）的品质及规格与合同或发票不符，除买方的责任外，买方有权在货物（生产线）到达卸货目的地后180个日历日内，根据中国商品检验检疫局出具的证明书向卖方提出索赔，因索赔所发生的一切费用(包括检验检疫费等)均由卖方承担。</w:t>
      </w:r>
    </w:p>
    <w:p w14:paraId="693CF2CA">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三、验收基本条件</w:t>
      </w:r>
    </w:p>
    <w:p w14:paraId="07B300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0E97BB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买卖双方按照合同约定执行了合同，同时货物（生产线）完成了试运行并经检验合格，则具备验收条件。</w:t>
      </w:r>
    </w:p>
    <w:p w14:paraId="34F67F4D">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1</w:t>
      </w:r>
      <w:r>
        <w:rPr>
          <w:rFonts w:hint="eastAsia" w:ascii="宋体" w:hAnsi="宋体" w:eastAsia="宋体" w:cs="宋体"/>
          <w:b/>
          <w:bCs/>
          <w:kern w:val="2"/>
          <w:sz w:val="24"/>
          <w:szCs w:val="24"/>
          <w:lang w:val="en-US" w:eastAsia="zh-CN" w:bidi="ar"/>
        </w:rPr>
        <w:t>、预验收一般条件</w:t>
      </w:r>
    </w:p>
    <w:p w14:paraId="398575D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1.1卖方已经按照“供货范围”要求提供了预验收资料，并且资料齐全、完整和有效。</w:t>
      </w:r>
    </w:p>
    <w:p w14:paraId="1578BBF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1.2货物（生产线）应运行稳定、可靠、安全，无非正常变形，非正常振动，无异常声音；无漏水、漏液、漏气（汽）、漏电等现象。运动的零部件（如链条、联轴器、离合器、主轴、工作台等）动作平稳、灵活运动准确。</w:t>
      </w:r>
    </w:p>
    <w:p w14:paraId="6BD7E8A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1.3货物（生产线）应完整且所有的零部件应该安装牢固，外观无损伤，所有的焊缝饱满、无残渣等缺陷。</w:t>
      </w:r>
    </w:p>
    <w:p w14:paraId="154744C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1.4一般情况下，所有的管路和线缆等，接头应完全正确、可靠地联接；应排列有序（正确、牢固、整齐），有必要的防护，无皱褶、收缩和裂缝等不良现象。</w:t>
      </w:r>
    </w:p>
    <w:p w14:paraId="0AA4376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1.5货物（生产线）的润滑系统工作正常、可靠，润滑点易于到达。</w:t>
      </w:r>
    </w:p>
    <w:p w14:paraId="09BF791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1.6使用的压力容器、电气等应具备合格证（如果有压力容器）。</w:t>
      </w:r>
    </w:p>
    <w:p w14:paraId="3AC5AD5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1.7货物（生产线）的油漆质量应饱满、有光泽，无掉漆、无色差、无“桔皮”等不良现象（特殊标志除外）。</w:t>
      </w:r>
    </w:p>
    <w:p w14:paraId="5D231E3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1.8货物（生产线）标牌完整、清晰、明确。</w:t>
      </w:r>
    </w:p>
    <w:p w14:paraId="3034061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1.9地线联接和地极符合国际（ISO/IEC）标准规范。</w:t>
      </w:r>
    </w:p>
    <w:p w14:paraId="46108A5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1.10货物（生产线）的安全要求符合中国最新的相关法律、法规、标准和规范以及合同要求。</w:t>
      </w:r>
    </w:p>
    <w:p w14:paraId="3E60274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2</w:t>
      </w:r>
      <w:r>
        <w:rPr>
          <w:rFonts w:hint="eastAsia" w:ascii="宋体" w:hAnsi="宋体" w:eastAsia="宋体" w:cs="宋体"/>
          <w:b/>
          <w:bCs/>
          <w:kern w:val="2"/>
          <w:sz w:val="24"/>
          <w:szCs w:val="24"/>
          <w:lang w:val="en-US" w:eastAsia="zh-CN" w:bidi="ar"/>
        </w:rPr>
        <w:t>、终验收一般条件</w:t>
      </w:r>
    </w:p>
    <w:p w14:paraId="066B531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2.1经过预验收而且没有出现新的质量问题，或者满足预验收条款。</w:t>
      </w:r>
    </w:p>
    <w:p w14:paraId="5BB2728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2.2货物（生产线）安装调试完毕，并至少经过了验收要求的负荷试运行。</w:t>
      </w:r>
    </w:p>
    <w:p w14:paraId="4E89E2F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2.3货物（生产线）正常运行时，噪声等环境影响因素满足国家和当地环保主管部门规定，安全措施落实、有效。</w:t>
      </w:r>
    </w:p>
    <w:p w14:paraId="268100E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2.4计量仪器、仪表配套合理，采用中国的法定计量单位，计量准确、灵敏可靠。保证设计指标和仪器说明书的参数的实现。</w:t>
      </w:r>
    </w:p>
    <w:p w14:paraId="3DBBE94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2.5试运行期间或之后无维修、调整等行为（特殊情况除外）。</w:t>
      </w:r>
    </w:p>
    <w:p w14:paraId="5953A1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2.6货物（生产线）质量、技术性能等，达到签定的技术协议书和合同规定的终验收标准。</w:t>
      </w:r>
    </w:p>
    <w:p w14:paraId="6EDFA5C4">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3</w:t>
      </w:r>
      <w:r>
        <w:rPr>
          <w:rFonts w:hint="eastAsia" w:ascii="宋体" w:hAnsi="宋体" w:eastAsia="宋体" w:cs="宋体"/>
          <w:b/>
          <w:bCs/>
          <w:kern w:val="2"/>
          <w:sz w:val="24"/>
          <w:szCs w:val="24"/>
          <w:lang w:val="en-US" w:eastAsia="zh-CN" w:bidi="ar"/>
        </w:rPr>
        <w:t>、终验收基本要求</w:t>
      </w:r>
    </w:p>
    <w:p w14:paraId="3330DCE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3.1货物（生产线）允许情况下，一般先连续空运转</w:t>
      </w:r>
      <w:r>
        <w:rPr>
          <w:rFonts w:hint="eastAsia" w:ascii="仿宋" w:hAnsi="仿宋" w:eastAsia="仿宋" w:cs="仿宋"/>
          <w:kern w:val="2"/>
          <w:sz w:val="24"/>
          <w:szCs w:val="24"/>
          <w:highlight w:val="yellow"/>
          <w:u w:val="none"/>
          <w:shd w:val="clear" w:fill="7F7F7F"/>
          <w:lang w:val="en-US" w:eastAsia="zh-CN" w:bidi="ar"/>
        </w:rPr>
        <w:t>2</w:t>
      </w:r>
      <w:r>
        <w:rPr>
          <w:rFonts w:hint="eastAsia" w:ascii="仿宋" w:hAnsi="仿宋" w:eastAsia="仿宋" w:cs="仿宋"/>
          <w:kern w:val="2"/>
          <w:sz w:val="24"/>
          <w:szCs w:val="24"/>
          <w:lang w:val="en-US" w:eastAsia="zh-CN" w:bidi="ar"/>
        </w:rPr>
        <w:t>小时，然后再进行负荷运行（无需进行空载运行的除外）。</w:t>
      </w:r>
    </w:p>
    <w:p w14:paraId="1D39839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3.2负荷运行时，货物（生产线）应连续运行</w:t>
      </w:r>
      <w:r>
        <w:rPr>
          <w:rFonts w:hint="eastAsia" w:ascii="仿宋" w:hAnsi="仿宋" w:eastAsia="仿宋" w:cs="仿宋"/>
          <w:kern w:val="2"/>
          <w:sz w:val="24"/>
          <w:szCs w:val="24"/>
          <w:highlight w:val="yellow"/>
          <w:u w:val="single"/>
          <w:shd w:val="clear" w:fill="7F7F7F"/>
          <w:lang w:val="en-US" w:eastAsia="zh-CN" w:bidi="ar"/>
        </w:rPr>
        <w:t>30</w:t>
      </w:r>
      <w:r>
        <w:rPr>
          <w:rFonts w:hint="eastAsia" w:ascii="仿宋" w:hAnsi="仿宋" w:eastAsia="仿宋" w:cs="仿宋"/>
          <w:kern w:val="2"/>
          <w:sz w:val="24"/>
          <w:szCs w:val="24"/>
          <w:lang w:val="en-US" w:eastAsia="zh-CN" w:bidi="ar"/>
        </w:rPr>
        <w:t>天，每天连续</w:t>
      </w:r>
      <w:r>
        <w:rPr>
          <w:rFonts w:hint="eastAsia" w:ascii="仿宋" w:hAnsi="仿宋" w:eastAsia="仿宋" w:cs="仿宋"/>
          <w:kern w:val="2"/>
          <w:sz w:val="24"/>
          <w:szCs w:val="24"/>
          <w:highlight w:val="yellow"/>
          <w:u w:val="single"/>
          <w:shd w:val="clear" w:fill="7F7F7F"/>
          <w:lang w:val="en-US" w:eastAsia="zh-CN" w:bidi="ar"/>
        </w:rPr>
        <w:t>8</w:t>
      </w:r>
      <w:r>
        <w:rPr>
          <w:rFonts w:hint="eastAsia" w:ascii="仿宋" w:hAnsi="仿宋" w:eastAsia="仿宋" w:cs="仿宋"/>
          <w:kern w:val="2"/>
          <w:sz w:val="24"/>
          <w:szCs w:val="24"/>
          <w:lang w:val="en-US" w:eastAsia="zh-CN" w:bidi="ar"/>
        </w:rPr>
        <w:t>小时或长时间连续运行</w:t>
      </w:r>
      <w:r>
        <w:rPr>
          <w:rFonts w:hint="eastAsia" w:ascii="仿宋" w:hAnsi="仿宋" w:eastAsia="仿宋" w:cs="仿宋"/>
          <w:kern w:val="2"/>
          <w:sz w:val="24"/>
          <w:szCs w:val="24"/>
          <w:highlight w:val="yellow"/>
          <w:u w:val="single"/>
          <w:shd w:val="clear" w:fill="7F7F7F"/>
          <w:lang w:val="en-US" w:eastAsia="zh-CN" w:bidi="ar"/>
        </w:rPr>
        <w:t>12</w:t>
      </w:r>
      <w:r>
        <w:rPr>
          <w:rFonts w:hint="eastAsia" w:ascii="仿宋" w:hAnsi="仿宋" w:eastAsia="仿宋" w:cs="仿宋"/>
          <w:kern w:val="2"/>
          <w:sz w:val="24"/>
          <w:szCs w:val="24"/>
          <w:lang w:val="en-US" w:eastAsia="zh-CN" w:bidi="ar"/>
        </w:rPr>
        <w:t>小时。</w:t>
      </w:r>
    </w:p>
    <w:p w14:paraId="730BB0A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3.3出现下列问题之一，视作验收失败：</w:t>
      </w:r>
    </w:p>
    <w:p w14:paraId="065AF64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3.3.1在整个验收过程中发生关键零部件损坏或重大故障；</w:t>
      </w:r>
    </w:p>
    <w:p w14:paraId="212FAD1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3.3.2一般性故障超过</w:t>
      </w:r>
      <w:r>
        <w:rPr>
          <w:rFonts w:hint="eastAsia" w:ascii="仿宋" w:hAnsi="仿宋" w:eastAsia="仿宋" w:cs="仿宋"/>
          <w:kern w:val="2"/>
          <w:sz w:val="24"/>
          <w:szCs w:val="24"/>
          <w:highlight w:val="yellow"/>
          <w:u w:val="single"/>
          <w:shd w:val="clear" w:fill="7F7F7F"/>
          <w:lang w:val="en-US" w:eastAsia="zh-CN" w:bidi="ar"/>
        </w:rPr>
        <w:t>2</w:t>
      </w:r>
      <w:r>
        <w:rPr>
          <w:rFonts w:hint="eastAsia" w:ascii="仿宋" w:hAnsi="仿宋" w:eastAsia="仿宋" w:cs="仿宋"/>
          <w:kern w:val="2"/>
          <w:sz w:val="24"/>
          <w:szCs w:val="24"/>
          <w:lang w:val="en-US" w:eastAsia="zh-CN" w:bidi="ar"/>
        </w:rPr>
        <w:t>次；</w:t>
      </w:r>
    </w:p>
    <w:p w14:paraId="1F98F7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3.3.3所有出现的维修调整，每次时间均超过</w:t>
      </w:r>
      <w:r>
        <w:rPr>
          <w:rFonts w:hint="eastAsia" w:ascii="仿宋" w:hAnsi="仿宋" w:eastAsia="仿宋" w:cs="仿宋"/>
          <w:kern w:val="2"/>
          <w:sz w:val="24"/>
          <w:szCs w:val="24"/>
          <w:highlight w:val="yellow"/>
          <w:u w:val="single"/>
          <w:shd w:val="clear" w:fill="7F7F7F"/>
          <w:lang w:val="en-US" w:eastAsia="zh-CN" w:bidi="ar"/>
        </w:rPr>
        <w:t>60</w:t>
      </w:r>
      <w:r>
        <w:rPr>
          <w:rFonts w:hint="eastAsia" w:ascii="仿宋" w:hAnsi="仿宋" w:eastAsia="仿宋" w:cs="仿宋"/>
          <w:kern w:val="2"/>
          <w:sz w:val="24"/>
          <w:szCs w:val="24"/>
          <w:lang w:val="en-US" w:eastAsia="zh-CN" w:bidi="ar"/>
        </w:rPr>
        <w:t>分钟；所有维修调整时间的总和超过总运行时间的</w:t>
      </w:r>
      <w:r>
        <w:rPr>
          <w:rFonts w:hint="eastAsia" w:ascii="仿宋" w:hAnsi="仿宋" w:eastAsia="仿宋" w:cs="仿宋"/>
          <w:kern w:val="2"/>
          <w:sz w:val="24"/>
          <w:szCs w:val="24"/>
          <w:highlight w:val="yellow"/>
          <w:u w:val="single"/>
          <w:shd w:val="clear" w:fill="7F7F7F"/>
          <w:lang w:val="en-US" w:eastAsia="zh-CN" w:bidi="ar"/>
        </w:rPr>
        <w:t>15</w:t>
      </w:r>
      <w:r>
        <w:rPr>
          <w:rFonts w:hint="eastAsia" w:ascii="仿宋" w:hAnsi="仿宋" w:eastAsia="仿宋" w:cs="仿宋"/>
          <w:kern w:val="2"/>
          <w:sz w:val="24"/>
          <w:szCs w:val="24"/>
          <w:lang w:val="en-US" w:eastAsia="zh-CN" w:bidi="ar"/>
        </w:rPr>
        <w:t>%；</w:t>
      </w:r>
    </w:p>
    <w:p w14:paraId="5FC8F2D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3.3.4更换的零部件货值超过总货值的</w:t>
      </w:r>
      <w:r>
        <w:rPr>
          <w:rFonts w:hint="eastAsia" w:ascii="仿宋" w:hAnsi="仿宋" w:eastAsia="仿宋" w:cs="仿宋"/>
          <w:kern w:val="2"/>
          <w:sz w:val="24"/>
          <w:szCs w:val="24"/>
          <w:highlight w:val="yellow"/>
          <w:u w:val="single"/>
          <w:shd w:val="clear" w:fill="7F7F7F"/>
          <w:lang w:val="en-US" w:eastAsia="zh-CN" w:bidi="ar"/>
        </w:rPr>
        <w:t>1</w:t>
      </w:r>
      <w:r>
        <w:rPr>
          <w:rFonts w:hint="eastAsia" w:ascii="仿宋" w:hAnsi="仿宋" w:eastAsia="仿宋" w:cs="仿宋"/>
          <w:kern w:val="2"/>
          <w:sz w:val="24"/>
          <w:szCs w:val="24"/>
          <w:lang w:val="en-US" w:eastAsia="zh-CN" w:bidi="ar"/>
        </w:rPr>
        <w:t>%。</w:t>
      </w:r>
    </w:p>
    <w:p w14:paraId="280D0CC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3.4累计负载运行实际性能（生产率）达到合同规定；</w:t>
      </w:r>
    </w:p>
    <w:p w14:paraId="2D1788E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3.5终验收原则上要求一次完成。若一次验收不成功，最多允许两次；如果出现第三次验收失败，重新作价或退货；</w:t>
      </w:r>
    </w:p>
    <w:p w14:paraId="033866E7">
      <w:pPr>
        <w:pStyle w:val="2"/>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3.6终验收后买卖双方共同签署终验收报告，并移交、核对全部供货范围内物品。</w:t>
      </w:r>
      <w:r>
        <w:rPr>
          <w:rFonts w:ascii="宋体" w:hAnsi="宋体"/>
        </w:rPr>
        <w:br w:type="page"/>
      </w:r>
      <w:r>
        <w:rPr>
          <w:rFonts w:hint="eastAsia" w:ascii="黑体" w:eastAsia="黑体"/>
          <w:b w:val="0"/>
          <w:sz w:val="24"/>
          <w:szCs w:val="24"/>
        </w:rPr>
        <w:t>第六章  投标技术文件一般要求</w:t>
      </w:r>
    </w:p>
    <w:p w14:paraId="68F79A06">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一、技术文件一般内容要求</w:t>
      </w:r>
    </w:p>
    <w:p w14:paraId="30E8240F">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1、投标方应认真阅读招标文件和本技术标书，并按要求编写投标技术文件。</w:t>
      </w:r>
    </w:p>
    <w:p w14:paraId="7FA1265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2、投标技术文件至少应对投标货物（或生产线）的功能用途、技术性能、质量标准、技术参数等作出详细说明。</w:t>
      </w:r>
    </w:p>
    <w:p w14:paraId="3EAAA80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3、投标技术文件至少应根据投标货物（或生产线）的关键设备、总成、零部件或系统作出满足或优于招标文件要求的详细说明。</w:t>
      </w:r>
    </w:p>
    <w:p w14:paraId="02ACDC71">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4、投标技术文件至少应按照招标文件要求（或投标方建议）列明备品备件、易损件和专用耗材明细。</w:t>
      </w:r>
    </w:p>
    <w:p w14:paraId="01BA07C4">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5、投标方应当而且必须分别说明所列备品备件、易损件和专用耗材的使用寿命（以有效工作小时数说明）。</w:t>
      </w:r>
    </w:p>
    <w:p w14:paraId="538C7F9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6、投标的货物（或生产线），应当根据其配置和备品备件、易损件、专用耗材情况，尽可能详细且分类填入下表：</w:t>
      </w:r>
    </w:p>
    <w:p w14:paraId="75E97454">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6.1投标货物（或生产线）配置一览表：</w:t>
      </w:r>
    </w:p>
    <w:p w14:paraId="3E40A32D">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投标货物（或生产线）配置一览表单位：元</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1271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F8A31E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0201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6C09C6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D77D53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56E6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193B2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939F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046B2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制造商</w:t>
            </w:r>
          </w:p>
        </w:tc>
      </w:tr>
      <w:tr w14:paraId="7722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AC1B67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B8CCB4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64633E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E5D18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8C31D2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014CD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EF3987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39C0CE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647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7EAEE2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4F023C9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DE6194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21D2B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8425B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B8C7D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865F81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E185EA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436B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1EE5DD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557D3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78EE0A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34192B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286EC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45938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7D9ED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640993B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EC9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22EE76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A8D030E">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5E804BC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6786F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98E506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0A1C1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7C431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736FD5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2394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DEE8C3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D66287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893A80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3184E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B412A9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E51196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297B9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324E7B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6BDB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C1BFDB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109A5B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8F87A6D">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808E2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B7CCCE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165EC4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413A5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BD4584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bl>
    <w:p w14:paraId="0BAE3AF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6.2</w:t>
      </w:r>
      <w:r>
        <w:rPr>
          <w:rFonts w:hint="eastAsia" w:ascii="宋体" w:hAnsi="宋体" w:eastAsia="宋体" w:cs="宋体"/>
          <w:kern w:val="2"/>
          <w:sz w:val="24"/>
          <w:szCs w:val="24"/>
          <w:lang w:val="en-US" w:eastAsia="zh-CN" w:bidi="ar"/>
        </w:rPr>
        <w:t>备品备件、易损件和专用耗材明细表：</w:t>
      </w:r>
    </w:p>
    <w:p w14:paraId="2B465E86">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备品备件、易损件和专用耗材明细表单位：元</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4B2C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D73C54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4E70C0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6BC0CC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C0304D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58D8D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12C17D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4702A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3AF2D74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制造商</w:t>
            </w:r>
          </w:p>
        </w:tc>
      </w:tr>
      <w:tr w14:paraId="38F0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E91B7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E1A718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828DF1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ED729F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0FC376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6F8827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A3A586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6145530">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5D1E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2EA90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748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015B466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B2D4E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8A0FFF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397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0209EB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34651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7319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0AC9006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CAD15A1">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AA5A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4E714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A86560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F19C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A3F78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BF307F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21C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91FCA4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3C6F9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4BC5EBD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9A06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17547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24AF39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493FA4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D5C4D3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1141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D5992E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F95CBC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17EF117">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F81851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B6EB3B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CC0876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F2B637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70DE9F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8DD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F6FFD7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48BB41B">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98739D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05B823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6537E6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6B7AD0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528A17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4FD6FBB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bl>
    <w:p w14:paraId="7CF8F3A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6.3“一览表”和“明细表”仅作为投标方编制投标技术文件的一般格式。其中序号编写应当便于招标方了解分类或分项货物之间的所属关系，如1、1.1、1.2。</w:t>
      </w:r>
    </w:p>
    <w:p w14:paraId="42E8F562">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6.4应当尽可能将货物（或生产线）的配置列全、列细，这将有助于投标方胜出。</w:t>
      </w:r>
    </w:p>
    <w:p w14:paraId="089B0E8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6.5单价与总价之间、总价与分类小计价之间、分类小计价与合计价之间数据应当齐全而且准确。</w:t>
      </w:r>
    </w:p>
    <w:p w14:paraId="3DA06ED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6.6本条款表格中的制造商，应当为全称或公认的简称。</w:t>
      </w:r>
    </w:p>
    <w:p w14:paraId="24878A49">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二、技术文件中货物（或生产线）报价格式要求</w:t>
      </w:r>
    </w:p>
    <w:p w14:paraId="4BE59C48">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1、货物（或生产线）配置一览表合计价以及备品备件、易损件和专用耗材明细表合计价应当在投标总报价内对应重现而且应当数据准确。</w:t>
      </w:r>
    </w:p>
    <w:p w14:paraId="7D289D53">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其中，质保期之内需要的备品备件、易损件和专用耗材，需要在配置一览表内单独分类列出并计入货物（或生产线）配置一览表合计价。</w:t>
      </w:r>
    </w:p>
    <w:p w14:paraId="0D25084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2B90A8DE">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3、如果投标总报价与其它价格出现错误或不一致，将有可能导致废标。</w:t>
      </w:r>
    </w:p>
    <w:p w14:paraId="59A43EDA">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4、投标总报价为自合同签定生效至合同无异议执行完毕涉及的买方需要支付的全部费用。如投标方认为本招标及投标货物（或生产线）涉及特需或专门的设计，应当单独列明设计费。</w:t>
      </w:r>
    </w:p>
    <w:p w14:paraId="392CE1A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5、备品备件、易损件和专用耗材，招标方将可能与投标方按照投标价格另行签署供货合同。</w:t>
      </w:r>
    </w:p>
    <w:p w14:paraId="55D94ED0">
      <w:pPr>
        <w:keepNext w:val="0"/>
        <w:keepLines w:val="0"/>
        <w:widowControl w:val="0"/>
        <w:suppressLineNumbers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6、要求投标总报价、分项报价、明细报价之间应当具有相互间对应关系以及填报分项和明细报价，仅为便于评标而不妨碍投标人以最合适的形式签署合同。</w:t>
      </w:r>
    </w:p>
    <w:p w14:paraId="72657AE8">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三、验收标准及内容要求</w:t>
      </w:r>
    </w:p>
    <w:p w14:paraId="2D283BF5">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除招标文件明确的验收标准或内容之外，投标方应当在投标文件中提供预验收（必要时）和终验收的标准以及规程；在合同签定之前，经投标方和招标方双方洽谈确认并签署，以作为验收标准执行。</w:t>
      </w:r>
    </w:p>
    <w:p w14:paraId="2337C331">
      <w:pPr>
        <w:pStyle w:val="2"/>
        <w:spacing w:before="120" w:after="120" w:line="480" w:lineRule="exact"/>
        <w:rPr>
          <w:rFonts w:ascii="黑体" w:eastAsia="黑体"/>
          <w:b w:val="0"/>
          <w:sz w:val="24"/>
          <w:szCs w:val="24"/>
        </w:rPr>
      </w:pPr>
      <w:r>
        <w:rPr>
          <w:rFonts w:ascii="宋体" w:hAnsi="宋体"/>
        </w:rPr>
        <w:br w:type="page"/>
      </w:r>
      <w:r>
        <w:rPr>
          <w:rFonts w:hint="eastAsia" w:ascii="黑体" w:eastAsia="黑体"/>
          <w:b w:val="0"/>
          <w:sz w:val="24"/>
          <w:szCs w:val="24"/>
        </w:rPr>
        <w:t>第七章  其它要求及说明</w:t>
      </w:r>
    </w:p>
    <w:p w14:paraId="566342D4">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一、要求</w:t>
      </w:r>
    </w:p>
    <w:p w14:paraId="71A612B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为保证本技术标书所列采购货物（或生产线）的质量以及先进性、可靠性、经济性和实用性，要求投标方在投标文件中，至少应具备以下资格证明文件或资料：</w:t>
      </w:r>
    </w:p>
    <w:p w14:paraId="43D03AD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1、投标方应是独立法人或得到法人授权的机构。应当在投标文件中提供法人营业执照（复印件）、税务登记证以及组织机构代码证（国外供应商参考该要求提供有效证明文件），并保证其真实性和有效性。</w:t>
      </w:r>
    </w:p>
    <w:p w14:paraId="2E8AA85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2、投标方应当是通过有关资格认证的法人。应当在投标文件中提供有效期内的资格认证证书，如：ISO9001、VDA6.1、QS9000等。</w:t>
      </w:r>
    </w:p>
    <w:p w14:paraId="423AF9DD">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3、国产设备应附有采购货物（或设备）涉及的由“中国质量认证中心”颁发的《中国国家强制性产品认证证书》（CCC证书）。</w:t>
      </w:r>
    </w:p>
    <w:p w14:paraId="70DF540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4、应附有其它与投标单位、采购货物（或生产线）有关的荣誉证书或资料。</w:t>
      </w:r>
    </w:p>
    <w:p w14:paraId="36C9C1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5、必须附有投标货物（或生产线）涉及产品要求的、国家或行业管理规定要求的、或者投标方认为能够体现其投标货物合法性及先进性的最高级别的证明材料（投标货物不涉及的除外）：</w:t>
      </w:r>
    </w:p>
    <w:p w14:paraId="7730E657">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5.1国家相关机构颁发的有效期之内所必需的《生产许可证》。</w:t>
      </w:r>
    </w:p>
    <w:p w14:paraId="33B72A80">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5.2产品（或技术）鉴定报告/证书、专利证书或专利许可证书、新技术成果证书等。</w:t>
      </w:r>
    </w:p>
    <w:p w14:paraId="332F1F2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5.3产品相关检验、试验报告，如：型式试验检验报告、安全试验检验报告、电弧效应试验报告、噪声检测报告等</w:t>
      </w:r>
    </w:p>
    <w:p w14:paraId="726075B9">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5.4其它能够证明所供货物（或生产线）的质量水平、技术水平、安全性水平、节能性水平、环保性水平等相关的其它证明文件或资料、报告等。</w:t>
      </w:r>
    </w:p>
    <w:p w14:paraId="55EB498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5.5该类报告或证明材料对于投标方胜出乃至中标极为重要！</w:t>
      </w:r>
    </w:p>
    <w:p w14:paraId="2CFF48F0">
      <w:pPr>
        <w:keepNext w:val="0"/>
        <w:keepLines w:val="0"/>
        <w:widowControl w:val="0"/>
        <w:suppressLineNumbers w:val="0"/>
        <w:spacing w:before="0" w:beforeAutospacing="0" w:after="0" w:afterAutospacing="0" w:line="420" w:lineRule="exact"/>
        <w:ind w:left="0" w:right="0" w:firstLine="479" w:firstLineChars="199"/>
        <w:jc w:val="both"/>
        <w:rPr>
          <w:rFonts w:hint="eastAsia" w:ascii="仿宋" w:hAnsi="仿宋" w:eastAsia="仿宋" w:cs="仿宋"/>
          <w:kern w:val="2"/>
          <w:sz w:val="24"/>
          <w:szCs w:val="24"/>
        </w:rPr>
      </w:pPr>
      <w:r>
        <w:rPr>
          <w:rFonts w:hint="eastAsia" w:ascii="仿宋" w:hAnsi="仿宋" w:eastAsia="仿宋" w:cs="仿宋"/>
          <w:b/>
          <w:bCs w:val="0"/>
          <w:kern w:val="2"/>
          <w:sz w:val="24"/>
          <w:szCs w:val="24"/>
          <w:lang w:val="en-US" w:eastAsia="zh-CN" w:bidi="ar"/>
        </w:rPr>
        <w:t>6、必须附有：</w:t>
      </w:r>
      <w:r>
        <w:rPr>
          <w:rFonts w:hint="eastAsia" w:ascii="仿宋" w:hAnsi="仿宋" w:eastAsia="仿宋" w:cs="仿宋"/>
          <w:kern w:val="2"/>
          <w:sz w:val="24"/>
          <w:szCs w:val="24"/>
          <w:lang w:val="en-US" w:eastAsia="zh-CN" w:bidi="ar"/>
        </w:rPr>
        <w:t>与本采购货物（或生产线）相同或相似技术规格、型号的而且已经正常使用或通过验收的近三年以上的货物（或生产线）的市场销售业绩清单，清单中应具备：买方单位名称、销售货物（或生产线）的规格型号、数量、（交货）时间、联系人和联系电话（非移动通信号码）等条目内容；投标方应当保证其业绩的真实性，否则将影响投标或中标资格。</w:t>
      </w:r>
    </w:p>
    <w:p w14:paraId="6865E0D9">
      <w:pPr>
        <w:keepNext w:val="0"/>
        <w:keepLines w:val="0"/>
        <w:widowControl w:val="0"/>
        <w:suppressLineNumbers w:val="0"/>
        <w:spacing w:before="0" w:beforeAutospacing="0" w:after="0" w:afterAutospacing="0" w:line="420" w:lineRule="exact"/>
        <w:ind w:left="0" w:right="0" w:firstLine="479" w:firstLineChars="199"/>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二、说明</w:t>
      </w:r>
    </w:p>
    <w:p w14:paraId="6C93C2F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可以根据自身的技术、经验等优势以及对招标文件和本技术标书的理解，写明对招标方所采购货物（或生产线）的优化方案或建议意见。投标方的这些努力，招标方表示感谢，并将有助于投标方优先胜出。</w:t>
      </w:r>
    </w:p>
    <w:p w14:paraId="43DD074A">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2、即使有建议意见或建议方案，仍应依据招标文件和本技术标书要求，编写符合要求的投标文件。建议方案或建议意见，应以单独篇章或文件，予以说明和报价。</w:t>
      </w:r>
    </w:p>
    <w:p w14:paraId="2DEE9CA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请投标方仔细阅读“采购货物概况”章节内说明，针对允许分投分中的货物（或生产线），招标方有权利选择其中优秀设备或服务，作为投标方合同供货范围中的指定选用设备或服务（替代投标方分投而未中标部分）。</w:t>
      </w:r>
    </w:p>
    <w:p w14:paraId="259774FE">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4、招标文件、投标文件、答疑文件、技术交流文件、技术协议书等，在采购过程全部为有效文件，如有差异，以对招标方最有利的条款为准。</w:t>
      </w:r>
    </w:p>
    <w:p w14:paraId="08FA5E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5、为避免歧义，本技术标书涉及招投标环节的条款，均将潜在的卖方称为投标方、将买方称为招标方；定标后合同签署环节以及后续的合同执行环节条款，招标方称为买方、投标方中的中标方称为卖方。</w:t>
      </w:r>
    </w:p>
    <w:p w14:paraId="3D3F3893">
      <w:pPr>
        <w:rPr>
          <w:rFonts w:hint="eastAsia" w:ascii="Calibri" w:hAnsi="Calibri" w:eastAsia="宋体" w:cs="Times New Roman"/>
          <w:b/>
          <w:bCs/>
          <w:kern w:val="44"/>
          <w:sz w:val="36"/>
          <w:szCs w:val="44"/>
        </w:rPr>
      </w:pPr>
    </w:p>
    <w:p w14:paraId="4DAEBF30">
      <w:pPr>
        <w:spacing w:line="480" w:lineRule="exact"/>
        <w:ind w:firstLine="420" w:firstLineChars="200"/>
        <w:rPr>
          <w:rFonts w:ascii="宋体" w:hAnsi="宋体"/>
        </w:rPr>
      </w:pPr>
    </w:p>
    <w:p w14:paraId="5C170ECD">
      <w:pPr>
        <w:spacing w:line="480" w:lineRule="exact"/>
        <w:rPr>
          <w:rFonts w:ascii="宋体" w:hAnsi="宋体"/>
        </w:rPr>
      </w:pPr>
    </w:p>
    <w:p w14:paraId="44FB1F1A">
      <w:pPr>
        <w:spacing w:line="480" w:lineRule="exact"/>
        <w:rPr>
          <w:rFonts w:ascii="宋体" w:hAnsi="宋体" w:eastAsia="宋体" w:cs="Times New Roman"/>
          <w:sz w:val="24"/>
          <w:szCs w:val="24"/>
        </w:rPr>
      </w:pPr>
    </w:p>
    <w:p w14:paraId="5262635A">
      <w:pPr>
        <w:rPr>
          <w:rFonts w:ascii="Times New Roman" w:hAnsi="Times New Roman" w:eastAsia="宋体" w:cs="Times New Roman"/>
          <w:sz w:val="24"/>
          <w:szCs w:val="24"/>
        </w:rPr>
      </w:pPr>
    </w:p>
    <w:p w14:paraId="010C808F">
      <w:pPr>
        <w:rPr>
          <w:rFonts w:ascii="Times New Roman" w:hAnsi="Times New Roman" w:eastAsia="宋体" w:cs="Times New Roman"/>
          <w:sz w:val="24"/>
          <w:szCs w:val="24"/>
        </w:rPr>
      </w:pPr>
    </w:p>
    <w:p w14:paraId="269E838A">
      <w:pPr>
        <w:rPr>
          <w:rFonts w:ascii="Times New Roman" w:hAnsi="Times New Roman" w:eastAsia="宋体" w:cs="Times New Roman"/>
          <w:sz w:val="24"/>
          <w:szCs w:val="24"/>
        </w:rPr>
      </w:pPr>
    </w:p>
    <w:p w14:paraId="2DC414FB">
      <w:pPr>
        <w:rPr>
          <w:rFonts w:ascii="Times New Roman" w:hAnsi="Times New Roman" w:eastAsia="宋体" w:cs="Times New Roman"/>
          <w:sz w:val="24"/>
          <w:szCs w:val="24"/>
        </w:rPr>
      </w:pPr>
    </w:p>
    <w:p w14:paraId="29733653">
      <w:pPr>
        <w:rPr>
          <w:rFonts w:ascii="Times New Roman" w:hAnsi="Times New Roman" w:eastAsia="宋体" w:cs="Times New Roman"/>
          <w:sz w:val="24"/>
          <w:szCs w:val="24"/>
        </w:rPr>
      </w:pPr>
    </w:p>
    <w:p w14:paraId="12130932">
      <w:pPr>
        <w:rPr>
          <w:rFonts w:ascii="Times New Roman" w:hAnsi="Times New Roman" w:eastAsia="宋体" w:cs="Times New Roman"/>
          <w:sz w:val="24"/>
          <w:szCs w:val="24"/>
        </w:rPr>
      </w:pPr>
    </w:p>
    <w:p w14:paraId="52D4A765">
      <w:pPr>
        <w:rPr>
          <w:rFonts w:ascii="Times New Roman" w:hAnsi="Times New Roman" w:eastAsia="宋体" w:cs="Times New Roman"/>
          <w:sz w:val="24"/>
          <w:szCs w:val="24"/>
        </w:rPr>
      </w:pPr>
    </w:p>
    <w:p w14:paraId="5708A312">
      <w:pPr>
        <w:rPr>
          <w:rFonts w:ascii="Times New Roman" w:hAnsi="Times New Roman" w:eastAsia="宋体" w:cs="Times New Roman"/>
          <w:sz w:val="24"/>
          <w:szCs w:val="24"/>
        </w:rPr>
      </w:pPr>
    </w:p>
    <w:p w14:paraId="2C9AA9F4">
      <w:pPr>
        <w:rPr>
          <w:rFonts w:ascii="Times New Roman" w:hAnsi="Times New Roman" w:eastAsia="宋体" w:cs="Times New Roman"/>
          <w:sz w:val="24"/>
          <w:szCs w:val="24"/>
        </w:rPr>
      </w:pPr>
    </w:p>
    <w:p w14:paraId="361FB59B">
      <w:pPr>
        <w:rPr>
          <w:rFonts w:ascii="Times New Roman" w:hAnsi="Times New Roman" w:eastAsia="宋体" w:cs="Times New Roman"/>
          <w:sz w:val="24"/>
          <w:szCs w:val="24"/>
        </w:rPr>
      </w:pPr>
    </w:p>
    <w:p w14:paraId="6ACB32D0">
      <w:pPr>
        <w:rPr>
          <w:rFonts w:ascii="Times New Roman" w:hAnsi="Times New Roman" w:eastAsia="宋体" w:cs="Times New Roman"/>
          <w:sz w:val="24"/>
          <w:szCs w:val="24"/>
        </w:rPr>
      </w:pPr>
    </w:p>
    <w:p w14:paraId="742DFCC1">
      <w:pPr>
        <w:rPr>
          <w:rFonts w:ascii="Times New Roman" w:hAnsi="Times New Roman" w:eastAsia="宋体" w:cs="Times New Roman"/>
          <w:sz w:val="24"/>
          <w:szCs w:val="24"/>
        </w:rPr>
      </w:pPr>
    </w:p>
    <w:p w14:paraId="0277F41C">
      <w:pPr>
        <w:rPr>
          <w:rFonts w:ascii="Times New Roman" w:hAnsi="Times New Roman" w:eastAsia="宋体" w:cs="Times New Roman"/>
          <w:sz w:val="24"/>
          <w:szCs w:val="24"/>
        </w:rPr>
      </w:pPr>
    </w:p>
    <w:p w14:paraId="187D15BD">
      <w:pPr>
        <w:rPr>
          <w:rFonts w:ascii="Times New Roman" w:hAnsi="Times New Roman" w:eastAsia="宋体" w:cs="Times New Roman"/>
          <w:sz w:val="24"/>
          <w:szCs w:val="24"/>
        </w:rPr>
      </w:pPr>
    </w:p>
    <w:p w14:paraId="406A0082">
      <w:pPr>
        <w:rPr>
          <w:rFonts w:ascii="Times New Roman" w:hAnsi="Times New Roman" w:eastAsia="宋体" w:cs="Times New Roman"/>
          <w:sz w:val="24"/>
          <w:szCs w:val="24"/>
        </w:rPr>
      </w:pPr>
    </w:p>
    <w:p w14:paraId="1EF333C7">
      <w:pPr>
        <w:rPr>
          <w:rFonts w:ascii="Times New Roman" w:hAnsi="Times New Roman" w:eastAsia="宋体" w:cs="Times New Roman"/>
          <w:sz w:val="24"/>
          <w:szCs w:val="24"/>
        </w:rPr>
      </w:pPr>
    </w:p>
    <w:p w14:paraId="4BD384CA">
      <w:pPr>
        <w:rPr>
          <w:rFonts w:ascii="Times New Roman" w:hAnsi="Times New Roman" w:eastAsia="宋体" w:cs="Times New Roman"/>
          <w:sz w:val="24"/>
          <w:szCs w:val="24"/>
        </w:rPr>
      </w:pPr>
    </w:p>
    <w:p w14:paraId="21070526">
      <w:pPr>
        <w:rPr>
          <w:rFonts w:ascii="Times New Roman" w:hAnsi="Times New Roman" w:eastAsia="宋体" w:cs="Times New Roman"/>
          <w:sz w:val="24"/>
          <w:szCs w:val="24"/>
        </w:rPr>
      </w:pPr>
    </w:p>
    <w:p w14:paraId="474120ED">
      <w:pPr>
        <w:rPr>
          <w:rFonts w:ascii="Times New Roman" w:hAnsi="Times New Roman" w:eastAsia="宋体" w:cs="Times New Roman"/>
          <w:sz w:val="24"/>
          <w:szCs w:val="24"/>
        </w:rPr>
      </w:pPr>
    </w:p>
    <w:p w14:paraId="3FEFE1AA">
      <w:pPr>
        <w:rPr>
          <w:rFonts w:ascii="Times New Roman" w:hAnsi="Times New Roman" w:eastAsia="宋体" w:cs="Times New Roman"/>
          <w:sz w:val="24"/>
          <w:szCs w:val="24"/>
        </w:rPr>
      </w:pPr>
    </w:p>
    <w:p w14:paraId="7889109B">
      <w:pPr>
        <w:rPr>
          <w:rFonts w:ascii="Times New Roman" w:hAnsi="Times New Roman" w:eastAsia="宋体" w:cs="Times New Roman"/>
          <w:sz w:val="24"/>
          <w:szCs w:val="24"/>
        </w:rPr>
      </w:pPr>
    </w:p>
    <w:p w14:paraId="4F991A1A">
      <w:pPr>
        <w:rPr>
          <w:rFonts w:ascii="Times New Roman" w:hAnsi="Times New Roman" w:eastAsia="宋体" w:cs="Times New Roman"/>
          <w:sz w:val="24"/>
          <w:szCs w:val="24"/>
        </w:rPr>
      </w:pPr>
    </w:p>
    <w:p w14:paraId="2161BCCA">
      <w:pPr>
        <w:rPr>
          <w:rFonts w:ascii="Times New Roman" w:hAnsi="Times New Roman" w:eastAsia="宋体" w:cs="Times New Roman"/>
          <w:sz w:val="24"/>
          <w:szCs w:val="24"/>
        </w:rPr>
      </w:pPr>
    </w:p>
    <w:p w14:paraId="20C884ED">
      <w:pPr>
        <w:rPr>
          <w:rFonts w:ascii="Times New Roman" w:hAnsi="Times New Roman" w:eastAsia="宋体" w:cs="Times New Roman"/>
          <w:sz w:val="24"/>
          <w:szCs w:val="24"/>
        </w:rPr>
      </w:pPr>
    </w:p>
    <w:p w14:paraId="08615867">
      <w:pPr>
        <w:rPr>
          <w:rFonts w:ascii="Times New Roman" w:hAnsi="Times New Roman" w:eastAsia="宋体" w:cs="Times New Roman"/>
          <w:sz w:val="24"/>
          <w:szCs w:val="24"/>
        </w:rPr>
      </w:pPr>
    </w:p>
    <w:p w14:paraId="371CB04C">
      <w:pPr>
        <w:rPr>
          <w:rFonts w:ascii="Times New Roman" w:hAnsi="Times New Roman" w:eastAsia="宋体" w:cs="Times New Roman"/>
          <w:sz w:val="24"/>
          <w:szCs w:val="24"/>
        </w:rPr>
      </w:pPr>
    </w:p>
    <w:p w14:paraId="5A202D78">
      <w:pPr>
        <w:rPr>
          <w:rFonts w:ascii="Times New Roman" w:hAnsi="Times New Roman" w:eastAsia="宋体" w:cs="Times New Roman"/>
          <w:sz w:val="22"/>
        </w:rPr>
      </w:pPr>
    </w:p>
    <w:p w14:paraId="75EA5D33">
      <w:pPr>
        <w:pStyle w:val="19"/>
      </w:pPr>
    </w:p>
    <w:p w14:paraId="475EFCD3">
      <w:pPr>
        <w:spacing w:line="480" w:lineRule="exact"/>
        <w:rPr>
          <w:rFonts w:ascii="宋体" w:hAnsi="宋体"/>
        </w:rPr>
      </w:pPr>
    </w:p>
    <w:bookmarkEnd w:id="33"/>
    <w:bookmarkEnd w:id="34"/>
    <w:p w14:paraId="0639EFDD">
      <w:pPr>
        <w:spacing w:line="360" w:lineRule="auto"/>
        <w:ind w:firstLine="723"/>
        <w:jc w:val="center"/>
        <w:outlineLvl w:val="0"/>
        <w:rPr>
          <w:rFonts w:ascii="宋体" w:hAnsi="Calibri" w:eastAsia="宋体" w:cs="Times New Roman"/>
          <w:b/>
          <w:sz w:val="36"/>
          <w:szCs w:val="36"/>
        </w:rPr>
      </w:pPr>
      <w:bookmarkStart w:id="41" w:name="_Toc29691"/>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p>
    <w:p w14:paraId="2EE79364">
      <w:pPr>
        <w:adjustRightInd w:val="0"/>
        <w:snapToGrid w:val="0"/>
        <w:spacing w:line="360" w:lineRule="auto"/>
        <w:ind w:firstLine="400"/>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1B24C2CA">
      <w:pPr>
        <w:wordWrap w:val="0"/>
        <w:adjustRightInd w:val="0"/>
        <w:snapToGrid w:val="0"/>
        <w:spacing w:line="360" w:lineRule="auto"/>
        <w:jc w:val="right"/>
        <w:rPr>
          <w:rFonts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3E27A29B">
      <w:pPr>
        <w:adjustRightInd w:val="0"/>
        <w:snapToGrid w:val="0"/>
        <w:spacing w:line="360" w:lineRule="auto"/>
        <w:ind w:firstLine="400"/>
        <w:jc w:val="left"/>
        <w:rPr>
          <w:rFonts w:ascii="宋体" w:hAnsi="宋体"/>
          <w:sz w:val="20"/>
          <w:szCs w:val="20"/>
        </w:rPr>
      </w:pPr>
    </w:p>
    <w:p w14:paraId="5DBFAFA8">
      <w:pPr>
        <w:adjustRightInd w:val="0"/>
        <w:snapToGrid w:val="0"/>
        <w:spacing w:line="360" w:lineRule="auto"/>
        <w:ind w:firstLine="1040"/>
        <w:jc w:val="center"/>
        <w:rPr>
          <w:rFonts w:ascii="方正小标宋简体" w:hAnsi="宋体" w:eastAsia="方正小标宋简体"/>
          <w:bCs/>
          <w:sz w:val="52"/>
          <w:szCs w:val="36"/>
        </w:rPr>
      </w:pPr>
    </w:p>
    <w:p w14:paraId="343DCEC4">
      <w:pPr>
        <w:adjustRightInd w:val="0"/>
        <w:snapToGrid w:val="0"/>
        <w:spacing w:line="360" w:lineRule="auto"/>
        <w:jc w:val="center"/>
        <w:rPr>
          <w:rFonts w:ascii="方正小标宋简体" w:hAnsi="宋体" w:eastAsia="方正小标宋简体"/>
          <w:sz w:val="52"/>
          <w:szCs w:val="36"/>
        </w:rPr>
      </w:pPr>
      <w:r>
        <w:rPr>
          <w:rFonts w:hint="eastAsia" w:ascii="方正小标宋简体" w:hAnsi="宋体" w:eastAsia="方正小标宋简体"/>
          <w:bCs/>
          <w:sz w:val="52"/>
          <w:szCs w:val="36"/>
        </w:rPr>
        <w:t>设备采购合同</w:t>
      </w:r>
    </w:p>
    <w:p w14:paraId="734A2DC3">
      <w:pPr>
        <w:ind w:firstLine="440"/>
        <w:jc w:val="center"/>
        <w:rPr>
          <w:sz w:val="11"/>
          <w:szCs w:val="15"/>
        </w:rPr>
      </w:pPr>
      <w:r>
        <w:rPr>
          <w:rFonts w:hint="eastAsia" w:ascii="方正小标宋简体" w:hAnsi="宋体" w:eastAsia="方正小标宋简体"/>
          <w:sz w:val="22"/>
          <w:szCs w:val="16"/>
        </w:rPr>
        <w:t>(合同以双方最终签署的版本为准)</w:t>
      </w:r>
    </w:p>
    <w:p w14:paraId="79AC442F">
      <w:pPr>
        <w:adjustRightInd w:val="0"/>
        <w:snapToGrid w:val="0"/>
        <w:spacing w:line="360" w:lineRule="auto"/>
        <w:ind w:firstLine="723"/>
        <w:jc w:val="left"/>
        <w:rPr>
          <w:rFonts w:ascii="宋体" w:hAnsi="宋体"/>
          <w:b/>
          <w:sz w:val="36"/>
          <w:szCs w:val="36"/>
        </w:rPr>
      </w:pPr>
    </w:p>
    <w:p w14:paraId="5DEE62C9">
      <w:pPr>
        <w:adjustRightInd w:val="0"/>
        <w:snapToGrid w:val="0"/>
        <w:spacing w:line="360" w:lineRule="auto"/>
        <w:ind w:firstLine="723"/>
        <w:jc w:val="left"/>
        <w:rPr>
          <w:rFonts w:ascii="宋体" w:hAnsi="宋体"/>
          <w:b/>
          <w:sz w:val="36"/>
          <w:szCs w:val="36"/>
        </w:rPr>
      </w:pPr>
    </w:p>
    <w:p w14:paraId="137D8465">
      <w:pPr>
        <w:adjustRightInd w:val="0"/>
        <w:snapToGrid w:val="0"/>
        <w:spacing w:line="360" w:lineRule="auto"/>
        <w:ind w:firstLine="723"/>
        <w:jc w:val="left"/>
        <w:rPr>
          <w:rFonts w:ascii="宋体" w:hAnsi="宋体"/>
          <w:b/>
          <w:sz w:val="36"/>
          <w:szCs w:val="36"/>
        </w:rPr>
      </w:pPr>
    </w:p>
    <w:p w14:paraId="12FCE209">
      <w:pPr>
        <w:adjustRightInd w:val="0"/>
        <w:snapToGrid w:val="0"/>
        <w:spacing w:line="360" w:lineRule="auto"/>
        <w:ind w:firstLine="723"/>
        <w:jc w:val="left"/>
        <w:rPr>
          <w:rFonts w:ascii="宋体" w:hAnsi="宋体"/>
          <w:b/>
          <w:sz w:val="36"/>
          <w:szCs w:val="36"/>
        </w:rPr>
      </w:pPr>
    </w:p>
    <w:p w14:paraId="7D68E439">
      <w:pPr>
        <w:adjustRightInd w:val="0"/>
        <w:snapToGrid w:val="0"/>
        <w:spacing w:line="360" w:lineRule="auto"/>
        <w:ind w:firstLine="723"/>
        <w:jc w:val="left"/>
        <w:rPr>
          <w:rFonts w:ascii="宋体" w:hAnsi="宋体"/>
          <w:b/>
          <w:sz w:val="36"/>
          <w:szCs w:val="36"/>
        </w:rPr>
      </w:pPr>
    </w:p>
    <w:p w14:paraId="28DB446E">
      <w:pPr>
        <w:adjustRightInd w:val="0"/>
        <w:snapToGrid w:val="0"/>
        <w:spacing w:line="360" w:lineRule="auto"/>
        <w:ind w:firstLine="723"/>
        <w:jc w:val="left"/>
        <w:rPr>
          <w:rFonts w:ascii="宋体" w:hAnsi="宋体"/>
          <w:b/>
          <w:sz w:val="36"/>
          <w:szCs w:val="36"/>
        </w:rPr>
      </w:pPr>
    </w:p>
    <w:p w14:paraId="5E8B8C02">
      <w:pPr>
        <w:adjustRightInd w:val="0"/>
        <w:snapToGrid w:val="0"/>
        <w:spacing w:line="360" w:lineRule="auto"/>
        <w:ind w:firstLine="723"/>
        <w:jc w:val="left"/>
        <w:rPr>
          <w:rFonts w:ascii="宋体" w:hAnsi="宋体"/>
          <w:b/>
          <w:sz w:val="36"/>
          <w:szCs w:val="36"/>
        </w:rPr>
      </w:pPr>
    </w:p>
    <w:p w14:paraId="2CDA5B61">
      <w:pPr>
        <w:adjustRightInd w:val="0"/>
        <w:snapToGrid w:val="0"/>
        <w:spacing w:line="360" w:lineRule="auto"/>
        <w:ind w:firstLine="2107" w:firstLineChars="878"/>
        <w:jc w:val="left"/>
        <w:rPr>
          <w:rFonts w:ascii="方正小标宋简体" w:hAnsi="宋体" w:eastAsia="方正小标宋简体" w:cs="Times New Roman"/>
          <w:sz w:val="24"/>
          <w:szCs w:val="24"/>
          <w:u w:val="thick"/>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64CDD76A">
      <w:pPr>
        <w:adjustRightInd w:val="0"/>
        <w:snapToGrid w:val="0"/>
        <w:spacing w:line="360" w:lineRule="auto"/>
        <w:ind w:firstLine="1627" w:firstLineChars="678"/>
        <w:jc w:val="left"/>
        <w:rPr>
          <w:rFonts w:ascii="方正小标宋简体" w:hAnsi="宋体" w:eastAsia="方正小标宋简体"/>
          <w:sz w:val="24"/>
          <w:szCs w:val="24"/>
        </w:rPr>
      </w:pPr>
      <w:r>
        <w:rPr>
          <w:rFonts w:hint="eastAsia" w:ascii="方正小标宋简体" w:hAnsi="宋体" w:eastAsia="方正小标宋简体"/>
          <w:sz w:val="24"/>
          <w:szCs w:val="24"/>
        </w:rPr>
        <w:t xml:space="preserve"> </w:t>
      </w:r>
    </w:p>
    <w:p w14:paraId="5D7B033C">
      <w:pPr>
        <w:adjustRightInd w:val="0"/>
        <w:snapToGrid w:val="0"/>
        <w:spacing w:line="360" w:lineRule="auto"/>
        <w:ind w:firstLine="2107" w:firstLineChars="878"/>
        <w:jc w:val="left"/>
        <w:rPr>
          <w:rFonts w:ascii="方正小标宋简体" w:hAnsi="宋体" w:eastAsia="方正小标宋简体"/>
          <w:sz w:val="24"/>
          <w:szCs w:val="24"/>
        </w:rPr>
      </w:pPr>
      <w:r>
        <w:rPr>
          <w:rFonts w:hint="eastAsia" w:ascii="方正小标宋简体" w:hAnsi="宋体" w:eastAsia="方正小标宋简体"/>
          <w:sz w:val="24"/>
          <w:szCs w:val="24"/>
        </w:rPr>
        <w:t>乙  方：</w:t>
      </w:r>
      <w:r>
        <w:rPr>
          <w:rFonts w:hint="eastAsia" w:ascii="方正小标宋简体" w:hAnsi="宋体" w:eastAsia="方正小标宋简体"/>
          <w:sz w:val="24"/>
          <w:szCs w:val="24"/>
          <w:u w:val="thick"/>
        </w:rPr>
        <w:t xml:space="preserve">                           </w:t>
      </w:r>
    </w:p>
    <w:p w14:paraId="414D7C2B">
      <w:pPr>
        <w:spacing w:line="360" w:lineRule="auto"/>
        <w:ind w:right="480"/>
        <w:sectPr>
          <w:footerReference r:id="rId14" w:type="default"/>
          <w:pgSz w:w="11907" w:h="16840"/>
          <w:pgMar w:top="1304" w:right="1418" w:bottom="1304" w:left="1418" w:header="724" w:footer="851" w:gutter="0"/>
          <w:cols w:space="720" w:num="1"/>
          <w:docGrid w:linePitch="290" w:charSpace="-3931"/>
        </w:sectPr>
      </w:pPr>
    </w:p>
    <w:p w14:paraId="20B54436">
      <w:pPr>
        <w:spacing w:line="360" w:lineRule="auto"/>
        <w:ind w:right="480" w:firstLine="440"/>
        <w:rPr>
          <w:rFonts w:ascii="宋体" w:hAnsi="宋体"/>
          <w:bCs/>
          <w:sz w:val="24"/>
          <w:u w:val="single"/>
        </w:rPr>
      </w:pPr>
      <w:r>
        <w:rPr>
          <w:rFonts w:hint="eastAsia" w:ascii="宋体" w:hAnsi="宋体"/>
          <w:bCs/>
          <w:sz w:val="22"/>
        </w:rPr>
        <w:t xml:space="preserve"> </w:t>
      </w:r>
      <w:r>
        <w:rPr>
          <w:rFonts w:hint="eastAsia" w:ascii="宋体" w:hAnsi="宋体"/>
          <w:bCs/>
          <w:sz w:val="24"/>
        </w:rPr>
        <w:t xml:space="preserve"> </w:t>
      </w:r>
    </w:p>
    <w:p w14:paraId="00636907">
      <w:pPr>
        <w:spacing w:line="360" w:lineRule="auto"/>
        <w:ind w:firstLine="440"/>
        <w:rPr>
          <w:rFonts w:ascii="仿宋_GB2312" w:hAnsi="宋体" w:eastAsia="仿宋_GB2312"/>
          <w:bCs/>
          <w:sz w:val="24"/>
          <w:szCs w:val="24"/>
        </w:rPr>
      </w:pPr>
      <w:r>
        <w:rPr>
          <w:rFonts w:hint="eastAsia" w:ascii="宋体" w:hAnsi="宋体"/>
          <w:bCs/>
          <w:sz w:val="22"/>
        </w:rPr>
        <w:t xml:space="preserve">  </w:t>
      </w:r>
      <w:bookmarkStart w:id="42" w:name="_Toc24623"/>
      <w:bookmarkStart w:id="43" w:name="_Toc3778"/>
      <w:bookmarkStart w:id="44" w:name="_Toc5379"/>
      <w:bookmarkStart w:id="45" w:name="_Toc25120"/>
      <w:bookmarkStart w:id="46" w:name="_Toc16330037"/>
      <w:r>
        <w:rPr>
          <w:rFonts w:hint="eastAsia" w:ascii="仿宋_GB2312" w:hAnsi="宋体" w:eastAsia="仿宋_GB2312"/>
          <w:bCs/>
          <w:sz w:val="24"/>
          <w:szCs w:val="24"/>
        </w:rPr>
        <w:t>甲方（买方）：</w:t>
      </w:r>
      <w:r>
        <w:rPr>
          <w:rFonts w:hint="eastAsia" w:ascii="仿宋_GB2312" w:hAnsi="宋体" w:eastAsia="仿宋_GB2312"/>
          <w:b/>
          <w:bCs/>
          <w:sz w:val="24"/>
          <w:szCs w:val="24"/>
          <w:u w:val="single"/>
        </w:rPr>
        <w:t xml:space="preserve">            </w:t>
      </w:r>
      <w:r>
        <w:rPr>
          <w:rFonts w:hint="eastAsia" w:ascii="仿宋_GB2312" w:hAnsi="宋体" w:eastAsia="仿宋_GB2312"/>
          <w:bCs/>
          <w:sz w:val="24"/>
          <w:szCs w:val="24"/>
        </w:rPr>
        <w:t xml:space="preserve">      </w:t>
      </w:r>
    </w:p>
    <w:p w14:paraId="4011E82D">
      <w:pPr>
        <w:spacing w:line="360" w:lineRule="auto"/>
        <w:rPr>
          <w:rFonts w:ascii="仿宋_GB2312" w:hAnsi="宋体" w:eastAsia="仿宋_GB2312"/>
          <w:bCs/>
          <w:sz w:val="24"/>
          <w:szCs w:val="24"/>
        </w:rPr>
      </w:pPr>
      <w:r>
        <w:rPr>
          <w:rFonts w:hint="eastAsia" w:ascii="仿宋_GB2312" w:hAnsi="宋体" w:eastAsia="仿宋_GB2312"/>
          <w:bCs/>
          <w:sz w:val="24"/>
          <w:szCs w:val="24"/>
        </w:rPr>
        <w:t xml:space="preserve">    </w:t>
      </w:r>
    </w:p>
    <w:p w14:paraId="2E8660FA">
      <w:pPr>
        <w:spacing w:line="360" w:lineRule="auto"/>
        <w:ind w:right="-189" w:rightChars="-90" w:firstLine="120" w:firstLineChars="50"/>
        <w:jc w:val="left"/>
        <w:rPr>
          <w:rFonts w:ascii="仿宋_GB2312" w:hAnsi="宋体" w:eastAsia="仿宋_GB2312"/>
          <w:b/>
          <w:bCs/>
          <w:sz w:val="24"/>
          <w:szCs w:val="24"/>
          <w:u w:val="single"/>
        </w:rPr>
      </w:pPr>
      <w:r>
        <w:rPr>
          <w:rFonts w:hint="eastAsia" w:ascii="仿宋_GB2312" w:hAnsi="宋体" w:eastAsia="仿宋_GB2312"/>
          <w:bCs/>
          <w:sz w:val="24"/>
          <w:szCs w:val="24"/>
        </w:rPr>
        <w:t>乙方（卖方）：</w:t>
      </w:r>
      <w:r>
        <w:rPr>
          <w:rFonts w:hint="eastAsia" w:ascii="仿宋_GB2312" w:hAnsi="宋体" w:eastAsia="仿宋_GB2312"/>
          <w:b/>
          <w:bCs/>
          <w:sz w:val="24"/>
          <w:szCs w:val="24"/>
          <w:u w:val="single"/>
        </w:rPr>
        <w:t xml:space="preserve">            </w:t>
      </w:r>
    </w:p>
    <w:p w14:paraId="051E3371">
      <w:pPr>
        <w:spacing w:line="360" w:lineRule="auto"/>
        <w:ind w:right="-189" w:rightChars="-90" w:firstLine="482"/>
        <w:jc w:val="left"/>
        <w:rPr>
          <w:rFonts w:ascii="仿宋_GB2312" w:hAnsi="宋体" w:eastAsia="仿宋_GB2312"/>
          <w:b/>
          <w:bCs/>
          <w:sz w:val="24"/>
          <w:szCs w:val="24"/>
          <w:u w:val="single"/>
        </w:rPr>
      </w:pPr>
    </w:p>
    <w:p w14:paraId="46F05F38">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本设备采购合同由甲乙双方于山东省济南市（</w:t>
      </w:r>
      <w:r>
        <w:rPr>
          <w:rFonts w:hint="eastAsia" w:ascii="仿宋_GB2312" w:eastAsia="仿宋_GB2312" w:cs="等线"/>
          <w:i/>
          <w:iCs/>
          <w:sz w:val="24"/>
          <w:u w:val="single"/>
        </w:rPr>
        <w:t>可根据实际情况调整为甲方/买方所在地</w:t>
      </w:r>
      <w:r>
        <w:rPr>
          <w:rFonts w:hint="eastAsia" w:ascii="仿宋_GB2312" w:eastAsia="仿宋_GB2312" w:hAnsiTheme="minorEastAsia" w:cstheme="minorEastAsia"/>
          <w:sz w:val="24"/>
          <w:szCs w:val="24"/>
        </w:rPr>
        <w:t>）签订：</w:t>
      </w:r>
    </w:p>
    <w:p w14:paraId="57864C8E">
      <w:pPr>
        <w:spacing w:line="360" w:lineRule="auto"/>
        <w:ind w:right="-189" w:rightChars="-90" w:firstLine="480" w:firstLineChars="200"/>
        <w:jc w:val="left"/>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鉴于，买方向卖方购买</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项目</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设备</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台（套），就该设备的设计、制造、运输、定点卸货、安装（或指导安装）、调试、验收、培训及售后服务等有关问题，以上所列内容经买卖双方协商自愿达成本合同：</w:t>
      </w:r>
    </w:p>
    <w:p w14:paraId="5906BB90">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 合同设备</w:t>
      </w:r>
    </w:p>
    <w:p w14:paraId="49027F5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1.1买方向卖方购买的设备信息见附件一：《设备清单明细表》</w:t>
      </w:r>
    </w:p>
    <w:p w14:paraId="4DF005F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1.2技术规格和标准</w:t>
      </w:r>
    </w:p>
    <w:p w14:paraId="4F94DD9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1.2.1本合同约定设备的技术规格详见附件二《技术协议书》。</w:t>
      </w:r>
    </w:p>
    <w:p w14:paraId="49D0E7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2D71F62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1.3在设备所有权转移到买方之前，有关设备的保险由卖方负责办理并承担保险费用。</w:t>
      </w:r>
    </w:p>
    <w:p w14:paraId="2EDFA76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2 包装</w:t>
      </w:r>
    </w:p>
    <w:p w14:paraId="3C85816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040A3B9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2.2每件包装应附有详细的装箱单和质量证书各两套，一套在包装箱里，一套在包装箱外。</w:t>
      </w:r>
    </w:p>
    <w:p w14:paraId="3FAF9893">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3 运输标记</w:t>
      </w:r>
    </w:p>
    <w:p w14:paraId="74D1D2E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3.1卖方应在每一包装箱邻近的四个侧面用不易褪色的油漆以醒目的中文印刷字体标明以下各项：</w:t>
      </w:r>
    </w:p>
    <w:p w14:paraId="182747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3.1.1收货人</w:t>
      </w:r>
    </w:p>
    <w:p w14:paraId="216F4EC1">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3.1.2合同号</w:t>
      </w:r>
    </w:p>
    <w:p w14:paraId="5F1AEF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3.1.3发货标记（唛头）</w:t>
      </w:r>
    </w:p>
    <w:p w14:paraId="0EA2A58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3.1.4设备的名称、品目号、箱号</w:t>
      </w:r>
    </w:p>
    <w:p w14:paraId="2F6A13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3.1.5毛重/净重（公斤）</w:t>
      </w:r>
    </w:p>
    <w:p w14:paraId="509A6A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3.1.6尺寸（长×宽×高，以厘米计）</w:t>
      </w:r>
    </w:p>
    <w:p w14:paraId="37AF57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2746C1A">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4 检验</w:t>
      </w:r>
    </w:p>
    <w:p w14:paraId="085BFC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2D7A29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4.2国家强制检验检测的设备，需要经过国家有关部门进行检验检测，卖方保证提供的设备通过其检验并承担费用。</w:t>
      </w:r>
    </w:p>
    <w:p w14:paraId="51E48AC7">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5 权利担保</w:t>
      </w:r>
    </w:p>
    <w:p w14:paraId="20415D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50CBE5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5.2卖方应保证第三方对其提交的设备不得以侵权或其他类似理由提出合法要求，如侵犯知识产权等。</w:t>
      </w:r>
    </w:p>
    <w:p w14:paraId="3B4B7E8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5.3任何第三方如果提出侵权指控，卖方应与第三方交涉，并承担由此引起的一切法律责任和费用以及给买方所造成的损失。</w:t>
      </w:r>
    </w:p>
    <w:p w14:paraId="31857D1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5.4买方应在已知道第三方的权利或要求后的一段合理时间内，将此权利或要求的性质通知卖方。</w:t>
      </w:r>
    </w:p>
    <w:p w14:paraId="62C3663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BA9FB1A">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6 交货</w:t>
      </w:r>
    </w:p>
    <w:p w14:paraId="7BC4065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5401FE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6.2卖方应在设备装运完成后当天以传真、邮件等的形式通知买方合同号、设备名称、数量、毛重、体积（立方米）、发票金额、启运日期、预计到达日期。</w:t>
      </w:r>
    </w:p>
    <w:p w14:paraId="3A52EC1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7BF33FA">
      <w:pPr>
        <w:spacing w:line="360" w:lineRule="auto"/>
        <w:ind w:firstLine="453" w:firstLineChars="189"/>
        <w:rPr>
          <w:rFonts w:ascii="仿宋_GB2312" w:eastAsia="仿宋_GB2312" w:hAnsiTheme="minorEastAsia" w:cstheme="minorEastAsia"/>
          <w:i/>
          <w:iCs/>
          <w:sz w:val="24"/>
          <w:szCs w:val="24"/>
          <w:u w:val="double"/>
        </w:rPr>
      </w:pPr>
      <w:r>
        <w:rPr>
          <w:rFonts w:hint="eastAsia" w:ascii="仿宋_GB2312" w:eastAsia="仿宋_GB2312" w:hAnsiTheme="minorEastAsia" w:cstheme="minorEastAsia"/>
          <w:sz w:val="24"/>
          <w:szCs w:val="24"/>
        </w:rPr>
        <w:t>6.4交货方式</w:t>
      </w:r>
      <w:r>
        <w:rPr>
          <w:rFonts w:hint="eastAsia" w:ascii="仿宋_GB2312" w:eastAsia="仿宋_GB2312" w:hAnsiTheme="minorEastAsia" w:cstheme="minorEastAsia"/>
          <w:bCs/>
          <w:sz w:val="24"/>
          <w:szCs w:val="24"/>
        </w:rPr>
        <w:t>：</w:t>
      </w:r>
      <w:r>
        <w:rPr>
          <w:rFonts w:hint="eastAsia" w:ascii="仿宋_GB2312" w:eastAsia="仿宋_GB2312" w:hAnsiTheme="minorEastAsia" w:cstheme="minorEastAsia"/>
          <w:bCs/>
          <w:sz w:val="24"/>
          <w:szCs w:val="24"/>
          <w:u w:val="single"/>
        </w:rPr>
        <w:t xml:space="preserve">        </w:t>
      </w:r>
      <w:r>
        <w:rPr>
          <w:rFonts w:hint="eastAsia" w:ascii="仿宋_GB2312" w:eastAsia="仿宋_GB2312" w:hAnsiTheme="minorEastAsia" w:cstheme="minorEastAsia"/>
          <w:iCs/>
          <w:sz w:val="24"/>
          <w:szCs w:val="24"/>
          <w:u w:val="single"/>
        </w:rPr>
        <w:t>（可选择6.4.1-6.4.3定义的方式或根据实际约定）</w:t>
      </w:r>
    </w:p>
    <w:p w14:paraId="11F4ED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6.4.1交钥匙方式：卖方负责合同设备的设计、制造、运输、定点卸货、安装、调试、培训及售后服务等所有内容，直至买方验收合格并交付使用。</w:t>
      </w:r>
    </w:p>
    <w:p w14:paraId="657F559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0244E5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6.4.3自提：买方依照合同约定到卖方所在地提取合同设备，经买方根据合同所约定的数量、型号及配置等内容逐一确认无误后，双方完成交付手续。</w:t>
      </w:r>
    </w:p>
    <w:p w14:paraId="159EADA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6.5交货地点：</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 xml:space="preserve">      </w:t>
      </w:r>
    </w:p>
    <w:p w14:paraId="6F84899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6.6到货时间：</w:t>
      </w:r>
      <w:r>
        <w:rPr>
          <w:rFonts w:hint="eastAsia" w:ascii="仿宋_GB2312" w:eastAsia="仿宋_GB2312" w:hAnsiTheme="minorEastAsia" w:cstheme="minorEastAsia"/>
          <w:sz w:val="24"/>
          <w:szCs w:val="24"/>
          <w:u w:val="single"/>
        </w:rPr>
        <w:t>20  年  月   日前</w:t>
      </w:r>
      <w:r>
        <w:rPr>
          <w:rFonts w:hint="eastAsia" w:ascii="仿宋_GB2312" w:eastAsia="仿宋_GB2312" w:hAnsiTheme="minorEastAsia" w:cstheme="minorEastAsia"/>
          <w:sz w:val="24"/>
          <w:szCs w:val="24"/>
        </w:rPr>
        <w:t xml:space="preserve">         </w:t>
      </w:r>
    </w:p>
    <w:p w14:paraId="689B77E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32B402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6.8卖方在交付设备前需通知买方。</w:t>
      </w:r>
    </w:p>
    <w:p w14:paraId="47B794B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6.9风险的转移：</w:t>
      </w:r>
    </w:p>
    <w:p w14:paraId="3378C36B">
      <w:pPr>
        <w:spacing w:line="360" w:lineRule="auto"/>
        <w:ind w:firstLine="453" w:firstLineChars="189"/>
        <w:rPr>
          <w:rFonts w:asciiTheme="minorEastAsia" w:hAnsiTheme="minorEastAsia" w:cstheme="minorEastAsia"/>
          <w:sz w:val="20"/>
          <w:szCs w:val="20"/>
        </w:rPr>
      </w:pPr>
      <w:r>
        <w:rPr>
          <w:rFonts w:hint="eastAsia" w:ascii="仿宋_GB2312" w:eastAsia="仿宋_GB2312" w:hAnsiTheme="minorEastAsia" w:cstheme="minor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14592A57">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7 安装、调试</w:t>
      </w:r>
    </w:p>
    <w:p w14:paraId="7D9735B9">
      <w:pPr>
        <w:pStyle w:val="12"/>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7.1 卖方须在到货后</w:t>
      </w:r>
      <w:r>
        <w:rPr>
          <w:rFonts w:hint="eastAsia"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日内安装调试完成。</w:t>
      </w:r>
    </w:p>
    <w:p w14:paraId="105DF71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7.2卖方应自带用以安装、调试过程中所需的各种工具、仪器、仪表及易损件。在安装、调试过程中，卖方应自负其工作人员的食宿、交通等费用。</w:t>
      </w:r>
    </w:p>
    <w:p w14:paraId="43D67BD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7.3在安装、调试过程中，安装场地及施工人员安全，由卖方负责。由于安装、调试等原因造成买方或他人人身损害或财产损失的，由卖方承担赔偿责任。</w:t>
      </w:r>
    </w:p>
    <w:p w14:paraId="59A30EF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7.4</w:t>
      </w:r>
      <w:r>
        <w:rPr>
          <w:rFonts w:hint="eastAsia" w:ascii="仿宋_GB2312" w:hAnsi="黑体" w:eastAsia="仿宋_GB2312" w:cstheme="minorEastAsia"/>
          <w:bCs/>
          <w:sz w:val="24"/>
          <w:szCs w:val="24"/>
        </w:rPr>
        <w:t xml:space="preserve"> </w:t>
      </w:r>
      <w:r>
        <w:rPr>
          <w:rFonts w:hint="eastAsia" w:ascii="仿宋_GB2312" w:hAnsi="黑体" w:eastAsia="仿宋_GB2312" w:cstheme="minorEastAsia"/>
          <w:sz w:val="24"/>
          <w:szCs w:val="24"/>
        </w:rPr>
        <w:t>卖方须对安装、调试过程中造成的买方或他人人身损害或财产损失承担赔偿责任。</w:t>
      </w:r>
    </w:p>
    <w:p w14:paraId="35760954">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7.5 若设备安装、调试过程中需使用买方产品的，买方提供调试所用产品数量【】件，超出此数量部分由卖方提供，由此产生的相关费用由卖方承担。</w:t>
      </w:r>
    </w:p>
    <w:p w14:paraId="3453F33D">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8 价款与支付</w:t>
      </w:r>
    </w:p>
    <w:p w14:paraId="6D87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8.1本合同不含税总价为人民币</w:t>
      </w:r>
      <w:r>
        <w:rPr>
          <w:rFonts w:hint="eastAsia" w:ascii="仿宋_GB2312" w:eastAsia="仿宋_GB2312" w:cs="Calibri"/>
          <w:sz w:val="24"/>
          <w:szCs w:val="24"/>
        </w:rPr>
        <w:t>¥</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），增值税税率</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w:t>
      </w:r>
      <w:r>
        <w:rPr>
          <w:rFonts w:hint="eastAsia" w:ascii="仿宋_GB2312" w:hAnsi="黑体" w:eastAsia="仿宋_GB2312" w:cstheme="minorEastAsia"/>
          <w:sz w:val="24"/>
          <w:szCs w:val="24"/>
        </w:rPr>
        <w:t>%，税额</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元，含税总价</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元人民币（大写：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），如国家出台新政策对增值税率进行了调整，则不含税价款不变，本合同含税总价在不含税价基础上根据国家最新税法进行相应的调整。</w:t>
      </w:r>
    </w:p>
    <w:p w14:paraId="0CA16416">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含税总价包括但不限于全部（全新）产品价、备品备件价、专用工具价、运杂费（包括现场卸车费）、设计、制造、安装（或指导安装）、调试、验收、培训、技术及售后服务费、技术资料费等所有费用的总和。</w:t>
      </w:r>
    </w:p>
    <w:p w14:paraId="235B70C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8.2合同价款的结算方式：半年期商业汇票（包括银行承兑汇票和商业承兑汇票）（如有其它方式可据实填写）</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 xml:space="preserve">         </w:t>
      </w:r>
    </w:p>
    <w:p w14:paraId="3B6C696D">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8.3合同价款的支付：（如有不同付款比例，则按照招标文件约定据实填写）</w:t>
      </w:r>
    </w:p>
    <w:p w14:paraId="2FF5FBB6">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8.3.1合同生效设备全部到齐无质量问题通过买方初步验收后, 卖方提交金额为合同含税价款60 %的收据（正本一份，复印件二份），经买方依照财务制度审核无误后【】日后支付。</w:t>
      </w:r>
      <w:r>
        <w:rPr>
          <w:rFonts w:hint="eastAsia" w:ascii="仿宋_GB2312" w:hAnsi="黑体" w:eastAsia="仿宋_GB2312" w:cstheme="minorEastAsia"/>
          <w:i/>
          <w:sz w:val="24"/>
          <w:szCs w:val="24"/>
        </w:rPr>
        <w:t>【按照实际业务的</w:t>
      </w:r>
      <w:r>
        <w:rPr>
          <w:rFonts w:ascii="仿宋_GB2312" w:hAnsi="黑体" w:eastAsia="仿宋_GB2312" w:cstheme="minorEastAsia"/>
          <w:i/>
          <w:sz w:val="24"/>
          <w:szCs w:val="24"/>
        </w:rPr>
        <w:t>SAP</w:t>
      </w:r>
      <w:r>
        <w:rPr>
          <w:rFonts w:hint="eastAsia" w:ascii="仿宋_GB2312" w:hAnsi="黑体" w:eastAsia="仿宋_GB2312" w:cstheme="minorEastAsia"/>
          <w:i/>
          <w:sz w:val="24"/>
          <w:szCs w:val="24"/>
        </w:rPr>
        <w:t>付款条件填写】</w:t>
      </w:r>
    </w:p>
    <w:p w14:paraId="31194B33">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p>
    <w:p w14:paraId="5CD8A3ED">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r>
        <w:rPr>
          <w:rFonts w:hint="eastAsia" w:ascii="仿宋_GB2312" w:hAnsi="黑体" w:eastAsia="仿宋_GB2312" w:cstheme="minorEastAsia"/>
          <w:sz w:val="24"/>
          <w:szCs w:val="24"/>
        </w:rPr>
        <w:t>如有质量问题，质量保证金予以相应扣除。</w:t>
      </w:r>
    </w:p>
    <w:p w14:paraId="28C6F261">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9 质量保证及售后服务</w:t>
      </w:r>
    </w:p>
    <w:p w14:paraId="6CFF0D3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75F7149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9.2卖方承诺其提供的设备不存在任何产品缺陷，否则因卖方提供的设备存在产品缺陷而给买方造成的一切后果和损失由卖方承担。</w:t>
      </w:r>
    </w:p>
    <w:p w14:paraId="0826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9B2EF7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9.4本合同约定设备的质量保证期：自最终验收报告签署之日（以签署日期最晚者为准）起</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年。</w:t>
      </w:r>
    </w:p>
    <w:p w14:paraId="318143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1CFC1F6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9.6卖方负责在买方指定的地点免费为买方培训操作及维修人员，培训内容包括：基本原理、操作使用、安全操作注意事项以及维修保养等内容。</w:t>
      </w:r>
    </w:p>
    <w:p w14:paraId="4F3552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9.7质量保证期满后，卖方保证向买方提供及时的、质优的、价格优惠的技术服务和备品备件供应。</w:t>
      </w:r>
    </w:p>
    <w:p w14:paraId="3C9435B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9.8质量保证期满后，如出现质量问题，卖方也应及时修复和更换，且只收取成本费，费用由买方承担，卖方对设备质量问题所负的责任直到设备使用寿命周期结束。</w:t>
      </w:r>
    </w:p>
    <w:p w14:paraId="3477C823">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10法定责任</w:t>
      </w:r>
    </w:p>
    <w:p w14:paraId="5C24E1B8">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10.1卖方需遵从国家有关的法律、法规，缴纳有关的法定费用和税项。若卖方未按期交纳法定费用、税项，则卖方须补偿买方由此造成的所有费用及损失。</w:t>
      </w:r>
    </w:p>
    <w:p w14:paraId="0297159E">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10.2除非本合同中另有规定或买方同意，卖方不得全部或部分转让本合同项下的权利义务。</w:t>
      </w:r>
    </w:p>
    <w:p w14:paraId="775961A0">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41C18E2A">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10.4除对方预先书面同意外，任何一方在本合同签订和履行期间或本合同终止后不得向第三方披露在本合同履行过程中知悉的与对方有关的任何商业秘密。</w:t>
      </w:r>
    </w:p>
    <w:p w14:paraId="0434ABD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11 违约责任</w:t>
      </w:r>
    </w:p>
    <w:p w14:paraId="1D100C6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2DE63B6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3AB168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11.1.2根据设备的瑕疵和受损程度以及买方遭受损失的金额，经买方同意降低设备价格。</w:t>
      </w:r>
    </w:p>
    <w:p w14:paraId="69D411D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D20C20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47C32DB7">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3C3DD17E">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347B3D8F">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11.5买方延期付款时（有正当拒付理由者除外），每日按延付金额的 3 ‰向卖方偿付延期付款违约金，但违约金总额不超过延付金额的 50 ‰。</w:t>
      </w:r>
    </w:p>
    <w:p w14:paraId="128A78E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‰的违约金（合同额不足10万元按照2000元/天计取），且不免除维修的责任。违约金在质保金中扣除。</w:t>
      </w:r>
    </w:p>
    <w:p w14:paraId="61DA0AB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w:t>
      </w:r>
      <w:r>
        <w:rPr>
          <w:rFonts w:ascii="仿宋_GB2312" w:hAnsi="黑体" w:eastAsia="仿宋_GB2312" w:cstheme="minorEastAsia"/>
          <w:sz w:val="24"/>
          <w:szCs w:val="24"/>
        </w:rPr>
        <w:t>1.7</w:t>
      </w:r>
      <w:r>
        <w:rPr>
          <w:rFonts w:hint="eastAsia" w:ascii="仿宋_GB2312" w:hAnsi="黑体" w:eastAsia="仿宋_GB2312" w:cstheme="minorEastAsia"/>
          <w:sz w:val="24"/>
          <w:szCs w:val="24"/>
        </w:rPr>
        <w:t>因发票违规给买方造成的增值税、所得税等损失，由卖方承担相关责任，包括但不限于税款、滞纳金、罚款及其它相关损失。</w:t>
      </w:r>
    </w:p>
    <w:p w14:paraId="6AB59134">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11.</w:t>
      </w:r>
      <w:r>
        <w:rPr>
          <w:rFonts w:ascii="仿宋_GB2312" w:hAnsi="黑体" w:eastAsia="仿宋_GB2312" w:cstheme="minorEastAsia"/>
          <w:sz w:val="24"/>
          <w:szCs w:val="24"/>
        </w:rPr>
        <w:t>8</w:t>
      </w:r>
      <w:r>
        <w:rPr>
          <w:rFonts w:hint="eastAsia" w:ascii="仿宋_GB2312" w:hAnsi="黑体" w:eastAsia="仿宋_GB2312" w:cstheme="minorEastAsia"/>
          <w:sz w:val="24"/>
          <w:szCs w:val="24"/>
        </w:rPr>
        <w:t>如果卖方违反本合同其他约定（包括本合同及所有附件）应赔偿因此给买方造成的一切损失。</w:t>
      </w:r>
    </w:p>
    <w:p w14:paraId="6DAFCF18">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12 合同的终止与解除</w:t>
      </w:r>
    </w:p>
    <w:p w14:paraId="2C8F05A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12.1本合同订立后，卖方由于履行义务的能力或信用有严重缺陷，买方可以终止履行本合同，要求卖方返还已支付的款项并不承担违约责任。</w:t>
      </w:r>
    </w:p>
    <w:p w14:paraId="0E5F71B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12.2经双方协商一致，可以解除本合同。</w:t>
      </w:r>
    </w:p>
    <w:p w14:paraId="372E3C36">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12.3有下列情形之一的，买方可以解除本合同：</w:t>
      </w:r>
    </w:p>
    <w:p w14:paraId="273C3A30">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12.3.1卖方明确表示或者以自己的行为表明不履行主要义务的；</w:t>
      </w:r>
    </w:p>
    <w:p w14:paraId="1A34BFE1">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12.3.2卖方所提交的设备不符合本合同的规定；</w:t>
      </w:r>
    </w:p>
    <w:p w14:paraId="55F6B068">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12.3.3卖方发生本合同约定的解除情形的；</w:t>
      </w:r>
    </w:p>
    <w:p w14:paraId="5FAE331E">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12.3.4卖方有其他违约行为。</w:t>
      </w:r>
    </w:p>
    <w:p w14:paraId="682DD0B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12.4卖方分批交付设备的，卖方对其中一批设备不交付或者交付不符合约定，致使该批设备不能实现本合同目的的，买方可以就该批设备解除合同。</w:t>
      </w:r>
    </w:p>
    <w:p w14:paraId="39DE98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12.5卖方不交付其中一批设备或者交付不符合约定，致使今后其他各批设备的交付不能实现本合同目的的，买方可以就该批以及今后其他各批设备解除合同。</w:t>
      </w:r>
    </w:p>
    <w:p w14:paraId="1EE9266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12.6买方如果就其中一批设备解除合同，该批设备与其他各批设备相互依存的，可以就已经交付和未交付的各批设备解除合同。</w:t>
      </w:r>
    </w:p>
    <w:p w14:paraId="429285F3">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12.7因为卖方违约导致买方解除合同的，卖方应赔偿买方因此所遭受的一切损失。</w:t>
      </w:r>
    </w:p>
    <w:p w14:paraId="60E1B054">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13 不可抗力</w:t>
      </w:r>
    </w:p>
    <w:p w14:paraId="6587E9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6BD7522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13.2各方应该通过协商决定是否终止本合同，或推迟全部或部分本合同的履行或免除对方全部或部分相关履行义务。</w:t>
      </w:r>
    </w:p>
    <w:p w14:paraId="7AD30E80">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14 通讯</w:t>
      </w:r>
    </w:p>
    <w:p w14:paraId="212A46E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14.1通讯地址：</w:t>
      </w:r>
    </w:p>
    <w:p w14:paraId="469A8F0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本合同下的任何通讯按照本合同双方提供的信息，以书信、传真、电子通讯方式或电话作出。</w:t>
      </w:r>
    </w:p>
    <w:p w14:paraId="1DEE056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14.2生效</w:t>
      </w:r>
    </w:p>
    <w:p w14:paraId="449E172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14.2.1书信。书信为送达时生效；</w:t>
      </w:r>
    </w:p>
    <w:p w14:paraId="2C01B0D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14.2.2传真。发送人取得成功传输的信息时生效；</w:t>
      </w:r>
    </w:p>
    <w:p w14:paraId="1693A3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14.2.3电子邮件。电子邮件于发送之时生效，前提是寄件者于该邮件发送后24小时内没有收到发送失败通知；</w:t>
      </w:r>
    </w:p>
    <w:p w14:paraId="621873B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14.2.4电话。电话于打出时生效，以电话作出的任何通讯必须以书信、传真或电子邮件确认，如果没有发送或者接收该确认不会使原有通讯失效。</w:t>
      </w:r>
    </w:p>
    <w:p w14:paraId="3B4419E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14.3书面法律证据。根据本合同以书信、传真或电子邮件方式送达任何订约方的任何通讯，将作为书面法律证据。</w:t>
      </w:r>
    </w:p>
    <w:p w14:paraId="4D98EC22">
      <w:pPr>
        <w:pStyle w:val="3"/>
        <w:tabs>
          <w:tab w:val="right" w:leader="dot" w:pos="9061"/>
        </w:tabs>
        <w:spacing w:before="312" w:beforeLines="100"/>
        <w:ind w:firstLine="560"/>
        <w:rPr>
          <w:rFonts w:ascii="黑体" w:hAnsi="黑体" w:eastAsia="黑体" w:cstheme="minorEastAsia"/>
          <w:sz w:val="28"/>
          <w:szCs w:val="28"/>
        </w:rPr>
      </w:pPr>
      <w:r>
        <w:rPr>
          <w:rFonts w:hint="eastAsia" w:ascii="黑体" w:hAnsi="黑体" w:eastAsia="黑体" w:cstheme="minorEastAsia"/>
          <w:sz w:val="28"/>
          <w:szCs w:val="28"/>
        </w:rPr>
        <w:t>15 适用法律及争议解决</w:t>
      </w:r>
    </w:p>
    <w:p w14:paraId="3DA8752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15.1本合同条款的效力和解释适用中华人民共和国法律。</w:t>
      </w:r>
    </w:p>
    <w:p w14:paraId="3666EC5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24CB32EB">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16 附件</w:t>
      </w:r>
    </w:p>
    <w:p w14:paraId="2F3FCFD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本合同及其附件构成双方关于本合同标的之全部协议，包括但不限于下列文件：</w:t>
      </w:r>
    </w:p>
    <w:p w14:paraId="458E63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16.1技术协议书；</w:t>
      </w:r>
    </w:p>
    <w:p w14:paraId="7B341FC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16.2合同设备一览表；</w:t>
      </w:r>
    </w:p>
    <w:p w14:paraId="5EAA120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16.3卖方中标的设备投标书以及一切书面承诺；</w:t>
      </w:r>
    </w:p>
    <w:p w14:paraId="46C390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16.4招标文件。</w:t>
      </w:r>
    </w:p>
    <w:p w14:paraId="77EE109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上述附件内容与本合同约定有冲突的，以本合同约定为准。</w:t>
      </w:r>
    </w:p>
    <w:p w14:paraId="4DF499C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17 其他规定</w:t>
      </w:r>
    </w:p>
    <w:p w14:paraId="021FC5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17.1本合同及其附件构成了双方就本合同所含交易而达成的全部合同，并取代双方先前与该等交易有关的全部口头和书面合同。</w:t>
      </w:r>
    </w:p>
    <w:p w14:paraId="6AA8A58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17.2如果本合同的任何条款和条件在任何时间成为非法、无效或不可强制执行的，则其他条款不应受其影响。</w:t>
      </w:r>
    </w:p>
    <w:p w14:paraId="75D3C8C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1FD730F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17.4监造，在合同设备的制造过程中，买方有权派出代表对合同设备制造过程中的关键工序进行质量监督，卖方有配合买方监造的义务。</w:t>
      </w:r>
    </w:p>
    <w:p w14:paraId="6EBC985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7634169B">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18 签署事项</w:t>
      </w:r>
    </w:p>
    <w:p w14:paraId="1DD908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本合同一式</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份，买方持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份，卖方持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份；本合同经双方签署后生效。</w:t>
      </w:r>
    </w:p>
    <w:p w14:paraId="78432AF3">
      <w:pPr>
        <w:spacing w:line="360" w:lineRule="auto"/>
        <w:ind w:firstLine="455" w:firstLineChars="189"/>
        <w:rPr>
          <w:rFonts w:ascii="仿宋_GB2312" w:eastAsia="仿宋_GB2312" w:hAnsiTheme="minorEastAsia" w:cstheme="minorEastAsia"/>
          <w:b/>
          <w:sz w:val="24"/>
          <w:szCs w:val="24"/>
        </w:rPr>
      </w:pPr>
      <w:r>
        <w:rPr>
          <w:rFonts w:ascii="仿宋_GB2312" w:eastAsia="仿宋_GB2312" w:hAnsiTheme="minorEastAsia" w:cstheme="minorEastAsia"/>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42C5535E">
      <w:pPr>
        <w:spacing w:line="360" w:lineRule="auto"/>
        <w:ind w:firstLine="455" w:firstLineChars="189"/>
        <w:rPr>
          <w:rFonts w:ascii="仿宋_GB2312" w:eastAsia="仿宋_GB2312" w:hAnsiTheme="minorEastAsia" w:cstheme="minorEastAsia"/>
          <w:b/>
          <w:sz w:val="24"/>
          <w:szCs w:val="24"/>
        </w:rPr>
      </w:pPr>
      <w:r>
        <w:rPr>
          <w:rFonts w:hint="eastAsia" w:ascii="仿宋_GB2312" w:eastAsia="仿宋_GB2312" w:hAnsiTheme="minorEastAsia" w:cstheme="minorEastAsia"/>
          <w:b/>
          <w:sz w:val="24"/>
          <w:szCs w:val="24"/>
        </w:rPr>
        <w:t xml:space="preserve"> </w:t>
      </w:r>
      <w:r>
        <w:rPr>
          <w:rFonts w:ascii="仿宋_GB2312" w:eastAsia="仿宋_GB2312" w:hAnsiTheme="minorEastAsia" w:cstheme="minorEastAsia"/>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46CD11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（以下无正文）</w:t>
      </w:r>
    </w:p>
    <w:p w14:paraId="29392A07">
      <w:pPr>
        <w:spacing w:line="360" w:lineRule="auto"/>
        <w:ind w:firstLine="420" w:firstLineChars="200"/>
        <w:rPr>
          <w:rFonts w:asciiTheme="minorEastAsia" w:hAnsiTheme="minorEastAsia" w:cstheme="minorEastAsia"/>
          <w:sz w:val="20"/>
          <w:szCs w:val="20"/>
        </w:rPr>
      </w:pPr>
      <w:r>
        <w:rPr>
          <w:rFonts w:hint="eastAsia"/>
        </w:rPr>
        <w:t xml:space="preserve">    </w:t>
      </w:r>
    </w:p>
    <w:p w14:paraId="7AD70E63">
      <w:pPr>
        <w:spacing w:line="360" w:lineRule="auto"/>
        <w:ind w:firstLine="400"/>
        <w:rPr>
          <w:rFonts w:ascii="宋体" w:hAnsi="宋体"/>
          <w:snapToGrid w:val="0"/>
          <w:kern w:val="0"/>
          <w:sz w:val="20"/>
          <w:szCs w:val="20"/>
          <w:lang w:eastAsia="zh-Hans"/>
        </w:rPr>
      </w:pPr>
    </w:p>
    <w:p w14:paraId="30DA487E">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kern w:val="0"/>
          <w:sz w:val="24"/>
          <w:szCs w:val="24"/>
        </w:rPr>
        <w:t xml:space="preserve">           </w:t>
      </w:r>
      <w:r>
        <w:rPr>
          <w:rFonts w:hint="eastAsia" w:ascii="仿宋_GB2312" w:hAnsi="宋体" w:eastAsia="仿宋_GB2312"/>
          <w:snapToGrid w:val="0"/>
          <w:kern w:val="0"/>
          <w:sz w:val="24"/>
          <w:szCs w:val="24"/>
          <w:lang w:eastAsia="zh-Hans"/>
        </w:rPr>
        <w:t>乙方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
    <w:p w14:paraId="72B5379D">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法定代表人或代理人（签字）：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法定代表人或代理人（签字）：</w:t>
      </w:r>
    </w:p>
    <w:p w14:paraId="63959DC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地  址：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地  址： </w:t>
      </w:r>
    </w:p>
    <w:p w14:paraId="2F53F5E9">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电话：                                       电话： </w:t>
      </w:r>
    </w:p>
    <w:p w14:paraId="029585FB">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传真：                                       传真： </w:t>
      </w:r>
    </w:p>
    <w:p w14:paraId="1A14A8E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开户银行：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开户银行：   </w:t>
      </w:r>
    </w:p>
    <w:p w14:paraId="35C07158">
      <w:pPr>
        <w:widowControl/>
        <w:adjustRightInd w:val="0"/>
        <w:snapToGrid w:val="0"/>
        <w:spacing w:line="360" w:lineRule="auto"/>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账  号：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账 号： </w:t>
      </w:r>
    </w:p>
    <w:p w14:paraId="7D7FCA92">
      <w:pPr>
        <w:spacing w:line="360" w:lineRule="auto"/>
        <w:rPr>
          <w:rFonts w:ascii="仿宋_GB2312" w:eastAsia="仿宋_GB2312"/>
          <w:sz w:val="24"/>
          <w:szCs w:val="24"/>
        </w:rPr>
      </w:pPr>
    </w:p>
    <w:p w14:paraId="29BCD834">
      <w:pPr>
        <w:pStyle w:val="3"/>
        <w:tabs>
          <w:tab w:val="right" w:leader="dot" w:pos="9061"/>
        </w:tabs>
        <w:ind w:firstLine="560"/>
        <w:rPr>
          <w:rFonts w:ascii="黑体" w:hAnsi="黑体" w:eastAsia="黑体" w:cstheme="minorEastAsia"/>
          <w:sz w:val="28"/>
          <w:szCs w:val="28"/>
        </w:rPr>
      </w:pPr>
      <w:r>
        <w:rPr>
          <w:rFonts w:hint="eastAsia" w:ascii="黑体" w:hAnsi="黑体" w:eastAsia="黑体" w:cstheme="minorEastAsia"/>
          <w:sz w:val="28"/>
          <w:szCs w:val="28"/>
        </w:rPr>
        <w:t>附件一：设备清单明细表</w:t>
      </w:r>
    </w:p>
    <w:p w14:paraId="3DD20364"/>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3"/>
        <w:gridCol w:w="660"/>
        <w:gridCol w:w="660"/>
      </w:tblGrid>
      <w:tr w14:paraId="222B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005CB9D4">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743A523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43AE09EE">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546393DD">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70699CF1">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3BFF42D8">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不含税</w:t>
            </w:r>
          </w:p>
          <w:p w14:paraId="02AABC45">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75E0E00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50D6FE08">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1A528364">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含税</w:t>
            </w:r>
          </w:p>
          <w:p w14:paraId="509DAC35">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29C5DDA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1D69863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其他</w:t>
            </w:r>
          </w:p>
        </w:tc>
      </w:tr>
      <w:tr w14:paraId="7FDE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60E2E696">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63B21EC8">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74885C91">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399A079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D068A2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1F2D53B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03D8D3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4F9EEED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6E70EAA3">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3D68C01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94755C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3C39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81864D6">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7494D61D">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ECD3D0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AE8742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2E4A67D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0C6F02D9">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FB5639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5CE007F9">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383B6D1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BEC9F8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0698522F">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19D3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C38A077">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2066E7F3">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4AF8E4A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83F790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68C5DD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4E2CF63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8F8CC7F">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0A77A5F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2D21D91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775245D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0447B5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6FBA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EC463EC">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2CDD307D">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1FDC723">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4623D13E">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710181D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271D095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77" w:type="dxa"/>
            <w:vAlign w:val="center"/>
          </w:tcPr>
          <w:p w14:paraId="7BB31B8A">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881" w:type="dxa"/>
            <w:vAlign w:val="center"/>
          </w:tcPr>
          <w:p w14:paraId="22438A3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97" w:type="dxa"/>
            <w:vAlign w:val="center"/>
          </w:tcPr>
          <w:p w14:paraId="22CFDA17">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5F486F8E">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110AAB93">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r>
    </w:tbl>
    <w:p w14:paraId="3D87667E">
      <w:pPr>
        <w:pStyle w:val="2"/>
        <w:tabs>
          <w:tab w:val="right" w:leader="dot" w:pos="9061"/>
        </w:tabs>
        <w:ind w:left="0"/>
        <w:jc w:val="both"/>
        <w:rPr>
          <w:rFonts w:asciiTheme="minorEastAsia" w:hAnsiTheme="minorEastAsia" w:eastAsiaTheme="minorEastAsia" w:cstheme="minorEastAsia"/>
          <w:sz w:val="20"/>
        </w:rPr>
      </w:pPr>
    </w:p>
    <w:p w14:paraId="0543F24F">
      <w:pPr>
        <w:rPr>
          <w:rFonts w:asciiTheme="minorEastAsia" w:hAnsiTheme="minorEastAsia" w:eastAsiaTheme="minorEastAsia" w:cstheme="minorEastAsia"/>
          <w:sz w:val="20"/>
        </w:rPr>
      </w:pPr>
    </w:p>
    <w:p w14:paraId="4EE060D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2BF52B48">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lang w:eastAsia="zh-CN"/>
        </w:rPr>
        <w:t>甲方单位</w:t>
      </w:r>
      <w:r>
        <w:rPr>
          <w:rFonts w:hint="eastAsia" w:ascii="仿宋_GB2312" w:hAnsi="仿宋_GB2312" w:eastAsia="仿宋_GB2312" w:cs="仿宋_GB2312"/>
          <w:b/>
          <w:bCs/>
          <w:snapToGrid w:val="0"/>
          <w:kern w:val="0"/>
          <w:sz w:val="24"/>
          <w:szCs w:val="24"/>
          <w:u w:val="single"/>
        </w:rPr>
        <w:t>全称</w:t>
      </w:r>
    </w:p>
    <w:p w14:paraId="092D0E24">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3929564B">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rPr>
        <w:t>甲方</w:t>
      </w:r>
      <w:r>
        <w:rPr>
          <w:rFonts w:hint="eastAsia" w:ascii="仿宋_GB2312" w:hAnsi="仿宋_GB2312" w:eastAsia="仿宋_GB2312" w:cs="仿宋_GB2312"/>
          <w:snapToGrid w:val="0"/>
          <w:color w:val="000000"/>
          <w:kern w:val="0"/>
          <w:sz w:val="24"/>
          <w:szCs w:val="24"/>
        </w:rPr>
        <w:t>代表</w:t>
      </w:r>
      <w:r>
        <w:rPr>
          <w:rFonts w:hint="eastAsia" w:ascii="仿宋_GB2312" w:hAnsi="仿宋_GB2312" w:eastAsia="仿宋_GB2312" w:cs="仿宋_GB2312"/>
          <w:snapToGrid w:val="0"/>
          <w:color w:val="000000"/>
          <w:kern w:val="0"/>
          <w:sz w:val="24"/>
          <w:szCs w:val="24"/>
          <w:lang w:eastAsia="zh-Hans"/>
        </w:rPr>
        <w:t xml:space="preserve">（签字）： </w:t>
      </w:r>
    </w:p>
    <w:p w14:paraId="6F59E4E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1F91E594">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5CCDDEC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73ADFE8">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60A38C8E">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0B8931F">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r>
        <w:rPr>
          <w:rFonts w:hint="eastAsia" w:ascii="仿宋_GB2312" w:hAnsi="仿宋_GB2312" w:eastAsia="仿宋_GB2312" w:cs="仿宋_GB2312"/>
          <w:snapToGrid w:val="0"/>
          <w:color w:val="000000"/>
          <w:kern w:val="0"/>
          <w:sz w:val="24"/>
          <w:szCs w:val="24"/>
          <w:lang w:val="en-US" w:eastAsia="zh-CN"/>
        </w:rPr>
        <w:t>乙方代表</w:t>
      </w:r>
      <w:r>
        <w:rPr>
          <w:rFonts w:hint="eastAsia" w:ascii="仿宋_GB2312" w:hAnsi="仿宋_GB2312" w:eastAsia="仿宋_GB2312" w:cs="仿宋_GB2312"/>
          <w:snapToGrid w:val="0"/>
          <w:color w:val="000000"/>
          <w:kern w:val="0"/>
          <w:sz w:val="24"/>
          <w:szCs w:val="24"/>
          <w:lang w:val="en-US" w:eastAsia="zh-Hans"/>
        </w:rPr>
        <w:t xml:space="preserve">（签字）： </w:t>
      </w:r>
    </w:p>
    <w:p w14:paraId="14BEEB9E">
      <w:pPr>
        <w:ind w:firstLine="400"/>
        <w:rPr>
          <w:rFonts w:cs="等线"/>
          <w:sz w:val="20"/>
          <w:szCs w:val="20"/>
        </w:rPr>
      </w:pPr>
      <w:r>
        <w:rPr>
          <w:rFonts w:hint="eastAsia" w:cs="等线"/>
          <w:sz w:val="20"/>
          <w:szCs w:val="20"/>
        </w:rPr>
        <w:br w:type="page"/>
      </w:r>
    </w:p>
    <w:p w14:paraId="7E11A127">
      <w:pPr>
        <w:pStyle w:val="3"/>
        <w:tabs>
          <w:tab w:val="right" w:leader="dot" w:pos="9061"/>
        </w:tabs>
        <w:ind w:firstLine="560"/>
        <w:rPr>
          <w:rFonts w:ascii="黑体" w:hAnsi="黑体" w:eastAsia="黑体" w:cs="等线"/>
          <w:i/>
          <w:sz w:val="28"/>
          <w:szCs w:val="28"/>
        </w:rPr>
      </w:pPr>
      <w:r>
        <w:rPr>
          <w:rFonts w:hint="eastAsia" w:ascii="黑体" w:hAnsi="黑体" w:eastAsia="黑体" w:cs="等线"/>
          <w:sz w:val="28"/>
          <w:szCs w:val="28"/>
        </w:rPr>
        <w:t xml:space="preserve">附件二 </w:t>
      </w:r>
      <w:bookmarkEnd w:id="42"/>
      <w:bookmarkEnd w:id="43"/>
      <w:bookmarkEnd w:id="44"/>
      <w:bookmarkEnd w:id="45"/>
      <w:bookmarkEnd w:id="46"/>
      <w:r>
        <w:rPr>
          <w:rFonts w:hint="eastAsia" w:ascii="黑体" w:hAnsi="黑体" w:eastAsia="黑体" w:cs="等线"/>
          <w:sz w:val="28"/>
          <w:szCs w:val="28"/>
        </w:rPr>
        <w:t>技术协议书</w:t>
      </w:r>
    </w:p>
    <w:p w14:paraId="1CD0667F">
      <w:pPr>
        <w:ind w:right="360" w:firstLine="400"/>
        <w:rPr>
          <w:rFonts w:cs="等线"/>
          <w:sz w:val="20"/>
          <w:szCs w:val="20"/>
        </w:rPr>
      </w:pPr>
    </w:p>
    <w:p w14:paraId="489FA054">
      <w:pPr>
        <w:ind w:firstLine="400"/>
        <w:jc w:val="right"/>
        <w:rPr>
          <w:rFonts w:cs="等线"/>
          <w:sz w:val="20"/>
          <w:szCs w:val="20"/>
        </w:rPr>
      </w:pPr>
    </w:p>
    <w:p w14:paraId="552E388D">
      <w:pPr>
        <w:ind w:firstLine="400"/>
        <w:jc w:val="right"/>
        <w:rPr>
          <w:rFonts w:cs="等线"/>
          <w:sz w:val="20"/>
          <w:szCs w:val="20"/>
        </w:rPr>
      </w:pPr>
    </w:p>
    <w:p w14:paraId="47C6ED13">
      <w:pPr>
        <w:ind w:firstLine="400"/>
        <w:jc w:val="right"/>
        <w:rPr>
          <w:rFonts w:cs="等线"/>
          <w:sz w:val="20"/>
          <w:szCs w:val="20"/>
        </w:rPr>
      </w:pPr>
      <w:r>
        <w:rPr>
          <w:rFonts w:hint="eastAsia" w:cs="等线"/>
          <w:sz w:val="20"/>
          <w:szCs w:val="20"/>
        </w:rPr>
        <w:t xml:space="preserve">                                      </w:t>
      </w:r>
    </w:p>
    <w:p w14:paraId="08625486">
      <w:pPr>
        <w:ind w:firstLine="400"/>
        <w:jc w:val="right"/>
        <w:rPr>
          <w:rFonts w:cs="等线"/>
          <w:sz w:val="20"/>
          <w:szCs w:val="20"/>
        </w:rPr>
      </w:pPr>
    </w:p>
    <w:p w14:paraId="56981AA2">
      <w:pPr>
        <w:wordWrap w:val="0"/>
        <w:ind w:right="480" w:firstLine="400"/>
        <w:rPr>
          <w:rFonts w:cs="等线"/>
          <w:sz w:val="20"/>
          <w:szCs w:val="20"/>
        </w:rPr>
      </w:pPr>
    </w:p>
    <w:p w14:paraId="2C57F6E3">
      <w:pPr>
        <w:jc w:val="right"/>
        <w:rPr>
          <w:rFonts w:ascii="楷体_GB2312" w:hAnsi="宋体" w:eastAsia="楷体_GB2312"/>
          <w:sz w:val="24"/>
        </w:rPr>
      </w:pPr>
    </w:p>
    <w:p w14:paraId="123E7CE4">
      <w:pPr>
        <w:ind w:right="480"/>
        <w:jc w:val="center"/>
        <w:rPr>
          <w:sz w:val="24"/>
          <w:szCs w:val="24"/>
        </w:rPr>
      </w:pPr>
      <w:r>
        <w:rPr>
          <w:rFonts w:hint="eastAsia" w:ascii="楷体_GB2312" w:hAnsi="宋体" w:eastAsia="楷体_GB2312"/>
          <w:sz w:val="24"/>
        </w:rPr>
        <w:t xml:space="preserve">                                    </w:t>
      </w:r>
    </w:p>
    <w:p w14:paraId="6164E8C7">
      <w:pPr>
        <w:ind w:firstLine="1040"/>
        <w:jc w:val="left"/>
        <w:rPr>
          <w:rFonts w:ascii="方正小标宋简体" w:hAnsi="宋体" w:eastAsia="方正小标宋简体"/>
          <w:bCs/>
          <w:sz w:val="52"/>
          <w:szCs w:val="36"/>
        </w:rPr>
      </w:pPr>
      <w:r>
        <w:rPr>
          <w:rFonts w:hint="eastAsia" w:ascii="方正小标宋简体" w:hAnsi="宋体" w:eastAsia="方正小标宋简体"/>
          <w:bCs/>
          <w:sz w:val="52"/>
          <w:szCs w:val="36"/>
        </w:rPr>
        <w:br w:type="page"/>
      </w:r>
    </w:p>
    <w:p w14:paraId="03A33730">
      <w:pPr>
        <w:spacing w:before="118"/>
        <w:ind w:right="30"/>
        <w:jc w:val="center"/>
        <w:outlineLvl w:val="0"/>
        <w:rPr>
          <w:rFonts w:ascii="楷体" w:hAnsi="楷体" w:eastAsia="楷体" w:cs="楷体"/>
          <w:sz w:val="40"/>
          <w:szCs w:val="21"/>
        </w:rPr>
      </w:pPr>
      <w:r>
        <w:rPr>
          <w:rFonts w:hint="eastAsia" w:ascii="方正小标宋简体" w:hAnsi="方正小标宋简体" w:eastAsia="方正小标宋简体" w:cs="方正小标宋简体"/>
          <w:sz w:val="40"/>
          <w:szCs w:val="21"/>
        </w:rPr>
        <w:t>廉洁诚信协议</w:t>
      </w:r>
    </w:p>
    <w:p w14:paraId="296B5C13">
      <w:pPr>
        <w:pStyle w:val="14"/>
        <w:spacing w:before="8" w:after="156"/>
        <w:rPr>
          <w:rFonts w:ascii="楷体" w:hAnsi="楷体" w:eastAsia="楷体" w:cs="楷体"/>
          <w:sz w:val="44"/>
          <w:szCs w:val="28"/>
        </w:rPr>
      </w:pPr>
    </w:p>
    <w:p w14:paraId="6D906953">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甲方：</w:t>
      </w:r>
    </w:p>
    <w:p w14:paraId="79D6CF71">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乙方：</w:t>
      </w:r>
    </w:p>
    <w:p w14:paraId="5F401785">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ascii="楷体" w:hAnsi="楷体" w:eastAsia="楷体" w:cs="楷体"/>
          <w:spacing w:val="-2"/>
          <w:sz w:val="28"/>
          <w:szCs w:val="28"/>
        </w:rPr>
        <w:t>,共同加强廉洁自律建设，甲乙双方在平等、自愿、协商一致的原则下，签订本协议。</w:t>
      </w:r>
    </w:p>
    <w:p w14:paraId="071D335D">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1.甲乙双方应当共同遵守国家、地方法律法规以及本协议的约定，在合同的订立、履行过程中廉洁自律，绝不弄虚作假、以次充好，虚结虚算。</w:t>
      </w:r>
    </w:p>
    <w:p w14:paraId="645349FD">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2.乙方声明并承诺甲方人员或其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和其他特定关系人（甲方人员为领导干部的，其他特定关系人包含身边工作人员）</w:t>
      </w:r>
      <w:r>
        <w:rPr>
          <w:rFonts w:ascii="楷体" w:hAnsi="楷体" w:eastAsia="楷体" w:cs="楷体"/>
          <w:spacing w:val="-2"/>
          <w:sz w:val="28"/>
          <w:szCs w:val="28"/>
        </w:rPr>
        <w:t>没有直接或间接投资乙方或持有乙方股权，没有直接或间接投资乙方关联企业或持有乙方关联企业股权。</w:t>
      </w:r>
    </w:p>
    <w:p w14:paraId="23022A89">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3.乙方承诺乙方或乙方关联企业股东、实际出资人或持股人、高管、主要业务人员不得与甲方人员或其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共同成立公司，不得聘请甲方人员或其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在乙方或乙方关联企业股东或实际出资人或高管或主要业务人员成立的企业中担任高管或为其</w:t>
      </w:r>
      <w:r>
        <w:rPr>
          <w:rFonts w:hint="eastAsia" w:ascii="楷体" w:hAnsi="楷体" w:eastAsia="楷体" w:cs="楷体"/>
          <w:spacing w:val="-2"/>
          <w:sz w:val="28"/>
          <w:szCs w:val="28"/>
        </w:rPr>
        <w:t>违规</w:t>
      </w:r>
      <w:r>
        <w:rPr>
          <w:rFonts w:ascii="楷体" w:hAnsi="楷体" w:eastAsia="楷体" w:cs="楷体"/>
          <w:spacing w:val="-2"/>
          <w:sz w:val="28"/>
          <w:szCs w:val="28"/>
        </w:rPr>
        <w:t>发放薪酬。</w:t>
      </w:r>
      <w:r>
        <w:rPr>
          <w:rFonts w:hint="eastAsia" w:ascii="楷体" w:hAnsi="楷体" w:eastAsia="楷体" w:cs="楷体"/>
          <w:spacing w:val="-2"/>
          <w:sz w:val="28"/>
          <w:szCs w:val="28"/>
        </w:rPr>
        <w:t>违规发放薪酬包括不实际工作而获取薪酬或者虽实际工作但领取明显超出同职级标准薪酬。</w:t>
      </w:r>
      <w:r>
        <w:rPr>
          <w:rFonts w:ascii="楷体" w:hAnsi="楷体" w:eastAsia="楷体" w:cs="楷体"/>
          <w:spacing w:val="-2"/>
          <w:sz w:val="28"/>
          <w:szCs w:val="28"/>
        </w:rPr>
        <w:t>（</w:t>
      </w:r>
      <w:r>
        <w:rPr>
          <w:rFonts w:hint="eastAsia" w:ascii="楷体" w:hAnsi="楷体" w:eastAsia="楷体" w:cs="楷体"/>
          <w:spacing w:val="-2"/>
          <w:sz w:val="28"/>
          <w:szCs w:val="28"/>
        </w:rPr>
        <w:t>若乙方为甲方</w:t>
      </w:r>
      <w:r>
        <w:rPr>
          <w:rFonts w:ascii="楷体" w:hAnsi="楷体" w:eastAsia="楷体" w:cs="楷体"/>
          <w:spacing w:val="-2"/>
          <w:sz w:val="28"/>
          <w:szCs w:val="28"/>
        </w:rPr>
        <w:t>新</w:t>
      </w:r>
      <w:r>
        <w:rPr>
          <w:rFonts w:hint="eastAsia" w:ascii="楷体" w:hAnsi="楷体" w:eastAsia="楷体" w:cs="楷体"/>
          <w:spacing w:val="-2"/>
          <w:sz w:val="28"/>
          <w:szCs w:val="28"/>
        </w:rPr>
        <w:t>合作伙伴</w:t>
      </w:r>
      <w:r>
        <w:rPr>
          <w:rFonts w:ascii="楷体" w:hAnsi="楷体" w:eastAsia="楷体" w:cs="楷体"/>
          <w:spacing w:val="-2"/>
          <w:sz w:val="28"/>
          <w:szCs w:val="28"/>
        </w:rPr>
        <w:t>，如在本协议签订前乙方存在本条规定情形的，需在本协议签订后30日内，将相关情况报</w:t>
      </w:r>
      <w:r>
        <w:rPr>
          <w:rFonts w:hint="eastAsia" w:ascii="楷体" w:hAnsi="楷体" w:eastAsia="楷体" w:cs="楷体"/>
          <w:spacing w:val="-2"/>
          <w:sz w:val="28"/>
          <w:szCs w:val="28"/>
        </w:rPr>
        <w:t>甲方所属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w:t>
      </w:r>
      <w:r>
        <w:rPr>
          <w:rFonts w:hint="eastAsia" w:ascii="楷体" w:hAnsi="楷体" w:eastAsia="楷体" w:cs="楷体"/>
          <w:spacing w:val="-2"/>
          <w:sz w:val="28"/>
          <w:szCs w:val="28"/>
        </w:rPr>
        <w:t>门</w:t>
      </w:r>
      <w:r>
        <w:rPr>
          <w:rFonts w:ascii="楷体" w:hAnsi="楷体" w:eastAsia="楷体" w:cs="楷体"/>
          <w:spacing w:val="-2"/>
          <w:sz w:val="28"/>
          <w:szCs w:val="28"/>
        </w:rPr>
        <w:t>备案）。</w:t>
      </w:r>
    </w:p>
    <w:p w14:paraId="0FAEBDD0">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4.乙方承诺依法开展经营活动，不得有任何形式的商业贿赂行为。乙方一经发现其员工或其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rPr>
        <w:t>已</w:t>
      </w:r>
      <w:r>
        <w:rPr>
          <w:rFonts w:ascii="楷体" w:hAnsi="楷体" w:eastAsia="楷体" w:cs="楷体"/>
          <w:spacing w:val="-2"/>
          <w:sz w:val="28"/>
          <w:szCs w:val="28"/>
        </w:rPr>
        <w:t>签订的</w:t>
      </w:r>
      <w:r>
        <w:rPr>
          <w:rFonts w:hint="eastAsia" w:ascii="楷体" w:hAnsi="楷体" w:eastAsia="楷体" w:cs="楷体"/>
          <w:spacing w:val="-2"/>
          <w:sz w:val="28"/>
          <w:szCs w:val="28"/>
        </w:rPr>
        <w:t>所有合同</w:t>
      </w:r>
      <w:r>
        <w:rPr>
          <w:rFonts w:ascii="楷体" w:hAnsi="楷体" w:eastAsia="楷体" w:cs="楷体"/>
          <w:spacing w:val="-2"/>
          <w:sz w:val="28"/>
          <w:szCs w:val="28"/>
        </w:rPr>
        <w:t>协议，并要求乙方赔偿。</w:t>
      </w:r>
    </w:p>
    <w:p w14:paraId="1577ACBF">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5.乙方承诺不以任何理由为甲方人员及其</w:t>
      </w:r>
      <w:r>
        <w:rPr>
          <w:rFonts w:hint="eastAsia" w:ascii="楷体" w:hAnsi="楷体" w:eastAsia="楷体" w:cs="楷体"/>
          <w:spacing w:val="-2"/>
          <w:sz w:val="28"/>
          <w:szCs w:val="28"/>
        </w:rPr>
        <w:t>配偶、子女及其配偶等亲属和其他特定关系人提供如下：</w:t>
      </w:r>
    </w:p>
    <w:p w14:paraId="05A539AB">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a)</w:t>
      </w:r>
      <w:r>
        <w:rPr>
          <w:rFonts w:ascii="楷体" w:hAnsi="楷体" w:eastAsia="楷体" w:cs="楷体"/>
          <w:spacing w:val="-2"/>
          <w:sz w:val="28"/>
          <w:szCs w:val="28"/>
        </w:rPr>
        <w:t>赠送</w:t>
      </w:r>
      <w:r>
        <w:rPr>
          <w:rFonts w:hint="eastAsia" w:ascii="楷体" w:hAnsi="楷体" w:eastAsia="楷体" w:cs="楷体"/>
          <w:spacing w:val="-2"/>
          <w:sz w:val="28"/>
          <w:szCs w:val="28"/>
        </w:rPr>
        <w:t>礼品、</w:t>
      </w:r>
      <w:r>
        <w:rPr>
          <w:rFonts w:ascii="楷体" w:hAnsi="楷体" w:eastAsia="楷体" w:cs="楷体"/>
          <w:spacing w:val="-2"/>
          <w:sz w:val="28"/>
          <w:szCs w:val="28"/>
        </w:rPr>
        <w:t>礼金、</w:t>
      </w:r>
      <w:r>
        <w:rPr>
          <w:rFonts w:hint="eastAsia" w:ascii="楷体" w:hAnsi="楷体" w:eastAsia="楷体" w:cs="楷体"/>
          <w:spacing w:val="-2"/>
          <w:sz w:val="28"/>
          <w:szCs w:val="28"/>
        </w:rPr>
        <w:t>消费卡（券）、</w:t>
      </w:r>
      <w:r>
        <w:rPr>
          <w:rFonts w:ascii="楷体" w:hAnsi="楷体" w:eastAsia="楷体" w:cs="楷体"/>
          <w:spacing w:val="-2"/>
          <w:sz w:val="28"/>
          <w:szCs w:val="28"/>
        </w:rPr>
        <w:t>购物卡、充值卡、信用卡</w:t>
      </w:r>
      <w:r>
        <w:rPr>
          <w:rFonts w:hint="eastAsia" w:ascii="楷体" w:hAnsi="楷体" w:eastAsia="楷体" w:cs="楷体"/>
          <w:spacing w:val="-2"/>
          <w:sz w:val="28"/>
          <w:szCs w:val="28"/>
        </w:rPr>
        <w:t>和</w:t>
      </w:r>
      <w:r>
        <w:rPr>
          <w:rFonts w:ascii="楷体" w:hAnsi="楷体" w:eastAsia="楷体" w:cs="楷体"/>
          <w:spacing w:val="-2"/>
          <w:sz w:val="28"/>
          <w:szCs w:val="28"/>
        </w:rPr>
        <w:t>有价证券</w:t>
      </w:r>
      <w:r>
        <w:rPr>
          <w:rFonts w:hint="eastAsia" w:ascii="楷体" w:hAnsi="楷体" w:eastAsia="楷体" w:cs="楷体"/>
          <w:spacing w:val="-2"/>
          <w:sz w:val="28"/>
          <w:szCs w:val="28"/>
        </w:rPr>
        <w:t>、股权、其他金融产品等财物</w:t>
      </w:r>
      <w:r>
        <w:rPr>
          <w:rFonts w:ascii="楷体" w:hAnsi="楷体" w:eastAsia="楷体" w:cs="楷体"/>
          <w:spacing w:val="-2"/>
          <w:sz w:val="28"/>
          <w:szCs w:val="28"/>
        </w:rPr>
        <w:t>和其他贵重物品；</w:t>
      </w:r>
    </w:p>
    <w:p w14:paraId="37790458">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b)</w:t>
      </w:r>
      <w:r>
        <w:rPr>
          <w:rFonts w:ascii="楷体" w:hAnsi="楷体" w:eastAsia="楷体" w:cs="楷体"/>
          <w:spacing w:val="-2"/>
          <w:sz w:val="28"/>
          <w:szCs w:val="28"/>
        </w:rPr>
        <w:t>报销个人费用</w:t>
      </w:r>
      <w:r>
        <w:rPr>
          <w:rFonts w:hint="eastAsia" w:ascii="楷体" w:hAnsi="楷体" w:eastAsia="楷体" w:cs="楷体"/>
          <w:spacing w:val="-2"/>
          <w:sz w:val="28"/>
          <w:szCs w:val="28"/>
        </w:rPr>
        <w:t>或以讲课费、课题费、咨询费等名义支付费用</w:t>
      </w:r>
      <w:r>
        <w:rPr>
          <w:rFonts w:ascii="楷体" w:hAnsi="楷体" w:eastAsia="楷体" w:cs="楷体"/>
          <w:spacing w:val="-2"/>
          <w:sz w:val="28"/>
          <w:szCs w:val="28"/>
        </w:rPr>
        <w:t>；</w:t>
      </w:r>
    </w:p>
    <w:p w14:paraId="431CAF35">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c)</w:t>
      </w:r>
      <w:r>
        <w:rPr>
          <w:rFonts w:ascii="楷体" w:hAnsi="楷体" w:eastAsia="楷体" w:cs="楷体"/>
          <w:spacing w:val="-2"/>
          <w:sz w:val="28"/>
          <w:szCs w:val="28"/>
        </w:rPr>
        <w:t>以洽谈业务、签订合同等为借口宴请或邀请外出旅游</w:t>
      </w:r>
      <w:r>
        <w:rPr>
          <w:rFonts w:hint="eastAsia" w:ascii="楷体" w:hAnsi="楷体" w:eastAsia="楷体" w:cs="楷体"/>
          <w:spacing w:val="-2"/>
          <w:sz w:val="28"/>
          <w:szCs w:val="28"/>
        </w:rPr>
        <w:t>、健身、娱乐</w:t>
      </w:r>
      <w:r>
        <w:rPr>
          <w:rFonts w:ascii="楷体" w:hAnsi="楷体" w:eastAsia="楷体" w:cs="楷体"/>
          <w:spacing w:val="-2"/>
          <w:sz w:val="28"/>
          <w:szCs w:val="28"/>
        </w:rPr>
        <w:t>和进入营业性娱乐场所；</w:t>
      </w:r>
    </w:p>
    <w:p w14:paraId="46FE358F">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d)</w:t>
      </w:r>
      <w:r>
        <w:rPr>
          <w:rFonts w:ascii="楷体" w:hAnsi="楷体" w:eastAsia="楷体" w:cs="楷体"/>
          <w:spacing w:val="-2"/>
          <w:sz w:val="28"/>
          <w:szCs w:val="28"/>
        </w:rPr>
        <w:t>购置或提供通讯、交通工具</w:t>
      </w:r>
      <w:r>
        <w:rPr>
          <w:rFonts w:hint="eastAsia" w:ascii="楷体" w:hAnsi="楷体" w:eastAsia="楷体" w:cs="楷体"/>
          <w:spacing w:val="-2"/>
          <w:sz w:val="28"/>
          <w:szCs w:val="28"/>
        </w:rPr>
        <w:t>、钱款、住房、车辆等或提供通过民间借贷等金融助其获得大额回报</w:t>
      </w:r>
      <w:r>
        <w:rPr>
          <w:rFonts w:ascii="楷体" w:hAnsi="楷体" w:eastAsia="楷体" w:cs="楷体"/>
          <w:spacing w:val="-2"/>
          <w:sz w:val="28"/>
          <w:szCs w:val="28"/>
        </w:rPr>
        <w:t>；</w:t>
      </w:r>
    </w:p>
    <w:p w14:paraId="34F15794">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e)</w:t>
      </w:r>
      <w:r>
        <w:rPr>
          <w:rFonts w:ascii="楷体" w:hAnsi="楷体" w:eastAsia="楷体" w:cs="楷体"/>
          <w:spacing w:val="-2"/>
          <w:sz w:val="28"/>
          <w:szCs w:val="28"/>
        </w:rPr>
        <w:t>住房装修、婚丧嫁娶、家属和子女的工作安排以及出国等提供任何金钱或非金钱方式的资助或帮助</w:t>
      </w:r>
      <w:r>
        <w:rPr>
          <w:rFonts w:hint="eastAsia" w:ascii="楷体" w:hAnsi="楷体" w:eastAsia="楷体" w:cs="楷体"/>
          <w:spacing w:val="-2"/>
          <w:sz w:val="28"/>
          <w:szCs w:val="28"/>
        </w:rPr>
        <w:t>；</w:t>
      </w:r>
    </w:p>
    <w:p w14:paraId="6658C0F8">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f)吸收存款、推销金融产品、经营名贵特产类资源等提供帮助谋取利益；</w:t>
      </w:r>
    </w:p>
    <w:p w14:paraId="0CB8A288">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g)其他可能影响甲方人员公平、公正的履行职权或者履行职责的情形</w:t>
      </w:r>
      <w:r>
        <w:rPr>
          <w:rFonts w:ascii="楷体" w:hAnsi="楷体" w:eastAsia="楷体" w:cs="楷体"/>
          <w:spacing w:val="-2"/>
          <w:sz w:val="28"/>
          <w:szCs w:val="28"/>
        </w:rPr>
        <w:t>。</w:t>
      </w:r>
    </w:p>
    <w:p w14:paraId="1BA82C4B">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6.乙方应当通过正常途径开展相关业务，决不为谋取不正当利益诱使甲方人员就</w:t>
      </w:r>
      <w:r>
        <w:rPr>
          <w:rFonts w:hint="eastAsia" w:ascii="楷体" w:hAnsi="楷体" w:eastAsia="楷体" w:cs="楷体"/>
          <w:spacing w:val="-2"/>
          <w:sz w:val="28"/>
          <w:szCs w:val="28"/>
        </w:rPr>
        <w:t>采购、服务或销售、经销的物项种类</w:t>
      </w:r>
      <w:r>
        <w:rPr>
          <w:rFonts w:ascii="楷体" w:hAnsi="楷体" w:eastAsia="楷体" w:cs="楷体"/>
          <w:spacing w:val="-2"/>
          <w:sz w:val="28"/>
          <w:szCs w:val="28"/>
        </w:rPr>
        <w:t>、</w:t>
      </w:r>
      <w:r>
        <w:rPr>
          <w:rFonts w:hint="eastAsia" w:ascii="楷体" w:hAnsi="楷体" w:eastAsia="楷体" w:cs="楷体"/>
          <w:spacing w:val="-2"/>
          <w:sz w:val="28"/>
          <w:szCs w:val="28"/>
        </w:rPr>
        <w:t>物项</w:t>
      </w:r>
      <w:r>
        <w:rPr>
          <w:rFonts w:ascii="楷体" w:hAnsi="楷体" w:eastAsia="楷体" w:cs="楷体"/>
          <w:spacing w:val="-2"/>
          <w:sz w:val="28"/>
          <w:szCs w:val="28"/>
        </w:rPr>
        <w:t>数量、价格</w:t>
      </w:r>
      <w:r>
        <w:rPr>
          <w:rFonts w:hint="eastAsia" w:ascii="楷体" w:hAnsi="楷体" w:eastAsia="楷体" w:cs="楷体"/>
          <w:spacing w:val="-2"/>
          <w:sz w:val="28"/>
          <w:szCs w:val="28"/>
        </w:rPr>
        <w:t>条件</w:t>
      </w:r>
      <w:r>
        <w:rPr>
          <w:rFonts w:ascii="楷体" w:hAnsi="楷体" w:eastAsia="楷体" w:cs="楷体"/>
          <w:spacing w:val="-2"/>
          <w:sz w:val="28"/>
          <w:szCs w:val="28"/>
        </w:rPr>
        <w:t>、</w:t>
      </w:r>
      <w:r>
        <w:rPr>
          <w:rFonts w:hint="eastAsia" w:ascii="楷体" w:hAnsi="楷体" w:eastAsia="楷体" w:cs="楷体"/>
          <w:spacing w:val="-2"/>
          <w:sz w:val="28"/>
          <w:szCs w:val="28"/>
        </w:rPr>
        <w:t>付款条件、</w:t>
      </w:r>
      <w:r>
        <w:rPr>
          <w:rFonts w:ascii="楷体" w:hAnsi="楷体" w:eastAsia="楷体" w:cs="楷体"/>
          <w:spacing w:val="-2"/>
          <w:sz w:val="28"/>
          <w:szCs w:val="28"/>
        </w:rPr>
        <w:t>质量问题处理等方面私下商谈或达成默契</w:t>
      </w:r>
      <w:r>
        <w:rPr>
          <w:rFonts w:hint="eastAsia" w:ascii="楷体" w:hAnsi="楷体" w:eastAsia="楷体" w:cs="楷体"/>
          <w:spacing w:val="-2"/>
          <w:sz w:val="28"/>
          <w:szCs w:val="28"/>
        </w:rPr>
        <w:t>；</w:t>
      </w:r>
      <w:r>
        <w:rPr>
          <w:rFonts w:ascii="楷体" w:hAnsi="楷体" w:eastAsia="楷体" w:cs="楷体"/>
          <w:spacing w:val="-2"/>
          <w:sz w:val="28"/>
          <w:szCs w:val="28"/>
        </w:rPr>
        <w:t>决不以任何方式诱使甲方人员接受或共同编造虚假议价及质量资料、影响交易价格或交易之达成、违背职务、将合同权利义务转让给第三方及其它损害甲方利益的行为。</w:t>
      </w:r>
    </w:p>
    <w:p w14:paraId="5F122A71">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7.若乙方发现甲方人员或其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有任何形式的索贿受贿行为，乙方有责任向甲方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纪委监察部门举报（举报电话：0531-58062233，举报邮箱：jianchabu@sinotruk.com）。甲方不得</w:t>
      </w:r>
      <w:r>
        <w:rPr>
          <w:rFonts w:hint="eastAsia" w:ascii="楷体" w:hAnsi="楷体" w:eastAsia="楷体" w:cs="楷体"/>
          <w:spacing w:val="-2"/>
          <w:sz w:val="28"/>
          <w:szCs w:val="28"/>
        </w:rPr>
        <w:t>以</w:t>
      </w:r>
      <w:r>
        <w:rPr>
          <w:rFonts w:ascii="楷体" w:hAnsi="楷体" w:eastAsia="楷体" w:cs="楷体"/>
          <w:spacing w:val="-2"/>
          <w:sz w:val="28"/>
          <w:szCs w:val="28"/>
        </w:rPr>
        <w:t>任何借口对乙方进行报复。对举报属实和严格遵守廉洁协议的乙方，在同等条件下甲方优先考虑与乙方继续合作并给予更优惠的商务合作条件。</w:t>
      </w:r>
    </w:p>
    <w:p w14:paraId="795FB418">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8.若乙方知悉其它与甲方合作的供应商</w:t>
      </w:r>
      <w:r>
        <w:rPr>
          <w:rFonts w:hint="eastAsia" w:ascii="楷体" w:hAnsi="楷体" w:eastAsia="楷体" w:cs="楷体"/>
          <w:spacing w:val="-2"/>
          <w:sz w:val="28"/>
          <w:szCs w:val="28"/>
        </w:rPr>
        <w:t>、服务商或采购商、经销商等合作伙伴</w:t>
      </w:r>
      <w:r>
        <w:rPr>
          <w:rFonts w:ascii="楷体" w:hAnsi="楷体" w:eastAsia="楷体" w:cs="楷体"/>
          <w:spacing w:val="-2"/>
          <w:sz w:val="28"/>
          <w:szCs w:val="28"/>
        </w:rPr>
        <w:t>存在违反本协议规定之行为，乙方应向甲方</w:t>
      </w:r>
      <w:r>
        <w:rPr>
          <w:rFonts w:hint="eastAsia" w:ascii="楷体" w:hAnsi="楷体" w:eastAsia="楷体" w:cs="楷体"/>
          <w:spacing w:val="-2"/>
          <w:sz w:val="28"/>
          <w:szCs w:val="28"/>
        </w:rPr>
        <w:t>或</w:t>
      </w:r>
      <w:r>
        <w:rPr>
          <w:rFonts w:ascii="楷体" w:hAnsi="楷体" w:eastAsia="楷体" w:cs="楷体"/>
          <w:spacing w:val="-2"/>
          <w:sz w:val="28"/>
          <w:szCs w:val="28"/>
        </w:rPr>
        <w:t>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纪委监察部门检举并提供证据。</w:t>
      </w:r>
    </w:p>
    <w:p w14:paraId="241E1192">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596B9A4C">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27C808AD">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A4C3E6C">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rPr>
        <w:t>等</w:t>
      </w:r>
      <w:r>
        <w:rPr>
          <w:rFonts w:ascii="楷体" w:hAnsi="楷体" w:eastAsia="楷体" w:cs="楷体"/>
          <w:spacing w:val="-2"/>
          <w:sz w:val="28"/>
          <w:szCs w:val="28"/>
        </w:rPr>
        <w:t>能够对其实际支配的企业或单位。</w:t>
      </w:r>
    </w:p>
    <w:p w14:paraId="631063B6">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B21ADE7">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0400392">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6143C684">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14.本协议作为执行</w:t>
      </w:r>
      <w:r>
        <w:rPr>
          <w:rFonts w:hint="eastAsia" w:ascii="楷体" w:hAnsi="楷体" w:eastAsia="楷体" w:cs="楷体"/>
          <w:spacing w:val="-2"/>
          <w:sz w:val="28"/>
          <w:szCs w:val="28"/>
        </w:rPr>
        <w:t>甲乙双方</w:t>
      </w:r>
      <w:r>
        <w:rPr>
          <w:rFonts w:ascii="楷体" w:hAnsi="楷体" w:eastAsia="楷体" w:cs="楷体"/>
          <w:spacing w:val="-2"/>
          <w:sz w:val="28"/>
          <w:szCs w:val="28"/>
        </w:rPr>
        <w:t>采购协议</w:t>
      </w:r>
      <w:r>
        <w:rPr>
          <w:rFonts w:hint="eastAsia" w:ascii="楷体" w:hAnsi="楷体" w:eastAsia="楷体" w:cs="楷体"/>
          <w:spacing w:val="-2"/>
          <w:sz w:val="28"/>
          <w:szCs w:val="28"/>
        </w:rPr>
        <w:t>或其他合作合同、协议</w:t>
      </w:r>
      <w:r>
        <w:rPr>
          <w:rFonts w:ascii="楷体" w:hAnsi="楷体" w:eastAsia="楷体" w:cs="楷体"/>
          <w:spacing w:val="-2"/>
          <w:sz w:val="28"/>
          <w:szCs w:val="28"/>
        </w:rPr>
        <w:t>的附件，自双方签署之日起生效，此协议在</w:t>
      </w:r>
      <w:r>
        <w:rPr>
          <w:rFonts w:hint="eastAsia" w:ascii="楷体" w:hAnsi="楷体" w:eastAsia="楷体" w:cs="楷体"/>
          <w:spacing w:val="-2"/>
          <w:sz w:val="28"/>
          <w:szCs w:val="28"/>
        </w:rPr>
        <w:t>甲乙</w:t>
      </w:r>
      <w:r>
        <w:rPr>
          <w:rFonts w:ascii="楷体" w:hAnsi="楷体" w:eastAsia="楷体" w:cs="楷体"/>
          <w:spacing w:val="-2"/>
          <w:sz w:val="28"/>
          <w:szCs w:val="28"/>
        </w:rPr>
        <w:t>双方</w:t>
      </w:r>
      <w:r>
        <w:rPr>
          <w:rFonts w:hint="eastAsia" w:ascii="楷体" w:hAnsi="楷体" w:eastAsia="楷体" w:cs="楷体"/>
          <w:spacing w:val="-2"/>
          <w:sz w:val="28"/>
          <w:szCs w:val="28"/>
        </w:rPr>
        <w:t>业务</w:t>
      </w:r>
      <w:r>
        <w:rPr>
          <w:rFonts w:ascii="楷体" w:hAnsi="楷体" w:eastAsia="楷体" w:cs="楷体"/>
          <w:spacing w:val="-2"/>
          <w:sz w:val="28"/>
          <w:szCs w:val="28"/>
        </w:rPr>
        <w:t>合作期间有效</w:t>
      </w:r>
      <w:r>
        <w:rPr>
          <w:rFonts w:hint="eastAsia" w:ascii="楷体" w:hAnsi="楷体" w:eastAsia="楷体" w:cs="楷体"/>
          <w:spacing w:val="-2"/>
          <w:sz w:val="28"/>
          <w:szCs w:val="28"/>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5F3B2D29">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w:t>
      </w:r>
      <w:r>
        <w:rPr>
          <w:rFonts w:hint="eastAsia" w:ascii="楷体" w:hAnsi="楷体" w:eastAsia="楷体" w:cs="楷体"/>
          <w:spacing w:val="-2"/>
          <w:sz w:val="28"/>
          <w:szCs w:val="28"/>
        </w:rPr>
        <w:t>5</w:t>
      </w:r>
      <w:r>
        <w:rPr>
          <w:rFonts w:ascii="楷体" w:hAnsi="楷体" w:eastAsia="楷体" w:cs="楷体"/>
          <w:spacing w:val="-2"/>
          <w:sz w:val="28"/>
          <w:szCs w:val="28"/>
        </w:rPr>
        <w:t>.本协议一式二份，双方各执一份，具有同等法律效力。若产生争议，双方协商解决，协商不成的在甲方所在地有管辖权的法院诉讼解决。</w:t>
      </w:r>
    </w:p>
    <w:p w14:paraId="2E26EEE2">
      <w:pPr>
        <w:pStyle w:val="14"/>
        <w:spacing w:before="9" w:after="156"/>
        <w:rPr>
          <w:rFonts w:ascii="楷体" w:hAnsi="楷体" w:eastAsia="楷体" w:cs="楷体"/>
          <w:sz w:val="40"/>
          <w:szCs w:val="28"/>
        </w:rPr>
      </w:pPr>
    </w:p>
    <w:p w14:paraId="22DA36EC">
      <w:pPr>
        <w:tabs>
          <w:tab w:val="left" w:pos="5457"/>
        </w:tabs>
        <w:spacing w:before="1"/>
        <w:ind w:left="117"/>
        <w:rPr>
          <w:rFonts w:ascii="楷体" w:hAnsi="楷体" w:eastAsia="楷体" w:cs="楷体"/>
          <w:b/>
          <w:sz w:val="24"/>
          <w:szCs w:val="21"/>
        </w:rPr>
      </w:pPr>
      <w:r>
        <w:rPr>
          <w:rFonts w:hint="eastAsia" w:ascii="楷体" w:hAnsi="楷体" w:eastAsia="楷体" w:cs="楷体"/>
          <w:b/>
          <w:spacing w:val="-1"/>
          <w:w w:val="99"/>
          <w:sz w:val="24"/>
          <w:szCs w:val="21"/>
        </w:rPr>
        <w:t>甲方（盖章</w:t>
      </w:r>
      <w:r>
        <w:rPr>
          <w:rFonts w:hint="eastAsia" w:ascii="楷体" w:hAnsi="楷体" w:eastAsia="楷体" w:cs="楷体"/>
          <w:b/>
          <w:spacing w:val="-140"/>
          <w:w w:val="99"/>
          <w:sz w:val="24"/>
          <w:szCs w:val="21"/>
        </w:rPr>
        <w:t>）</w:t>
      </w:r>
      <w:r>
        <w:rPr>
          <w:rFonts w:hint="eastAsia" w:ascii="楷体" w:hAnsi="楷体" w:eastAsia="楷体" w:cs="楷体"/>
          <w:b/>
          <w:w w:val="99"/>
          <w:sz w:val="24"/>
          <w:szCs w:val="21"/>
        </w:rPr>
        <w:t>：</w:t>
      </w:r>
      <w:r>
        <w:rPr>
          <w:rFonts w:hint="eastAsia" w:ascii="楷体" w:hAnsi="楷体" w:eastAsia="楷体" w:cs="楷体"/>
          <w:b/>
          <w:sz w:val="24"/>
          <w:szCs w:val="21"/>
        </w:rPr>
        <w:tab/>
      </w:r>
      <w:r>
        <w:rPr>
          <w:rFonts w:hint="eastAsia" w:ascii="楷体" w:hAnsi="楷体" w:eastAsia="楷体" w:cs="楷体"/>
          <w:b/>
          <w:spacing w:val="-1"/>
          <w:w w:val="99"/>
          <w:sz w:val="24"/>
          <w:szCs w:val="21"/>
        </w:rPr>
        <w:t>乙方（盖</w:t>
      </w:r>
      <w:r>
        <w:rPr>
          <w:rFonts w:hint="eastAsia" w:ascii="楷体" w:hAnsi="楷体" w:eastAsia="楷体" w:cs="楷体"/>
          <w:b/>
          <w:spacing w:val="2"/>
          <w:w w:val="99"/>
          <w:sz w:val="24"/>
          <w:szCs w:val="21"/>
        </w:rPr>
        <w:t>章</w:t>
      </w:r>
      <w:r>
        <w:rPr>
          <w:rFonts w:hint="eastAsia" w:ascii="楷体" w:hAnsi="楷体" w:eastAsia="楷体" w:cs="楷体"/>
          <w:b/>
          <w:spacing w:val="-142"/>
          <w:w w:val="99"/>
          <w:sz w:val="24"/>
          <w:szCs w:val="21"/>
        </w:rPr>
        <w:t>）</w:t>
      </w:r>
      <w:r>
        <w:rPr>
          <w:rFonts w:hint="eastAsia" w:ascii="楷体" w:hAnsi="楷体" w:eastAsia="楷体" w:cs="楷体"/>
          <w:b/>
          <w:w w:val="99"/>
          <w:sz w:val="24"/>
          <w:szCs w:val="21"/>
        </w:rPr>
        <w:t>：</w:t>
      </w:r>
    </w:p>
    <w:p w14:paraId="2480A2E5">
      <w:pPr>
        <w:pStyle w:val="14"/>
        <w:spacing w:after="156"/>
        <w:rPr>
          <w:rFonts w:ascii="楷体" w:hAnsi="楷体" w:eastAsia="楷体" w:cs="楷体"/>
          <w:b/>
          <w:sz w:val="24"/>
          <w:szCs w:val="28"/>
        </w:rPr>
      </w:pPr>
    </w:p>
    <w:p w14:paraId="38999FA2">
      <w:pPr>
        <w:pStyle w:val="14"/>
        <w:spacing w:before="1" w:after="156"/>
        <w:rPr>
          <w:rFonts w:ascii="楷体" w:hAnsi="楷体" w:eastAsia="楷体" w:cs="楷体"/>
          <w:b/>
          <w:sz w:val="24"/>
          <w:szCs w:val="28"/>
        </w:rPr>
      </w:pPr>
    </w:p>
    <w:p w14:paraId="6FD1048D">
      <w:pPr>
        <w:tabs>
          <w:tab w:val="left" w:pos="5457"/>
        </w:tabs>
        <w:ind w:left="117"/>
        <w:rPr>
          <w:rFonts w:ascii="楷体" w:hAnsi="楷体" w:eastAsia="楷体" w:cs="楷体"/>
          <w:b/>
          <w:sz w:val="24"/>
          <w:szCs w:val="21"/>
        </w:rPr>
      </w:pPr>
      <w:r>
        <w:rPr>
          <w:rFonts w:hint="eastAsia" w:ascii="楷体" w:hAnsi="楷体" w:eastAsia="楷体" w:cs="楷体"/>
          <w:b/>
          <w:sz w:val="24"/>
          <w:szCs w:val="21"/>
        </w:rPr>
        <w:t>法定代表/授权代表</w:t>
      </w:r>
      <w:r>
        <w:rPr>
          <w:rFonts w:hint="eastAsia" w:ascii="楷体" w:hAnsi="楷体" w:eastAsia="楷体" w:cs="楷体"/>
          <w:b/>
          <w:sz w:val="24"/>
          <w:szCs w:val="21"/>
        </w:rPr>
        <w:tab/>
      </w:r>
      <w:r>
        <w:rPr>
          <w:rFonts w:hint="eastAsia" w:ascii="楷体" w:hAnsi="楷体" w:eastAsia="楷体" w:cs="楷体"/>
          <w:b/>
          <w:sz w:val="24"/>
          <w:szCs w:val="21"/>
        </w:rPr>
        <w:t>法定代表/授权代表</w:t>
      </w:r>
    </w:p>
    <w:p w14:paraId="4CF2B6A4">
      <w:pPr>
        <w:pStyle w:val="14"/>
        <w:spacing w:after="156"/>
        <w:rPr>
          <w:rFonts w:ascii="楷体" w:hAnsi="楷体" w:eastAsia="楷体" w:cs="楷体"/>
          <w:b/>
          <w:sz w:val="24"/>
          <w:szCs w:val="28"/>
        </w:rPr>
      </w:pPr>
    </w:p>
    <w:p w14:paraId="32899FB2">
      <w:pPr>
        <w:pStyle w:val="14"/>
        <w:spacing w:before="4" w:after="156"/>
        <w:rPr>
          <w:rFonts w:ascii="楷体" w:hAnsi="楷体" w:eastAsia="楷体" w:cs="楷体"/>
          <w:b/>
          <w:sz w:val="24"/>
          <w:szCs w:val="28"/>
        </w:rPr>
      </w:pPr>
    </w:p>
    <w:p w14:paraId="546BE864">
      <w:pPr>
        <w:tabs>
          <w:tab w:val="left" w:pos="5457"/>
        </w:tabs>
        <w:ind w:left="117"/>
        <w:rPr>
          <w:rFonts w:ascii="楷体" w:hAnsi="楷体" w:eastAsia="楷体" w:cs="楷体"/>
          <w:b/>
          <w:sz w:val="24"/>
          <w:szCs w:val="21"/>
        </w:rPr>
      </w:pPr>
      <w:r>
        <w:rPr>
          <w:rFonts w:hint="eastAsia" w:ascii="楷体" w:hAnsi="楷体" w:eastAsia="楷体" w:cs="楷体"/>
          <w:b/>
          <w:sz w:val="24"/>
          <w:szCs w:val="21"/>
        </w:rPr>
        <w:t>日</w:t>
      </w:r>
      <w:r>
        <w:rPr>
          <w:rFonts w:hint="eastAsia" w:ascii="楷体" w:hAnsi="楷体" w:eastAsia="楷体" w:cs="楷体"/>
          <w:b/>
          <w:spacing w:val="-4"/>
          <w:sz w:val="24"/>
          <w:szCs w:val="21"/>
        </w:rPr>
        <w:t xml:space="preserve"> </w:t>
      </w:r>
      <w:r>
        <w:rPr>
          <w:rFonts w:hint="eastAsia" w:ascii="楷体" w:hAnsi="楷体" w:eastAsia="楷体" w:cs="楷体"/>
          <w:b/>
          <w:sz w:val="24"/>
          <w:szCs w:val="21"/>
        </w:rPr>
        <w:t>期:</w:t>
      </w:r>
      <w:r>
        <w:rPr>
          <w:rFonts w:hint="eastAsia" w:ascii="楷体" w:hAnsi="楷体" w:eastAsia="楷体" w:cs="楷体"/>
          <w:b/>
          <w:sz w:val="24"/>
          <w:szCs w:val="21"/>
        </w:rPr>
        <w:tab/>
      </w:r>
      <w:r>
        <w:rPr>
          <w:rFonts w:hint="eastAsia" w:ascii="楷体" w:hAnsi="楷体" w:eastAsia="楷体" w:cs="楷体"/>
          <w:b/>
          <w:sz w:val="24"/>
          <w:szCs w:val="21"/>
        </w:rPr>
        <w:t>日 期:</w:t>
      </w:r>
    </w:p>
    <w:p w14:paraId="64914AD5">
      <w:pPr>
        <w:tabs>
          <w:tab w:val="left" w:pos="5457"/>
        </w:tabs>
        <w:ind w:left="117"/>
        <w:rPr>
          <w:rFonts w:ascii="楷体" w:hAnsi="楷体" w:eastAsia="楷体" w:cs="楷体"/>
          <w:b/>
          <w:sz w:val="24"/>
          <w:szCs w:val="21"/>
        </w:rPr>
      </w:pPr>
    </w:p>
    <w:p w14:paraId="6890F8EF">
      <w:pPr>
        <w:keepNext/>
        <w:keepLines/>
        <w:jc w:val="center"/>
        <w:outlineLvl w:val="0"/>
        <w:rPr>
          <w:rFonts w:ascii="Calibri" w:hAnsi="Calibri" w:eastAsia="宋体" w:cs="Times New Roman"/>
          <w:b/>
          <w:bCs/>
          <w:kern w:val="44"/>
          <w:sz w:val="36"/>
          <w:szCs w:val="44"/>
        </w:rPr>
        <w:sectPr>
          <w:footerReference r:id="rId17" w:type="first"/>
          <w:headerReference r:id="rId15" w:type="default"/>
          <w:footerReference r:id="rId16" w:type="default"/>
          <w:pgSz w:w="11906" w:h="16838"/>
          <w:pgMar w:top="1588" w:right="1418" w:bottom="1134" w:left="1418" w:header="851" w:footer="992" w:gutter="0"/>
          <w:cols w:space="720" w:num="1"/>
          <w:titlePg/>
          <w:docGrid w:type="lines" w:linePitch="312" w:charSpace="0"/>
        </w:sectPr>
      </w:pPr>
    </w:p>
    <w:p w14:paraId="0CAA7C02">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41"/>
    </w:p>
    <w:p w14:paraId="448E891B">
      <w:pPr>
        <w:keepNext/>
        <w:keepLines/>
        <w:rPr>
          <w:rFonts w:ascii="Times New Roman" w:hAnsi="Times New Roman" w:eastAsia="宋体" w:cs="Times New Roman"/>
          <w:b/>
          <w:bCs/>
          <w:color w:val="000000"/>
          <w:sz w:val="24"/>
          <w:szCs w:val="24"/>
        </w:rPr>
      </w:pPr>
    </w:p>
    <w:p w14:paraId="0E4A4457">
      <w:pPr>
        <w:pStyle w:val="19"/>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9"/>
        <w:rPr>
          <w:rFonts w:ascii="Times New Roman" w:hAnsi="Times New Roman" w:eastAsia="宋体" w:cs="Times New Roman"/>
          <w:b/>
          <w:bCs/>
          <w:color w:val="000000"/>
          <w:sz w:val="24"/>
          <w:szCs w:val="24"/>
        </w:rPr>
        <w:sectPr>
          <w:footerReference r:id="rId20" w:type="first"/>
          <w:headerReference r:id="rId18" w:type="default"/>
          <w:footerReference r:id="rId19"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47" w:name="_Toc639004"/>
      <w:bookmarkStart w:id="48" w:name="_Toc212369550"/>
      <w:bookmarkStart w:id="49" w:name="_Toc353881012"/>
      <w:bookmarkStart w:id="50" w:name="_Toc25811"/>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47"/>
      <w:bookmarkEnd w:id="48"/>
      <w:bookmarkEnd w:id="49"/>
      <w:bookmarkEnd w:id="50"/>
    </w:p>
    <w:p w14:paraId="6B74ADC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9"/>
        <w:rPr>
          <w:rFonts w:ascii="黑体" w:hAnsi="Calibri" w:eastAsia="黑体" w:cs="Times New Roman"/>
          <w:color w:val="000000"/>
          <w:sz w:val="24"/>
          <w:szCs w:val="24"/>
        </w:rPr>
      </w:pPr>
    </w:p>
    <w:p w14:paraId="56CA9112">
      <w:pPr>
        <w:pStyle w:val="19"/>
        <w:rPr>
          <w:rFonts w:ascii="黑体" w:hAnsi="Calibri" w:eastAsia="黑体" w:cs="Times New Roman"/>
          <w:color w:val="000000"/>
          <w:sz w:val="24"/>
          <w:szCs w:val="24"/>
        </w:rPr>
      </w:pPr>
    </w:p>
    <w:p w14:paraId="6D196846">
      <w:pPr>
        <w:pStyle w:val="19"/>
        <w:rPr>
          <w:rFonts w:ascii="黑体" w:hAnsi="Calibri" w:eastAsia="黑体" w:cs="Times New Roman"/>
          <w:color w:val="000000"/>
          <w:sz w:val="24"/>
          <w:szCs w:val="24"/>
        </w:rPr>
      </w:pPr>
    </w:p>
    <w:p w14:paraId="4411DE2D">
      <w:pPr>
        <w:pStyle w:val="19"/>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9"/>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7"/>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9"/>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9"/>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9"/>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9"/>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9"/>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9"/>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9"/>
              <w:spacing w:before="111"/>
              <w:ind w:left="509"/>
            </w:pPr>
            <w:r>
              <w:t xml:space="preserve">企业法人代表  </w:t>
            </w:r>
          </w:p>
        </w:tc>
        <w:tc>
          <w:tcPr>
            <w:tcW w:w="4680" w:type="dxa"/>
            <w:gridSpan w:val="4"/>
          </w:tcPr>
          <w:p w14:paraId="0AF4FBB7">
            <w:pPr>
              <w:pStyle w:val="4"/>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9"/>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9"/>
              <w:spacing w:before="114"/>
              <w:ind w:left="720"/>
            </w:pPr>
            <w:r>
              <w:t xml:space="preserve">品牌区分 </w:t>
            </w:r>
          </w:p>
        </w:tc>
        <w:tc>
          <w:tcPr>
            <w:tcW w:w="7500" w:type="dxa"/>
            <w:gridSpan w:val="6"/>
          </w:tcPr>
          <w:p w14:paraId="700EAA90">
            <w:pPr>
              <w:pStyle w:val="139"/>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9"/>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9"/>
              <w:spacing w:before="15"/>
              <w:ind w:left="279"/>
            </w:pPr>
            <w:r>
              <w:rPr>
                <w:spacing w:val="-2"/>
              </w:rPr>
              <w:t>质量</w:t>
            </w:r>
            <w:r>
              <w:t xml:space="preserve"> </w:t>
            </w:r>
          </w:p>
          <w:p w14:paraId="5A39DC67">
            <w:pPr>
              <w:pStyle w:val="139"/>
              <w:spacing w:before="30" w:line="277" w:lineRule="exact"/>
              <w:ind w:left="279"/>
            </w:pPr>
            <w:r>
              <w:rPr>
                <w:rFonts w:hint="eastAsia"/>
              </w:rPr>
              <w:t>体系</w:t>
            </w:r>
          </w:p>
        </w:tc>
        <w:tc>
          <w:tcPr>
            <w:tcW w:w="2820" w:type="dxa"/>
            <w:gridSpan w:val="2"/>
          </w:tcPr>
          <w:p w14:paraId="7F2E5225">
            <w:pPr>
              <w:pStyle w:val="139"/>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9"/>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9"/>
        <w:rPr>
          <w:rFonts w:ascii="Times New Roman" w:hAnsi="Times New Roman" w:eastAsia="宋体" w:cs="Times New Roman"/>
          <w:b/>
          <w:bCs/>
          <w:color w:val="000000"/>
          <w:sz w:val="24"/>
          <w:szCs w:val="24"/>
        </w:rPr>
      </w:pPr>
    </w:p>
    <w:p w14:paraId="4C364211">
      <w:pPr>
        <w:pStyle w:val="19"/>
        <w:rPr>
          <w:rFonts w:ascii="Times New Roman" w:hAnsi="Times New Roman" w:eastAsia="宋体" w:cs="Times New Roman"/>
          <w:b/>
          <w:bCs/>
          <w:color w:val="000000"/>
          <w:sz w:val="24"/>
          <w:szCs w:val="24"/>
        </w:rPr>
      </w:pPr>
    </w:p>
    <w:p w14:paraId="1809CF5B">
      <w:pPr>
        <w:pStyle w:val="19"/>
        <w:rPr>
          <w:rFonts w:ascii="Times New Roman" w:hAnsi="Times New Roman" w:eastAsia="宋体" w:cs="Times New Roman"/>
          <w:b/>
          <w:bCs/>
          <w:color w:val="000000"/>
          <w:sz w:val="24"/>
          <w:szCs w:val="24"/>
        </w:rPr>
      </w:pPr>
    </w:p>
    <w:p w14:paraId="3D774508">
      <w:pPr>
        <w:pStyle w:val="19"/>
        <w:rPr>
          <w:rFonts w:ascii="Times New Roman" w:hAnsi="Times New Roman" w:eastAsia="宋体" w:cs="Times New Roman"/>
          <w:b/>
          <w:bCs/>
          <w:color w:val="000000"/>
          <w:sz w:val="24"/>
          <w:szCs w:val="24"/>
        </w:rPr>
      </w:pPr>
    </w:p>
    <w:p w14:paraId="5ECBED69">
      <w:pPr>
        <w:pStyle w:val="19"/>
        <w:rPr>
          <w:rFonts w:ascii="Times New Roman" w:hAnsi="Times New Roman" w:eastAsia="宋体" w:cs="Times New Roman"/>
          <w:b/>
          <w:bCs/>
          <w:color w:val="000000"/>
          <w:sz w:val="24"/>
          <w:szCs w:val="24"/>
        </w:rPr>
      </w:pPr>
    </w:p>
    <w:p w14:paraId="63DA706B">
      <w:pPr>
        <w:pStyle w:val="19"/>
        <w:rPr>
          <w:rFonts w:ascii="Times New Roman" w:hAnsi="Times New Roman" w:eastAsia="宋体" w:cs="Times New Roman"/>
          <w:b/>
          <w:bCs/>
          <w:color w:val="000000"/>
          <w:sz w:val="24"/>
          <w:szCs w:val="24"/>
        </w:rPr>
      </w:pPr>
    </w:p>
    <w:p w14:paraId="0E5FF13B">
      <w:pPr>
        <w:pStyle w:val="19"/>
        <w:rPr>
          <w:rFonts w:ascii="Times New Roman" w:hAnsi="Times New Roman" w:eastAsia="宋体" w:cs="Times New Roman"/>
          <w:b/>
          <w:bCs/>
          <w:color w:val="000000"/>
          <w:sz w:val="24"/>
          <w:szCs w:val="24"/>
        </w:rPr>
      </w:pPr>
    </w:p>
    <w:p w14:paraId="7E128235">
      <w:pPr>
        <w:pStyle w:val="19"/>
        <w:rPr>
          <w:rFonts w:ascii="Times New Roman" w:hAnsi="Times New Roman" w:eastAsia="宋体" w:cs="Times New Roman"/>
          <w:b/>
          <w:bCs/>
          <w:color w:val="000000"/>
          <w:sz w:val="24"/>
          <w:szCs w:val="24"/>
        </w:rPr>
      </w:pPr>
    </w:p>
    <w:p w14:paraId="6D862C73">
      <w:pPr>
        <w:pStyle w:val="19"/>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9"/>
        <w:rPr>
          <w:rFonts w:ascii="Times New Roman" w:hAnsi="Times New Roman" w:eastAsia="宋体" w:cs="Times New Roman"/>
          <w:b/>
          <w:bCs/>
          <w:color w:val="000000"/>
          <w:sz w:val="24"/>
          <w:szCs w:val="24"/>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4</w:t>
            </w:r>
            <w:r>
              <w:rPr>
                <w:rFonts w:hint="eastAsia" w:ascii="宋体" w:hAnsi="宋体" w:eastAsia="宋体"/>
                <w:color w:val="000000"/>
                <w:sz w:val="24"/>
                <w:szCs w:val="24"/>
              </w:rPr>
              <w:t>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5</w:t>
            </w:r>
            <w:r>
              <w:rPr>
                <w:rFonts w:hint="eastAsia" w:ascii="宋体" w:hAnsi="宋体" w:eastAsia="宋体"/>
                <w:color w:val="000000"/>
                <w:sz w:val="24"/>
                <w:szCs w:val="24"/>
              </w:rPr>
              <w:t>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4" w:type="first"/>
          <w:footerReference r:id="rId23"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40"/>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7"/>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5"/>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5"/>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5"/>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5"/>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5"/>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5"/>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5"/>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7"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40"/>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8"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30" w:type="first"/>
          <w:footerReference r:id="rId29"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4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9"/>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9"/>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4"/>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5"/>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7"/>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7"/>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31" w:type="default"/>
          <w:footerReference r:id="rId32" w:type="default"/>
          <w:pgSz w:w="16841" w:h="11907"/>
          <w:pgMar w:top="400" w:right="1699" w:bottom="1184" w:left="1481" w:header="0" w:footer="1022" w:gutter="0"/>
          <w:cols w:space="720" w:num="1"/>
        </w:sectPr>
      </w:pPr>
    </w:p>
    <w:p w14:paraId="0D344F25">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7"/>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9"/>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33" w:type="default"/>
          <w:pgSz w:w="16841" w:h="11907"/>
          <w:pgMar w:top="400" w:right="1699" w:bottom="1184" w:left="1481" w:header="0" w:footer="1022" w:gutter="0"/>
          <w:cols w:space="720" w:num="1"/>
        </w:sectPr>
      </w:pPr>
    </w:p>
    <w:p w14:paraId="76D02A58">
      <w:pPr>
        <w:pStyle w:val="5"/>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7"/>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4" w:type="default"/>
          <w:pgSz w:w="16841" w:h="11907"/>
          <w:pgMar w:top="400" w:right="1500" w:bottom="1184" w:left="1480" w:header="0" w:footer="1022" w:gutter="0"/>
          <w:cols w:space="720" w:num="1"/>
        </w:sectPr>
      </w:pPr>
    </w:p>
    <w:p w14:paraId="63D97B67">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7"/>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9"/>
      </w:pPr>
    </w:p>
    <w:p w14:paraId="67E60DCF">
      <w:pPr>
        <w:pStyle w:val="19"/>
      </w:pPr>
    </w:p>
    <w:p w14:paraId="171C0F20">
      <w:pPr>
        <w:spacing w:before="140" w:line="220" w:lineRule="auto"/>
        <w:ind w:left="2" w:firstLine="464" w:firstLineChars="200"/>
        <w:rPr>
          <w:rFonts w:ascii="宋体" w:hAnsi="宋体" w:eastAsia="宋体" w:cs="宋体"/>
          <w:spacing w:val="-2"/>
          <w:szCs w:val="21"/>
        </w:rPr>
        <w:sectPr>
          <w:footerReference r:id="rId35"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40"/>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7"/>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6"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9"/>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0"/>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9"/>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8" w:type="first"/>
          <w:footerReference r:id="rId40" w:type="first"/>
          <w:headerReference r:id="rId37" w:type="default"/>
          <w:footerReference r:id="rId39"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40"/>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62B0BC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技术标</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w:t>
            </w: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w:t>
            </w:r>
          </w:p>
        </w:tc>
        <w:tc>
          <w:tcPr>
            <w:tcW w:w="4551" w:type="dxa"/>
            <w:shd w:val="clear" w:color="auto" w:fill="auto"/>
            <w:vAlign w:val="center"/>
          </w:tcPr>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pacing w:val="-6"/>
                <w:sz w:val="21"/>
                <w:szCs w:val="22"/>
                <w:highlight w:val="none"/>
                <w:lang w:val="en-US" w:eastAsia="zh-CN"/>
              </w:rPr>
              <w:t>技术方案先进、各系统完善、性能可靠，满足产品加工需求，设备主要核心部件具备自身技术优势，节能环保，设备易于维修、操作方便，产品附件配置齐全，质量可靠，设备在使用期内的维护费用成本低，视情况优得41-50分，良得31-40分，一般得0-40分。</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质量保障（</w:t>
            </w:r>
            <w:r>
              <w:rPr>
                <w:rFonts w:hint="eastAsia" w:ascii="仿宋" w:hAnsi="仿宋" w:eastAsia="仿宋" w:cs="仿宋"/>
                <w:b w:val="0"/>
                <w:bCs/>
                <w:color w:val="auto"/>
                <w:sz w:val="21"/>
                <w:szCs w:val="22"/>
                <w:highlight w:val="none"/>
                <w:lang w:val="en-US" w:eastAsia="zh-CN"/>
              </w:rPr>
              <w:t>20</w:t>
            </w:r>
            <w:r>
              <w:rPr>
                <w:rFonts w:hint="eastAsia" w:ascii="仿宋" w:hAnsi="仿宋" w:eastAsia="仿宋" w:cs="仿宋"/>
                <w:b w:val="0"/>
                <w:bCs/>
                <w:color w:val="auto"/>
                <w:sz w:val="21"/>
                <w:szCs w:val="22"/>
                <w:highlight w:val="none"/>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10</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根据</w:t>
            </w:r>
            <w:r>
              <w:rPr>
                <w:rFonts w:hint="eastAsia" w:ascii="仿宋" w:hAnsi="仿宋" w:eastAsia="仿宋" w:cs="仿宋"/>
                <w:b w:val="0"/>
                <w:bCs/>
                <w:strike w:val="0"/>
                <w:dstrike w:val="0"/>
                <w:color w:val="auto"/>
                <w:sz w:val="21"/>
                <w:szCs w:val="22"/>
                <w:highlight w:val="none"/>
                <w:lang w:val="en-US" w:eastAsia="zh-CN"/>
              </w:rPr>
              <w:t>企业提供的近3年类似合同额进行</w:t>
            </w:r>
            <w:r>
              <w:rPr>
                <w:rFonts w:hint="eastAsia" w:ascii="仿宋" w:hAnsi="仿宋" w:eastAsia="仿宋" w:cs="仿宋"/>
                <w:b w:val="0"/>
                <w:bCs/>
                <w:strike w:val="0"/>
                <w:dstrike w:val="0"/>
                <w:color w:val="auto"/>
                <w:sz w:val="21"/>
                <w:szCs w:val="22"/>
                <w:highlight w:val="none"/>
              </w:rPr>
              <w:t>排名，按排名顺序，第一名得</w:t>
            </w:r>
            <w:r>
              <w:rPr>
                <w:rFonts w:hint="eastAsia" w:ascii="仿宋" w:hAnsi="仿宋" w:eastAsia="仿宋" w:cs="仿宋"/>
                <w:b w:val="0"/>
                <w:bCs/>
                <w:strike w:val="0"/>
                <w:dstrike w:val="0"/>
                <w:color w:val="auto"/>
                <w:sz w:val="21"/>
                <w:szCs w:val="22"/>
                <w:highlight w:val="none"/>
                <w:lang w:val="en-US" w:eastAsia="zh-CN"/>
              </w:rPr>
              <w:t>10</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8</w:t>
            </w:r>
            <w:r>
              <w:rPr>
                <w:rFonts w:hint="eastAsia" w:ascii="仿宋" w:hAnsi="仿宋" w:eastAsia="仿宋" w:cs="仿宋"/>
                <w:b w:val="0"/>
                <w:bCs/>
                <w:strike w:val="0"/>
                <w:dstrike w:val="0"/>
                <w:color w:val="auto"/>
                <w:sz w:val="21"/>
                <w:szCs w:val="22"/>
                <w:highlight w:val="none"/>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5</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按照企业研发</w:t>
            </w:r>
            <w:r>
              <w:rPr>
                <w:rFonts w:hint="eastAsia" w:ascii="仿宋" w:hAnsi="仿宋" w:eastAsia="仿宋" w:cs="仿宋"/>
                <w:b w:val="0"/>
                <w:bCs/>
                <w:strike w:val="0"/>
                <w:dstrike w:val="0"/>
                <w:color w:val="auto"/>
                <w:sz w:val="21"/>
                <w:szCs w:val="22"/>
                <w:highlight w:val="none"/>
                <w:lang w:val="en-US" w:eastAsia="zh-CN"/>
              </w:rPr>
              <w:t>实力评价</w:t>
            </w:r>
            <w:r>
              <w:rPr>
                <w:rFonts w:hint="eastAsia" w:ascii="仿宋" w:hAnsi="仿宋" w:eastAsia="仿宋" w:cs="仿宋"/>
                <w:b w:val="0"/>
                <w:bCs/>
                <w:strike w:val="0"/>
                <w:dstrike w:val="0"/>
                <w:color w:val="auto"/>
                <w:sz w:val="21"/>
                <w:szCs w:val="22"/>
                <w:highlight w:val="none"/>
              </w:rPr>
              <w:t>，</w:t>
            </w:r>
            <w:r>
              <w:rPr>
                <w:rFonts w:hint="eastAsia" w:ascii="仿宋" w:hAnsi="仿宋" w:eastAsia="仿宋" w:cs="仿宋"/>
                <w:b w:val="0"/>
                <w:bCs/>
                <w:strike w:val="0"/>
                <w:dstrike w:val="0"/>
                <w:color w:val="auto"/>
                <w:sz w:val="21"/>
                <w:szCs w:val="22"/>
                <w:highlight w:val="none"/>
                <w:lang w:val="en-US" w:eastAsia="zh-CN"/>
              </w:rPr>
              <w:t>截止2026年5月底的</w:t>
            </w:r>
            <w:r>
              <w:rPr>
                <w:rFonts w:hint="eastAsia" w:ascii="仿宋" w:hAnsi="仿宋" w:eastAsia="仿宋" w:cs="仿宋"/>
                <w:b w:val="0"/>
                <w:bCs/>
                <w:strike w:val="0"/>
                <w:dstrike w:val="0"/>
                <w:color w:val="auto"/>
                <w:sz w:val="21"/>
                <w:szCs w:val="22"/>
                <w:highlight w:val="none"/>
              </w:rPr>
              <w:t>按</w:t>
            </w:r>
            <w:r>
              <w:rPr>
                <w:rFonts w:hint="eastAsia" w:ascii="仿宋" w:hAnsi="仿宋" w:eastAsia="仿宋" w:cs="仿宋"/>
                <w:b w:val="0"/>
                <w:bCs/>
                <w:strike w:val="0"/>
                <w:dstrike w:val="0"/>
                <w:color w:val="auto"/>
                <w:sz w:val="21"/>
                <w:szCs w:val="22"/>
                <w:highlight w:val="none"/>
                <w:lang w:val="en-US" w:eastAsia="zh-CN"/>
              </w:rPr>
              <w:t>发明专利数量</w:t>
            </w:r>
            <w:r>
              <w:rPr>
                <w:rFonts w:hint="eastAsia" w:ascii="仿宋" w:hAnsi="仿宋" w:eastAsia="仿宋" w:cs="仿宋"/>
                <w:b w:val="0"/>
                <w:bCs/>
                <w:strike w:val="0"/>
                <w:dstrike w:val="0"/>
                <w:color w:val="auto"/>
                <w:sz w:val="21"/>
                <w:szCs w:val="22"/>
                <w:highlight w:val="none"/>
              </w:rPr>
              <w:t>排名，第一名得</w:t>
            </w:r>
            <w:r>
              <w:rPr>
                <w:rFonts w:hint="eastAsia" w:ascii="仿宋" w:hAnsi="仿宋" w:eastAsia="仿宋" w:cs="仿宋"/>
                <w:b w:val="0"/>
                <w:bCs/>
                <w:strike w:val="0"/>
                <w:dstrike w:val="0"/>
                <w:color w:val="auto"/>
                <w:sz w:val="21"/>
                <w:szCs w:val="22"/>
                <w:highlight w:val="none"/>
                <w:lang w:val="en-US" w:eastAsia="zh-CN"/>
              </w:rPr>
              <w:t>5</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4</w:t>
            </w:r>
            <w:r>
              <w:rPr>
                <w:rFonts w:hint="eastAsia" w:ascii="仿宋" w:hAnsi="仿宋" w:eastAsia="仿宋" w:cs="仿宋"/>
                <w:b w:val="0"/>
                <w:bCs/>
                <w:strike w:val="0"/>
                <w:dstrike w:val="0"/>
                <w:color w:val="auto"/>
                <w:sz w:val="21"/>
                <w:szCs w:val="22"/>
                <w:highlight w:val="none"/>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标书要求：接到中标通知书后60日设备到场，接续30天完成安装调试；此项为否决项；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依据各企业单位</w:t>
            </w:r>
            <w:r>
              <w:rPr>
                <w:rFonts w:hint="eastAsia" w:ascii="仿宋" w:hAnsi="仿宋" w:eastAsia="仿宋" w:cs="仿宋"/>
                <w:b w:val="0"/>
                <w:bCs/>
                <w:color w:val="auto"/>
                <w:sz w:val="21"/>
                <w:szCs w:val="22"/>
                <w:highlight w:val="none"/>
                <w:lang w:val="en-US" w:eastAsia="zh-CN"/>
              </w:rPr>
              <w:t>所在地</w:t>
            </w:r>
            <w:r>
              <w:rPr>
                <w:rFonts w:hint="eastAsia" w:ascii="仿宋" w:hAnsi="仿宋" w:eastAsia="仿宋" w:cs="仿宋"/>
                <w:b w:val="0"/>
                <w:bCs/>
                <w:color w:val="auto"/>
                <w:sz w:val="21"/>
                <w:szCs w:val="22"/>
                <w:highlight w:val="none"/>
              </w:rPr>
              <w:t>服务网点</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lang w:val="en-US" w:eastAsia="zh-CN"/>
              </w:rPr>
              <w:t>授权服务站</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rPr>
              <w:t>数量，按数量第一名得5分，第二名得4分，以此类推；山东省内无服务网点即得0分；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67BD248F">
      <w:pPr>
        <w:pStyle w:val="14"/>
        <w:spacing w:after="156" w:line="219" w:lineRule="auto"/>
        <w:rPr>
          <w:rFonts w:hAnsi="宋体" w:eastAsia="宋体" w:cs="宋体"/>
          <w:b/>
          <w:bCs/>
          <w:color w:val="000000"/>
          <w:sz w:val="24"/>
          <w:szCs w:val="24"/>
        </w:rPr>
      </w:pPr>
      <w:r>
        <w:rPr>
          <w:rFonts w:hint="eastAsia" w:ascii="宋体" w:hAnsi="宋体" w:eastAsia="宋体"/>
          <w:b w:val="0"/>
          <w:bCs w:val="0"/>
          <w:sz w:val="24"/>
          <w:szCs w:val="20"/>
        </w:rPr>
        <w:t>综合得分=技术标×</w:t>
      </w:r>
      <w:r>
        <w:rPr>
          <w:rFonts w:hint="eastAsia" w:ascii="宋体" w:hAnsi="宋体" w:eastAsia="宋体"/>
          <w:b w:val="0"/>
          <w:bCs w:val="0"/>
          <w:sz w:val="24"/>
          <w:szCs w:val="20"/>
          <w:lang w:val="en-US" w:eastAsia="zh-CN"/>
        </w:rPr>
        <w:t>4</w:t>
      </w:r>
      <w:r>
        <w:rPr>
          <w:rFonts w:hint="eastAsia" w:ascii="宋体" w:hAnsi="宋体" w:eastAsia="宋体"/>
          <w:b w:val="0"/>
          <w:bCs w:val="0"/>
          <w:sz w:val="24"/>
          <w:szCs w:val="20"/>
        </w:rPr>
        <w:t>0%+商务标×</w:t>
      </w:r>
      <w:r>
        <w:rPr>
          <w:rFonts w:hint="eastAsia" w:ascii="宋体" w:hAnsi="宋体" w:eastAsia="宋体"/>
          <w:b w:val="0"/>
          <w:bCs w:val="0"/>
          <w:sz w:val="24"/>
          <w:szCs w:val="20"/>
          <w:lang w:val="en-US" w:eastAsia="zh-CN"/>
        </w:rPr>
        <w:t>6</w:t>
      </w:r>
      <w:r>
        <w:rPr>
          <w:rFonts w:hint="eastAsia" w:ascii="宋体" w:hAnsi="宋体" w:eastAsia="宋体"/>
          <w:b w:val="0"/>
          <w:bCs w:val="0"/>
          <w:sz w:val="24"/>
          <w:szCs w:val="20"/>
        </w:rPr>
        <w:t>0%。</w:t>
      </w:r>
    </w:p>
    <w:p w14:paraId="311A447B">
      <w:pPr>
        <w:pStyle w:val="19"/>
        <w:outlineLvl w:val="2"/>
        <w:rPr>
          <w:rFonts w:hAnsi="宋体" w:eastAsia="宋体" w:cs="宋体"/>
          <w:b/>
          <w:bCs/>
          <w:color w:val="000000"/>
          <w:sz w:val="24"/>
          <w:szCs w:val="24"/>
        </w:rPr>
      </w:pPr>
    </w:p>
    <w:p w14:paraId="3ABA1D25">
      <w:pPr>
        <w:pStyle w:val="19"/>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9"/>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8"/>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9"/>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50"/>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51"/>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9"/>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52"/>
                    <a:stretch>
                      <a:fillRect/>
                    </a:stretch>
                  </pic:blipFill>
                  <pic:spPr>
                    <a:xfrm>
                      <a:off x="0" y="0"/>
                      <a:ext cx="5760085" cy="2810122"/>
                    </a:xfrm>
                    <a:prstGeom prst="rect">
                      <a:avLst/>
                    </a:prstGeom>
                  </pic:spPr>
                </pic:pic>
              </a:graphicData>
            </a:graphic>
          </wp:inline>
        </w:drawing>
      </w:r>
    </w:p>
    <w:p w14:paraId="0CE59B2F">
      <w:pPr>
        <w:pStyle w:val="19"/>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53"/>
                    <a:stretch>
                      <a:fillRect/>
                    </a:stretch>
                  </pic:blipFill>
                  <pic:spPr>
                    <a:xfrm>
                      <a:off x="0" y="0"/>
                      <a:ext cx="5760085" cy="2820042"/>
                    </a:xfrm>
                    <a:prstGeom prst="rect">
                      <a:avLst/>
                    </a:prstGeom>
                  </pic:spPr>
                </pic:pic>
              </a:graphicData>
            </a:graphic>
          </wp:inline>
        </w:drawing>
      </w:r>
    </w:p>
    <w:p w14:paraId="1A65D009">
      <w:pPr>
        <w:pStyle w:val="19"/>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9"/>
      </w:pPr>
      <w:r>
        <w:rPr>
          <w:rFonts w:hint="eastAsia" w:hAnsi="宋体" w:eastAsia="宋体" w:cs="宋体"/>
          <w:b/>
          <w:bCs/>
          <w:color w:val="000000"/>
          <w:sz w:val="24"/>
          <w:szCs w:val="28"/>
        </w:rPr>
        <w:t>2.配套能力“供货类别”填“工艺装备”，业务主管部门选择“工艺研究院”。</w:t>
      </w:r>
    </w:p>
    <w:p w14:paraId="601B6B6C">
      <w:pPr>
        <w:pStyle w:val="19"/>
        <w:sectPr>
          <w:footerReference r:id="rId41" w:type="default"/>
          <w:pgSz w:w="11906" w:h="16838"/>
          <w:pgMar w:top="1588" w:right="1418" w:bottom="1134" w:left="1418" w:header="851" w:footer="992" w:gutter="0"/>
          <w:cols w:space="720" w:num="1"/>
          <w:titlePg/>
          <w:docGrid w:type="lines" w:linePitch="312" w:charSpace="0"/>
        </w:sectPr>
      </w:pPr>
    </w:p>
    <w:p w14:paraId="00C73F91">
      <w:pPr>
        <w:pStyle w:val="19"/>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0"/>
          <w:rFonts w:hint="eastAsia" w:ascii="宋体" w:hAnsi="宋体" w:eastAsia="宋体" w:cs="宋体"/>
          <w:sz w:val="24"/>
          <w:szCs w:val="24"/>
        </w:rPr>
        <w:t>https://ecaitong.sinotruk.com:8012/</w:t>
      </w:r>
      <w:r>
        <w:rPr>
          <w:rStyle w:val="50"/>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54"/>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5"/>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9"/>
      </w:pPr>
      <w:r>
        <w:rPr>
          <w:rFonts w:hint="eastAsia" w:hAnsi="宋体" w:eastAsia="宋体" w:cs="宋体"/>
          <w:color w:val="000000"/>
          <w:sz w:val="24"/>
          <w:szCs w:val="28"/>
        </w:rPr>
        <w:t>注意：系统内的投标报价单位为“万元”，如开标现场发现填错报价，即直接淘汰。</w:t>
      </w:r>
    </w:p>
    <w:p w14:paraId="37235EB5">
      <w:pPr>
        <w:pStyle w:val="5"/>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6"/>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7"/>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5"/>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8"/>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9"/>
                    <a:stretch>
                      <a:fillRect/>
                    </a:stretch>
                  </pic:blipFill>
                  <pic:spPr>
                    <a:xfrm>
                      <a:off x="0" y="0"/>
                      <a:ext cx="5760085" cy="1956600"/>
                    </a:xfrm>
                    <a:prstGeom prst="rect">
                      <a:avLst/>
                    </a:prstGeom>
                  </pic:spPr>
                </pic:pic>
              </a:graphicData>
            </a:graphic>
          </wp:inline>
        </w:drawing>
      </w:r>
    </w:p>
    <w:p w14:paraId="231419EC">
      <w:pPr>
        <w:pStyle w:val="19"/>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0D2449C5">
      <w:pPr>
        <w:pStyle w:val="19"/>
        <w:rPr>
          <w:rFonts w:hAnsi="宋体" w:eastAsia="宋体" w:cs="Times New Roman"/>
          <w:b/>
          <w:color w:val="000000"/>
          <w:sz w:val="24"/>
          <w:szCs w:val="24"/>
        </w:rPr>
      </w:pPr>
    </w:p>
    <w:sectPr>
      <w:headerReference r:id="rId43" w:type="first"/>
      <w:footerReference r:id="rId45" w:type="first"/>
      <w:headerReference r:id="rId42" w:type="default"/>
      <w:footerReference r:id="rId44"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2FB3562-3D6D-41E6-9AD1-C1D177262D3E}"/>
  </w:font>
  <w:font w:name="黑体">
    <w:panose1 w:val="02010609060101010101"/>
    <w:charset w:val="86"/>
    <w:family w:val="auto"/>
    <w:pitch w:val="default"/>
    <w:sig w:usb0="800002BF" w:usb1="38CF7CFA" w:usb2="00000016" w:usb3="00000000" w:csb0="00040001" w:csb1="00000000"/>
    <w:embedRegular r:id="rId2" w:fontKey="{AD14C11E-D6F5-4683-95CB-63417D6D6A8F}"/>
  </w:font>
  <w:font w:name="Courier New">
    <w:panose1 w:val="02070309020205020404"/>
    <w:charset w:val="01"/>
    <w:family w:val="modern"/>
    <w:pitch w:val="default"/>
    <w:sig w:usb0="E0002EFF" w:usb1="C0007843" w:usb2="00000009" w:usb3="00000000" w:csb0="400001FF" w:csb1="FFFF0000"/>
    <w:embedRegular r:id="rId3" w:fontKey="{8E783740-4CC4-43C6-8475-D4DE8E8BE75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C3267B8F-D10A-42FA-85DD-B6326E6EE212}"/>
  </w:font>
  <w:font w:name="等线">
    <w:panose1 w:val="02010600030101010101"/>
    <w:charset w:val="86"/>
    <w:family w:val="auto"/>
    <w:pitch w:val="default"/>
    <w:sig w:usb0="A00002BF" w:usb1="38CF7CFA" w:usb2="00000016" w:usb3="00000000" w:csb0="0004000F" w:csb1="00000000"/>
    <w:embedRegular r:id="rId5" w:fontKey="{741D2CF7-CFE3-4971-A847-D6280B1544D1}"/>
  </w:font>
  <w:font w:name="新宋体">
    <w:panose1 w:val="02010609030101010101"/>
    <w:charset w:val="86"/>
    <w:family w:val="modern"/>
    <w:pitch w:val="default"/>
    <w:sig w:usb0="00000203" w:usb1="288F0000" w:usb2="00000006" w:usb3="00000000" w:csb0="00040001"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07E9CDA9-ABFD-4808-B701-C66987000853}"/>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embedRegular r:id="rId7" w:fontKey="{6418FA6A-4FF0-423F-A1DD-34B80439F84F}"/>
  </w:font>
  <w:font w:name="楷体">
    <w:panose1 w:val="02010609060101010101"/>
    <w:charset w:val="86"/>
    <w:family w:val="modern"/>
    <w:pitch w:val="default"/>
    <w:sig w:usb0="800002BF" w:usb1="38CF7CFA" w:usb2="00000016" w:usb3="00000000" w:csb0="00040001" w:csb1="00000000"/>
    <w:embedRegular r:id="rId8" w:fontKey="{9D11162E-CCDB-4469-93BF-C0B6A28CBEB4}"/>
  </w:font>
  <w:font w:name="微软雅黑">
    <w:panose1 w:val="020B0503020204020204"/>
    <w:charset w:val="86"/>
    <w:family w:val="swiss"/>
    <w:pitch w:val="default"/>
    <w:sig w:usb0="80000287" w:usb1="2ACF3C50" w:usb2="00000016" w:usb3="00000000" w:csb0="0004001F" w:csb1="00000000"/>
    <w:embedRegular r:id="rId9" w:fontKey="{F9BDCE5A-CDFE-4A6F-8E60-939901D1646E}"/>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10" w:fontKey="{64E09C0C-A8E1-4A6D-B4A5-A3A0E13B334F}"/>
  </w:font>
  <w:font w:name="华文仿宋">
    <w:panose1 w:val="02010600040101010101"/>
    <w:charset w:val="86"/>
    <w:family w:val="auto"/>
    <w:pitch w:val="default"/>
    <w:sig w:usb0="00000287" w:usb1="080F0000" w:usb2="00000000" w:usb3="00000000" w:csb0="0004009F" w:csb1="DFD70000"/>
    <w:embedRegular r:id="rId11" w:fontKey="{345FC60E-72A4-4B91-9BAC-F4174403A5DE}"/>
  </w:font>
  <w:font w:name="方正仿宋_GB2312">
    <w:panose1 w:val="02000000000000000000"/>
    <w:charset w:val="86"/>
    <w:family w:val="auto"/>
    <w:pitch w:val="default"/>
    <w:sig w:usb0="A00002BF" w:usb1="184F6CFA" w:usb2="00000012" w:usb3="00000000" w:csb0="00040001" w:csb1="00000000"/>
    <w:embedRegular r:id="rId12" w:fontKey="{7A216EF2-897F-4490-9908-7B0707B04E56}"/>
  </w:font>
  <w:font w:name="方正小标宋简体">
    <w:panose1 w:val="02000000000000000000"/>
    <w:charset w:val="86"/>
    <w:family w:val="auto"/>
    <w:pitch w:val="default"/>
    <w:sig w:usb0="A00002BF" w:usb1="184F6CFA" w:usb2="00000012" w:usb3="00000000" w:csb0="00040001" w:csb1="00000000"/>
    <w:embedRegular r:id="rId13" w:fontKey="{385CC291-BD7A-4157-9E0B-0E09794A48FF}"/>
  </w:font>
  <w:font w:name="Wingdings 2">
    <w:panose1 w:val="05020102010507070707"/>
    <w:charset w:val="02"/>
    <w:family w:val="roman"/>
    <w:pitch w:val="default"/>
    <w:sig w:usb0="00000000" w:usb1="00000000" w:usb2="00000000" w:usb3="00000000" w:csb0="80000000" w:csb1="00000000"/>
    <w:embedRegular r:id="rId14" w:fontKey="{7967D584-1946-4CB4-9D3B-9E4F763F06E7}"/>
  </w:font>
  <w:font w:name="WPSEMBED10">
    <w:panose1 w:val="02010600040101010101"/>
    <w:charset w:val="86"/>
    <w:family w:val="auto"/>
    <w:pitch w:val="default"/>
    <w:sig w:usb0="00000287" w:usb1="080F0000" w:usb2="00000000" w:usb3="00000000" w:csb0="0004009F" w:csb1="DFD70000"/>
  </w:font>
  <w:font w:name="WPSEMBED11">
    <w:panose1 w:val="02000000000000000000"/>
    <w:charset w:val="86"/>
    <w:family w:val="auto"/>
    <w:pitch w:val="default"/>
    <w:sig w:usb0="A00002BF" w:usb1="184F6CFA" w:usb2="00000012" w:usb3="00000000" w:csb0="00040001" w:csb1="00000000"/>
  </w:font>
  <w:font w:name="WPSEMBED9">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WPSEMBED12">
    <w:panose1 w:val="050201020105070707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4"/>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4"/>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4"/>
      <w:tabs>
        <w:tab w:val="clear" w:pos="4153"/>
      </w:tabs>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4"/>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3777">
    <w:pPr>
      <w:pStyle w:val="24"/>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3581484"/>
      <w:docPartObj>
        <w:docPartGallery w:val="autotext"/>
      </w:docPartObj>
    </w:sdtPr>
    <w:sdtContent>
      <w:p w14:paraId="1A1A46A6">
        <w:pPr>
          <w:pStyle w:val="24"/>
          <w:ind w:firstLine="210"/>
          <w:jc w:val="right"/>
        </w:pPr>
        <w:r>
          <w:fldChar w:fldCharType="begin"/>
        </w:r>
        <w:r>
          <w:instrText xml:space="preserve"> PAGE   \* MERGEFORMAT </w:instrText>
        </w:r>
        <w:r>
          <w:fldChar w:fldCharType="separate"/>
        </w:r>
        <w:r>
          <w:rPr>
            <w:lang w:val="zh-CN"/>
          </w:rPr>
          <w:t>42</w:t>
        </w:r>
        <w:r>
          <w:rPr>
            <w:lang w:val="zh-CN"/>
          </w:rPr>
          <w:fldChar w:fldCharType="end"/>
        </w:r>
      </w:p>
    </w:sdtContent>
  </w:sdt>
  <w:p w14:paraId="6E07C9CB">
    <w:pPr>
      <w:pStyle w:val="2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65420">
    <w:pPr>
      <w:pStyle w:val="2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69"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238001A">
                          <w:pPr>
                            <w:pStyle w:val="24"/>
                          </w:pPr>
                          <w:r>
                            <w:fldChar w:fldCharType="begin"/>
                          </w:r>
                          <w:r>
                            <w:instrText xml:space="preserve"> PAGE  \* MERGEFORMAT </w:instrText>
                          </w:r>
                          <w:r>
                            <w:fldChar w:fldCharType="separate"/>
                          </w:r>
                          <w:r>
                            <w:t>6</w:t>
                          </w:r>
                          <w:r>
                            <w:fldChar w:fldCharType="end"/>
                          </w:r>
                        </w:p>
                      </w:txbxContent>
                    </wps:txbx>
                    <wps:bodyPr vert="horz" wrap="none" lIns="0" tIns="0" rIns="0" bIns="0" anchor="t">
                      <a:spAutoFit/>
                    </wps:bodyPr>
                  </wps:wsp>
                </a:graphicData>
              </a:graphic>
            </wp:anchor>
          </w:drawing>
        </mc:Choice>
        <mc:Fallback>
          <w:pict>
            <v:rect id="文本框 1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uZNkTLAQAAkwMAAA4AAABkcnMvZTJvRG9jLnhtbK1TS27bMBDdF8gd&#10;CO5jSUYRu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LW7eceaEpTc///h+/vn7&#10;/OsbK5bJoi5gSSefwiNMGVKY9PYN2PQlJawfbD1dbFV9ZJI2i9VytcrJcUm1OSGc7Pl6AIwflLcs&#10;BRUHerfBTnF8wDgenY+kbsal1fk7bcxYTTtZojkSS1Hsd/3EdufrE8mkqSfw1sNXzjp684o7GnHO&#10;zL0jS9N4zAHMwW4OhJN0seIjLwzvD5HaD9xSs7HDxIHealA3zVUahr/z4dTz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bmTZEywEAAJMDAAAOAAAAAAAAAAEAIAAAAB8BAABkcnMvZTJv&#10;RG9jLnhtbFBLBQYAAAAABgAGAFkBAABcBQAAAAA=&#10;">
              <v:fill on="f" focussize="0,0"/>
              <v:stroke on="f"/>
              <v:imagedata o:title=""/>
              <o:lock v:ext="edit" aspectratio="f"/>
              <v:textbox inset="0mm,0mm,0mm,0mm" style="mso-fit-shape-to-text:t;">
                <w:txbxContent>
                  <w:p w14:paraId="5238001A">
                    <w:pPr>
                      <w:pStyle w:val="24"/>
                    </w:pPr>
                    <w:r>
                      <w:fldChar w:fldCharType="begin"/>
                    </w:r>
                    <w:r>
                      <w:instrText xml:space="preserve"> PAGE  \* MERGEFORMAT </w:instrText>
                    </w:r>
                    <w:r>
                      <w:fldChar w:fldCharType="separate"/>
                    </w:r>
                    <w:r>
                      <w:t>6</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4"/>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4"/>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4"/>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4"/>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4"/>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4"/>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4"/>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4"/>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4"/>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4"/>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4"/>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4"/>
      <w:jc w:val="cente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4"/>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5"/>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2D584">
    <w:pPr>
      <w:pStyle w:val="25"/>
      <w:pBdr>
        <w:bottom w:val="single" w:color="auto" w:sz="12" w:space="9"/>
      </w:pBdr>
      <w:jc w:val="both"/>
    </w:pPr>
    <w:r>
      <w:object>
        <v:shape id="_x0000_i1025" o:spt="75" type="#_x0000_t75" style="height:28.5pt;width:112.9pt;" o:ole="t" filled="f" o:preferrelative="t" stroked="f" coordsize="21600,21600">
          <v:path/>
          <v:fill on="f" focussize="0,0"/>
          <v:stroke on="f" joinstyle="miter"/>
          <v:imagedata r:id="rId2" o:title=""/>
          <o:lock v:ext="edit"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szCs w:val="24"/>
      </w:rPr>
      <w:t xml:space="preserve">      </w:t>
    </w:r>
    <w:r>
      <w:rPr>
        <w:rFonts w:hint="eastAsia" w:ascii="黑体" w:eastAsia="黑体"/>
        <w:sz w:val="24"/>
        <w:szCs w:val="24"/>
        <w:lang w:val="en-US" w:eastAsia="zh-CN"/>
      </w:rPr>
      <w:t xml:space="preserve">   </w:t>
    </w:r>
    <w:r>
      <w:rPr>
        <w:rFonts w:hint="eastAsia" w:ascii="黑体" w:eastAsia="黑体"/>
        <w:sz w:val="24"/>
        <w:szCs w:val="24"/>
      </w:rPr>
      <w:t xml:space="preserve">  挂车</w:t>
    </w:r>
    <w:r>
      <w:rPr>
        <w:rFonts w:hint="eastAsia" w:ascii="黑体" w:eastAsia="黑体"/>
        <w:sz w:val="24"/>
        <w:szCs w:val="24"/>
        <w:lang w:eastAsia="zh-CN"/>
      </w:rPr>
      <w:t>涂装</w:t>
    </w:r>
    <w:r>
      <w:rPr>
        <w:rFonts w:hint="eastAsia" w:ascii="黑体" w:eastAsia="黑体"/>
        <w:sz w:val="24"/>
        <w:szCs w:val="24"/>
      </w:rPr>
      <w:t>生产线项目技术标书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5"/>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5"/>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5"/>
    </w:pPr>
  </w:p>
  <w:p w14:paraId="4A629459">
    <w:pPr>
      <w:pStyle w:val="2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5"/>
    </w:pPr>
  </w:p>
  <w:p w14:paraId="415712FD">
    <w:pPr>
      <w:pStyle w:val="2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4EC945DC"/>
    <w:multiLevelType w:val="singleLevel"/>
    <w:tmpl w:val="4EC945DC"/>
    <w:lvl w:ilvl="0" w:tentative="0">
      <w:start w:val="6"/>
      <w:numFmt w:val="chineseCounting"/>
      <w:suff w:val="nothing"/>
      <w:lvlText w:val="%1、"/>
      <w:lvlJc w:val="left"/>
      <w:rPr>
        <w:rFonts w:hint="eastAsia"/>
      </w:rPr>
    </w:lvl>
  </w:abstractNum>
  <w:abstractNum w:abstractNumId="7">
    <w:nsid w:val="58E51F97"/>
    <w:multiLevelType w:val="multilevel"/>
    <w:tmpl w:val="58E51F97"/>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6E8C6948"/>
    <w:multiLevelType w:val="singleLevel"/>
    <w:tmpl w:val="6E8C6948"/>
    <w:lvl w:ilvl="0" w:tentative="0">
      <w:start w:val="1"/>
      <w:numFmt w:val="chineseCounting"/>
      <w:suff w:val="space"/>
      <w:lvlText w:val="第%1部分"/>
      <w:lvlJc w:val="left"/>
      <w:rPr>
        <w:rFonts w:hint="eastAsia"/>
      </w:rPr>
    </w:lvl>
  </w:abstractNum>
  <w:abstractNum w:abstractNumId="9">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8"/>
  </w:num>
  <w:num w:numId="2">
    <w:abstractNumId w:val="0"/>
  </w:num>
  <w:num w:numId="3">
    <w:abstractNumId w:val="9"/>
  </w:num>
  <w:num w:numId="4">
    <w:abstractNumId w:val="2"/>
  </w:num>
  <w:num w:numId="5">
    <w:abstractNumId w:val="5"/>
  </w:num>
  <w:num w:numId="6">
    <w:abstractNumId w:val="1"/>
  </w:num>
  <w:num w:numId="7">
    <w:abstractNumId w:val="4"/>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C52BB"/>
    <w:rsid w:val="004F7838"/>
    <w:rsid w:val="00503391"/>
    <w:rsid w:val="00552960"/>
    <w:rsid w:val="0056018A"/>
    <w:rsid w:val="00567344"/>
    <w:rsid w:val="005829DC"/>
    <w:rsid w:val="005C0B4E"/>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AE1"/>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2B5A1E"/>
    <w:rsid w:val="01373638"/>
    <w:rsid w:val="014832F2"/>
    <w:rsid w:val="014C6B51"/>
    <w:rsid w:val="014D51C1"/>
    <w:rsid w:val="01527FF8"/>
    <w:rsid w:val="01714809"/>
    <w:rsid w:val="0179546C"/>
    <w:rsid w:val="01A7647D"/>
    <w:rsid w:val="01C52478"/>
    <w:rsid w:val="01F128CB"/>
    <w:rsid w:val="0204742C"/>
    <w:rsid w:val="020531A4"/>
    <w:rsid w:val="020C008E"/>
    <w:rsid w:val="02647ECA"/>
    <w:rsid w:val="027408EE"/>
    <w:rsid w:val="02963F39"/>
    <w:rsid w:val="02B3095A"/>
    <w:rsid w:val="02B40E52"/>
    <w:rsid w:val="02B50726"/>
    <w:rsid w:val="02BA7274"/>
    <w:rsid w:val="02D432A2"/>
    <w:rsid w:val="02DF39F5"/>
    <w:rsid w:val="02FC45A7"/>
    <w:rsid w:val="03251978"/>
    <w:rsid w:val="0325718A"/>
    <w:rsid w:val="03322330"/>
    <w:rsid w:val="03977E2B"/>
    <w:rsid w:val="03A04F32"/>
    <w:rsid w:val="03D41080"/>
    <w:rsid w:val="04233038"/>
    <w:rsid w:val="042921B6"/>
    <w:rsid w:val="043342B8"/>
    <w:rsid w:val="043B72BB"/>
    <w:rsid w:val="04461EC1"/>
    <w:rsid w:val="04504B3F"/>
    <w:rsid w:val="04510922"/>
    <w:rsid w:val="046B5540"/>
    <w:rsid w:val="04786935"/>
    <w:rsid w:val="049F343C"/>
    <w:rsid w:val="04AD02B8"/>
    <w:rsid w:val="04DE51C8"/>
    <w:rsid w:val="04DF17D4"/>
    <w:rsid w:val="04EE7F1F"/>
    <w:rsid w:val="04F05A45"/>
    <w:rsid w:val="04FF212C"/>
    <w:rsid w:val="05355B4E"/>
    <w:rsid w:val="05373674"/>
    <w:rsid w:val="05391C88"/>
    <w:rsid w:val="05412745"/>
    <w:rsid w:val="05491761"/>
    <w:rsid w:val="05A12A4D"/>
    <w:rsid w:val="05A351AD"/>
    <w:rsid w:val="05BC1DCB"/>
    <w:rsid w:val="05F06FF8"/>
    <w:rsid w:val="05F257ED"/>
    <w:rsid w:val="05F45A09"/>
    <w:rsid w:val="05F9748A"/>
    <w:rsid w:val="060F45F1"/>
    <w:rsid w:val="06266F78"/>
    <w:rsid w:val="063C3527"/>
    <w:rsid w:val="063E7B7A"/>
    <w:rsid w:val="06582413"/>
    <w:rsid w:val="06682E69"/>
    <w:rsid w:val="066A28A8"/>
    <w:rsid w:val="06706390"/>
    <w:rsid w:val="06770305"/>
    <w:rsid w:val="067E33B8"/>
    <w:rsid w:val="06A42F8B"/>
    <w:rsid w:val="06B96433"/>
    <w:rsid w:val="06D44CBF"/>
    <w:rsid w:val="06E82FCB"/>
    <w:rsid w:val="06F34B95"/>
    <w:rsid w:val="07426476"/>
    <w:rsid w:val="07507423"/>
    <w:rsid w:val="07571DAC"/>
    <w:rsid w:val="07612C2A"/>
    <w:rsid w:val="07867620"/>
    <w:rsid w:val="07C54FE7"/>
    <w:rsid w:val="07D4164E"/>
    <w:rsid w:val="080B2B96"/>
    <w:rsid w:val="082A3964"/>
    <w:rsid w:val="08493DEA"/>
    <w:rsid w:val="0854453D"/>
    <w:rsid w:val="08766BA9"/>
    <w:rsid w:val="08916B94"/>
    <w:rsid w:val="089D4136"/>
    <w:rsid w:val="08B60D54"/>
    <w:rsid w:val="08CE42EF"/>
    <w:rsid w:val="08D3624E"/>
    <w:rsid w:val="08D538D0"/>
    <w:rsid w:val="08D5567E"/>
    <w:rsid w:val="08DD171B"/>
    <w:rsid w:val="08E566B9"/>
    <w:rsid w:val="08E64121"/>
    <w:rsid w:val="08F45F8B"/>
    <w:rsid w:val="08F71A98"/>
    <w:rsid w:val="09097B66"/>
    <w:rsid w:val="090F1795"/>
    <w:rsid w:val="091F0FEF"/>
    <w:rsid w:val="0942017F"/>
    <w:rsid w:val="09670573"/>
    <w:rsid w:val="0968268E"/>
    <w:rsid w:val="096F21F4"/>
    <w:rsid w:val="098826F0"/>
    <w:rsid w:val="099C43EE"/>
    <w:rsid w:val="09BA1FBB"/>
    <w:rsid w:val="09CB139F"/>
    <w:rsid w:val="09DD4552"/>
    <w:rsid w:val="09FC4E8C"/>
    <w:rsid w:val="0A0106F5"/>
    <w:rsid w:val="0A02466E"/>
    <w:rsid w:val="0A083831"/>
    <w:rsid w:val="0A112AB7"/>
    <w:rsid w:val="0A2C751F"/>
    <w:rsid w:val="0A335DA7"/>
    <w:rsid w:val="0A4E5482"/>
    <w:rsid w:val="0A93596B"/>
    <w:rsid w:val="0AAA504A"/>
    <w:rsid w:val="0AD71BC7"/>
    <w:rsid w:val="0ADF4592"/>
    <w:rsid w:val="0AF049F1"/>
    <w:rsid w:val="0AF420EB"/>
    <w:rsid w:val="0B266665"/>
    <w:rsid w:val="0B2B2BF5"/>
    <w:rsid w:val="0B2F3908"/>
    <w:rsid w:val="0B3F6206"/>
    <w:rsid w:val="0B5331D2"/>
    <w:rsid w:val="0B5641E7"/>
    <w:rsid w:val="0B785C4C"/>
    <w:rsid w:val="0B7F3FC7"/>
    <w:rsid w:val="0B9E64BB"/>
    <w:rsid w:val="0BDE715C"/>
    <w:rsid w:val="0BE12DB6"/>
    <w:rsid w:val="0BFC6504"/>
    <w:rsid w:val="0C012C2E"/>
    <w:rsid w:val="0C345AD1"/>
    <w:rsid w:val="0C360B29"/>
    <w:rsid w:val="0C3F6C80"/>
    <w:rsid w:val="0C485128"/>
    <w:rsid w:val="0C626CE4"/>
    <w:rsid w:val="0C6F27F4"/>
    <w:rsid w:val="0CA05FA3"/>
    <w:rsid w:val="0CDD71F7"/>
    <w:rsid w:val="0CEA5470"/>
    <w:rsid w:val="0CEE5663"/>
    <w:rsid w:val="0D030966"/>
    <w:rsid w:val="0D0C2B7B"/>
    <w:rsid w:val="0D160B7F"/>
    <w:rsid w:val="0D5E7B6A"/>
    <w:rsid w:val="0D6C5618"/>
    <w:rsid w:val="0D807235"/>
    <w:rsid w:val="0D821B4C"/>
    <w:rsid w:val="0D9308F8"/>
    <w:rsid w:val="0D9D4AEE"/>
    <w:rsid w:val="0DE76C3D"/>
    <w:rsid w:val="0E1A1D85"/>
    <w:rsid w:val="0E1B0427"/>
    <w:rsid w:val="0E303356"/>
    <w:rsid w:val="0E5A1EC0"/>
    <w:rsid w:val="0E750568"/>
    <w:rsid w:val="0E9C3C97"/>
    <w:rsid w:val="0EB16245"/>
    <w:rsid w:val="0ED85D99"/>
    <w:rsid w:val="0EEE7499"/>
    <w:rsid w:val="0F022F45"/>
    <w:rsid w:val="0F205179"/>
    <w:rsid w:val="0F2D7A80"/>
    <w:rsid w:val="0F2E3D3A"/>
    <w:rsid w:val="0F4277E5"/>
    <w:rsid w:val="0F606C70"/>
    <w:rsid w:val="0F882908"/>
    <w:rsid w:val="0F930041"/>
    <w:rsid w:val="0FA75561"/>
    <w:rsid w:val="0FB83603"/>
    <w:rsid w:val="0FCA77F1"/>
    <w:rsid w:val="0FCD5DCC"/>
    <w:rsid w:val="0FF32AD0"/>
    <w:rsid w:val="10043197"/>
    <w:rsid w:val="100D7DF3"/>
    <w:rsid w:val="10270545"/>
    <w:rsid w:val="103409DF"/>
    <w:rsid w:val="104D4694"/>
    <w:rsid w:val="108A1D4B"/>
    <w:rsid w:val="10A10111"/>
    <w:rsid w:val="10A32505"/>
    <w:rsid w:val="10AB3168"/>
    <w:rsid w:val="10B06033"/>
    <w:rsid w:val="10B65D95"/>
    <w:rsid w:val="10BE093E"/>
    <w:rsid w:val="10E20BD8"/>
    <w:rsid w:val="111B0FE9"/>
    <w:rsid w:val="112C77F4"/>
    <w:rsid w:val="113440E3"/>
    <w:rsid w:val="113A2793"/>
    <w:rsid w:val="113E1C3A"/>
    <w:rsid w:val="114755AB"/>
    <w:rsid w:val="115F67A8"/>
    <w:rsid w:val="117B00BB"/>
    <w:rsid w:val="119A7465"/>
    <w:rsid w:val="11B56CA5"/>
    <w:rsid w:val="11C07DA5"/>
    <w:rsid w:val="11C2491E"/>
    <w:rsid w:val="11D13C42"/>
    <w:rsid w:val="11F36B75"/>
    <w:rsid w:val="11FF19BD"/>
    <w:rsid w:val="120854E2"/>
    <w:rsid w:val="123C3691"/>
    <w:rsid w:val="12491386"/>
    <w:rsid w:val="12812DF3"/>
    <w:rsid w:val="128B4FFF"/>
    <w:rsid w:val="12AA36D7"/>
    <w:rsid w:val="12E60579"/>
    <w:rsid w:val="12EB0F02"/>
    <w:rsid w:val="12FD2641"/>
    <w:rsid w:val="130D1D87"/>
    <w:rsid w:val="13637D2A"/>
    <w:rsid w:val="13695B36"/>
    <w:rsid w:val="13702B73"/>
    <w:rsid w:val="1372609F"/>
    <w:rsid w:val="13D03611"/>
    <w:rsid w:val="13D36C5E"/>
    <w:rsid w:val="13D73572"/>
    <w:rsid w:val="13DD5310"/>
    <w:rsid w:val="13FC4407"/>
    <w:rsid w:val="14425B91"/>
    <w:rsid w:val="14504752"/>
    <w:rsid w:val="145A6A37"/>
    <w:rsid w:val="14667AD2"/>
    <w:rsid w:val="1467440F"/>
    <w:rsid w:val="14972C64"/>
    <w:rsid w:val="149E54BE"/>
    <w:rsid w:val="14AE30D9"/>
    <w:rsid w:val="14D7277E"/>
    <w:rsid w:val="14E32ED1"/>
    <w:rsid w:val="15063063"/>
    <w:rsid w:val="152D239E"/>
    <w:rsid w:val="15400323"/>
    <w:rsid w:val="15433A9B"/>
    <w:rsid w:val="15514C16"/>
    <w:rsid w:val="15673B02"/>
    <w:rsid w:val="157E34B3"/>
    <w:rsid w:val="15C26F8A"/>
    <w:rsid w:val="15E41CF3"/>
    <w:rsid w:val="15FC2F04"/>
    <w:rsid w:val="16077093"/>
    <w:rsid w:val="16181FAC"/>
    <w:rsid w:val="16331C36"/>
    <w:rsid w:val="16526560"/>
    <w:rsid w:val="166075D1"/>
    <w:rsid w:val="16660DE5"/>
    <w:rsid w:val="167F30CD"/>
    <w:rsid w:val="168756A0"/>
    <w:rsid w:val="16A6065A"/>
    <w:rsid w:val="16DA0E5E"/>
    <w:rsid w:val="16F94849"/>
    <w:rsid w:val="16FA0805"/>
    <w:rsid w:val="17045E51"/>
    <w:rsid w:val="172011D4"/>
    <w:rsid w:val="17252C3B"/>
    <w:rsid w:val="17312619"/>
    <w:rsid w:val="173C25C7"/>
    <w:rsid w:val="173F0A2E"/>
    <w:rsid w:val="176A7017"/>
    <w:rsid w:val="17705F66"/>
    <w:rsid w:val="17770BC2"/>
    <w:rsid w:val="17860E2F"/>
    <w:rsid w:val="1789581B"/>
    <w:rsid w:val="178C5AA1"/>
    <w:rsid w:val="17A119AA"/>
    <w:rsid w:val="17C63699"/>
    <w:rsid w:val="180E4708"/>
    <w:rsid w:val="181E6B39"/>
    <w:rsid w:val="18586F2B"/>
    <w:rsid w:val="186C4DA9"/>
    <w:rsid w:val="19087FDA"/>
    <w:rsid w:val="19646AC5"/>
    <w:rsid w:val="19810F0A"/>
    <w:rsid w:val="198B3699"/>
    <w:rsid w:val="199030D2"/>
    <w:rsid w:val="19A766B9"/>
    <w:rsid w:val="19BC5265"/>
    <w:rsid w:val="19CE76BA"/>
    <w:rsid w:val="19F26070"/>
    <w:rsid w:val="19F97C8B"/>
    <w:rsid w:val="1A1523CE"/>
    <w:rsid w:val="1A186D43"/>
    <w:rsid w:val="1A2A27B9"/>
    <w:rsid w:val="1A7F5449"/>
    <w:rsid w:val="1A82066E"/>
    <w:rsid w:val="1AA44EB0"/>
    <w:rsid w:val="1AA730BD"/>
    <w:rsid w:val="1ABA2925"/>
    <w:rsid w:val="1ABC044C"/>
    <w:rsid w:val="1ADF38C8"/>
    <w:rsid w:val="1AF17E84"/>
    <w:rsid w:val="1B1F4E7E"/>
    <w:rsid w:val="1B2B1506"/>
    <w:rsid w:val="1B2B6017"/>
    <w:rsid w:val="1B333D5D"/>
    <w:rsid w:val="1B4F7512"/>
    <w:rsid w:val="1B587618"/>
    <w:rsid w:val="1B5F19C7"/>
    <w:rsid w:val="1B612DA1"/>
    <w:rsid w:val="1B6A434C"/>
    <w:rsid w:val="1B8C2514"/>
    <w:rsid w:val="1BB631D9"/>
    <w:rsid w:val="1BF367A5"/>
    <w:rsid w:val="1BFB4FA4"/>
    <w:rsid w:val="1C1C709B"/>
    <w:rsid w:val="1C400DBE"/>
    <w:rsid w:val="1C47643B"/>
    <w:rsid w:val="1C4F6795"/>
    <w:rsid w:val="1C9F6814"/>
    <w:rsid w:val="1CE7377A"/>
    <w:rsid w:val="1D37025D"/>
    <w:rsid w:val="1D5C514E"/>
    <w:rsid w:val="1D865D14"/>
    <w:rsid w:val="1D8705EC"/>
    <w:rsid w:val="1DA90A2F"/>
    <w:rsid w:val="1DEC0E7D"/>
    <w:rsid w:val="1DF02D01"/>
    <w:rsid w:val="1DF20628"/>
    <w:rsid w:val="1DF63B37"/>
    <w:rsid w:val="1E042E8B"/>
    <w:rsid w:val="1E33581C"/>
    <w:rsid w:val="1E43150B"/>
    <w:rsid w:val="1E796654"/>
    <w:rsid w:val="1EA449B1"/>
    <w:rsid w:val="1EA93E80"/>
    <w:rsid w:val="1EAB0F03"/>
    <w:rsid w:val="1EBB4EBE"/>
    <w:rsid w:val="1ECE150A"/>
    <w:rsid w:val="1ED33FB6"/>
    <w:rsid w:val="1EE81332"/>
    <w:rsid w:val="1F066139"/>
    <w:rsid w:val="1F185E6D"/>
    <w:rsid w:val="1F1C3BAF"/>
    <w:rsid w:val="1F32415A"/>
    <w:rsid w:val="1F542F9A"/>
    <w:rsid w:val="1F695201"/>
    <w:rsid w:val="1F702632"/>
    <w:rsid w:val="1F7E2174"/>
    <w:rsid w:val="1F993CD1"/>
    <w:rsid w:val="1FAF019C"/>
    <w:rsid w:val="1FB060A5"/>
    <w:rsid w:val="1FB64E98"/>
    <w:rsid w:val="1FD61FB0"/>
    <w:rsid w:val="1FEA7809"/>
    <w:rsid w:val="20062169"/>
    <w:rsid w:val="20107567"/>
    <w:rsid w:val="20115428"/>
    <w:rsid w:val="202E0BE3"/>
    <w:rsid w:val="20605D1D"/>
    <w:rsid w:val="208732AA"/>
    <w:rsid w:val="20AB56C6"/>
    <w:rsid w:val="21093CBF"/>
    <w:rsid w:val="2142196F"/>
    <w:rsid w:val="21463165"/>
    <w:rsid w:val="214C004F"/>
    <w:rsid w:val="21547789"/>
    <w:rsid w:val="2176507C"/>
    <w:rsid w:val="217D645B"/>
    <w:rsid w:val="21A1039B"/>
    <w:rsid w:val="21AE2AB8"/>
    <w:rsid w:val="21BE35AF"/>
    <w:rsid w:val="21C01CCC"/>
    <w:rsid w:val="21C11174"/>
    <w:rsid w:val="21D00C81"/>
    <w:rsid w:val="21D544E9"/>
    <w:rsid w:val="21DE514B"/>
    <w:rsid w:val="22113368"/>
    <w:rsid w:val="22244B28"/>
    <w:rsid w:val="2228687C"/>
    <w:rsid w:val="22405E06"/>
    <w:rsid w:val="22433200"/>
    <w:rsid w:val="22467FD4"/>
    <w:rsid w:val="22645D35"/>
    <w:rsid w:val="229056A1"/>
    <w:rsid w:val="229451FD"/>
    <w:rsid w:val="22A12DB6"/>
    <w:rsid w:val="22AB1BF2"/>
    <w:rsid w:val="22B02E93"/>
    <w:rsid w:val="22E31C0D"/>
    <w:rsid w:val="230063DC"/>
    <w:rsid w:val="230175C4"/>
    <w:rsid w:val="23121E7E"/>
    <w:rsid w:val="231D7EF5"/>
    <w:rsid w:val="234E2646"/>
    <w:rsid w:val="236356D1"/>
    <w:rsid w:val="23775858"/>
    <w:rsid w:val="23963804"/>
    <w:rsid w:val="23A53102"/>
    <w:rsid w:val="23A91C83"/>
    <w:rsid w:val="23C962E8"/>
    <w:rsid w:val="23F073B8"/>
    <w:rsid w:val="23F12922"/>
    <w:rsid w:val="240F3CE2"/>
    <w:rsid w:val="241430A6"/>
    <w:rsid w:val="2460453E"/>
    <w:rsid w:val="246D2675"/>
    <w:rsid w:val="247E4FED"/>
    <w:rsid w:val="24882B9B"/>
    <w:rsid w:val="24AD78E0"/>
    <w:rsid w:val="24B30BE8"/>
    <w:rsid w:val="24C26FA6"/>
    <w:rsid w:val="24D26ABE"/>
    <w:rsid w:val="24E34060"/>
    <w:rsid w:val="251D41DD"/>
    <w:rsid w:val="25253091"/>
    <w:rsid w:val="252B4D6C"/>
    <w:rsid w:val="25305B4A"/>
    <w:rsid w:val="253A0491"/>
    <w:rsid w:val="253C6D95"/>
    <w:rsid w:val="254E0478"/>
    <w:rsid w:val="25526F98"/>
    <w:rsid w:val="256838D4"/>
    <w:rsid w:val="25703E16"/>
    <w:rsid w:val="257D2ECD"/>
    <w:rsid w:val="258204E4"/>
    <w:rsid w:val="25B14925"/>
    <w:rsid w:val="25CC175F"/>
    <w:rsid w:val="25E036B2"/>
    <w:rsid w:val="25E9082A"/>
    <w:rsid w:val="25F42473"/>
    <w:rsid w:val="262219BF"/>
    <w:rsid w:val="26385E8A"/>
    <w:rsid w:val="267E0CCD"/>
    <w:rsid w:val="268838D8"/>
    <w:rsid w:val="268B0052"/>
    <w:rsid w:val="269C17B8"/>
    <w:rsid w:val="26AF2D79"/>
    <w:rsid w:val="26B34B91"/>
    <w:rsid w:val="270075A9"/>
    <w:rsid w:val="270C06C7"/>
    <w:rsid w:val="270D66E8"/>
    <w:rsid w:val="272976BE"/>
    <w:rsid w:val="27427B52"/>
    <w:rsid w:val="27514612"/>
    <w:rsid w:val="278B0DAB"/>
    <w:rsid w:val="278D3850"/>
    <w:rsid w:val="279C6B0E"/>
    <w:rsid w:val="27A64735"/>
    <w:rsid w:val="27CC4DF2"/>
    <w:rsid w:val="27F8683B"/>
    <w:rsid w:val="28096C9A"/>
    <w:rsid w:val="280D64D7"/>
    <w:rsid w:val="281864F2"/>
    <w:rsid w:val="286903EF"/>
    <w:rsid w:val="287F5DD3"/>
    <w:rsid w:val="287F6F5C"/>
    <w:rsid w:val="288047CB"/>
    <w:rsid w:val="28885E11"/>
    <w:rsid w:val="289E62FA"/>
    <w:rsid w:val="28DC43AF"/>
    <w:rsid w:val="28EA31EF"/>
    <w:rsid w:val="28F45255"/>
    <w:rsid w:val="28F5543F"/>
    <w:rsid w:val="28FD6E90"/>
    <w:rsid w:val="291E2CA6"/>
    <w:rsid w:val="29331862"/>
    <w:rsid w:val="29527E5B"/>
    <w:rsid w:val="29622B06"/>
    <w:rsid w:val="29672E47"/>
    <w:rsid w:val="297B5976"/>
    <w:rsid w:val="297D349C"/>
    <w:rsid w:val="299741EC"/>
    <w:rsid w:val="299E147F"/>
    <w:rsid w:val="29A34741"/>
    <w:rsid w:val="29A924E3"/>
    <w:rsid w:val="29BD6726"/>
    <w:rsid w:val="29C32A87"/>
    <w:rsid w:val="29CF26DC"/>
    <w:rsid w:val="29D37560"/>
    <w:rsid w:val="2A1C5DA0"/>
    <w:rsid w:val="2A200D39"/>
    <w:rsid w:val="2A507EFF"/>
    <w:rsid w:val="2A64640A"/>
    <w:rsid w:val="2A952A67"/>
    <w:rsid w:val="2AAA6513"/>
    <w:rsid w:val="2ADC05A4"/>
    <w:rsid w:val="2AEF2177"/>
    <w:rsid w:val="2B161149"/>
    <w:rsid w:val="2B1B2F6C"/>
    <w:rsid w:val="2B391645"/>
    <w:rsid w:val="2B4C6049"/>
    <w:rsid w:val="2B6A2B31"/>
    <w:rsid w:val="2B6A3EF4"/>
    <w:rsid w:val="2B6D185F"/>
    <w:rsid w:val="2B6F0D7F"/>
    <w:rsid w:val="2B762A3F"/>
    <w:rsid w:val="2B7F3E04"/>
    <w:rsid w:val="2B844FB6"/>
    <w:rsid w:val="2B8716BD"/>
    <w:rsid w:val="2B8A1EA0"/>
    <w:rsid w:val="2B8B76FF"/>
    <w:rsid w:val="2B97636B"/>
    <w:rsid w:val="2BB21A69"/>
    <w:rsid w:val="2BD5034F"/>
    <w:rsid w:val="2BD63337"/>
    <w:rsid w:val="2C002162"/>
    <w:rsid w:val="2C385DA0"/>
    <w:rsid w:val="2C7F0500"/>
    <w:rsid w:val="2C82768C"/>
    <w:rsid w:val="2C856A85"/>
    <w:rsid w:val="2C9862B3"/>
    <w:rsid w:val="2CDF446E"/>
    <w:rsid w:val="2D025012"/>
    <w:rsid w:val="2D0C77D8"/>
    <w:rsid w:val="2D216D06"/>
    <w:rsid w:val="2D4178F0"/>
    <w:rsid w:val="2D8079FF"/>
    <w:rsid w:val="2DAE631A"/>
    <w:rsid w:val="2DB142C8"/>
    <w:rsid w:val="2DD877E0"/>
    <w:rsid w:val="2DE616C9"/>
    <w:rsid w:val="2DEF6D5D"/>
    <w:rsid w:val="2DFC2451"/>
    <w:rsid w:val="2DFE26D1"/>
    <w:rsid w:val="2E184E1D"/>
    <w:rsid w:val="2E3422F8"/>
    <w:rsid w:val="2E5A3DAC"/>
    <w:rsid w:val="2E607565"/>
    <w:rsid w:val="2E6E566D"/>
    <w:rsid w:val="2E7F188E"/>
    <w:rsid w:val="2EA8720D"/>
    <w:rsid w:val="2EB37960"/>
    <w:rsid w:val="2EBC0905"/>
    <w:rsid w:val="2EC27BA3"/>
    <w:rsid w:val="2EC73739"/>
    <w:rsid w:val="2ED51684"/>
    <w:rsid w:val="2EEE0998"/>
    <w:rsid w:val="2EFB1B0E"/>
    <w:rsid w:val="2F48454C"/>
    <w:rsid w:val="2F4D56BE"/>
    <w:rsid w:val="2F540BF7"/>
    <w:rsid w:val="2F5C684F"/>
    <w:rsid w:val="2F63756E"/>
    <w:rsid w:val="2F6A001E"/>
    <w:rsid w:val="2F6A2714"/>
    <w:rsid w:val="2F77098D"/>
    <w:rsid w:val="2FBD0A96"/>
    <w:rsid w:val="2FEC3129"/>
    <w:rsid w:val="3025479D"/>
    <w:rsid w:val="302E7EA0"/>
    <w:rsid w:val="303D3985"/>
    <w:rsid w:val="306A6644"/>
    <w:rsid w:val="30717AD3"/>
    <w:rsid w:val="307610EA"/>
    <w:rsid w:val="307776D1"/>
    <w:rsid w:val="30862574"/>
    <w:rsid w:val="309061AB"/>
    <w:rsid w:val="30B631E1"/>
    <w:rsid w:val="30BD737C"/>
    <w:rsid w:val="30C41C15"/>
    <w:rsid w:val="30DF2A6F"/>
    <w:rsid w:val="30E860A3"/>
    <w:rsid w:val="30F00600"/>
    <w:rsid w:val="311933AA"/>
    <w:rsid w:val="31260A92"/>
    <w:rsid w:val="31456F95"/>
    <w:rsid w:val="316B62D0"/>
    <w:rsid w:val="317D15BB"/>
    <w:rsid w:val="31986B0A"/>
    <w:rsid w:val="31AA504A"/>
    <w:rsid w:val="31C825FC"/>
    <w:rsid w:val="31D07E6C"/>
    <w:rsid w:val="31D10829"/>
    <w:rsid w:val="32036508"/>
    <w:rsid w:val="320D119E"/>
    <w:rsid w:val="32150145"/>
    <w:rsid w:val="321E1594"/>
    <w:rsid w:val="32273586"/>
    <w:rsid w:val="323B2146"/>
    <w:rsid w:val="323F65DA"/>
    <w:rsid w:val="32412074"/>
    <w:rsid w:val="324F5BF1"/>
    <w:rsid w:val="327318E0"/>
    <w:rsid w:val="327C2FDC"/>
    <w:rsid w:val="32803FFD"/>
    <w:rsid w:val="328B20FD"/>
    <w:rsid w:val="32A43435"/>
    <w:rsid w:val="32C37971"/>
    <w:rsid w:val="32DE0199"/>
    <w:rsid w:val="32E15811"/>
    <w:rsid w:val="3324631F"/>
    <w:rsid w:val="333C2963"/>
    <w:rsid w:val="3344327C"/>
    <w:rsid w:val="335B2774"/>
    <w:rsid w:val="335F1E64"/>
    <w:rsid w:val="33A4642E"/>
    <w:rsid w:val="33D4039C"/>
    <w:rsid w:val="33D47E05"/>
    <w:rsid w:val="33DE547F"/>
    <w:rsid w:val="33E505BB"/>
    <w:rsid w:val="33E749DF"/>
    <w:rsid w:val="33F644EC"/>
    <w:rsid w:val="3413677D"/>
    <w:rsid w:val="34142C4F"/>
    <w:rsid w:val="342B544B"/>
    <w:rsid w:val="3431735D"/>
    <w:rsid w:val="345319C9"/>
    <w:rsid w:val="345E036E"/>
    <w:rsid w:val="34871747"/>
    <w:rsid w:val="34880F47"/>
    <w:rsid w:val="34C47852"/>
    <w:rsid w:val="34DE1E4F"/>
    <w:rsid w:val="34E16FD5"/>
    <w:rsid w:val="34F07DB1"/>
    <w:rsid w:val="35092435"/>
    <w:rsid w:val="3509652C"/>
    <w:rsid w:val="35323F4F"/>
    <w:rsid w:val="35507CB7"/>
    <w:rsid w:val="359009FB"/>
    <w:rsid w:val="35C16E06"/>
    <w:rsid w:val="35D354B8"/>
    <w:rsid w:val="35D4025C"/>
    <w:rsid w:val="35D54660"/>
    <w:rsid w:val="362666BC"/>
    <w:rsid w:val="366C0B20"/>
    <w:rsid w:val="366C716A"/>
    <w:rsid w:val="368A6B11"/>
    <w:rsid w:val="36AE2FE8"/>
    <w:rsid w:val="36EE608B"/>
    <w:rsid w:val="37085B1F"/>
    <w:rsid w:val="370E607B"/>
    <w:rsid w:val="372E04CB"/>
    <w:rsid w:val="373F6235"/>
    <w:rsid w:val="37724756"/>
    <w:rsid w:val="37865B28"/>
    <w:rsid w:val="378B76CC"/>
    <w:rsid w:val="37CA01F4"/>
    <w:rsid w:val="37CB5D1A"/>
    <w:rsid w:val="37E42938"/>
    <w:rsid w:val="37E56DDC"/>
    <w:rsid w:val="37F91B2A"/>
    <w:rsid w:val="381274A5"/>
    <w:rsid w:val="38206BF2"/>
    <w:rsid w:val="382347CC"/>
    <w:rsid w:val="38397128"/>
    <w:rsid w:val="3880270D"/>
    <w:rsid w:val="38804D57"/>
    <w:rsid w:val="38E070F2"/>
    <w:rsid w:val="38F66DC7"/>
    <w:rsid w:val="38FD34B1"/>
    <w:rsid w:val="3902751A"/>
    <w:rsid w:val="390D33AB"/>
    <w:rsid w:val="391B682D"/>
    <w:rsid w:val="391E6D06"/>
    <w:rsid w:val="3930052B"/>
    <w:rsid w:val="39331DC9"/>
    <w:rsid w:val="39777E98"/>
    <w:rsid w:val="398048E2"/>
    <w:rsid w:val="398E5251"/>
    <w:rsid w:val="39AE76A2"/>
    <w:rsid w:val="39D76BE6"/>
    <w:rsid w:val="3A074847"/>
    <w:rsid w:val="3A3C22E5"/>
    <w:rsid w:val="3A685AA2"/>
    <w:rsid w:val="3A79380C"/>
    <w:rsid w:val="3A830B2E"/>
    <w:rsid w:val="3A84407A"/>
    <w:rsid w:val="3A8723CC"/>
    <w:rsid w:val="3A95616C"/>
    <w:rsid w:val="3A9F2A6E"/>
    <w:rsid w:val="3AA90FE6"/>
    <w:rsid w:val="3AA9318F"/>
    <w:rsid w:val="3AB62DA0"/>
    <w:rsid w:val="3AB94550"/>
    <w:rsid w:val="3ACA1B91"/>
    <w:rsid w:val="3AEA64B7"/>
    <w:rsid w:val="3B0D21A6"/>
    <w:rsid w:val="3B141786"/>
    <w:rsid w:val="3B3A1B15"/>
    <w:rsid w:val="3B451BFD"/>
    <w:rsid w:val="3B69577B"/>
    <w:rsid w:val="3B702D85"/>
    <w:rsid w:val="3B7D3FD5"/>
    <w:rsid w:val="3B823DDF"/>
    <w:rsid w:val="3B8B1A48"/>
    <w:rsid w:val="3BB014AF"/>
    <w:rsid w:val="3BC431AC"/>
    <w:rsid w:val="3BD53828"/>
    <w:rsid w:val="3BD827B4"/>
    <w:rsid w:val="3BE949C1"/>
    <w:rsid w:val="3C237ED3"/>
    <w:rsid w:val="3C460D90"/>
    <w:rsid w:val="3C4D2D59"/>
    <w:rsid w:val="3C4F2D35"/>
    <w:rsid w:val="3C6B3628"/>
    <w:rsid w:val="3CAA596A"/>
    <w:rsid w:val="3CAF1D22"/>
    <w:rsid w:val="3CB1587B"/>
    <w:rsid w:val="3CB735F2"/>
    <w:rsid w:val="3CBE5E4E"/>
    <w:rsid w:val="3CCD42E3"/>
    <w:rsid w:val="3D037D04"/>
    <w:rsid w:val="3D0D46DF"/>
    <w:rsid w:val="3D186684"/>
    <w:rsid w:val="3D261787"/>
    <w:rsid w:val="3D290296"/>
    <w:rsid w:val="3D3103CE"/>
    <w:rsid w:val="3D363C36"/>
    <w:rsid w:val="3D4437C0"/>
    <w:rsid w:val="3D6A1B31"/>
    <w:rsid w:val="3D6C3AFB"/>
    <w:rsid w:val="3D762284"/>
    <w:rsid w:val="3D8B2178"/>
    <w:rsid w:val="3DB34909"/>
    <w:rsid w:val="3DD115F5"/>
    <w:rsid w:val="3DE435F0"/>
    <w:rsid w:val="3DE5122C"/>
    <w:rsid w:val="3DF37E53"/>
    <w:rsid w:val="3E1A5306"/>
    <w:rsid w:val="3E1F324B"/>
    <w:rsid w:val="3E3839DE"/>
    <w:rsid w:val="3E435A17"/>
    <w:rsid w:val="3E9B15A0"/>
    <w:rsid w:val="3EC314F9"/>
    <w:rsid w:val="3EC5051C"/>
    <w:rsid w:val="3EC81418"/>
    <w:rsid w:val="3ED26DE9"/>
    <w:rsid w:val="3EE17BD1"/>
    <w:rsid w:val="3EE33949"/>
    <w:rsid w:val="3EED17D0"/>
    <w:rsid w:val="3F0A537A"/>
    <w:rsid w:val="3F0C0304"/>
    <w:rsid w:val="3F2C3542"/>
    <w:rsid w:val="3F685200"/>
    <w:rsid w:val="3F6E3B5B"/>
    <w:rsid w:val="3F774839"/>
    <w:rsid w:val="3F7A2500"/>
    <w:rsid w:val="3F7D3D9E"/>
    <w:rsid w:val="3F9410E8"/>
    <w:rsid w:val="3FEC147E"/>
    <w:rsid w:val="4013025E"/>
    <w:rsid w:val="40376375"/>
    <w:rsid w:val="40952AB4"/>
    <w:rsid w:val="40AF5E62"/>
    <w:rsid w:val="40C352C7"/>
    <w:rsid w:val="411B1F78"/>
    <w:rsid w:val="412732B7"/>
    <w:rsid w:val="4127791F"/>
    <w:rsid w:val="41281794"/>
    <w:rsid w:val="413C1FDF"/>
    <w:rsid w:val="413C37E5"/>
    <w:rsid w:val="413D1A37"/>
    <w:rsid w:val="415723CD"/>
    <w:rsid w:val="41806A69"/>
    <w:rsid w:val="41A75102"/>
    <w:rsid w:val="41B0259C"/>
    <w:rsid w:val="41BC6F1C"/>
    <w:rsid w:val="41C061C4"/>
    <w:rsid w:val="41EE4ADF"/>
    <w:rsid w:val="41EF2363"/>
    <w:rsid w:val="41F77860"/>
    <w:rsid w:val="42380450"/>
    <w:rsid w:val="424A4B98"/>
    <w:rsid w:val="42581D3A"/>
    <w:rsid w:val="42613503"/>
    <w:rsid w:val="42AB0C22"/>
    <w:rsid w:val="42B71375"/>
    <w:rsid w:val="42CB3072"/>
    <w:rsid w:val="42ED2EA4"/>
    <w:rsid w:val="42F6649D"/>
    <w:rsid w:val="42FE0080"/>
    <w:rsid w:val="43315D2E"/>
    <w:rsid w:val="43635059"/>
    <w:rsid w:val="43670C99"/>
    <w:rsid w:val="43824A1C"/>
    <w:rsid w:val="43914059"/>
    <w:rsid w:val="43AE09CA"/>
    <w:rsid w:val="43B1743B"/>
    <w:rsid w:val="43D110E1"/>
    <w:rsid w:val="43D61CCF"/>
    <w:rsid w:val="43DF072A"/>
    <w:rsid w:val="43E873C9"/>
    <w:rsid w:val="43FB16BE"/>
    <w:rsid w:val="444D7109"/>
    <w:rsid w:val="444E0EB1"/>
    <w:rsid w:val="44905B1F"/>
    <w:rsid w:val="44A91191"/>
    <w:rsid w:val="44A92F3F"/>
    <w:rsid w:val="44C10289"/>
    <w:rsid w:val="44E93C84"/>
    <w:rsid w:val="45316885"/>
    <w:rsid w:val="45326A50"/>
    <w:rsid w:val="453273D9"/>
    <w:rsid w:val="45334280"/>
    <w:rsid w:val="454E56C4"/>
    <w:rsid w:val="458464CB"/>
    <w:rsid w:val="45877724"/>
    <w:rsid w:val="45A007E6"/>
    <w:rsid w:val="45A95EE9"/>
    <w:rsid w:val="45C07F75"/>
    <w:rsid w:val="45C5024D"/>
    <w:rsid w:val="45D70359"/>
    <w:rsid w:val="45FB0F21"/>
    <w:rsid w:val="46010755"/>
    <w:rsid w:val="46167166"/>
    <w:rsid w:val="46255415"/>
    <w:rsid w:val="4636719A"/>
    <w:rsid w:val="46380A1F"/>
    <w:rsid w:val="464473C4"/>
    <w:rsid w:val="46C73652"/>
    <w:rsid w:val="46E93AC7"/>
    <w:rsid w:val="4714591E"/>
    <w:rsid w:val="47200EE3"/>
    <w:rsid w:val="473765E8"/>
    <w:rsid w:val="47435AC2"/>
    <w:rsid w:val="47482EE3"/>
    <w:rsid w:val="47524D7F"/>
    <w:rsid w:val="47544B78"/>
    <w:rsid w:val="47587AF7"/>
    <w:rsid w:val="47610391"/>
    <w:rsid w:val="47637D1D"/>
    <w:rsid w:val="47745A86"/>
    <w:rsid w:val="47795A3C"/>
    <w:rsid w:val="47CC5BBD"/>
    <w:rsid w:val="47D209FF"/>
    <w:rsid w:val="47DB5B06"/>
    <w:rsid w:val="47E239AC"/>
    <w:rsid w:val="47FE4D61"/>
    <w:rsid w:val="480E1451"/>
    <w:rsid w:val="480F4B73"/>
    <w:rsid w:val="482C45B3"/>
    <w:rsid w:val="487974BD"/>
    <w:rsid w:val="487A531F"/>
    <w:rsid w:val="48895562"/>
    <w:rsid w:val="48AC51B6"/>
    <w:rsid w:val="48CD3AC7"/>
    <w:rsid w:val="48DB38E3"/>
    <w:rsid w:val="49001B5E"/>
    <w:rsid w:val="49376DB0"/>
    <w:rsid w:val="49724B09"/>
    <w:rsid w:val="49787384"/>
    <w:rsid w:val="49804BB7"/>
    <w:rsid w:val="49826DCB"/>
    <w:rsid w:val="499013E7"/>
    <w:rsid w:val="499E6C57"/>
    <w:rsid w:val="49C8088A"/>
    <w:rsid w:val="49CF3448"/>
    <w:rsid w:val="49ED7D72"/>
    <w:rsid w:val="49EF67B1"/>
    <w:rsid w:val="4A0F6D68"/>
    <w:rsid w:val="4A301C93"/>
    <w:rsid w:val="4A3302AB"/>
    <w:rsid w:val="4A4060F4"/>
    <w:rsid w:val="4A572A17"/>
    <w:rsid w:val="4A5B1180"/>
    <w:rsid w:val="4A5E657A"/>
    <w:rsid w:val="4A6F2535"/>
    <w:rsid w:val="4A987CDE"/>
    <w:rsid w:val="4AC85D49"/>
    <w:rsid w:val="4AE308A9"/>
    <w:rsid w:val="4AEC1DD8"/>
    <w:rsid w:val="4AF90D7C"/>
    <w:rsid w:val="4B117A90"/>
    <w:rsid w:val="4B260F2D"/>
    <w:rsid w:val="4B9009B5"/>
    <w:rsid w:val="4B9A1456"/>
    <w:rsid w:val="4BA32C82"/>
    <w:rsid w:val="4BC52D55"/>
    <w:rsid w:val="4BCD1BD4"/>
    <w:rsid w:val="4BE70627"/>
    <w:rsid w:val="4BED5E07"/>
    <w:rsid w:val="4BFC24EE"/>
    <w:rsid w:val="4C082C41"/>
    <w:rsid w:val="4C0A5AE1"/>
    <w:rsid w:val="4C0F4D8B"/>
    <w:rsid w:val="4C130AB8"/>
    <w:rsid w:val="4C1930A0"/>
    <w:rsid w:val="4C5A284D"/>
    <w:rsid w:val="4C5C0673"/>
    <w:rsid w:val="4C687B84"/>
    <w:rsid w:val="4C786019"/>
    <w:rsid w:val="4C856040"/>
    <w:rsid w:val="4C96649F"/>
    <w:rsid w:val="4CB37505"/>
    <w:rsid w:val="4CB96B43"/>
    <w:rsid w:val="4CC75FCC"/>
    <w:rsid w:val="4CC87A5E"/>
    <w:rsid w:val="4CD63947"/>
    <w:rsid w:val="4CDB2104"/>
    <w:rsid w:val="4CF31DD9"/>
    <w:rsid w:val="4CFC49F4"/>
    <w:rsid w:val="4D073D73"/>
    <w:rsid w:val="4D0F7FFF"/>
    <w:rsid w:val="4D1D44CA"/>
    <w:rsid w:val="4D1E27BA"/>
    <w:rsid w:val="4D23574A"/>
    <w:rsid w:val="4D4C4DB0"/>
    <w:rsid w:val="4D565246"/>
    <w:rsid w:val="4D7322D5"/>
    <w:rsid w:val="4DB56DF9"/>
    <w:rsid w:val="4DC000E1"/>
    <w:rsid w:val="4DD7034C"/>
    <w:rsid w:val="4DE312CB"/>
    <w:rsid w:val="4DE87B46"/>
    <w:rsid w:val="4DF5318E"/>
    <w:rsid w:val="4E0104F3"/>
    <w:rsid w:val="4E1F4862"/>
    <w:rsid w:val="4E236E4D"/>
    <w:rsid w:val="4E2E4393"/>
    <w:rsid w:val="4E535EF2"/>
    <w:rsid w:val="4EBB0839"/>
    <w:rsid w:val="4EDA4744"/>
    <w:rsid w:val="4EDF237F"/>
    <w:rsid w:val="4EE5726A"/>
    <w:rsid w:val="4EFB6A8D"/>
    <w:rsid w:val="4F0170F3"/>
    <w:rsid w:val="4F08773C"/>
    <w:rsid w:val="4F31409F"/>
    <w:rsid w:val="4F4C72E9"/>
    <w:rsid w:val="4F5E670E"/>
    <w:rsid w:val="4F846A83"/>
    <w:rsid w:val="4F883E6C"/>
    <w:rsid w:val="4FAA2460"/>
    <w:rsid w:val="4FC73DEC"/>
    <w:rsid w:val="4FD07F1A"/>
    <w:rsid w:val="4FD80CC3"/>
    <w:rsid w:val="50070E2C"/>
    <w:rsid w:val="50072B3F"/>
    <w:rsid w:val="500B63DD"/>
    <w:rsid w:val="500E27F0"/>
    <w:rsid w:val="501112F3"/>
    <w:rsid w:val="504B57F2"/>
    <w:rsid w:val="505E5526"/>
    <w:rsid w:val="506D6B4D"/>
    <w:rsid w:val="507765E7"/>
    <w:rsid w:val="50850D04"/>
    <w:rsid w:val="50AF18DD"/>
    <w:rsid w:val="50AF2E05"/>
    <w:rsid w:val="50C47CB6"/>
    <w:rsid w:val="50C5433A"/>
    <w:rsid w:val="50C62BC7"/>
    <w:rsid w:val="50D3475E"/>
    <w:rsid w:val="50F32112"/>
    <w:rsid w:val="50F43794"/>
    <w:rsid w:val="50F72A66"/>
    <w:rsid w:val="50F814D6"/>
    <w:rsid w:val="5123368C"/>
    <w:rsid w:val="5130747C"/>
    <w:rsid w:val="513C4C27"/>
    <w:rsid w:val="513E085F"/>
    <w:rsid w:val="51417051"/>
    <w:rsid w:val="514C347D"/>
    <w:rsid w:val="515C765A"/>
    <w:rsid w:val="51856AE2"/>
    <w:rsid w:val="518B47DF"/>
    <w:rsid w:val="51905BB3"/>
    <w:rsid w:val="51946FCB"/>
    <w:rsid w:val="519F7BA4"/>
    <w:rsid w:val="51AC406F"/>
    <w:rsid w:val="51C36F2F"/>
    <w:rsid w:val="51D325C4"/>
    <w:rsid w:val="51DD796B"/>
    <w:rsid w:val="51DF373B"/>
    <w:rsid w:val="52181704"/>
    <w:rsid w:val="522D51B0"/>
    <w:rsid w:val="524B7D2C"/>
    <w:rsid w:val="525F6430"/>
    <w:rsid w:val="526B5CD8"/>
    <w:rsid w:val="52846D9A"/>
    <w:rsid w:val="52A80EC4"/>
    <w:rsid w:val="52BC4786"/>
    <w:rsid w:val="52C96FAF"/>
    <w:rsid w:val="52D52AB2"/>
    <w:rsid w:val="52EF4CB5"/>
    <w:rsid w:val="52F959F0"/>
    <w:rsid w:val="5302488E"/>
    <w:rsid w:val="53136173"/>
    <w:rsid w:val="53163E96"/>
    <w:rsid w:val="534B12B7"/>
    <w:rsid w:val="53513120"/>
    <w:rsid w:val="539442AF"/>
    <w:rsid w:val="539A4AC7"/>
    <w:rsid w:val="53B15383"/>
    <w:rsid w:val="53D61877"/>
    <w:rsid w:val="541D14D7"/>
    <w:rsid w:val="542631B6"/>
    <w:rsid w:val="542B3971"/>
    <w:rsid w:val="543D6020"/>
    <w:rsid w:val="5447483C"/>
    <w:rsid w:val="546450D5"/>
    <w:rsid w:val="547A000A"/>
    <w:rsid w:val="54862A07"/>
    <w:rsid w:val="54942CAE"/>
    <w:rsid w:val="54A61722"/>
    <w:rsid w:val="54B0031A"/>
    <w:rsid w:val="54B31FAF"/>
    <w:rsid w:val="54D264E2"/>
    <w:rsid w:val="54D44008"/>
    <w:rsid w:val="54FB10D7"/>
    <w:rsid w:val="54FD46FE"/>
    <w:rsid w:val="55021F4D"/>
    <w:rsid w:val="55326D63"/>
    <w:rsid w:val="555413F3"/>
    <w:rsid w:val="555649EC"/>
    <w:rsid w:val="555D1A10"/>
    <w:rsid w:val="556E7FB9"/>
    <w:rsid w:val="5579695E"/>
    <w:rsid w:val="559B299D"/>
    <w:rsid w:val="55BE25C3"/>
    <w:rsid w:val="55C300FC"/>
    <w:rsid w:val="562F7C6B"/>
    <w:rsid w:val="569C2904"/>
    <w:rsid w:val="56AC4A78"/>
    <w:rsid w:val="56C2011A"/>
    <w:rsid w:val="56CB4F97"/>
    <w:rsid w:val="56DB16B9"/>
    <w:rsid w:val="56DD38A3"/>
    <w:rsid w:val="56F049FE"/>
    <w:rsid w:val="57203535"/>
    <w:rsid w:val="574D00A2"/>
    <w:rsid w:val="57623B4D"/>
    <w:rsid w:val="5778511F"/>
    <w:rsid w:val="577A3463"/>
    <w:rsid w:val="579F27B0"/>
    <w:rsid w:val="57AA72A2"/>
    <w:rsid w:val="57D91936"/>
    <w:rsid w:val="57F967AD"/>
    <w:rsid w:val="57FB5D50"/>
    <w:rsid w:val="58052975"/>
    <w:rsid w:val="58063909"/>
    <w:rsid w:val="580F5357"/>
    <w:rsid w:val="582D6F77"/>
    <w:rsid w:val="583D3C73"/>
    <w:rsid w:val="584D1A65"/>
    <w:rsid w:val="584F5C44"/>
    <w:rsid w:val="585A65D3"/>
    <w:rsid w:val="589046EA"/>
    <w:rsid w:val="589373BA"/>
    <w:rsid w:val="58E42340"/>
    <w:rsid w:val="58E525CA"/>
    <w:rsid w:val="58EE7372"/>
    <w:rsid w:val="59066C26"/>
    <w:rsid w:val="591946E0"/>
    <w:rsid w:val="59227E09"/>
    <w:rsid w:val="593D045A"/>
    <w:rsid w:val="594159E5"/>
    <w:rsid w:val="5960739E"/>
    <w:rsid w:val="59626E8F"/>
    <w:rsid w:val="59896D0A"/>
    <w:rsid w:val="599C0E6D"/>
    <w:rsid w:val="59B72684"/>
    <w:rsid w:val="59C503C4"/>
    <w:rsid w:val="59DB3C9E"/>
    <w:rsid w:val="59DD395F"/>
    <w:rsid w:val="59F9006D"/>
    <w:rsid w:val="5A6E0A5B"/>
    <w:rsid w:val="5A7140A7"/>
    <w:rsid w:val="5A8E6A07"/>
    <w:rsid w:val="5A93401E"/>
    <w:rsid w:val="5A9579AE"/>
    <w:rsid w:val="5AA91A93"/>
    <w:rsid w:val="5AB0697E"/>
    <w:rsid w:val="5AB83A84"/>
    <w:rsid w:val="5AC468CD"/>
    <w:rsid w:val="5AF076C2"/>
    <w:rsid w:val="5B070568"/>
    <w:rsid w:val="5B10566E"/>
    <w:rsid w:val="5B180C4A"/>
    <w:rsid w:val="5B307ABF"/>
    <w:rsid w:val="5B342B9A"/>
    <w:rsid w:val="5B570024"/>
    <w:rsid w:val="5B5953B0"/>
    <w:rsid w:val="5B630802"/>
    <w:rsid w:val="5B6F4A8B"/>
    <w:rsid w:val="5B807F68"/>
    <w:rsid w:val="5BA72CE5"/>
    <w:rsid w:val="5C034D53"/>
    <w:rsid w:val="5C0A43A9"/>
    <w:rsid w:val="5C0C052C"/>
    <w:rsid w:val="5C647631"/>
    <w:rsid w:val="5C7965C3"/>
    <w:rsid w:val="5C7B276E"/>
    <w:rsid w:val="5C841E70"/>
    <w:rsid w:val="5C9B540C"/>
    <w:rsid w:val="5CC96BFE"/>
    <w:rsid w:val="5CCD7CBB"/>
    <w:rsid w:val="5CFF1E3E"/>
    <w:rsid w:val="5D0E2082"/>
    <w:rsid w:val="5D722852"/>
    <w:rsid w:val="5DA13E95"/>
    <w:rsid w:val="5DE51034"/>
    <w:rsid w:val="5DF60588"/>
    <w:rsid w:val="5E0D4A0C"/>
    <w:rsid w:val="5E1D6F56"/>
    <w:rsid w:val="5E361890"/>
    <w:rsid w:val="5E52187F"/>
    <w:rsid w:val="5E6567AD"/>
    <w:rsid w:val="5E6A13CD"/>
    <w:rsid w:val="5E705D15"/>
    <w:rsid w:val="5E767EDE"/>
    <w:rsid w:val="5E7B3747"/>
    <w:rsid w:val="5E93326C"/>
    <w:rsid w:val="5E9F1A7A"/>
    <w:rsid w:val="5EAF3818"/>
    <w:rsid w:val="5EC23124"/>
    <w:rsid w:val="5EFB4BA4"/>
    <w:rsid w:val="5F025452"/>
    <w:rsid w:val="5F127074"/>
    <w:rsid w:val="5F293E4A"/>
    <w:rsid w:val="5F5F46B5"/>
    <w:rsid w:val="5F6E6E08"/>
    <w:rsid w:val="5FB25360"/>
    <w:rsid w:val="5FB601D8"/>
    <w:rsid w:val="5FBA3CC0"/>
    <w:rsid w:val="5FBE258A"/>
    <w:rsid w:val="5FD90D61"/>
    <w:rsid w:val="5FED69F6"/>
    <w:rsid w:val="5FF15F2D"/>
    <w:rsid w:val="5FF76DFD"/>
    <w:rsid w:val="5FFB4B3F"/>
    <w:rsid w:val="60177697"/>
    <w:rsid w:val="60182CB2"/>
    <w:rsid w:val="602329DB"/>
    <w:rsid w:val="604167CD"/>
    <w:rsid w:val="6065645C"/>
    <w:rsid w:val="607777D6"/>
    <w:rsid w:val="607D5554"/>
    <w:rsid w:val="608F5287"/>
    <w:rsid w:val="60986E03"/>
    <w:rsid w:val="60AE14F9"/>
    <w:rsid w:val="60B50B3A"/>
    <w:rsid w:val="60B92304"/>
    <w:rsid w:val="60BC76A1"/>
    <w:rsid w:val="60D62EB6"/>
    <w:rsid w:val="610B7637"/>
    <w:rsid w:val="6118702B"/>
    <w:rsid w:val="612279BA"/>
    <w:rsid w:val="615B5D4F"/>
    <w:rsid w:val="615F5624"/>
    <w:rsid w:val="6162299C"/>
    <w:rsid w:val="616805DA"/>
    <w:rsid w:val="61807861"/>
    <w:rsid w:val="619C03A7"/>
    <w:rsid w:val="61D215CF"/>
    <w:rsid w:val="61D73926"/>
    <w:rsid w:val="6208598A"/>
    <w:rsid w:val="624759E4"/>
    <w:rsid w:val="62593D9F"/>
    <w:rsid w:val="625C563D"/>
    <w:rsid w:val="626A1704"/>
    <w:rsid w:val="627921C2"/>
    <w:rsid w:val="62B032E8"/>
    <w:rsid w:val="62B362C8"/>
    <w:rsid w:val="62C1330E"/>
    <w:rsid w:val="62FD1011"/>
    <w:rsid w:val="62FD43A6"/>
    <w:rsid w:val="631877B6"/>
    <w:rsid w:val="631F6787"/>
    <w:rsid w:val="633D0FCB"/>
    <w:rsid w:val="6342085E"/>
    <w:rsid w:val="6361115D"/>
    <w:rsid w:val="636F415C"/>
    <w:rsid w:val="63711318"/>
    <w:rsid w:val="63716A7D"/>
    <w:rsid w:val="63B03E93"/>
    <w:rsid w:val="63F931EE"/>
    <w:rsid w:val="640F4477"/>
    <w:rsid w:val="642D3F6A"/>
    <w:rsid w:val="64464B44"/>
    <w:rsid w:val="6449401F"/>
    <w:rsid w:val="644C0547"/>
    <w:rsid w:val="64590086"/>
    <w:rsid w:val="646951AB"/>
    <w:rsid w:val="64754794"/>
    <w:rsid w:val="6488096B"/>
    <w:rsid w:val="64917820"/>
    <w:rsid w:val="649E018F"/>
    <w:rsid w:val="64A01811"/>
    <w:rsid w:val="64A3350D"/>
    <w:rsid w:val="64AA1CC5"/>
    <w:rsid w:val="64BC0CB4"/>
    <w:rsid w:val="64FE29DC"/>
    <w:rsid w:val="650C50F9"/>
    <w:rsid w:val="65200BA4"/>
    <w:rsid w:val="65242442"/>
    <w:rsid w:val="6528341F"/>
    <w:rsid w:val="65585F5F"/>
    <w:rsid w:val="655E1BCB"/>
    <w:rsid w:val="656B2909"/>
    <w:rsid w:val="65812FCF"/>
    <w:rsid w:val="658D448B"/>
    <w:rsid w:val="65970AF2"/>
    <w:rsid w:val="65A3045D"/>
    <w:rsid w:val="65C21C5B"/>
    <w:rsid w:val="65D97752"/>
    <w:rsid w:val="65E25E59"/>
    <w:rsid w:val="65ED6CD8"/>
    <w:rsid w:val="65EF248D"/>
    <w:rsid w:val="662A48DC"/>
    <w:rsid w:val="66307F76"/>
    <w:rsid w:val="663F505A"/>
    <w:rsid w:val="66507267"/>
    <w:rsid w:val="66580EAF"/>
    <w:rsid w:val="66622FC9"/>
    <w:rsid w:val="66694D0D"/>
    <w:rsid w:val="667B0C4C"/>
    <w:rsid w:val="667B4472"/>
    <w:rsid w:val="66880021"/>
    <w:rsid w:val="669B215C"/>
    <w:rsid w:val="66B05CE0"/>
    <w:rsid w:val="66F041A8"/>
    <w:rsid w:val="66FC33DC"/>
    <w:rsid w:val="67106406"/>
    <w:rsid w:val="671369AF"/>
    <w:rsid w:val="6721178A"/>
    <w:rsid w:val="672871A7"/>
    <w:rsid w:val="672E75A8"/>
    <w:rsid w:val="6739399A"/>
    <w:rsid w:val="673B1CC5"/>
    <w:rsid w:val="673F39DE"/>
    <w:rsid w:val="674C5D22"/>
    <w:rsid w:val="67663AF8"/>
    <w:rsid w:val="67762CFD"/>
    <w:rsid w:val="677A678D"/>
    <w:rsid w:val="677F7E04"/>
    <w:rsid w:val="67A61834"/>
    <w:rsid w:val="67B77327"/>
    <w:rsid w:val="67D30B32"/>
    <w:rsid w:val="67D971F6"/>
    <w:rsid w:val="67FC76A6"/>
    <w:rsid w:val="68011379"/>
    <w:rsid w:val="681A6C90"/>
    <w:rsid w:val="68252C37"/>
    <w:rsid w:val="6829174D"/>
    <w:rsid w:val="683338F6"/>
    <w:rsid w:val="68817BAC"/>
    <w:rsid w:val="689A5E59"/>
    <w:rsid w:val="68A35D74"/>
    <w:rsid w:val="68A94E70"/>
    <w:rsid w:val="68EE72DF"/>
    <w:rsid w:val="68FE744E"/>
    <w:rsid w:val="69062577"/>
    <w:rsid w:val="690B4C92"/>
    <w:rsid w:val="69485FEA"/>
    <w:rsid w:val="694C1F68"/>
    <w:rsid w:val="69677DC0"/>
    <w:rsid w:val="698A1941"/>
    <w:rsid w:val="69937EC7"/>
    <w:rsid w:val="69AC6EAA"/>
    <w:rsid w:val="69D64558"/>
    <w:rsid w:val="6A042548"/>
    <w:rsid w:val="6A1052CA"/>
    <w:rsid w:val="6A154A4F"/>
    <w:rsid w:val="6A303637"/>
    <w:rsid w:val="6A3739C7"/>
    <w:rsid w:val="6A471EFD"/>
    <w:rsid w:val="6A505A87"/>
    <w:rsid w:val="6A753740"/>
    <w:rsid w:val="6A755CB7"/>
    <w:rsid w:val="6A86594D"/>
    <w:rsid w:val="6AA302AD"/>
    <w:rsid w:val="6AA858C3"/>
    <w:rsid w:val="6AB57116"/>
    <w:rsid w:val="6AFB5005"/>
    <w:rsid w:val="6B17424A"/>
    <w:rsid w:val="6B2018FE"/>
    <w:rsid w:val="6B2218FA"/>
    <w:rsid w:val="6B666B9A"/>
    <w:rsid w:val="6B686C59"/>
    <w:rsid w:val="6B691672"/>
    <w:rsid w:val="6B6D2C6D"/>
    <w:rsid w:val="6B6E231B"/>
    <w:rsid w:val="6B9D6AAA"/>
    <w:rsid w:val="6BAF2C82"/>
    <w:rsid w:val="6BC06C3D"/>
    <w:rsid w:val="6BCA1428"/>
    <w:rsid w:val="6BE97F42"/>
    <w:rsid w:val="6C160FED"/>
    <w:rsid w:val="6C270A6A"/>
    <w:rsid w:val="6C496C32"/>
    <w:rsid w:val="6C4B4B3C"/>
    <w:rsid w:val="6C5E6A51"/>
    <w:rsid w:val="6C6513C3"/>
    <w:rsid w:val="6C6D54C0"/>
    <w:rsid w:val="6C744268"/>
    <w:rsid w:val="6C763D3D"/>
    <w:rsid w:val="6C8859AD"/>
    <w:rsid w:val="6C913746"/>
    <w:rsid w:val="6CA64085"/>
    <w:rsid w:val="6CC56A5C"/>
    <w:rsid w:val="6CD62D03"/>
    <w:rsid w:val="6CD97FB6"/>
    <w:rsid w:val="6CDA788A"/>
    <w:rsid w:val="6D0E5050"/>
    <w:rsid w:val="6D4B22B8"/>
    <w:rsid w:val="6D4D62AE"/>
    <w:rsid w:val="6D930013"/>
    <w:rsid w:val="6DB91B96"/>
    <w:rsid w:val="6DBE0F5A"/>
    <w:rsid w:val="6DD54C21"/>
    <w:rsid w:val="6DE704B1"/>
    <w:rsid w:val="6E0C4BC3"/>
    <w:rsid w:val="6E166F6D"/>
    <w:rsid w:val="6E1A1656"/>
    <w:rsid w:val="6E231DD6"/>
    <w:rsid w:val="6E274D51"/>
    <w:rsid w:val="6E3556C0"/>
    <w:rsid w:val="6E5A5288"/>
    <w:rsid w:val="6E7B0DE6"/>
    <w:rsid w:val="6E8D72AA"/>
    <w:rsid w:val="6E9A5523"/>
    <w:rsid w:val="6E9C531E"/>
    <w:rsid w:val="6EE013EE"/>
    <w:rsid w:val="6EE079F1"/>
    <w:rsid w:val="6EE42C42"/>
    <w:rsid w:val="6F433BCC"/>
    <w:rsid w:val="6F5C4ECE"/>
    <w:rsid w:val="6F7F7CB0"/>
    <w:rsid w:val="6F943C5A"/>
    <w:rsid w:val="6FE0165C"/>
    <w:rsid w:val="6FE10C44"/>
    <w:rsid w:val="6FE32EFA"/>
    <w:rsid w:val="6FE95BE1"/>
    <w:rsid w:val="6FF944CB"/>
    <w:rsid w:val="7003534A"/>
    <w:rsid w:val="70222744"/>
    <w:rsid w:val="703E2A87"/>
    <w:rsid w:val="706A53C9"/>
    <w:rsid w:val="706D25DF"/>
    <w:rsid w:val="706D2B21"/>
    <w:rsid w:val="707B1384"/>
    <w:rsid w:val="70823FA9"/>
    <w:rsid w:val="70857A34"/>
    <w:rsid w:val="70925F09"/>
    <w:rsid w:val="70985D3C"/>
    <w:rsid w:val="70ED4030"/>
    <w:rsid w:val="70EF6E70"/>
    <w:rsid w:val="70F81685"/>
    <w:rsid w:val="71047C73"/>
    <w:rsid w:val="7107096A"/>
    <w:rsid w:val="710855DC"/>
    <w:rsid w:val="7109004F"/>
    <w:rsid w:val="71103167"/>
    <w:rsid w:val="712E56F7"/>
    <w:rsid w:val="713056CE"/>
    <w:rsid w:val="713175C0"/>
    <w:rsid w:val="71463740"/>
    <w:rsid w:val="714D4ACF"/>
    <w:rsid w:val="71691ABB"/>
    <w:rsid w:val="716B0B80"/>
    <w:rsid w:val="71804995"/>
    <w:rsid w:val="718801FD"/>
    <w:rsid w:val="71997D14"/>
    <w:rsid w:val="71AE1AEA"/>
    <w:rsid w:val="71B42DA0"/>
    <w:rsid w:val="71CF3B6C"/>
    <w:rsid w:val="71DB032D"/>
    <w:rsid w:val="71F80F33"/>
    <w:rsid w:val="71FE401B"/>
    <w:rsid w:val="7205184D"/>
    <w:rsid w:val="721101F2"/>
    <w:rsid w:val="722922C6"/>
    <w:rsid w:val="722A050C"/>
    <w:rsid w:val="727176A7"/>
    <w:rsid w:val="729624A5"/>
    <w:rsid w:val="72AC2584"/>
    <w:rsid w:val="72CB03A1"/>
    <w:rsid w:val="72CC5EC7"/>
    <w:rsid w:val="72F45BFD"/>
    <w:rsid w:val="732857F3"/>
    <w:rsid w:val="732D4B5D"/>
    <w:rsid w:val="73393C88"/>
    <w:rsid w:val="7362513F"/>
    <w:rsid w:val="73771D49"/>
    <w:rsid w:val="7382366F"/>
    <w:rsid w:val="738D6022"/>
    <w:rsid w:val="73995CF9"/>
    <w:rsid w:val="73A1354E"/>
    <w:rsid w:val="73BD773A"/>
    <w:rsid w:val="73C848E1"/>
    <w:rsid w:val="74006876"/>
    <w:rsid w:val="74123DAE"/>
    <w:rsid w:val="74570B2B"/>
    <w:rsid w:val="745B5755"/>
    <w:rsid w:val="745D14CD"/>
    <w:rsid w:val="747607E0"/>
    <w:rsid w:val="74A11E7D"/>
    <w:rsid w:val="74BB61F3"/>
    <w:rsid w:val="74C4654A"/>
    <w:rsid w:val="75232716"/>
    <w:rsid w:val="75387844"/>
    <w:rsid w:val="753A180E"/>
    <w:rsid w:val="753A79B9"/>
    <w:rsid w:val="75590B0A"/>
    <w:rsid w:val="7582279F"/>
    <w:rsid w:val="75843EB5"/>
    <w:rsid w:val="75AE2AF5"/>
    <w:rsid w:val="75B013B8"/>
    <w:rsid w:val="75BB71AF"/>
    <w:rsid w:val="75DF3B36"/>
    <w:rsid w:val="75F01962"/>
    <w:rsid w:val="75F145C2"/>
    <w:rsid w:val="760E19DF"/>
    <w:rsid w:val="764E52E0"/>
    <w:rsid w:val="76557F3E"/>
    <w:rsid w:val="76607052"/>
    <w:rsid w:val="76676A53"/>
    <w:rsid w:val="76961750"/>
    <w:rsid w:val="76A3294D"/>
    <w:rsid w:val="76B13D52"/>
    <w:rsid w:val="76B620A1"/>
    <w:rsid w:val="76F20814"/>
    <w:rsid w:val="77273E40"/>
    <w:rsid w:val="77462524"/>
    <w:rsid w:val="776C358D"/>
    <w:rsid w:val="779A6594"/>
    <w:rsid w:val="77A21064"/>
    <w:rsid w:val="77A80CB1"/>
    <w:rsid w:val="77C41863"/>
    <w:rsid w:val="77E34EB2"/>
    <w:rsid w:val="77E522E7"/>
    <w:rsid w:val="77F2017E"/>
    <w:rsid w:val="78071E5D"/>
    <w:rsid w:val="780B56E4"/>
    <w:rsid w:val="781564B8"/>
    <w:rsid w:val="781B2E5F"/>
    <w:rsid w:val="78224ACF"/>
    <w:rsid w:val="783B1B25"/>
    <w:rsid w:val="783E7867"/>
    <w:rsid w:val="783E7E0B"/>
    <w:rsid w:val="784E7D2C"/>
    <w:rsid w:val="78770683"/>
    <w:rsid w:val="788E3FFF"/>
    <w:rsid w:val="788F1E71"/>
    <w:rsid w:val="78CD6DCC"/>
    <w:rsid w:val="78CE0BEB"/>
    <w:rsid w:val="78D07CAF"/>
    <w:rsid w:val="78DE12D7"/>
    <w:rsid w:val="78E24696"/>
    <w:rsid w:val="79210683"/>
    <w:rsid w:val="794669D3"/>
    <w:rsid w:val="79690914"/>
    <w:rsid w:val="799C3465"/>
    <w:rsid w:val="79B14EC4"/>
    <w:rsid w:val="79E5661E"/>
    <w:rsid w:val="79F006ED"/>
    <w:rsid w:val="79FF3026"/>
    <w:rsid w:val="7A150154"/>
    <w:rsid w:val="7A2465E9"/>
    <w:rsid w:val="7A2A6B4A"/>
    <w:rsid w:val="7A304F8E"/>
    <w:rsid w:val="7A3507F6"/>
    <w:rsid w:val="7A6510DB"/>
    <w:rsid w:val="7A681070"/>
    <w:rsid w:val="7A860C7C"/>
    <w:rsid w:val="7AA17C39"/>
    <w:rsid w:val="7AAE6C3A"/>
    <w:rsid w:val="7AB40F13"/>
    <w:rsid w:val="7AB879FE"/>
    <w:rsid w:val="7AC34054"/>
    <w:rsid w:val="7AD1502B"/>
    <w:rsid w:val="7AD973D3"/>
    <w:rsid w:val="7AF64429"/>
    <w:rsid w:val="7B072683"/>
    <w:rsid w:val="7B3264DD"/>
    <w:rsid w:val="7B3F680F"/>
    <w:rsid w:val="7B7535A0"/>
    <w:rsid w:val="7B81188A"/>
    <w:rsid w:val="7B9E2902"/>
    <w:rsid w:val="7BC854E2"/>
    <w:rsid w:val="7BE67FFA"/>
    <w:rsid w:val="7BE73D72"/>
    <w:rsid w:val="7BEB1AB4"/>
    <w:rsid w:val="7C0562EC"/>
    <w:rsid w:val="7C067A45"/>
    <w:rsid w:val="7C142DB9"/>
    <w:rsid w:val="7C145851"/>
    <w:rsid w:val="7C240B22"/>
    <w:rsid w:val="7C27683F"/>
    <w:rsid w:val="7C2956A5"/>
    <w:rsid w:val="7C3A6597"/>
    <w:rsid w:val="7C4C49DC"/>
    <w:rsid w:val="7C5326C5"/>
    <w:rsid w:val="7C6670B4"/>
    <w:rsid w:val="7CB14B4D"/>
    <w:rsid w:val="7CB43C54"/>
    <w:rsid w:val="7CC869E7"/>
    <w:rsid w:val="7CC968AA"/>
    <w:rsid w:val="7CDE5175"/>
    <w:rsid w:val="7CE65DD7"/>
    <w:rsid w:val="7CF26969"/>
    <w:rsid w:val="7D132FE6"/>
    <w:rsid w:val="7D25523C"/>
    <w:rsid w:val="7D2A660C"/>
    <w:rsid w:val="7D6C2781"/>
    <w:rsid w:val="7D782ED3"/>
    <w:rsid w:val="7DB23041"/>
    <w:rsid w:val="7DEE13E8"/>
    <w:rsid w:val="7E253FEC"/>
    <w:rsid w:val="7E312BDA"/>
    <w:rsid w:val="7E4B683A"/>
    <w:rsid w:val="7E5F7809"/>
    <w:rsid w:val="7E613CCB"/>
    <w:rsid w:val="7E7511B5"/>
    <w:rsid w:val="7E905E3B"/>
    <w:rsid w:val="7ED56C53"/>
    <w:rsid w:val="7EEA1BAF"/>
    <w:rsid w:val="7F17496E"/>
    <w:rsid w:val="7F513EF9"/>
    <w:rsid w:val="7F5460D4"/>
    <w:rsid w:val="7F552892"/>
    <w:rsid w:val="7F5715B5"/>
    <w:rsid w:val="7FA22F7C"/>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5"/>
    <w:qFormat/>
    <w:uiPriority w:val="0"/>
    <w:pPr>
      <w:keepNext/>
      <w:keepLines/>
      <w:jc w:val="center"/>
      <w:outlineLvl w:val="0"/>
    </w:pPr>
    <w:rPr>
      <w:b/>
      <w:bCs/>
      <w:kern w:val="44"/>
      <w:sz w:val="36"/>
      <w:szCs w:val="44"/>
    </w:rPr>
  </w:style>
  <w:style w:type="paragraph" w:styleId="3">
    <w:name w:val="heading 2"/>
    <w:basedOn w:val="1"/>
    <w:next w:val="1"/>
    <w:link w:val="56"/>
    <w:qFormat/>
    <w:uiPriority w:val="0"/>
    <w:pPr>
      <w:keepNext/>
      <w:keepLines/>
      <w:spacing w:line="360" w:lineRule="auto"/>
      <w:outlineLvl w:val="1"/>
    </w:pPr>
    <w:rPr>
      <w:rFonts w:ascii="Arial" w:hAnsi="Arial" w:eastAsia="宋体" w:cs="Times New Roman"/>
      <w:sz w:val="24"/>
      <w:szCs w:val="32"/>
    </w:rPr>
  </w:style>
  <w:style w:type="paragraph" w:styleId="4">
    <w:name w:val="heading 3"/>
    <w:basedOn w:val="1"/>
    <w:next w:val="1"/>
    <w:link w:val="57"/>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qFormat/>
    <w:uiPriority w:val="0"/>
    <w:pPr>
      <w:keepNext/>
      <w:keepLines/>
      <w:spacing w:line="480" w:lineRule="exact"/>
      <w:outlineLvl w:val="4"/>
    </w:pPr>
    <w:rPr>
      <w:bCs/>
      <w:szCs w:val="28"/>
    </w:rPr>
  </w:style>
  <w:style w:type="character" w:default="1" w:styleId="43">
    <w:name w:val="Default Paragraph Font"/>
    <w:semiHidden/>
    <w:unhideWhenUsed/>
    <w:qFormat/>
    <w:uiPriority w:val="1"/>
  </w:style>
  <w:style w:type="table" w:default="1" w:styleId="4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toc 7"/>
    <w:basedOn w:val="1"/>
    <w:next w:val="1"/>
    <w:qFormat/>
    <w:uiPriority w:val="0"/>
    <w:pPr>
      <w:ind w:left="1440"/>
      <w:jc w:val="left"/>
    </w:pPr>
    <w:rPr>
      <w:rFonts w:ascii="Calibri" w:hAnsi="Calibri" w:eastAsia="宋体" w:cs="Times New Roman"/>
      <w:sz w:val="18"/>
      <w:szCs w:val="18"/>
    </w:rPr>
  </w:style>
  <w:style w:type="paragraph" w:styleId="8">
    <w:name w:val="Normal Indent"/>
    <w:basedOn w:val="1"/>
    <w:qFormat/>
    <w:uiPriority w:val="0"/>
    <w:pPr>
      <w:ind w:firstLine="420" w:firstLineChars="200"/>
    </w:pPr>
    <w:rPr>
      <w:rFonts w:ascii="Times New Roman" w:hAnsi="Times New Roman" w:eastAsia="宋体" w:cs="Times New Roman"/>
      <w:sz w:val="24"/>
      <w:szCs w:val="24"/>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78"/>
    <w:qFormat/>
    <w:uiPriority w:val="0"/>
    <w:pPr>
      <w:shd w:val="clear" w:color="auto" w:fill="000080"/>
    </w:pPr>
    <w:rPr>
      <w:sz w:val="24"/>
    </w:rPr>
  </w:style>
  <w:style w:type="paragraph" w:styleId="11">
    <w:name w:val="toa heading"/>
    <w:basedOn w:val="1"/>
    <w:next w:val="1"/>
    <w:qFormat/>
    <w:uiPriority w:val="99"/>
    <w:pPr>
      <w:spacing w:before="120"/>
    </w:pPr>
    <w:rPr>
      <w:rFonts w:ascii="Arial" w:hAnsi="Arial" w:eastAsia="宋体" w:cs="Arial"/>
      <w:sz w:val="24"/>
      <w:szCs w:val="24"/>
    </w:rPr>
  </w:style>
  <w:style w:type="paragraph" w:styleId="12">
    <w:name w:val="annotation text"/>
    <w:basedOn w:val="1"/>
    <w:link w:val="69"/>
    <w:qFormat/>
    <w:uiPriority w:val="0"/>
    <w:pPr>
      <w:jc w:val="left"/>
    </w:pPr>
  </w:style>
  <w:style w:type="paragraph" w:styleId="13">
    <w:name w:val="Body Text 3"/>
    <w:basedOn w:val="1"/>
    <w:qFormat/>
    <w:uiPriority w:val="0"/>
    <w:pPr>
      <w:spacing w:after="50" w:afterLines="50" w:line="240" w:lineRule="auto"/>
      <w:ind w:firstLine="0" w:firstLineChars="0"/>
    </w:pPr>
    <w:rPr>
      <w:rFonts w:ascii="Times New Roman" w:hAnsi="Times New Roman"/>
      <w:sz w:val="21"/>
    </w:rPr>
  </w:style>
  <w:style w:type="paragraph" w:styleId="14">
    <w:name w:val="Body Text"/>
    <w:basedOn w:val="1"/>
    <w:link w:val="90"/>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15">
    <w:name w:val="Body Text Indent"/>
    <w:basedOn w:val="1"/>
    <w:link w:val="87"/>
    <w:qFormat/>
    <w:uiPriority w:val="0"/>
    <w:pPr>
      <w:spacing w:after="120"/>
      <w:ind w:left="420" w:leftChars="200"/>
    </w:pPr>
    <w:rPr>
      <w:rFonts w:ascii="Calibri" w:hAnsi="Calibri" w:eastAsia="宋体" w:cs="Times New Roman"/>
      <w:szCs w:val="20"/>
    </w:rPr>
  </w:style>
  <w:style w:type="paragraph" w:styleId="16">
    <w:name w:val="index 4"/>
    <w:basedOn w:val="1"/>
    <w:next w:val="1"/>
    <w:qFormat/>
    <w:uiPriority w:val="0"/>
    <w:pPr>
      <w:ind w:left="600" w:leftChars="600"/>
    </w:pPr>
  </w:style>
  <w:style w:type="paragraph" w:styleId="17">
    <w:name w:val="toc 5"/>
    <w:basedOn w:val="1"/>
    <w:next w:val="1"/>
    <w:qFormat/>
    <w:uiPriority w:val="0"/>
    <w:pPr>
      <w:ind w:left="960"/>
      <w:jc w:val="left"/>
    </w:pPr>
    <w:rPr>
      <w:rFonts w:ascii="Calibri" w:hAnsi="Calibri" w:eastAsia="宋体" w:cs="Times New Roman"/>
      <w:sz w:val="18"/>
      <w:szCs w:val="18"/>
    </w:rPr>
  </w:style>
  <w:style w:type="paragraph" w:styleId="18">
    <w:name w:val="toc 3"/>
    <w:basedOn w:val="1"/>
    <w:next w:val="1"/>
    <w:qFormat/>
    <w:uiPriority w:val="0"/>
    <w:pPr>
      <w:ind w:left="480"/>
      <w:jc w:val="left"/>
    </w:pPr>
    <w:rPr>
      <w:rFonts w:ascii="Calibri" w:hAnsi="Calibri" w:eastAsia="宋体" w:cs="Times New Roman"/>
      <w:i/>
      <w:iCs/>
      <w:sz w:val="20"/>
      <w:szCs w:val="20"/>
    </w:rPr>
  </w:style>
  <w:style w:type="paragraph" w:styleId="19">
    <w:name w:val="Plain Text"/>
    <w:basedOn w:val="1"/>
    <w:link w:val="80"/>
    <w:qFormat/>
    <w:uiPriority w:val="0"/>
    <w:rPr>
      <w:rFonts w:ascii="宋体" w:hAnsi="Courier New"/>
    </w:rPr>
  </w:style>
  <w:style w:type="paragraph" w:styleId="20">
    <w:name w:val="toc 8"/>
    <w:basedOn w:val="1"/>
    <w:next w:val="1"/>
    <w:qFormat/>
    <w:uiPriority w:val="0"/>
    <w:pPr>
      <w:ind w:left="1680"/>
      <w:jc w:val="left"/>
    </w:pPr>
    <w:rPr>
      <w:rFonts w:ascii="Calibri" w:hAnsi="Calibri" w:eastAsia="宋体" w:cs="Times New Roman"/>
      <w:sz w:val="18"/>
      <w:szCs w:val="18"/>
    </w:rPr>
  </w:style>
  <w:style w:type="paragraph" w:styleId="21">
    <w:name w:val="Date"/>
    <w:basedOn w:val="1"/>
    <w:next w:val="1"/>
    <w:link w:val="71"/>
    <w:qFormat/>
    <w:uiPriority w:val="0"/>
    <w:pPr>
      <w:ind w:left="100" w:leftChars="2500"/>
    </w:pPr>
    <w:rPr>
      <w:sz w:val="24"/>
    </w:rPr>
  </w:style>
  <w:style w:type="paragraph" w:styleId="22">
    <w:name w:val="Body Text Indent 2"/>
    <w:basedOn w:val="1"/>
    <w:link w:val="59"/>
    <w:qFormat/>
    <w:uiPriority w:val="0"/>
    <w:pPr>
      <w:spacing w:after="120" w:line="480" w:lineRule="auto"/>
      <w:ind w:left="420" w:leftChars="200"/>
    </w:pPr>
  </w:style>
  <w:style w:type="paragraph" w:styleId="23">
    <w:name w:val="Balloon Text"/>
    <w:basedOn w:val="1"/>
    <w:link w:val="75"/>
    <w:qFormat/>
    <w:uiPriority w:val="0"/>
    <w:rPr>
      <w:sz w:val="18"/>
    </w:rPr>
  </w:style>
  <w:style w:type="paragraph" w:styleId="24">
    <w:name w:val="footer"/>
    <w:basedOn w:val="1"/>
    <w:link w:val="81"/>
    <w:qFormat/>
    <w:uiPriority w:val="0"/>
    <w:pPr>
      <w:tabs>
        <w:tab w:val="center" w:pos="4153"/>
        <w:tab w:val="right" w:pos="8306"/>
      </w:tabs>
      <w:snapToGrid w:val="0"/>
      <w:jc w:val="left"/>
    </w:pPr>
    <w:rPr>
      <w:sz w:val="18"/>
    </w:rPr>
  </w:style>
  <w:style w:type="paragraph" w:styleId="25">
    <w:name w:val="header"/>
    <w:basedOn w:val="1"/>
    <w:link w:val="67"/>
    <w:qFormat/>
    <w:uiPriority w:val="0"/>
    <w:pPr>
      <w:pBdr>
        <w:bottom w:val="single" w:color="auto" w:sz="6" w:space="1"/>
      </w:pBdr>
      <w:tabs>
        <w:tab w:val="center" w:pos="4153"/>
        <w:tab w:val="right" w:pos="8306"/>
      </w:tabs>
      <w:snapToGrid w:val="0"/>
      <w:jc w:val="center"/>
    </w:pPr>
    <w:rPr>
      <w:sz w:val="18"/>
    </w:rPr>
  </w:style>
  <w:style w:type="paragraph" w:styleId="26">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7">
    <w:name w:val="toc 4"/>
    <w:basedOn w:val="1"/>
    <w:next w:val="1"/>
    <w:qFormat/>
    <w:uiPriority w:val="0"/>
    <w:pPr>
      <w:ind w:left="720"/>
      <w:jc w:val="left"/>
    </w:pPr>
    <w:rPr>
      <w:rFonts w:ascii="Calibri" w:hAnsi="Calibri" w:eastAsia="宋体" w:cs="Times New Roman"/>
      <w:sz w:val="18"/>
      <w:szCs w:val="18"/>
    </w:rPr>
  </w:style>
  <w:style w:type="paragraph" w:styleId="28">
    <w:name w:val="Subtitle"/>
    <w:basedOn w:val="1"/>
    <w:next w:val="1"/>
    <w:qFormat/>
    <w:uiPriority w:val="0"/>
    <w:pPr>
      <w:spacing w:line="360" w:lineRule="auto"/>
      <w:ind w:firstLine="200" w:firstLineChars="200"/>
      <w:outlineLvl w:val="1"/>
    </w:pPr>
    <w:rPr>
      <w:rFonts w:ascii="宋体" w:eastAsia="宋体"/>
      <w:bCs/>
      <w:kern w:val="28"/>
      <w:sz w:val="24"/>
      <w:szCs w:val="32"/>
    </w:rPr>
  </w:style>
  <w:style w:type="paragraph" w:styleId="29">
    <w:name w:val="List"/>
    <w:basedOn w:val="1"/>
    <w:qFormat/>
    <w:uiPriority w:val="99"/>
    <w:pPr>
      <w:ind w:left="420" w:hanging="420"/>
    </w:pPr>
    <w:rPr>
      <w:rFonts w:ascii="Times New Roman" w:hAnsi="Times New Roman" w:eastAsia="宋体" w:cs="Times New Roman"/>
      <w:szCs w:val="20"/>
    </w:rPr>
  </w:style>
  <w:style w:type="paragraph" w:styleId="30">
    <w:name w:val="toc 6"/>
    <w:basedOn w:val="1"/>
    <w:next w:val="1"/>
    <w:qFormat/>
    <w:uiPriority w:val="0"/>
    <w:pPr>
      <w:ind w:left="1200"/>
      <w:jc w:val="left"/>
    </w:pPr>
    <w:rPr>
      <w:rFonts w:ascii="Calibri" w:hAnsi="Calibri" w:eastAsia="宋体" w:cs="Times New Roman"/>
      <w:sz w:val="18"/>
      <w:szCs w:val="18"/>
    </w:rPr>
  </w:style>
  <w:style w:type="paragraph" w:styleId="31">
    <w:name w:val="Body Text Indent 3"/>
    <w:basedOn w:val="1"/>
    <w:link w:val="61"/>
    <w:qFormat/>
    <w:uiPriority w:val="0"/>
    <w:pPr>
      <w:spacing w:after="120"/>
      <w:ind w:left="420" w:leftChars="200"/>
    </w:pPr>
    <w:rPr>
      <w:sz w:val="16"/>
    </w:rPr>
  </w:style>
  <w:style w:type="paragraph" w:styleId="32">
    <w:name w:val="toc 2"/>
    <w:basedOn w:val="1"/>
    <w:next w:val="1"/>
    <w:unhideWhenUsed/>
    <w:qFormat/>
    <w:uiPriority w:val="0"/>
    <w:pPr>
      <w:ind w:left="420" w:leftChars="200"/>
    </w:pPr>
    <w:rPr>
      <w:rFonts w:ascii="Calibri" w:hAnsi="Calibri" w:eastAsia="宋体" w:cs="Times New Roman"/>
      <w:szCs w:val="20"/>
    </w:rPr>
  </w:style>
  <w:style w:type="paragraph" w:styleId="33">
    <w:name w:val="toc 9"/>
    <w:basedOn w:val="1"/>
    <w:next w:val="1"/>
    <w:qFormat/>
    <w:uiPriority w:val="0"/>
    <w:pPr>
      <w:ind w:left="1920"/>
      <w:jc w:val="left"/>
    </w:pPr>
    <w:rPr>
      <w:rFonts w:ascii="Calibri" w:hAnsi="Calibri" w:eastAsia="宋体" w:cs="Times New Roman"/>
      <w:sz w:val="18"/>
      <w:szCs w:val="18"/>
    </w:rPr>
  </w:style>
  <w:style w:type="paragraph" w:styleId="34">
    <w:name w:val="Normal (Web)"/>
    <w:basedOn w:val="1"/>
    <w:qFormat/>
    <w:uiPriority w:val="99"/>
    <w:rPr>
      <w:rFonts w:ascii="Calibri" w:hAnsi="Calibri" w:eastAsia="宋体" w:cs="Times New Roman"/>
      <w:sz w:val="24"/>
      <w:szCs w:val="20"/>
    </w:rPr>
  </w:style>
  <w:style w:type="paragraph" w:styleId="35">
    <w:name w:val="index 1"/>
    <w:basedOn w:val="1"/>
    <w:next w:val="1"/>
    <w:qFormat/>
    <w:uiPriority w:val="99"/>
    <w:rPr>
      <w:rFonts w:ascii="Calibri" w:hAnsi="Calibri" w:eastAsia="宋体" w:cs="Times New Roman"/>
      <w:sz w:val="24"/>
      <w:szCs w:val="24"/>
    </w:rPr>
  </w:style>
  <w:style w:type="paragraph" w:styleId="36">
    <w:name w:val="Title"/>
    <w:basedOn w:val="1"/>
    <w:link w:val="70"/>
    <w:qFormat/>
    <w:uiPriority w:val="0"/>
    <w:pPr>
      <w:spacing w:before="160" w:after="40" w:line="240" w:lineRule="atLeast"/>
      <w:ind w:left="425" w:hanging="425"/>
      <w:jc w:val="center"/>
      <w:outlineLvl w:val="0"/>
    </w:pPr>
    <w:rPr>
      <w:rFonts w:ascii="Arial" w:hAnsi="Arial"/>
      <w:b/>
      <w:sz w:val="32"/>
    </w:rPr>
  </w:style>
  <w:style w:type="paragraph" w:styleId="37">
    <w:name w:val="annotation subject"/>
    <w:basedOn w:val="12"/>
    <w:next w:val="12"/>
    <w:link w:val="60"/>
    <w:qFormat/>
    <w:uiPriority w:val="0"/>
    <w:rPr>
      <w:b/>
    </w:rPr>
  </w:style>
  <w:style w:type="paragraph" w:styleId="38">
    <w:name w:val="Body Text First Indent"/>
    <w:basedOn w:val="14"/>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9">
    <w:name w:val="Body Text First Indent 2"/>
    <w:basedOn w:val="15"/>
    <w:semiHidden/>
    <w:qFormat/>
    <w:uiPriority w:val="99"/>
    <w:pPr>
      <w:spacing w:line="276" w:lineRule="auto"/>
      <w:ind w:firstLine="420" w:firstLineChars="200"/>
      <w:jc w:val="left"/>
    </w:pPr>
  </w:style>
  <w:style w:type="table" w:styleId="41">
    <w:name w:val="Table Grid"/>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Grid Accent 4"/>
    <w:basedOn w:val="40"/>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character" w:styleId="44">
    <w:name w:val="Strong"/>
    <w:basedOn w:val="43"/>
    <w:qFormat/>
    <w:uiPriority w:val="0"/>
    <w:rPr>
      <w:b/>
      <w:bCs/>
    </w:rPr>
  </w:style>
  <w:style w:type="character" w:styleId="45">
    <w:name w:val="page number"/>
    <w:basedOn w:val="43"/>
    <w:qFormat/>
    <w:uiPriority w:val="0"/>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Definition"/>
    <w:basedOn w:val="43"/>
    <w:semiHidden/>
    <w:unhideWhenUsed/>
    <w:qFormat/>
    <w:uiPriority w:val="99"/>
    <w:rPr>
      <w:i/>
      <w:iCs/>
      <w:vertAlign w:val="baseline"/>
    </w:rPr>
  </w:style>
  <w:style w:type="character" w:styleId="49">
    <w:name w:val="HTML Acronym"/>
    <w:basedOn w:val="43"/>
    <w:qFormat/>
    <w:uiPriority w:val="99"/>
  </w:style>
  <w:style w:type="character" w:styleId="50">
    <w:name w:val="Hyperlink"/>
    <w:basedOn w:val="43"/>
    <w:qFormat/>
    <w:uiPriority w:val="0"/>
    <w:rPr>
      <w:color w:val="1F4F88"/>
      <w:u w:val="none"/>
    </w:rPr>
  </w:style>
  <w:style w:type="character" w:styleId="51">
    <w:name w:val="HTML Code"/>
    <w:basedOn w:val="43"/>
    <w:semiHidden/>
    <w:unhideWhenUsed/>
    <w:qFormat/>
    <w:uiPriority w:val="99"/>
    <w:rPr>
      <w:rFonts w:ascii="Consolas" w:hAnsi="Consolas" w:eastAsia="Consolas" w:cs="Consolas"/>
      <w:sz w:val="21"/>
      <w:szCs w:val="21"/>
    </w:rPr>
  </w:style>
  <w:style w:type="character" w:styleId="52">
    <w:name w:val="annotation reference"/>
    <w:basedOn w:val="43"/>
    <w:qFormat/>
    <w:uiPriority w:val="0"/>
    <w:rPr>
      <w:sz w:val="21"/>
    </w:rPr>
  </w:style>
  <w:style w:type="character" w:styleId="53">
    <w:name w:val="HTML Keyboard"/>
    <w:basedOn w:val="43"/>
    <w:semiHidden/>
    <w:unhideWhenUsed/>
    <w:qFormat/>
    <w:uiPriority w:val="99"/>
    <w:rPr>
      <w:rFonts w:hint="default" w:ascii="Consolas" w:hAnsi="Consolas" w:eastAsia="Consolas" w:cs="Consolas"/>
      <w:sz w:val="21"/>
      <w:szCs w:val="21"/>
    </w:rPr>
  </w:style>
  <w:style w:type="character" w:styleId="54">
    <w:name w:val="HTML Sample"/>
    <w:basedOn w:val="43"/>
    <w:semiHidden/>
    <w:unhideWhenUsed/>
    <w:qFormat/>
    <w:uiPriority w:val="99"/>
    <w:rPr>
      <w:rFonts w:hint="default" w:ascii="Consolas" w:hAnsi="Consolas" w:eastAsia="Consolas" w:cs="Consolas"/>
      <w:sz w:val="21"/>
      <w:szCs w:val="21"/>
    </w:rPr>
  </w:style>
  <w:style w:type="character" w:customStyle="1" w:styleId="55">
    <w:name w:val="标题 1 字符"/>
    <w:basedOn w:val="43"/>
    <w:link w:val="2"/>
    <w:qFormat/>
    <w:uiPriority w:val="0"/>
    <w:rPr>
      <w:rFonts w:ascii="Calibri" w:hAnsi="Calibri" w:eastAsia="宋体" w:cs="Times New Roman"/>
      <w:b/>
      <w:bCs/>
      <w:kern w:val="44"/>
      <w:sz w:val="36"/>
      <w:szCs w:val="44"/>
    </w:rPr>
  </w:style>
  <w:style w:type="character" w:customStyle="1" w:styleId="56">
    <w:name w:val="标题 2 字符"/>
    <w:basedOn w:val="43"/>
    <w:link w:val="3"/>
    <w:qFormat/>
    <w:uiPriority w:val="9"/>
    <w:rPr>
      <w:rFonts w:ascii="Arial" w:hAnsi="Arial" w:eastAsia="宋体" w:cs="Times New Roman"/>
      <w:b/>
      <w:bCs/>
      <w:sz w:val="24"/>
      <w:szCs w:val="32"/>
    </w:rPr>
  </w:style>
  <w:style w:type="character" w:customStyle="1" w:styleId="57">
    <w:name w:val="标题 3 字符"/>
    <w:basedOn w:val="43"/>
    <w:link w:val="4"/>
    <w:semiHidden/>
    <w:qFormat/>
    <w:uiPriority w:val="9"/>
    <w:rPr>
      <w:rFonts w:ascii="Calibri" w:hAnsi="Calibri" w:eastAsia="宋体" w:cs="Times New Roman"/>
      <w:b/>
      <w:bCs/>
      <w:sz w:val="32"/>
      <w:szCs w:val="32"/>
    </w:rPr>
  </w:style>
  <w:style w:type="character" w:customStyle="1" w:styleId="58">
    <w:name w:val="Char Char3"/>
    <w:qFormat/>
    <w:uiPriority w:val="0"/>
    <w:rPr>
      <w:rFonts w:ascii="宋体" w:hAnsi="Courier New" w:eastAsia="宋体"/>
      <w:kern w:val="2"/>
      <w:sz w:val="21"/>
      <w:lang w:val="en-US" w:eastAsia="zh-CN"/>
    </w:rPr>
  </w:style>
  <w:style w:type="character" w:customStyle="1" w:styleId="59">
    <w:name w:val="正文文本缩进 2 字符"/>
    <w:link w:val="22"/>
    <w:qFormat/>
    <w:locked/>
    <w:uiPriority w:val="0"/>
  </w:style>
  <w:style w:type="character" w:customStyle="1" w:styleId="60">
    <w:name w:val="批注主题 字符"/>
    <w:link w:val="37"/>
    <w:qFormat/>
    <w:locked/>
    <w:uiPriority w:val="0"/>
    <w:rPr>
      <w:b/>
    </w:rPr>
  </w:style>
  <w:style w:type="character" w:customStyle="1" w:styleId="61">
    <w:name w:val="正文文本缩进 3 字符"/>
    <w:link w:val="31"/>
    <w:qFormat/>
    <w:locked/>
    <w:uiPriority w:val="0"/>
    <w:rPr>
      <w:sz w:val="16"/>
    </w:rPr>
  </w:style>
  <w:style w:type="character" w:customStyle="1" w:styleId="62">
    <w:name w:val="纯文本 Char"/>
    <w:qFormat/>
    <w:uiPriority w:val="0"/>
    <w:rPr>
      <w:rFonts w:ascii="宋体" w:hAnsi="Courier New" w:eastAsia="宋体"/>
      <w:kern w:val="2"/>
      <w:sz w:val="21"/>
      <w:lang w:val="en-US" w:eastAsia="zh-CN"/>
    </w:rPr>
  </w:style>
  <w:style w:type="character" w:customStyle="1" w:styleId="63">
    <w:name w:val="Char Char2"/>
    <w:qFormat/>
    <w:uiPriority w:val="0"/>
    <w:rPr>
      <w:rFonts w:ascii="宋体" w:hAnsi="Courier New"/>
      <w:kern w:val="2"/>
      <w:sz w:val="21"/>
    </w:rPr>
  </w:style>
  <w:style w:type="character" w:customStyle="1" w:styleId="64">
    <w:name w:val="列出段落 字符"/>
    <w:link w:val="65"/>
    <w:qFormat/>
    <w:locked/>
    <w:uiPriority w:val="34"/>
    <w:rPr>
      <w:sz w:val="22"/>
    </w:rPr>
  </w:style>
  <w:style w:type="paragraph" w:customStyle="1" w:styleId="65">
    <w:name w:val="列出段落1"/>
    <w:basedOn w:val="1"/>
    <w:link w:val="64"/>
    <w:qFormat/>
    <w:uiPriority w:val="34"/>
    <w:pPr>
      <w:ind w:firstLine="420" w:firstLineChars="200"/>
    </w:pPr>
    <w:rPr>
      <w:sz w:val="22"/>
    </w:rPr>
  </w:style>
  <w:style w:type="character" w:customStyle="1" w:styleId="66">
    <w:name w:val="apple-converted-space"/>
    <w:basedOn w:val="43"/>
    <w:qFormat/>
    <w:uiPriority w:val="0"/>
    <w:rPr>
      <w:rFonts w:cs="Times New Roman"/>
    </w:rPr>
  </w:style>
  <w:style w:type="character" w:customStyle="1" w:styleId="67">
    <w:name w:val="页眉 字符"/>
    <w:link w:val="25"/>
    <w:qFormat/>
    <w:locked/>
    <w:uiPriority w:val="0"/>
    <w:rPr>
      <w:sz w:val="18"/>
    </w:rPr>
  </w:style>
  <w:style w:type="character" w:customStyle="1" w:styleId="68">
    <w:name w:val="BODY TEXT Char"/>
    <w:qFormat/>
    <w:locked/>
    <w:uiPriority w:val="0"/>
    <w:rPr>
      <w:rFonts w:eastAsia="新宋体"/>
      <w:kern w:val="2"/>
      <w:sz w:val="21"/>
    </w:rPr>
  </w:style>
  <w:style w:type="character" w:customStyle="1" w:styleId="69">
    <w:name w:val="批注文字 字符"/>
    <w:link w:val="12"/>
    <w:qFormat/>
    <w:locked/>
    <w:uiPriority w:val="0"/>
  </w:style>
  <w:style w:type="character" w:customStyle="1" w:styleId="70">
    <w:name w:val="标题 字符"/>
    <w:link w:val="36"/>
    <w:qFormat/>
    <w:locked/>
    <w:uiPriority w:val="0"/>
    <w:rPr>
      <w:rFonts w:ascii="Arial" w:hAnsi="Arial"/>
      <w:b/>
      <w:sz w:val="32"/>
    </w:rPr>
  </w:style>
  <w:style w:type="character" w:customStyle="1" w:styleId="71">
    <w:name w:val="日期 字符"/>
    <w:link w:val="21"/>
    <w:qFormat/>
    <w:locked/>
    <w:uiPriority w:val="0"/>
    <w:rPr>
      <w:sz w:val="24"/>
    </w:rPr>
  </w:style>
  <w:style w:type="character" w:customStyle="1" w:styleId="72">
    <w:name w:val="ATXT_Bullets Zchn"/>
    <w:link w:val="73"/>
    <w:qFormat/>
    <w:locked/>
    <w:uiPriority w:val="99"/>
    <w:rPr>
      <w:rFonts w:ascii="Arial" w:hAnsi="Arial"/>
      <w:lang w:val="de-AT" w:eastAsia="zh-CN"/>
    </w:rPr>
  </w:style>
  <w:style w:type="paragraph" w:customStyle="1" w:styleId="73">
    <w:name w:val="ATXT_Bullets"/>
    <w:link w:val="72"/>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4">
    <w:name w:val="Char Char5"/>
    <w:qFormat/>
    <w:uiPriority w:val="0"/>
    <w:rPr>
      <w:rFonts w:ascii="宋体" w:hAnsi="Courier New" w:eastAsia="宋体"/>
      <w:kern w:val="2"/>
      <w:sz w:val="21"/>
      <w:lang w:val="en-US" w:eastAsia="zh-CN"/>
    </w:rPr>
  </w:style>
  <w:style w:type="character" w:customStyle="1" w:styleId="75">
    <w:name w:val="批注框文本 字符"/>
    <w:link w:val="23"/>
    <w:qFormat/>
    <w:locked/>
    <w:uiPriority w:val="0"/>
    <w:rPr>
      <w:sz w:val="18"/>
    </w:rPr>
  </w:style>
  <w:style w:type="character" w:customStyle="1" w:styleId="76">
    <w:name w:val="批注文字 Char"/>
    <w:qFormat/>
    <w:uiPriority w:val="0"/>
    <w:rPr>
      <w:kern w:val="2"/>
    </w:rPr>
  </w:style>
  <w:style w:type="character" w:customStyle="1" w:styleId="77">
    <w:name w:val="批注主题 Char"/>
    <w:qFormat/>
    <w:uiPriority w:val="0"/>
    <w:rPr>
      <w:b/>
      <w:kern w:val="2"/>
    </w:rPr>
  </w:style>
  <w:style w:type="character" w:customStyle="1" w:styleId="78">
    <w:name w:val="文档结构图 字符"/>
    <w:link w:val="10"/>
    <w:qFormat/>
    <w:locked/>
    <w:uiPriority w:val="0"/>
    <w:rPr>
      <w:sz w:val="24"/>
      <w:shd w:val="clear" w:color="auto" w:fill="000080"/>
    </w:rPr>
  </w:style>
  <w:style w:type="character" w:customStyle="1" w:styleId="79">
    <w:name w:val="HTML Markup"/>
    <w:qFormat/>
    <w:uiPriority w:val="0"/>
    <w:rPr>
      <w:vanish/>
      <w:color w:val="FF0000"/>
    </w:rPr>
  </w:style>
  <w:style w:type="character" w:customStyle="1" w:styleId="80">
    <w:name w:val="纯文本 字符"/>
    <w:link w:val="19"/>
    <w:qFormat/>
    <w:locked/>
    <w:uiPriority w:val="0"/>
    <w:rPr>
      <w:rFonts w:ascii="宋体" w:hAnsi="Courier New"/>
    </w:rPr>
  </w:style>
  <w:style w:type="character" w:customStyle="1" w:styleId="81">
    <w:name w:val="页脚 字符"/>
    <w:link w:val="24"/>
    <w:qFormat/>
    <w:locked/>
    <w:uiPriority w:val="99"/>
    <w:rPr>
      <w:sz w:val="18"/>
    </w:rPr>
  </w:style>
  <w:style w:type="character" w:customStyle="1" w:styleId="82">
    <w:name w:val="Default Char"/>
    <w:link w:val="83"/>
    <w:qFormat/>
    <w:locked/>
    <w:uiPriority w:val="0"/>
    <w:rPr>
      <w:rFonts w:ascii="仿宋_GB2312" w:eastAsia="仿宋_GB2312"/>
      <w:color w:val="000000"/>
      <w:sz w:val="24"/>
    </w:rPr>
  </w:style>
  <w:style w:type="paragraph" w:customStyle="1" w:styleId="83">
    <w:name w:val="Default"/>
    <w:link w:val="82"/>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4">
    <w:name w:val="页脚 Char"/>
    <w:qFormat/>
    <w:locked/>
    <w:uiPriority w:val="99"/>
    <w:rPr>
      <w:sz w:val="18"/>
    </w:rPr>
  </w:style>
  <w:style w:type="character" w:customStyle="1" w:styleId="85">
    <w:name w:val="批注文字 字符1"/>
    <w:basedOn w:val="43"/>
    <w:semiHidden/>
    <w:qFormat/>
    <w:uiPriority w:val="99"/>
  </w:style>
  <w:style w:type="character" w:customStyle="1" w:styleId="86">
    <w:name w:val="批注文字 字符11"/>
    <w:basedOn w:val="43"/>
    <w:qFormat/>
    <w:uiPriority w:val="0"/>
    <w:rPr>
      <w:rFonts w:cs="Times New Roman"/>
      <w:kern w:val="2"/>
      <w:sz w:val="21"/>
    </w:rPr>
  </w:style>
  <w:style w:type="character" w:customStyle="1" w:styleId="87">
    <w:name w:val="正文文本缩进 字符"/>
    <w:basedOn w:val="43"/>
    <w:link w:val="15"/>
    <w:qFormat/>
    <w:uiPriority w:val="99"/>
    <w:rPr>
      <w:rFonts w:ascii="Calibri" w:hAnsi="Calibri" w:eastAsia="宋体" w:cs="Times New Roman"/>
      <w:szCs w:val="20"/>
    </w:rPr>
  </w:style>
  <w:style w:type="character" w:customStyle="1" w:styleId="88">
    <w:name w:val="文档结构图 字符1"/>
    <w:basedOn w:val="43"/>
    <w:semiHidden/>
    <w:qFormat/>
    <w:uiPriority w:val="99"/>
    <w:rPr>
      <w:rFonts w:ascii="Microsoft YaHei UI" w:eastAsia="Microsoft YaHei UI"/>
      <w:sz w:val="18"/>
      <w:szCs w:val="18"/>
    </w:rPr>
  </w:style>
  <w:style w:type="character" w:customStyle="1" w:styleId="89">
    <w:name w:val="文档结构图 字符11"/>
    <w:basedOn w:val="43"/>
    <w:semiHidden/>
    <w:qFormat/>
    <w:uiPriority w:val="99"/>
    <w:rPr>
      <w:rFonts w:ascii="Microsoft YaHei UI" w:eastAsia="Microsoft YaHei UI" w:cs="Times New Roman"/>
      <w:kern w:val="2"/>
      <w:sz w:val="18"/>
      <w:szCs w:val="18"/>
    </w:rPr>
  </w:style>
  <w:style w:type="character" w:customStyle="1" w:styleId="90">
    <w:name w:val="正文文本 字符"/>
    <w:basedOn w:val="43"/>
    <w:link w:val="14"/>
    <w:qFormat/>
    <w:uiPriority w:val="99"/>
    <w:rPr>
      <w:rFonts w:ascii="Calibri" w:hAnsi="Calibri" w:eastAsia="新宋体" w:cs="Times New Roman"/>
      <w:szCs w:val="21"/>
    </w:rPr>
  </w:style>
  <w:style w:type="character" w:customStyle="1" w:styleId="91">
    <w:name w:val="纯文本 字符1"/>
    <w:basedOn w:val="43"/>
    <w:semiHidden/>
    <w:qFormat/>
    <w:uiPriority w:val="99"/>
    <w:rPr>
      <w:rFonts w:hAnsi="Courier New" w:cs="Courier New" w:asciiTheme="minorEastAsia"/>
    </w:rPr>
  </w:style>
  <w:style w:type="character" w:customStyle="1" w:styleId="92">
    <w:name w:val="纯文本 字符11"/>
    <w:basedOn w:val="43"/>
    <w:qFormat/>
    <w:uiPriority w:val="0"/>
    <w:rPr>
      <w:rFonts w:hAnsi="Courier New" w:cs="Courier New" w:asciiTheme="minorEastAsia" w:eastAsiaTheme="minorEastAsia"/>
      <w:kern w:val="2"/>
      <w:sz w:val="21"/>
    </w:rPr>
  </w:style>
  <w:style w:type="character" w:customStyle="1" w:styleId="93">
    <w:name w:val="页眉 字符1"/>
    <w:basedOn w:val="43"/>
    <w:semiHidden/>
    <w:qFormat/>
    <w:uiPriority w:val="99"/>
    <w:rPr>
      <w:sz w:val="18"/>
      <w:szCs w:val="18"/>
    </w:rPr>
  </w:style>
  <w:style w:type="character" w:customStyle="1" w:styleId="94">
    <w:name w:val="页眉 字符11"/>
    <w:basedOn w:val="43"/>
    <w:semiHidden/>
    <w:qFormat/>
    <w:uiPriority w:val="99"/>
    <w:rPr>
      <w:rFonts w:cs="Times New Roman"/>
      <w:kern w:val="2"/>
      <w:sz w:val="18"/>
      <w:szCs w:val="18"/>
    </w:rPr>
  </w:style>
  <w:style w:type="character" w:customStyle="1" w:styleId="95">
    <w:name w:val="批注框文本 字符1"/>
    <w:basedOn w:val="43"/>
    <w:semiHidden/>
    <w:qFormat/>
    <w:uiPriority w:val="99"/>
    <w:rPr>
      <w:sz w:val="18"/>
      <w:szCs w:val="18"/>
    </w:rPr>
  </w:style>
  <w:style w:type="character" w:customStyle="1" w:styleId="96">
    <w:name w:val="批注框文本 字符11"/>
    <w:basedOn w:val="43"/>
    <w:semiHidden/>
    <w:qFormat/>
    <w:uiPriority w:val="99"/>
    <w:rPr>
      <w:rFonts w:cs="Times New Roman"/>
      <w:kern w:val="2"/>
      <w:sz w:val="18"/>
      <w:szCs w:val="18"/>
    </w:rPr>
  </w:style>
  <w:style w:type="character" w:customStyle="1" w:styleId="97">
    <w:name w:val="日期 字符1"/>
    <w:basedOn w:val="43"/>
    <w:semiHidden/>
    <w:qFormat/>
    <w:uiPriority w:val="99"/>
  </w:style>
  <w:style w:type="character" w:customStyle="1" w:styleId="98">
    <w:name w:val="日期 字符11"/>
    <w:basedOn w:val="43"/>
    <w:semiHidden/>
    <w:qFormat/>
    <w:uiPriority w:val="99"/>
    <w:rPr>
      <w:rFonts w:cs="Times New Roman"/>
      <w:kern w:val="2"/>
      <w:sz w:val="21"/>
    </w:rPr>
  </w:style>
  <w:style w:type="character" w:customStyle="1" w:styleId="99">
    <w:name w:val="页脚 字符1"/>
    <w:basedOn w:val="43"/>
    <w:semiHidden/>
    <w:qFormat/>
    <w:uiPriority w:val="99"/>
    <w:rPr>
      <w:sz w:val="18"/>
      <w:szCs w:val="18"/>
    </w:rPr>
  </w:style>
  <w:style w:type="character" w:customStyle="1" w:styleId="100">
    <w:name w:val="页脚 字符11"/>
    <w:basedOn w:val="43"/>
    <w:semiHidden/>
    <w:qFormat/>
    <w:uiPriority w:val="99"/>
    <w:rPr>
      <w:rFonts w:cs="Times New Roman"/>
      <w:kern w:val="2"/>
      <w:sz w:val="18"/>
      <w:szCs w:val="18"/>
    </w:rPr>
  </w:style>
  <w:style w:type="character" w:customStyle="1" w:styleId="101">
    <w:name w:val="正文文本缩进 2 字符1"/>
    <w:basedOn w:val="43"/>
    <w:semiHidden/>
    <w:qFormat/>
    <w:uiPriority w:val="99"/>
  </w:style>
  <w:style w:type="character" w:customStyle="1" w:styleId="102">
    <w:name w:val="正文文本缩进 2 字符11"/>
    <w:basedOn w:val="43"/>
    <w:semiHidden/>
    <w:qFormat/>
    <w:uiPriority w:val="99"/>
    <w:rPr>
      <w:rFonts w:cs="Times New Roman"/>
      <w:kern w:val="2"/>
      <w:sz w:val="21"/>
    </w:rPr>
  </w:style>
  <w:style w:type="character" w:customStyle="1" w:styleId="103">
    <w:name w:val="正文文本缩进 3 字符1"/>
    <w:basedOn w:val="43"/>
    <w:semiHidden/>
    <w:qFormat/>
    <w:uiPriority w:val="99"/>
    <w:rPr>
      <w:sz w:val="16"/>
      <w:szCs w:val="16"/>
    </w:rPr>
  </w:style>
  <w:style w:type="character" w:customStyle="1" w:styleId="104">
    <w:name w:val="正文文本缩进 3 字符11"/>
    <w:basedOn w:val="43"/>
    <w:semiHidden/>
    <w:qFormat/>
    <w:uiPriority w:val="99"/>
    <w:rPr>
      <w:rFonts w:cs="Times New Roman"/>
      <w:kern w:val="2"/>
      <w:sz w:val="16"/>
      <w:szCs w:val="16"/>
    </w:rPr>
  </w:style>
  <w:style w:type="character" w:customStyle="1" w:styleId="105">
    <w:name w:val="批注主题 字符1"/>
    <w:basedOn w:val="85"/>
    <w:semiHidden/>
    <w:qFormat/>
    <w:uiPriority w:val="99"/>
    <w:rPr>
      <w:b/>
      <w:bCs/>
    </w:rPr>
  </w:style>
  <w:style w:type="character" w:customStyle="1" w:styleId="106">
    <w:name w:val="批注主题 字符11"/>
    <w:basedOn w:val="86"/>
    <w:semiHidden/>
    <w:qFormat/>
    <w:uiPriority w:val="99"/>
    <w:rPr>
      <w:rFonts w:cs="Times New Roman"/>
      <w:b/>
      <w:bCs/>
      <w:kern w:val="2"/>
      <w:sz w:val="21"/>
    </w:rPr>
  </w:style>
  <w:style w:type="character" w:customStyle="1" w:styleId="107">
    <w:name w:val="标题 字符1"/>
    <w:basedOn w:val="43"/>
    <w:qFormat/>
    <w:uiPriority w:val="10"/>
    <w:rPr>
      <w:rFonts w:asciiTheme="majorHAnsi" w:hAnsiTheme="majorHAnsi" w:eastAsiaTheme="majorEastAsia" w:cstheme="majorBidi"/>
      <w:b/>
      <w:bCs/>
      <w:sz w:val="32"/>
      <w:szCs w:val="32"/>
    </w:rPr>
  </w:style>
  <w:style w:type="character" w:customStyle="1" w:styleId="108">
    <w:name w:val="标题 字符11"/>
    <w:basedOn w:val="43"/>
    <w:qFormat/>
    <w:uiPriority w:val="10"/>
    <w:rPr>
      <w:rFonts w:cs="Times New Roman" w:asciiTheme="majorHAnsi" w:hAnsiTheme="majorHAnsi" w:eastAsiaTheme="majorEastAsia"/>
      <w:b/>
      <w:bCs/>
      <w:kern w:val="2"/>
      <w:sz w:val="32"/>
      <w:szCs w:val="32"/>
    </w:rPr>
  </w:style>
  <w:style w:type="paragraph" w:customStyle="1" w:styleId="109">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10">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11">
    <w:name w:val="二级列表 Char"/>
    <w:basedOn w:val="1"/>
    <w:qFormat/>
    <w:uiPriority w:val="0"/>
    <w:rPr>
      <w:rFonts w:ascii="Calibri" w:hAnsi="Calibri" w:eastAsia="宋体" w:cs="Times New Roman"/>
      <w:szCs w:val="20"/>
    </w:rPr>
  </w:style>
  <w:style w:type="paragraph" w:customStyle="1" w:styleId="112">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3">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4">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5">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6">
    <w:name w:val="Char Char Char Char Char Char Char"/>
    <w:basedOn w:val="1"/>
    <w:qFormat/>
    <w:uiPriority w:val="0"/>
    <w:rPr>
      <w:rFonts w:ascii="Verdana" w:hAnsi="Verdana" w:eastAsia="宋体" w:cs="Times New Roman"/>
      <w:kern w:val="0"/>
      <w:sz w:val="20"/>
      <w:szCs w:val="20"/>
      <w:lang w:eastAsia="en-US"/>
    </w:rPr>
  </w:style>
  <w:style w:type="paragraph" w:customStyle="1" w:styleId="117">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8">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9">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20">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21">
    <w:name w:val="标书正文格式"/>
    <w:basedOn w:val="19"/>
    <w:link w:val="123"/>
    <w:qFormat/>
    <w:uiPriority w:val="0"/>
    <w:pPr>
      <w:spacing w:line="360" w:lineRule="auto"/>
      <w:ind w:firstLine="200" w:firstLineChars="200"/>
    </w:pPr>
    <w:rPr>
      <w:rFonts w:hAnsi="宋体"/>
      <w:color w:val="000000"/>
      <w:sz w:val="24"/>
      <w:szCs w:val="24"/>
    </w:rPr>
  </w:style>
  <w:style w:type="paragraph" w:customStyle="1" w:styleId="122">
    <w:name w:val="标书二级标题"/>
    <w:basedOn w:val="3"/>
    <w:link w:val="125"/>
    <w:qFormat/>
    <w:uiPriority w:val="0"/>
    <w:pPr>
      <w:spacing w:line="240" w:lineRule="auto"/>
      <w:jc w:val="left"/>
    </w:pPr>
    <w:rPr>
      <w:rFonts w:ascii="宋体" w:hAnsi="宋体" w:eastAsia="黑体"/>
      <w:sz w:val="28"/>
      <w:szCs w:val="30"/>
    </w:rPr>
  </w:style>
  <w:style w:type="character" w:customStyle="1" w:styleId="123">
    <w:name w:val="标书正文格式 字符"/>
    <w:link w:val="121"/>
    <w:qFormat/>
    <w:locked/>
    <w:uiPriority w:val="0"/>
    <w:rPr>
      <w:rFonts w:ascii="宋体" w:hAnsi="宋体"/>
      <w:color w:val="000000"/>
      <w:sz w:val="24"/>
      <w:szCs w:val="24"/>
    </w:rPr>
  </w:style>
  <w:style w:type="paragraph" w:customStyle="1" w:styleId="124">
    <w:name w:val="标书表格"/>
    <w:basedOn w:val="1"/>
    <w:link w:val="126"/>
    <w:qFormat/>
    <w:uiPriority w:val="0"/>
    <w:pPr>
      <w:jc w:val="center"/>
    </w:pPr>
    <w:rPr>
      <w:rFonts w:ascii="Times New Roman" w:hAnsi="Times New Roman" w:eastAsia="宋体" w:cs="Times New Roman"/>
      <w:b/>
      <w:szCs w:val="20"/>
    </w:rPr>
  </w:style>
  <w:style w:type="character" w:customStyle="1" w:styleId="125">
    <w:name w:val="标书二级标题 字符"/>
    <w:link w:val="122"/>
    <w:qFormat/>
    <w:locked/>
    <w:uiPriority w:val="0"/>
    <w:rPr>
      <w:rFonts w:ascii="宋体" w:hAnsi="宋体" w:eastAsia="黑体" w:cs="Times New Roman"/>
      <w:bCs/>
      <w:sz w:val="28"/>
      <w:szCs w:val="30"/>
    </w:rPr>
  </w:style>
  <w:style w:type="character" w:customStyle="1" w:styleId="126">
    <w:name w:val="标书表格 字符"/>
    <w:link w:val="124"/>
    <w:qFormat/>
    <w:locked/>
    <w:uiPriority w:val="0"/>
    <w:rPr>
      <w:rFonts w:ascii="Times New Roman" w:hAnsi="Times New Roman" w:eastAsia="宋体" w:cs="Times New Roman"/>
      <w:b/>
      <w:szCs w:val="20"/>
    </w:rPr>
  </w:style>
  <w:style w:type="paragraph" w:customStyle="1" w:styleId="127">
    <w:name w:val="标书三级标题"/>
    <w:basedOn w:val="4"/>
    <w:next w:val="121"/>
    <w:link w:val="128"/>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8">
    <w:name w:val="标书三级标题 字符"/>
    <w:link w:val="127"/>
    <w:qFormat/>
    <w:locked/>
    <w:uiPriority w:val="0"/>
    <w:rPr>
      <w:rFonts w:ascii="Times New Roman" w:hAnsi="Times New Roman" w:eastAsia="宋体" w:cs="Times New Roman"/>
      <w:b/>
      <w:bCs/>
      <w:color w:val="000000"/>
      <w:sz w:val="24"/>
      <w:szCs w:val="24"/>
    </w:rPr>
  </w:style>
  <w:style w:type="character" w:customStyle="1" w:styleId="129">
    <w:name w:val="标三级标题 字符"/>
    <w:link w:val="130"/>
    <w:qFormat/>
    <w:locked/>
    <w:uiPriority w:val="0"/>
    <w:rPr>
      <w:b/>
      <w:color w:val="000000"/>
      <w:sz w:val="24"/>
    </w:rPr>
  </w:style>
  <w:style w:type="paragraph" w:customStyle="1" w:styleId="130">
    <w:name w:val="标三级标题"/>
    <w:basedOn w:val="127"/>
    <w:link w:val="129"/>
    <w:qFormat/>
    <w:uiPriority w:val="0"/>
    <w:rPr>
      <w:rFonts w:asciiTheme="minorHAnsi" w:hAnsiTheme="minorHAnsi" w:eastAsiaTheme="minorEastAsia" w:cstheme="minorBidi"/>
      <w:bCs w:val="0"/>
      <w:szCs w:val="22"/>
    </w:rPr>
  </w:style>
  <w:style w:type="character" w:customStyle="1" w:styleId="131">
    <w:name w:val="标正文 字符"/>
    <w:link w:val="132"/>
    <w:qFormat/>
    <w:locked/>
    <w:uiPriority w:val="0"/>
    <w:rPr>
      <w:rFonts w:ascii="宋体" w:eastAsia="宋体"/>
      <w:color w:val="000000"/>
      <w:sz w:val="24"/>
    </w:rPr>
  </w:style>
  <w:style w:type="paragraph" w:customStyle="1" w:styleId="132">
    <w:name w:val="标正文"/>
    <w:basedOn w:val="121"/>
    <w:link w:val="131"/>
    <w:qFormat/>
    <w:uiPriority w:val="0"/>
    <w:pPr>
      <w:ind w:firstLine="480"/>
    </w:pPr>
    <w:rPr>
      <w:rFonts w:eastAsia="宋体" w:hAnsiTheme="minorHAnsi"/>
      <w:szCs w:val="22"/>
    </w:rPr>
  </w:style>
  <w:style w:type="paragraph" w:customStyle="1" w:styleId="133">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4">
    <w:name w:val="HR正文表格"/>
    <w:basedOn w:val="1"/>
    <w:qFormat/>
    <w:uiPriority w:val="0"/>
    <w:pPr>
      <w:spacing w:beforeLines="25" w:afterLines="25" w:line="300" w:lineRule="auto"/>
    </w:pPr>
    <w:rPr>
      <w:szCs w:val="24"/>
    </w:rPr>
  </w:style>
  <w:style w:type="paragraph" w:styleId="135">
    <w:name w:val="List Paragraph"/>
    <w:basedOn w:val="1"/>
    <w:qFormat/>
    <w:uiPriority w:val="99"/>
    <w:pPr>
      <w:ind w:firstLine="420" w:firstLineChars="200"/>
    </w:pPr>
  </w:style>
  <w:style w:type="paragraph" w:customStyle="1" w:styleId="136">
    <w:name w:val="WPSOffice手动目录 1"/>
    <w:qFormat/>
    <w:uiPriority w:val="0"/>
    <w:rPr>
      <w:rFonts w:ascii="Times New Roman" w:hAnsi="Times New Roman" w:eastAsia="宋体" w:cs="Times New Roman"/>
      <w:lang w:val="en-US" w:eastAsia="zh-CN" w:bidi="ar-SA"/>
    </w:rPr>
  </w:style>
  <w:style w:type="table" w:customStyle="1" w:styleId="137">
    <w:name w:val="Table Normal"/>
    <w:semiHidden/>
    <w:unhideWhenUsed/>
    <w:qFormat/>
    <w:uiPriority w:val="0"/>
    <w:tblPr>
      <w:tblCellMar>
        <w:top w:w="0" w:type="dxa"/>
        <w:left w:w="0" w:type="dxa"/>
        <w:bottom w:w="0" w:type="dxa"/>
        <w:right w:w="0" w:type="dxa"/>
      </w:tblCellMar>
    </w:tblPr>
  </w:style>
  <w:style w:type="character" w:customStyle="1" w:styleId="138">
    <w:name w:val="NormalCharacter"/>
    <w:qFormat/>
    <w:uiPriority w:val="0"/>
  </w:style>
  <w:style w:type="paragraph" w:customStyle="1" w:styleId="139">
    <w:name w:val="Table Paragraph"/>
    <w:basedOn w:val="1"/>
    <w:qFormat/>
    <w:uiPriority w:val="1"/>
    <w:rPr>
      <w:rFonts w:ascii="宋体" w:hAnsi="宋体" w:eastAsia="宋体" w:cs="宋体"/>
    </w:rPr>
  </w:style>
  <w:style w:type="paragraph" w:customStyle="1" w:styleId="140">
    <w:name w:val="标书一级标题"/>
    <w:basedOn w:val="2"/>
    <w:qFormat/>
    <w:uiPriority w:val="0"/>
    <w:rPr>
      <w:rFonts w:eastAsia="黑体"/>
      <w:b w:val="0"/>
      <w:color w:val="000000"/>
      <w:sz w:val="30"/>
      <w:szCs w:val="24"/>
    </w:rPr>
  </w:style>
  <w:style w:type="paragraph" w:customStyle="1" w:styleId="141">
    <w:name w:val="无间隔1"/>
    <w:qFormat/>
    <w:uiPriority w:val="0"/>
    <w:rPr>
      <w:rFonts w:ascii="Calibri" w:hAnsi="Calibri" w:eastAsia="Calibri" w:cs="Times New Roman"/>
      <w:szCs w:val="22"/>
      <w:lang w:val="en-GB" w:eastAsia="en-US" w:bidi="ar-SA"/>
    </w:rPr>
  </w:style>
  <w:style w:type="character" w:customStyle="1" w:styleId="142">
    <w:name w:val="font21"/>
    <w:basedOn w:val="43"/>
    <w:qFormat/>
    <w:uiPriority w:val="0"/>
    <w:rPr>
      <w:rFonts w:hint="eastAsia" w:ascii="宋体" w:hAnsi="宋体" w:eastAsia="宋体" w:cs="宋体"/>
      <w:color w:val="000000"/>
      <w:sz w:val="24"/>
      <w:szCs w:val="24"/>
      <w:u w:val="none"/>
    </w:rPr>
  </w:style>
  <w:style w:type="character" w:customStyle="1" w:styleId="143">
    <w:name w:val="font01"/>
    <w:basedOn w:val="43"/>
    <w:qFormat/>
    <w:uiPriority w:val="0"/>
    <w:rPr>
      <w:rFonts w:hint="eastAsia" w:ascii="宋体" w:hAnsi="宋体" w:eastAsia="宋体" w:cs="宋体"/>
      <w:color w:val="000000"/>
      <w:sz w:val="18"/>
      <w:szCs w:val="18"/>
      <w:u w:val="none"/>
    </w:rPr>
  </w:style>
  <w:style w:type="character" w:customStyle="1" w:styleId="144">
    <w:name w:val="15"/>
    <w:qFormat/>
    <w:uiPriority w:val="0"/>
    <w:rPr>
      <w:rFonts w:hint="eastAsia" w:ascii="微软雅黑" w:hAnsi="微软雅黑" w:eastAsia="微软雅黑"/>
      <w:color w:val="000000"/>
      <w:sz w:val="22"/>
      <w:szCs w:val="22"/>
    </w:rPr>
  </w:style>
  <w:style w:type="paragraph" w:customStyle="1" w:styleId="145">
    <w:name w:val="1正文段落"/>
    <w:basedOn w:val="1"/>
    <w:qFormat/>
    <w:uiPriority w:val="0"/>
    <w:pPr>
      <w:spacing w:line="360" w:lineRule="auto"/>
      <w:ind w:firstLine="480" w:firstLineChars="200"/>
      <w:jc w:val="left"/>
    </w:pPr>
    <w:rPr>
      <w:kern w:val="0"/>
      <w:szCs w:val="20"/>
    </w:rPr>
  </w:style>
  <w:style w:type="character" w:customStyle="1" w:styleId="146">
    <w:name w:val="ant-tree-checkbox8"/>
    <w:basedOn w:val="43"/>
    <w:qFormat/>
    <w:uiPriority w:val="0"/>
  </w:style>
  <w:style w:type="character" w:customStyle="1" w:styleId="147">
    <w:name w:val="ant-select-tree-iconele"/>
    <w:basedOn w:val="43"/>
    <w:qFormat/>
    <w:uiPriority w:val="0"/>
  </w:style>
  <w:style w:type="character" w:customStyle="1" w:styleId="148">
    <w:name w:val="wea-dropdown-triangle"/>
    <w:basedOn w:val="43"/>
    <w:qFormat/>
    <w:uiPriority w:val="0"/>
  </w:style>
  <w:style w:type="character" w:customStyle="1" w:styleId="149">
    <w:name w:val="button"/>
    <w:basedOn w:val="43"/>
    <w:qFormat/>
    <w:uiPriority w:val="0"/>
  </w:style>
  <w:style w:type="character" w:customStyle="1" w:styleId="150">
    <w:name w:val="button1"/>
    <w:basedOn w:val="43"/>
    <w:qFormat/>
    <w:uiPriority w:val="0"/>
  </w:style>
  <w:style w:type="character" w:customStyle="1" w:styleId="151">
    <w:name w:val="hover34"/>
    <w:basedOn w:val="43"/>
    <w:qFormat/>
    <w:uiPriority w:val="0"/>
    <w:rPr>
      <w:color w:val="009DFF"/>
    </w:rPr>
  </w:style>
  <w:style w:type="character" w:customStyle="1" w:styleId="152">
    <w:name w:val="hover35"/>
    <w:basedOn w:val="43"/>
    <w:qFormat/>
    <w:uiPriority w:val="0"/>
    <w:rPr>
      <w:color w:val="009DFF"/>
    </w:rPr>
  </w:style>
  <w:style w:type="character" w:customStyle="1" w:styleId="153">
    <w:name w:val="first-of-type"/>
    <w:basedOn w:val="43"/>
    <w:qFormat/>
    <w:uiPriority w:val="0"/>
    <w:rPr>
      <w:color w:val="FF0000"/>
    </w:rPr>
  </w:style>
  <w:style w:type="character" w:customStyle="1" w:styleId="154">
    <w:name w:val="first-of-type1"/>
    <w:basedOn w:val="43"/>
    <w:qFormat/>
    <w:uiPriority w:val="0"/>
    <w:rPr>
      <w:color w:val="FF0000"/>
    </w:rPr>
  </w:style>
  <w:style w:type="character" w:customStyle="1" w:styleId="155">
    <w:name w:val="not-pass-node"/>
    <w:basedOn w:val="43"/>
    <w:qFormat/>
    <w:uiPriority w:val="0"/>
    <w:rPr>
      <w:bdr w:val="single" w:color="5ABD6B" w:sz="6" w:space="0"/>
      <w:shd w:val="clear" w:color="auto" w:fill="BFF3C3"/>
    </w:rPr>
  </w:style>
  <w:style w:type="character" w:customStyle="1" w:styleId="156">
    <w:name w:val="ant-tree-switcher8"/>
    <w:basedOn w:val="43"/>
    <w:qFormat/>
    <w:uiPriority w:val="0"/>
  </w:style>
  <w:style w:type="character" w:customStyle="1" w:styleId="157">
    <w:name w:val="ant-radio+*"/>
    <w:basedOn w:val="43"/>
    <w:qFormat/>
    <w:uiPriority w:val="0"/>
  </w:style>
  <w:style w:type="character" w:customStyle="1" w:styleId="158">
    <w:name w:val="ant-select-tree-checkbox"/>
    <w:basedOn w:val="43"/>
    <w:qFormat/>
    <w:uiPriority w:val="0"/>
  </w:style>
  <w:style w:type="character" w:customStyle="1" w:styleId="159">
    <w:name w:val="isrevision"/>
    <w:basedOn w:val="43"/>
    <w:qFormat/>
    <w:uiPriority w:val="0"/>
    <w:rPr>
      <w:color w:val="000000"/>
      <w:sz w:val="18"/>
      <w:szCs w:val="18"/>
      <w:bdr w:val="single" w:color="E9E9E9" w:sz="6" w:space="0"/>
      <w:shd w:val="clear" w:color="auto" w:fill="FFFFFF"/>
    </w:rPr>
  </w:style>
  <w:style w:type="character" w:customStyle="1" w:styleId="160">
    <w:name w:val="disabled4"/>
    <w:basedOn w:val="43"/>
    <w:qFormat/>
    <w:uiPriority w:val="0"/>
    <w:rPr>
      <w:color w:val="AAAAAA"/>
      <w:shd w:val="clear" w:color="auto" w:fill="F7F7F7"/>
    </w:rPr>
  </w:style>
  <w:style w:type="character" w:customStyle="1" w:styleId="161">
    <w:name w:val="auto-pass-node"/>
    <w:basedOn w:val="43"/>
    <w:qFormat/>
    <w:uiPriority w:val="0"/>
    <w:rPr>
      <w:bdr w:val="single" w:color="DC4446" w:sz="6" w:space="0"/>
      <w:shd w:val="clear" w:color="auto" w:fill="A9E2FF"/>
    </w:rPr>
  </w:style>
  <w:style w:type="character" w:customStyle="1" w:styleId="162">
    <w:name w:val="ant-tree-iconele"/>
    <w:basedOn w:val="43"/>
    <w:qFormat/>
    <w:uiPriority w:val="0"/>
  </w:style>
  <w:style w:type="character" w:customStyle="1" w:styleId="163">
    <w:name w:val="wea-thumbnails-doc-content-subtitle"/>
    <w:basedOn w:val="43"/>
    <w:qFormat/>
    <w:uiPriority w:val="0"/>
    <w:rPr>
      <w:color w:val="9A9A9A"/>
    </w:rPr>
  </w:style>
  <w:style w:type="character" w:customStyle="1" w:styleId="164">
    <w:name w:val="ant-select-tree-switcher"/>
    <w:basedOn w:val="43"/>
    <w:qFormat/>
    <w:uiPriority w:val="0"/>
  </w:style>
  <w:style w:type="character" w:customStyle="1" w:styleId="165">
    <w:name w:val="ant-table-row-expand-icon3"/>
    <w:basedOn w:val="43"/>
    <w:qFormat/>
    <w:uiPriority w:val="0"/>
    <w:rPr>
      <w:vanish/>
    </w:rPr>
  </w:style>
  <w:style w:type="character" w:customStyle="1" w:styleId="166">
    <w:name w:val="passed-node"/>
    <w:basedOn w:val="43"/>
    <w:qFormat/>
    <w:uiPriority w:val="0"/>
    <w:rPr>
      <w:bdr w:val="single" w:color="49A8D4" w:sz="6" w:space="0"/>
      <w:shd w:val="clear" w:color="auto" w:fill="A9E3FF"/>
    </w:rPr>
  </w:style>
  <w:style w:type="character" w:customStyle="1" w:styleId="167">
    <w:name w:val="current-node"/>
    <w:basedOn w:val="43"/>
    <w:qFormat/>
    <w:uiPriority w:val="0"/>
    <w:rPr>
      <w:bdr w:val="single" w:color="F5B87B" w:sz="6" w:space="0"/>
      <w:shd w:val="clear" w:color="auto" w:fill="FFE8CC"/>
    </w:rPr>
  </w:style>
  <w:style w:type="character" w:customStyle="1" w:styleId="168">
    <w:name w:val="tmpztreemove_arrow"/>
    <w:basedOn w:val="43"/>
    <w:qFormat/>
    <w:uiPriority w:val="0"/>
  </w:style>
  <w:style w:type="character" w:customStyle="1" w:styleId="169">
    <w:name w:val="ant-tree-switcher10"/>
    <w:basedOn w:val="43"/>
    <w:qFormat/>
    <w:uiPriority w:val="0"/>
  </w:style>
  <w:style w:type="character" w:customStyle="1" w:styleId="170">
    <w:name w:val="ant-table-row-expand-icon"/>
    <w:basedOn w:val="43"/>
    <w:qFormat/>
    <w:uiPriority w:val="0"/>
    <w:rPr>
      <w:vanish/>
    </w:rPr>
  </w:style>
  <w:style w:type="character" w:customStyle="1" w:styleId="171">
    <w:name w:val="ant-select-tree-checkbox2"/>
    <w:basedOn w:val="43"/>
    <w:qFormat/>
    <w:uiPriority w:val="0"/>
  </w:style>
  <w:style w:type="character" w:customStyle="1" w:styleId="172">
    <w:name w:val="disabled"/>
    <w:basedOn w:val="43"/>
    <w:qFormat/>
    <w:uiPriority w:val="0"/>
    <w:rPr>
      <w:color w:val="AAAAAA"/>
      <w:shd w:val="clear" w:color="auto" w:fill="F7F7F7"/>
    </w:rPr>
  </w:style>
  <w:style w:type="character" w:customStyle="1" w:styleId="173">
    <w:name w:val="ant-tree-checkbox7"/>
    <w:basedOn w:val="43"/>
    <w:qFormat/>
    <w:uiPriority w:val="0"/>
  </w:style>
  <w:style w:type="character" w:customStyle="1" w:styleId="174">
    <w:name w:val="ant-table-row-expand-icon4"/>
    <w:basedOn w:val="43"/>
    <w:qFormat/>
    <w:uiPriority w:val="0"/>
    <w:rPr>
      <w:vanish/>
    </w:rPr>
  </w:style>
  <w:style w:type="character" w:customStyle="1" w:styleId="175">
    <w:name w:val="hover30"/>
    <w:basedOn w:val="43"/>
    <w:qFormat/>
    <w:uiPriority w:val="0"/>
    <w:rPr>
      <w:color w:val="009DFF"/>
    </w:rPr>
  </w:style>
  <w:style w:type="character" w:customStyle="1" w:styleId="176">
    <w:name w:val="hover31"/>
    <w:basedOn w:val="43"/>
    <w:qFormat/>
    <w:uiPriority w:val="0"/>
    <w:rPr>
      <w:color w:val="009DFF"/>
    </w:rPr>
  </w:style>
  <w:style w:type="character" w:customStyle="1" w:styleId="177">
    <w:name w:val="ant-tree-checkbox"/>
    <w:basedOn w:val="43"/>
    <w:qFormat/>
    <w:uiPriority w:val="0"/>
  </w:style>
  <w:style w:type="character" w:customStyle="1" w:styleId="178">
    <w:name w:val="ant-tree-switcher"/>
    <w:basedOn w:val="43"/>
    <w:qFormat/>
    <w:uiPriority w:val="0"/>
  </w:style>
  <w:style w:type="character" w:customStyle="1" w:styleId="179">
    <w:name w:val="wea-dropdown-triangle2"/>
    <w:basedOn w:val="43"/>
    <w:qFormat/>
    <w:uiPriority w:val="0"/>
  </w:style>
  <w:style w:type="character" w:customStyle="1" w:styleId="180">
    <w:name w:val="ant-tree-switcher9"/>
    <w:basedOn w:val="43"/>
    <w:qFormat/>
    <w:uiPriority w:val="0"/>
  </w:style>
  <w:style w:type="character" w:customStyle="1" w:styleId="181">
    <w:name w:val="hover32"/>
    <w:basedOn w:val="43"/>
    <w:qFormat/>
    <w:uiPriority w:val="0"/>
    <w:rPr>
      <w:color w:val="009DFF"/>
    </w:rPr>
  </w:style>
  <w:style w:type="character" w:customStyle="1" w:styleId="182">
    <w:name w:val="ant-tree-switcher7"/>
    <w:basedOn w:val="43"/>
    <w:qFormat/>
    <w:uiPriority w:val="0"/>
  </w:style>
  <w:style w:type="character" w:customStyle="1" w:styleId="183">
    <w:name w:val="hover25"/>
    <w:basedOn w:val="43"/>
    <w:qFormat/>
    <w:uiPriority w:val="0"/>
    <w:rPr>
      <w:color w:val="009DFF"/>
    </w:rPr>
  </w:style>
  <w:style w:type="character" w:customStyle="1" w:styleId="184">
    <w:name w:val="hover26"/>
    <w:basedOn w:val="43"/>
    <w:qFormat/>
    <w:uiPriority w:val="0"/>
    <w:rPr>
      <w:color w:val="009DFF"/>
    </w:rPr>
  </w:style>
  <w:style w:type="paragraph" w:customStyle="1" w:styleId="185">
    <w:name w:val="Table Text"/>
    <w:basedOn w:val="1"/>
    <w:semiHidden/>
    <w:qFormat/>
    <w:uiPriority w:val="0"/>
    <w:rPr>
      <w:rFonts w:ascii="宋体" w:hAnsi="宋体" w:eastAsia="宋体" w:cs="宋体"/>
      <w:sz w:val="24"/>
      <w:szCs w:val="24"/>
      <w:lang w:eastAsia="en-US"/>
    </w:rPr>
  </w:style>
  <w:style w:type="paragraph" w:styleId="186">
    <w:name w:val="No Spacing"/>
    <w:qFormat/>
    <w:uiPriority w:val="1"/>
    <w:rPr>
      <w:rFonts w:ascii="等线" w:hAnsi="等线" w:eastAsia="等线" w:cs="Times New Roman"/>
      <w:sz w:val="21"/>
      <w:szCs w:val="21"/>
      <w:lang w:val="en-US" w:eastAsia="zh-CN" w:bidi="ar-SA"/>
    </w:rPr>
  </w:style>
  <w:style w:type="character" w:customStyle="1" w:styleId="187">
    <w:name w:val="Classification"/>
    <w:qFormat/>
    <w:uiPriority w:val="99"/>
    <w:rPr>
      <w:rFonts w:ascii="Calibri" w:hAnsi="Calibri" w:eastAsia="宋体" w:cs="Cordia New"/>
      <w:b/>
      <w:bCs/>
      <w:caps/>
      <w:color w:val="000000"/>
      <w:spacing w:val="20"/>
      <w:sz w:val="24"/>
      <w:szCs w:val="24"/>
    </w:rPr>
  </w:style>
  <w:style w:type="character" w:customStyle="1" w:styleId="188">
    <w:name w:val="正文悬挂缩进 Char Char"/>
    <w:link w:val="189"/>
    <w:qFormat/>
    <w:uiPriority w:val="0"/>
    <w:rPr>
      <w:sz w:val="24"/>
      <w:szCs w:val="24"/>
    </w:rPr>
  </w:style>
  <w:style w:type="paragraph" w:customStyle="1" w:styleId="189">
    <w:name w:val="正文悬挂缩进"/>
    <w:basedOn w:val="8"/>
    <w:link w:val="188"/>
    <w:qFormat/>
    <w:uiPriority w:val="0"/>
    <w:pPr>
      <w:adjustRightInd w:val="0"/>
      <w:snapToGrid w:val="0"/>
      <w:spacing w:line="360" w:lineRule="auto"/>
      <w:ind w:left="200" w:leftChars="200" w:firstLine="200"/>
      <w:jc w:val="left"/>
    </w:pPr>
    <w:rPr>
      <w:kern w:val="0"/>
    </w:rPr>
  </w:style>
  <w:style w:type="paragraph" w:customStyle="1" w:styleId="190">
    <w:name w:val="列出段落2"/>
    <w:basedOn w:val="1"/>
    <w:qFormat/>
    <w:uiPriority w:val="0"/>
    <w:pPr>
      <w:ind w:firstLine="420" w:firstLineChars="200"/>
    </w:pPr>
    <w:rPr>
      <w:rFonts w:ascii="Calibri" w:hAnsi="Calibri" w:eastAsia="宋体" w:cs="Times New Roman"/>
    </w:rPr>
  </w:style>
  <w:style w:type="paragraph" w:customStyle="1" w:styleId="191">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92">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3">
    <w:name w:val="列表段落1"/>
    <w:basedOn w:val="1"/>
    <w:qFormat/>
    <w:uiPriority w:val="0"/>
    <w:pPr>
      <w:ind w:firstLine="420" w:firstLineChars="200"/>
    </w:pPr>
    <w:rPr>
      <w:rFonts w:ascii="Calibri" w:hAnsi="Calibri" w:eastAsia="宋体" w:cs="Times New Roman"/>
    </w:rPr>
  </w:style>
  <w:style w:type="character" w:customStyle="1" w:styleId="194">
    <w:name w:val="font41"/>
    <w:qFormat/>
    <w:uiPriority w:val="0"/>
    <w:rPr>
      <w:rFonts w:hint="eastAsia" w:ascii="宋体" w:hAnsi="宋体" w:eastAsia="宋体" w:cs="宋体"/>
      <w:color w:val="FF0000"/>
      <w:sz w:val="22"/>
      <w:szCs w:val="22"/>
      <w:u w:val="none"/>
    </w:rPr>
  </w:style>
  <w:style w:type="paragraph" w:customStyle="1" w:styleId="195">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6">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7">
    <w:name w:val="样式1"/>
    <w:basedOn w:val="1"/>
    <w:link w:val="198"/>
    <w:qFormat/>
    <w:uiPriority w:val="0"/>
    <w:pPr>
      <w:spacing w:before="50" w:beforeLines="50" w:line="360" w:lineRule="auto"/>
    </w:pPr>
    <w:rPr>
      <w:rFonts w:hint="eastAsia" w:ascii="仿宋" w:hAnsi="仿宋" w:eastAsia="仿宋" w:cs="仿宋"/>
      <w:b/>
      <w:sz w:val="24"/>
      <w:szCs w:val="24"/>
    </w:rPr>
  </w:style>
  <w:style w:type="character" w:customStyle="1" w:styleId="198">
    <w:name w:val="样式1 Char"/>
    <w:link w:val="197"/>
    <w:qFormat/>
    <w:uiPriority w:val="0"/>
    <w:rPr>
      <w:rFonts w:hint="eastAsia" w:ascii="仿宋" w:hAnsi="仿宋" w:eastAsia="仿宋" w:cs="仿宋"/>
      <w:b/>
      <w:sz w:val="24"/>
      <w:szCs w:val="24"/>
    </w:rPr>
  </w:style>
  <w:style w:type="paragraph" w:customStyle="1" w:styleId="199">
    <w:name w:val="表格标题"/>
    <w:basedOn w:val="13"/>
    <w:qFormat/>
    <w:uiPriority w:val="0"/>
    <w:pPr>
      <w:spacing w:before="20" w:beforeLines="20" w:after="20" w:afterLines="20" w:line="240" w:lineRule="auto"/>
      <w:ind w:firstLine="0" w:firstLineChars="0"/>
      <w:jc w:val="center"/>
    </w:pPr>
    <w:rPr>
      <w:rFonts w:hint="eastAsia" w:ascii="Times New Roman" w:hAnsi="Times New Roman"/>
      <w:b/>
      <w:sz w:val="24"/>
    </w:rPr>
  </w:style>
  <w:style w:type="paragraph" w:customStyle="1" w:styleId="200">
    <w:name w:val="表格内容"/>
    <w:basedOn w:val="199"/>
    <w:qFormat/>
    <w:uiPriority w:val="0"/>
    <w:pPr>
      <w:jc w:val="center"/>
    </w:pPr>
    <w:rPr>
      <w:rFonts w:ascii="Arial" w:hAnsi="Arial"/>
      <w:b w:val="0"/>
    </w:rPr>
  </w:style>
  <w:style w:type="paragraph" w:customStyle="1" w:styleId="201">
    <w:name w:val="表格"/>
    <w:basedOn w:val="1"/>
    <w:qFormat/>
    <w:uiPriority w:val="0"/>
    <w:pPr>
      <w:jc w:val="center"/>
    </w:pPr>
    <w:rPr>
      <w:rFonts w:ascii="Calibri" w:hAnsi="Calibri" w:cs="Times New Roman"/>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3" Type="http://schemas.openxmlformats.org/officeDocument/2006/relationships/fontTable" Target="fontTable.xml"/><Relationship Id="rId62" Type="http://schemas.openxmlformats.org/officeDocument/2006/relationships/customXml" Target="../customXml/item2.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3.xml"/><Relationship Id="rId59" Type="http://schemas.openxmlformats.org/officeDocument/2006/relationships/image" Target="media/image14.png"/><Relationship Id="rId58" Type="http://schemas.openxmlformats.org/officeDocument/2006/relationships/image" Target="media/image13.png"/><Relationship Id="rId57" Type="http://schemas.openxmlformats.org/officeDocument/2006/relationships/image" Target="media/image12.png"/><Relationship Id="rId56" Type="http://schemas.openxmlformats.org/officeDocument/2006/relationships/image" Target="media/image11.png"/><Relationship Id="rId55" Type="http://schemas.openxmlformats.org/officeDocument/2006/relationships/image" Target="media/image10.png"/><Relationship Id="rId54" Type="http://schemas.openxmlformats.org/officeDocument/2006/relationships/image" Target="media/image9.png"/><Relationship Id="rId53" Type="http://schemas.openxmlformats.org/officeDocument/2006/relationships/image" Target="media/image8.png"/><Relationship Id="rId52" Type="http://schemas.openxmlformats.org/officeDocument/2006/relationships/image" Target="media/image7.png"/><Relationship Id="rId51" Type="http://schemas.openxmlformats.org/officeDocument/2006/relationships/image" Target="media/image6.png"/><Relationship Id="rId50" Type="http://schemas.openxmlformats.org/officeDocument/2006/relationships/image" Target="media/image5.png"/><Relationship Id="rId5" Type="http://schemas.openxmlformats.org/officeDocument/2006/relationships/header" Target="header1.xml"/><Relationship Id="rId49" Type="http://schemas.openxmlformats.org/officeDocument/2006/relationships/image" Target="media/image4.png"/><Relationship Id="rId48" Type="http://schemas.openxmlformats.org/officeDocument/2006/relationships/image" Target="media/image3.png"/><Relationship Id="rId47" Type="http://schemas.openxmlformats.org/officeDocument/2006/relationships/image" Target="media/image2.jpeg"/><Relationship Id="rId46" Type="http://schemas.openxmlformats.org/officeDocument/2006/relationships/theme" Target="theme/theme1.xml"/><Relationship Id="rId45" Type="http://schemas.openxmlformats.org/officeDocument/2006/relationships/footer" Target="footer32.xml"/><Relationship Id="rId44" Type="http://schemas.openxmlformats.org/officeDocument/2006/relationships/footer" Target="footer31.xml"/><Relationship Id="rId43" Type="http://schemas.openxmlformats.org/officeDocument/2006/relationships/header" Target="header11.xml"/><Relationship Id="rId42" Type="http://schemas.openxmlformats.org/officeDocument/2006/relationships/header" Target="header10.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footer" Target="footer2.xml"/><Relationship Id="rId39" Type="http://schemas.openxmlformats.org/officeDocument/2006/relationships/footer" Target="footer28.xml"/><Relationship Id="rId38" Type="http://schemas.openxmlformats.org/officeDocument/2006/relationships/header" Target="header9.xml"/><Relationship Id="rId37" Type="http://schemas.openxmlformats.org/officeDocument/2006/relationships/header" Target="header8.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header" Target="header7.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124</Pages>
  <Words>14022</Words>
  <Characters>15471</Characters>
  <Lines>407</Lines>
  <Paragraphs>114</Paragraphs>
  <TotalTime>4</TotalTime>
  <ScaleCrop>false</ScaleCrop>
  <LinksUpToDate>false</LinksUpToDate>
  <CharactersWithSpaces>15775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2026-09-21T08:50:40Z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60A7CEE707BB440483AE67DA952567BF_13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