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49D28135">
      <w:pPr>
        <w:pStyle w:val="114"/>
        <w:jc w:val="center"/>
        <w:rPr>
          <w:rStyle w:val="115"/>
          <w:rFonts w:hint="eastAsia" w:ascii="宋体" w:hAnsi="宋体" w:cs="仿宋"/>
          <w:b/>
          <w:bCs/>
          <w:sz w:val="48"/>
          <w:szCs w:val="48"/>
          <w:lang w:val="en-US" w:eastAsia="zh-CN"/>
        </w:rPr>
      </w:pPr>
      <w:r>
        <w:rPr>
          <w:rFonts w:hint="eastAsia" w:ascii="楷体_GB2312" w:hAnsi="宋体" w:eastAsia="楷体_GB2312"/>
          <w:sz w:val="52"/>
          <w:szCs w:val="52"/>
          <w:highlight w:val="none"/>
          <w:lang w:val="en-US" w:eastAsia="zh-CN"/>
        </w:rPr>
        <w:t>济南部件</w:t>
      </w:r>
      <w:r>
        <w:rPr>
          <w:rFonts w:hint="eastAsia" w:ascii="楷体_GB2312" w:hAnsi="宋体" w:eastAsia="楷体_GB2312" w:cs="Times New Roman"/>
          <w:sz w:val="52"/>
          <w:szCs w:val="52"/>
          <w:highlight w:val="none"/>
          <w:lang w:val="en-US" w:eastAsia="zh-CN"/>
        </w:rPr>
        <w:t>公司多联机空调维保项目</w:t>
      </w:r>
    </w:p>
    <w:p w14:paraId="1F719623">
      <w:pPr>
        <w:jc w:val="center"/>
        <w:rPr>
          <w:rFonts w:hint="eastAsia" w:ascii="宋体" w:hAnsi="宋体" w:cs="宋体"/>
          <w:sz w:val="72"/>
          <w:szCs w:val="72"/>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ascii="宋体" w:hAnsi="宋体"/>
          <w:sz w:val="48"/>
          <w:szCs w:val="48"/>
          <w:highlight w:val="none"/>
        </w:rPr>
      </w:pPr>
      <w:r>
        <w:rPr>
          <w:rFonts w:hint="eastAsia" w:ascii="宋体" w:hAnsi="宋体" w:cs="宋体"/>
          <w:b/>
          <w:bCs/>
          <w:kern w:val="0"/>
          <w:sz w:val="32"/>
          <w:szCs w:val="32"/>
          <w:highlight w:val="none"/>
        </w:rPr>
        <w:t>项目编号：ZBGL2026070161</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07月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23927"/>
      <w:bookmarkStart w:id="1" w:name="_Toc47976595"/>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4B4CFB9">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w:t>
      </w:r>
      <w:r>
        <w:rPr>
          <w:rFonts w:hint="eastAsia" w:eastAsia="宋体" w:cs="Times New Roman" w:asciiTheme="minorEastAsia" w:hAnsiTheme="minorEastAsia"/>
          <w:bCs/>
          <w:szCs w:val="24"/>
          <w:lang w:val="en-US" w:eastAsia="zh-CN"/>
        </w:rPr>
        <w:t>司多联机空调维保项目</w:t>
      </w:r>
    </w:p>
    <w:p w14:paraId="17A97EA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项目编号：ZBGL2026070161</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highlight w:val="none"/>
          <w:lang w:val="en-US"/>
        </w:rPr>
      </w:pPr>
      <w:r>
        <w:rPr>
          <w:rFonts w:hint="eastAsia"/>
          <w:highlight w:val="none"/>
        </w:rPr>
        <w:t>招标形式：</w:t>
      </w:r>
      <w:bookmarkStart w:id="3" w:name="_Toc47112482"/>
      <w:r>
        <w:rPr>
          <w:rFonts w:hint="eastAsia"/>
          <w:highlight w:val="none"/>
          <w:lang w:val="en-US" w:eastAsia="zh-CN"/>
        </w:rPr>
        <w:t>公开招标</w:t>
      </w:r>
    </w:p>
    <w:p w14:paraId="742B3A8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14" w:leftChars="0" w:hanging="14" w:firstLineChars="0"/>
        <w:textAlignment w:val="auto"/>
        <w:rPr>
          <w:rFonts w:hint="eastAsia" w:asciiTheme="minorEastAsia" w:hAnsiTheme="minorEastAsia"/>
          <w:bCs/>
          <w:szCs w:val="24"/>
          <w:lang w:val="en-US" w:eastAsia="zh-CN"/>
        </w:rPr>
      </w:pPr>
      <w:r>
        <w:rPr>
          <w:rFonts w:hint="eastAsia"/>
          <w:lang w:val="en-US" w:eastAsia="zh-CN"/>
        </w:rPr>
        <w:t>项目</w:t>
      </w:r>
      <w:r>
        <w:rPr>
          <w:rFonts w:hint="eastAsia" w:asciiTheme="minorEastAsia" w:hAnsiTheme="minorEastAsia"/>
          <w:bCs/>
          <w:szCs w:val="24"/>
          <w:lang w:val="en-US" w:eastAsia="zh-CN"/>
        </w:rPr>
        <w:t>概况：本项目为多联机空调全流程维保服务，包含空调滤网清洁、外机保养、故障排查维修、原厂配件更换、系统调试检测等全部维保内容。</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highlight w:val="none"/>
          <w:u w:val="none"/>
          <w:lang w:val="en-US" w:eastAsia="zh-CN"/>
        </w:rPr>
      </w:pPr>
      <w:r>
        <w:rPr>
          <w:rFonts w:hint="eastAsia" w:hAnsi="宋体" w:cs="宋体"/>
          <w:i w:val="0"/>
          <w:iCs w:val="0"/>
          <w:caps w:val="0"/>
          <w:color w:val="0F1115"/>
          <w:spacing w:val="0"/>
          <w:sz w:val="21"/>
          <w:szCs w:val="21"/>
          <w:highlight w:val="none"/>
          <w:shd w:val="clear" w:fill="FFFFFF"/>
          <w:lang w:val="en-US" w:eastAsia="zh-CN"/>
        </w:rPr>
        <w:t>项目预算3万元（含税）</w:t>
      </w:r>
      <w:r>
        <w:rPr>
          <w:rFonts w:hint="eastAsia" w:ascii="宋体" w:hAnsi="宋体" w:eastAsia="宋体" w:cs="宋体"/>
          <w:i w:val="0"/>
          <w:iCs w:val="0"/>
          <w:caps w:val="0"/>
          <w:color w:val="0F1115"/>
          <w:spacing w:val="0"/>
          <w:sz w:val="21"/>
          <w:szCs w:val="21"/>
          <w:highlight w:val="none"/>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highlight w:val="none"/>
          <w:lang w:val="en-US" w:eastAsia="zh-CN"/>
        </w:rPr>
      </w:pPr>
      <w:r>
        <w:rPr>
          <w:rFonts w:hint="default" w:cs="Times New Roman"/>
          <w:highlight w:val="none"/>
          <w:lang w:val="en-US" w:eastAsia="zh-CN"/>
        </w:rPr>
        <w:t>资金来源：企业自筹。</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highlight w:val="none"/>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招标人地址：</w:t>
      </w:r>
      <w:r>
        <w:rPr>
          <w:rFonts w:hint="default" w:ascii="宋体" w:hAnsi="Courier New" w:eastAsia="宋体" w:cs="Times New Roman"/>
          <w:kern w:val="2"/>
          <w:sz w:val="21"/>
          <w:highlight w:val="none"/>
          <w:lang w:val="en-US" w:eastAsia="zh-CN" w:bidi="ar-SA"/>
        </w:rPr>
        <w:t>济南市章丘区圣井街道潘王路西重汽工业园北三厂</w:t>
      </w:r>
      <w:r>
        <w:rPr>
          <w:rFonts w:hint="eastAsia" w:ascii="宋体" w:hAnsi="Courier New" w:eastAsia="宋体" w:cs="Times New Roman"/>
          <w:kern w:val="2"/>
          <w:sz w:val="21"/>
          <w:highlight w:val="none"/>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商务联系人：</w:t>
      </w:r>
      <w:r>
        <w:rPr>
          <w:rFonts w:hint="eastAsia" w:ascii="宋体" w:hAnsi="Courier New" w:cs="Times New Roman"/>
          <w:kern w:val="2"/>
          <w:sz w:val="21"/>
          <w:highlight w:val="none"/>
          <w:lang w:val="en-US" w:eastAsia="zh-CN" w:bidi="ar-SA"/>
        </w:rPr>
        <w:t>郝龙磊</w:t>
      </w:r>
    </w:p>
    <w:p w14:paraId="29BCF26A">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cs="Times New Roman"/>
          <w:kern w:val="2"/>
          <w:sz w:val="21"/>
          <w:highlight w:val="none"/>
          <w:lang w:val="en-US" w:eastAsia="zh-CN" w:bidi="ar-SA"/>
        </w:rPr>
      </w:pPr>
      <w:r>
        <w:rPr>
          <w:rFonts w:hint="eastAsia" w:ascii="宋体" w:hAnsi="Courier New" w:eastAsia="宋体" w:cs="Times New Roman"/>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color w:val="auto"/>
          <w:kern w:val="2"/>
          <w:sz w:val="21"/>
          <w:highlight w:val="none"/>
          <w:lang w:val="en-US" w:eastAsia="zh-CN" w:bidi="ar-SA"/>
        </w:rPr>
      </w:pPr>
      <w:r>
        <w:rPr>
          <w:rFonts w:hint="eastAsia" w:ascii="宋体" w:hAnsi="Courier New" w:eastAsia="宋体" w:cs="Times New Roman"/>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p w14:paraId="114C34D0">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eastAsia" w:ascii="宋体" w:hAnsi="Courier New" w:eastAsia="宋体" w:cs="Times New Roman"/>
          <w:kern w:val="2"/>
          <w:sz w:val="21"/>
          <w:highlight w:val="none"/>
          <w:lang w:val="en-US" w:eastAsia="zh-CN" w:bidi="ar-SA"/>
        </w:rPr>
      </w:pPr>
      <w:r>
        <w:rPr>
          <w:rFonts w:hint="eastAsia" w:ascii="宋体" w:hAnsi="Courier New" w:eastAsia="宋体" w:cs="Times New Roman"/>
          <w:b/>
          <w:bCs/>
          <w:kern w:val="2"/>
          <w:sz w:val="21"/>
          <w:highlight w:val="none"/>
          <w:lang w:val="en-US" w:eastAsia="zh-CN" w:bidi="ar-SA"/>
        </w:rPr>
        <w:t>技术联系人：</w:t>
      </w:r>
      <w:r>
        <w:rPr>
          <w:rFonts w:hint="eastAsia" w:ascii="宋体" w:hAnsi="Courier New" w:cs="Times New Roman"/>
          <w:kern w:val="2"/>
          <w:sz w:val="21"/>
          <w:highlight w:val="none"/>
          <w:lang w:val="en-US" w:eastAsia="zh-CN" w:bidi="ar-SA"/>
        </w:rPr>
        <w:t>郝龙磊</w:t>
      </w:r>
    </w:p>
    <w:p w14:paraId="1DF28AB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Courier New" w:cs="Times New Roman"/>
          <w:kern w:val="2"/>
          <w:sz w:val="21"/>
          <w:highlight w:val="none"/>
          <w:lang w:val="en-US" w:eastAsia="zh-CN" w:bidi="ar-SA"/>
        </w:rPr>
      </w:pPr>
      <w:r>
        <w:rPr>
          <w:rStyle w:val="37"/>
          <w:rFonts w:hint="eastAsia" w:ascii="宋体" w:hAnsi="Courier New" w:eastAsia="宋体" w:cs="Times New Roman"/>
          <w:color w:val="auto"/>
          <w:kern w:val="2"/>
          <w:sz w:val="21"/>
          <w:highlight w:val="none"/>
          <w:lang w:val="en-US" w:eastAsia="zh-CN" w:bidi="ar-SA"/>
        </w:rPr>
        <w:t>电话：</w:t>
      </w:r>
      <w:r>
        <w:rPr>
          <w:rFonts w:hint="eastAsia" w:ascii="宋体" w:hAnsi="Courier New" w:cs="Times New Roman"/>
          <w:kern w:val="2"/>
          <w:sz w:val="21"/>
          <w:highlight w:val="none"/>
          <w:lang w:val="en-US" w:eastAsia="zh-CN" w:bidi="ar-SA"/>
        </w:rPr>
        <w:t>13853169035</w:t>
      </w:r>
    </w:p>
    <w:p w14:paraId="1CB85566">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highlight w:val="none"/>
          <w:lang w:val="en-US" w:eastAsia="zh-CN" w:bidi="ar-SA"/>
        </w:rPr>
      </w:pPr>
      <w:r>
        <w:rPr>
          <w:rStyle w:val="37"/>
          <w:rFonts w:hint="eastAsia" w:ascii="宋体" w:hAnsi="Courier New" w:cs="Times New Roman"/>
          <w:color w:val="auto"/>
          <w:kern w:val="2"/>
          <w:sz w:val="21"/>
          <w:highlight w:val="none"/>
          <w:lang w:val="en-US" w:eastAsia="zh-CN" w:bidi="ar-SA"/>
        </w:rPr>
        <w:t>邮箱：</w:t>
      </w:r>
      <w:r>
        <w:rPr>
          <w:rFonts w:hint="eastAsia" w:ascii="宋体" w:hAnsi="Courier New" w:cs="Times New Roman"/>
          <w:kern w:val="2"/>
          <w:sz w:val="21"/>
          <w:highlight w:val="none"/>
          <w:lang w:val="en-US" w:eastAsia="zh-CN" w:bidi="ar-SA"/>
        </w:rPr>
        <w:t>haolonglei@sinotruk.com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bookmarkStart w:id="4" w:name="_Toc47976598"/>
      <w:r>
        <w:rPr>
          <w:rFonts w:hint="eastAsia"/>
          <w:highlight w:val="none"/>
        </w:rPr>
        <w:t>合格的投标人</w:t>
      </w:r>
      <w:bookmarkEnd w:id="4"/>
    </w:p>
    <w:p w14:paraId="5243DD9C">
      <w:pPr>
        <w:pStyle w:val="14"/>
        <w:spacing w:line="360" w:lineRule="auto"/>
        <w:ind w:firstLine="420" w:firstLineChars="200"/>
        <w:rPr>
          <w:b/>
          <w:highlight w:val="none"/>
        </w:rPr>
      </w:pPr>
      <w:r>
        <w:rPr>
          <w:rFonts w:hint="eastAsia" w:ascii="仿宋" w:hAnsi="仿宋" w:eastAsia="仿宋"/>
          <w:highlight w:val="none"/>
        </w:rPr>
        <w:t>(1)</w:t>
      </w:r>
      <w:r>
        <w:rPr>
          <w:rFonts w:hint="eastAsia" w:cs="Arial"/>
          <w:color w:val="000000"/>
          <w:szCs w:val="21"/>
          <w:highlight w:val="none"/>
        </w:rPr>
        <w:t>投标人须遵守《中华人民共和国招标投标法》及其它有关的法律和法规</w:t>
      </w:r>
      <w:r>
        <w:rPr>
          <w:rFonts w:hint="eastAsia"/>
          <w:highlight w:val="none"/>
        </w:rPr>
        <w:t>；为中华人民共和国境内注册的独立法人机构，具有独立承担民事责任能力；</w:t>
      </w:r>
    </w:p>
    <w:p w14:paraId="32CCC7C1">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2</w:t>
      </w:r>
      <w:r>
        <w:rPr>
          <w:rFonts w:hint="eastAsia" w:ascii="仿宋" w:hAnsi="仿宋" w:eastAsia="仿宋"/>
          <w:highlight w:val="none"/>
        </w:rPr>
        <w:t>)</w:t>
      </w:r>
      <w:r>
        <w:rPr>
          <w:rFonts w:hint="eastAsia"/>
          <w:highlight w:val="none"/>
        </w:rPr>
        <w:t>公司成立</w:t>
      </w:r>
      <w:r>
        <w:rPr>
          <w:rFonts w:hint="eastAsia"/>
          <w:highlight w:val="none"/>
          <w:lang w:val="en-US" w:eastAsia="zh-CN"/>
        </w:rPr>
        <w:t>一</w:t>
      </w:r>
      <w:r>
        <w:rPr>
          <w:rFonts w:hint="eastAsia"/>
          <w:highlight w:val="none"/>
        </w:rPr>
        <w:t>年以上（以营业执照成立日期到开标当日</w:t>
      </w:r>
      <w:r>
        <w:rPr>
          <w:rFonts w:hint="eastAsia" w:ascii="仿宋" w:hAnsi="仿宋" w:eastAsia="仿宋"/>
          <w:b/>
          <w:bCs/>
          <w:highlight w:val="none"/>
        </w:rPr>
        <w:t>满</w:t>
      </w:r>
      <w:r>
        <w:rPr>
          <w:rFonts w:hint="eastAsia" w:ascii="仿宋" w:hAnsi="仿宋" w:eastAsia="仿宋"/>
          <w:b/>
          <w:bCs/>
          <w:highlight w:val="none"/>
          <w:lang w:val="en-US" w:eastAsia="zh-CN"/>
        </w:rPr>
        <w:t>一</w:t>
      </w:r>
      <w:r>
        <w:rPr>
          <w:rFonts w:hint="eastAsia" w:ascii="仿宋" w:hAnsi="仿宋" w:eastAsia="仿宋"/>
          <w:b/>
          <w:bCs/>
          <w:highlight w:val="none"/>
        </w:rPr>
        <w:t>年为准</w:t>
      </w:r>
      <w:r>
        <w:rPr>
          <w:rFonts w:hint="eastAsia"/>
          <w:highlight w:val="none"/>
        </w:rPr>
        <w:t>）；</w:t>
      </w:r>
      <w:r>
        <w:rPr>
          <w:rFonts w:hint="eastAsia" w:ascii="仿宋" w:hAnsi="仿宋" w:eastAsia="仿宋"/>
          <w:b/>
          <w:bCs/>
          <w:highlight w:val="none"/>
        </w:rPr>
        <w:t>注册资金不少于</w:t>
      </w:r>
      <w:r>
        <w:rPr>
          <w:rFonts w:hint="eastAsia" w:eastAsia="仿宋"/>
          <w:b/>
          <w:color w:val="FF0000"/>
          <w:highlight w:val="none"/>
          <w:lang w:val="en-US" w:eastAsia="zh-CN"/>
        </w:rPr>
        <w:t>100</w:t>
      </w:r>
      <w:r>
        <w:rPr>
          <w:rFonts w:hint="eastAsia"/>
          <w:b/>
          <w:color w:val="FF0000"/>
          <w:highlight w:val="none"/>
        </w:rPr>
        <w:t>万</w:t>
      </w:r>
      <w:r>
        <w:rPr>
          <w:rFonts w:hint="eastAsia" w:hAnsi="宋体"/>
          <w:sz w:val="24"/>
          <w:highlight w:val="none"/>
        </w:rPr>
        <w:t>；</w:t>
      </w:r>
      <w:r>
        <w:rPr>
          <w:rFonts w:hint="eastAsia"/>
          <w:highlight w:val="none"/>
        </w:rPr>
        <w:t>经营范围满足招标项目需求；</w:t>
      </w:r>
    </w:p>
    <w:p w14:paraId="33A39BB6">
      <w:pPr>
        <w:pStyle w:val="14"/>
        <w:spacing w:line="360" w:lineRule="auto"/>
        <w:ind w:firstLine="422" w:firstLineChars="200"/>
        <w:rPr>
          <w:rFonts w:ascii="仿宋" w:hAnsi="仿宋" w:eastAsia="仿宋"/>
          <w:b/>
          <w:bCs/>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3</w:t>
      </w:r>
      <w:r>
        <w:rPr>
          <w:rFonts w:hint="eastAsia" w:ascii="仿宋" w:hAnsi="仿宋" w:eastAsia="仿宋"/>
          <w:highlight w:val="none"/>
        </w:rPr>
        <w:t>)</w:t>
      </w:r>
      <w:r>
        <w:rPr>
          <w:rFonts w:hint="eastAsia"/>
          <w:highlight w:val="none"/>
        </w:rPr>
        <w:t>投标人须提供具有统一社会信用代码的新版营业执照副本</w:t>
      </w:r>
      <w:r>
        <w:rPr>
          <w:rFonts w:hint="eastAsia" w:ascii="仿宋" w:hAnsi="仿宋" w:eastAsia="仿宋"/>
          <w:b/>
          <w:bCs/>
          <w:highlight w:val="none"/>
        </w:rPr>
        <w:t>原件或复印件（加盖公章）；</w:t>
      </w:r>
    </w:p>
    <w:p w14:paraId="0DC1EC28">
      <w:pPr>
        <w:pStyle w:val="14"/>
        <w:spacing w:line="360" w:lineRule="auto"/>
        <w:ind w:firstLine="420" w:firstLineChars="200"/>
        <w:rPr>
          <w:b/>
          <w:highlight w:val="none"/>
        </w:rPr>
      </w:pPr>
      <w:r>
        <w:rPr>
          <w:rFonts w:hint="eastAsia" w:ascii="仿宋" w:hAnsi="仿宋" w:eastAsia="仿宋"/>
          <w:highlight w:val="none"/>
        </w:rPr>
        <w:t>(</w:t>
      </w:r>
      <w:r>
        <w:rPr>
          <w:rFonts w:ascii="仿宋" w:hAnsi="仿宋" w:eastAsia="仿宋"/>
          <w:highlight w:val="none"/>
        </w:rPr>
        <w:t>4</w:t>
      </w:r>
      <w:r>
        <w:rPr>
          <w:rFonts w:hint="eastAsia" w:ascii="仿宋" w:hAnsi="仿宋" w:eastAsia="仿宋"/>
          <w:highlight w:val="none"/>
        </w:rPr>
        <w:t>)</w:t>
      </w:r>
      <w:r>
        <w:rPr>
          <w:rFonts w:hint="eastAsia"/>
          <w:highlight w:val="none"/>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5</w:t>
      </w:r>
      <w:r>
        <w:rPr>
          <w:rFonts w:hint="eastAsia" w:ascii="仿宋" w:hAnsi="仿宋" w:eastAsia="仿宋"/>
          <w:highlight w:val="none"/>
        </w:rPr>
        <w:t>)</w:t>
      </w:r>
      <w:r>
        <w:rPr>
          <w:rFonts w:hint="eastAsia"/>
          <w:highlight w:val="none"/>
        </w:rPr>
        <w:t>投标人在近</w:t>
      </w:r>
      <w:r>
        <w:rPr>
          <w:rFonts w:hint="eastAsia"/>
          <w:highlight w:val="none"/>
          <w:lang w:val="en-US" w:eastAsia="zh-CN"/>
        </w:rPr>
        <w:t>三</w:t>
      </w:r>
      <w:r>
        <w:rPr>
          <w:rFonts w:hint="eastAsia"/>
          <w:highlight w:val="none"/>
        </w:rPr>
        <w:t>年内在经营活动中无违法记录。</w:t>
      </w:r>
    </w:p>
    <w:p w14:paraId="4857DABB">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6</w:t>
      </w:r>
      <w:r>
        <w:rPr>
          <w:rFonts w:hint="eastAsia" w:ascii="仿宋" w:hAnsi="仿宋" w:eastAsia="仿宋"/>
          <w:highlight w:val="none"/>
        </w:rPr>
        <w:t>)</w:t>
      </w:r>
      <w:r>
        <w:rPr>
          <w:rFonts w:hint="eastAsia"/>
          <w:highlight w:val="none"/>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7</w:t>
      </w:r>
      <w:r>
        <w:rPr>
          <w:rFonts w:hint="eastAsia" w:ascii="仿宋" w:hAnsi="仿宋" w:eastAsia="仿宋"/>
          <w:highlight w:val="none"/>
        </w:rPr>
        <w:t>)</w:t>
      </w:r>
      <w:r>
        <w:rPr>
          <w:rFonts w:hint="eastAsia"/>
          <w:highlight w:val="none"/>
        </w:rPr>
        <w:t>投标人没有被列入招标人处《黑名单》（《黑名单》指投标人</w:t>
      </w:r>
      <w:r>
        <w:rPr>
          <w:highlight w:val="none"/>
        </w:rPr>
        <w:t>与招标人在以往</w:t>
      </w:r>
      <w:r>
        <w:rPr>
          <w:rFonts w:hint="eastAsia"/>
          <w:highlight w:val="none"/>
        </w:rPr>
        <w:t>或</w:t>
      </w:r>
      <w:r>
        <w:rPr>
          <w:highlight w:val="none"/>
        </w:rPr>
        <w:t>正在</w:t>
      </w:r>
      <w:r>
        <w:rPr>
          <w:rFonts w:hint="eastAsia"/>
          <w:highlight w:val="none"/>
        </w:rPr>
        <w:t>进行</w:t>
      </w:r>
      <w:r>
        <w:rPr>
          <w:highlight w:val="none"/>
        </w:rPr>
        <w:t>的合作中</w:t>
      </w:r>
      <w:r>
        <w:rPr>
          <w:rFonts w:hint="eastAsia"/>
          <w:highlight w:val="none"/>
        </w:rPr>
        <w:t>，</w:t>
      </w:r>
      <w:r>
        <w:rPr>
          <w:highlight w:val="none"/>
        </w:rPr>
        <w:t>存在</w:t>
      </w:r>
      <w:r>
        <w:rPr>
          <w:rFonts w:hint="eastAsia"/>
          <w:highlight w:val="none"/>
        </w:rPr>
        <w:t>招标人</w:t>
      </w:r>
      <w:r>
        <w:rPr>
          <w:highlight w:val="none"/>
        </w:rPr>
        <w:t>认为的</w:t>
      </w:r>
      <w:r>
        <w:rPr>
          <w:rFonts w:hint="eastAsia"/>
          <w:highlight w:val="none"/>
        </w:rPr>
        <w:t>违反合同</w:t>
      </w:r>
      <w:r>
        <w:rPr>
          <w:highlight w:val="none"/>
        </w:rPr>
        <w:t>约定或</w:t>
      </w:r>
      <w:r>
        <w:rPr>
          <w:rFonts w:hint="eastAsia"/>
          <w:highlight w:val="none"/>
        </w:rPr>
        <w:t>违反法律法规</w:t>
      </w:r>
      <w:r>
        <w:rPr>
          <w:highlight w:val="none"/>
        </w:rPr>
        <w:t>等的</w:t>
      </w:r>
      <w:r>
        <w:rPr>
          <w:rFonts w:hint="eastAsia"/>
          <w:highlight w:val="none"/>
        </w:rPr>
        <w:t>失信行为）的。</w:t>
      </w:r>
    </w:p>
    <w:p w14:paraId="74A49E01">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w:t>
      </w:r>
      <w:r>
        <w:rPr>
          <w:rFonts w:ascii="仿宋" w:hAnsi="仿宋" w:eastAsia="仿宋"/>
          <w:b/>
          <w:bCs/>
          <w:highlight w:val="none"/>
        </w:rPr>
        <w:t>8</w:t>
      </w:r>
      <w:r>
        <w:rPr>
          <w:rFonts w:hint="eastAsia" w:ascii="仿宋" w:hAnsi="仿宋" w:eastAsia="仿宋"/>
          <w:b/>
          <w:bCs/>
          <w:highlight w:val="none"/>
        </w:rPr>
        <w:t>)投标人提供经会计师事务所审计且出具无保留意见的近</w:t>
      </w:r>
      <w:r>
        <w:rPr>
          <w:rFonts w:hint="eastAsia" w:ascii="仿宋" w:hAnsi="仿宋" w:eastAsia="仿宋"/>
          <w:b/>
          <w:bCs/>
          <w:highlight w:val="none"/>
          <w:lang w:val="en-US" w:eastAsia="zh-CN"/>
        </w:rPr>
        <w:t>三</w:t>
      </w:r>
      <w:r>
        <w:rPr>
          <w:rFonts w:hint="eastAsia" w:ascii="仿宋" w:hAnsi="仿宋" w:eastAsia="仿宋"/>
          <w:b/>
          <w:bCs/>
          <w:highlight w:val="none"/>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highlight w:val="none"/>
          <w:lang w:val="en-US" w:eastAsia="zh-CN"/>
        </w:rPr>
        <w:t>三</w:t>
      </w:r>
      <w:r>
        <w:rPr>
          <w:rFonts w:hint="eastAsia" w:ascii="仿宋" w:hAnsi="仿宋" w:eastAsia="仿宋"/>
          <w:b/>
          <w:bCs/>
          <w:highlight w:val="none"/>
        </w:rPr>
        <w:t>年财务报表，包括但不限于资产负债表、利润表。应提供中文版本的审计报告或财务报表。</w:t>
      </w:r>
    </w:p>
    <w:p w14:paraId="2740ACD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9</w:t>
      </w:r>
      <w:r>
        <w:rPr>
          <w:rFonts w:hint="eastAsia" w:ascii="仿宋" w:hAnsi="仿宋" w:eastAsia="仿宋"/>
          <w:highlight w:val="none"/>
        </w:rPr>
        <w:t>)</w:t>
      </w:r>
      <w:r>
        <w:rPr>
          <w:rFonts w:hint="eastAsia"/>
          <w:highlight w:val="none"/>
        </w:rPr>
        <w:t>投标人须提供法人授权委托书原件（在投标文件副本中可用复印件）及投标单位的法定代表人或授权代表的身份证原件及复印件（加盖公章）；</w:t>
      </w:r>
    </w:p>
    <w:p w14:paraId="0A45CD7D">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10</w:t>
      </w:r>
      <w:r>
        <w:rPr>
          <w:rFonts w:hint="eastAsia" w:ascii="仿宋" w:hAnsi="仿宋" w:eastAsia="仿宋"/>
          <w:highlight w:val="none"/>
        </w:rPr>
        <w:t>)</w:t>
      </w:r>
      <w:r>
        <w:rPr>
          <w:rFonts w:hint="eastAsia"/>
          <w:highlight w:val="none"/>
        </w:rPr>
        <w:t>投标人须具有履行合同所必须的设备、财务、技术、服务等方面的资质和能力；</w:t>
      </w:r>
    </w:p>
    <w:p w14:paraId="26CC6C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11</w:t>
      </w:r>
      <w:r>
        <w:rPr>
          <w:rFonts w:hint="eastAsia" w:ascii="仿宋" w:hAnsi="仿宋" w:eastAsia="仿宋"/>
          <w:highlight w:val="none"/>
        </w:rPr>
        <w:t>)</w:t>
      </w:r>
      <w:r>
        <w:rPr>
          <w:rFonts w:hint="eastAsia"/>
          <w:highlight w:val="none"/>
        </w:rPr>
        <w:t>投标人须具有完全履行招标文件的所有要求的能力；</w:t>
      </w:r>
    </w:p>
    <w:p w14:paraId="7055EC6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12</w:t>
      </w:r>
      <w:r>
        <w:rPr>
          <w:rFonts w:hint="eastAsia" w:ascii="仿宋" w:hAnsi="仿宋" w:eastAsia="仿宋"/>
          <w:highlight w:val="none"/>
        </w:rPr>
        <w:t>)</w:t>
      </w:r>
      <w:r>
        <w:rPr>
          <w:rFonts w:hint="eastAsia"/>
          <w:highlight w:val="none"/>
        </w:rPr>
        <w:t>投标人须负责提供合理的便于运输的包装物，并承担相关费用；</w:t>
      </w:r>
    </w:p>
    <w:p w14:paraId="6CE477B3">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13</w:t>
      </w:r>
      <w:r>
        <w:rPr>
          <w:rFonts w:hint="eastAsia" w:ascii="仿宋" w:hAnsi="仿宋" w:eastAsia="仿宋"/>
          <w:highlight w:val="none"/>
        </w:rPr>
        <w:t>)</w:t>
      </w:r>
      <w:r>
        <w:rPr>
          <w:rFonts w:hint="eastAsia"/>
          <w:highlight w:val="none"/>
        </w:rPr>
        <w:t>投标人须认可招标人的工作指令，包括节、假日能正常开展工作的要求；</w:t>
      </w:r>
    </w:p>
    <w:p w14:paraId="3EBE3C04">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14</w:t>
      </w:r>
      <w:r>
        <w:rPr>
          <w:rFonts w:hint="eastAsia" w:ascii="仿宋" w:hAnsi="仿宋" w:eastAsia="仿宋"/>
          <w:highlight w:val="none"/>
        </w:rPr>
        <w:t>)</w:t>
      </w:r>
      <w:r>
        <w:rPr>
          <w:rFonts w:hint="eastAsia"/>
          <w:highlight w:val="none"/>
        </w:rPr>
        <w:t>投标人必须是最终投标、签订合同的单位，不得以任何理由将已中标项目以任何形式转包给其他单位；</w:t>
      </w:r>
    </w:p>
    <w:p w14:paraId="4EBB4A91">
      <w:pPr>
        <w:pStyle w:val="14"/>
        <w:spacing w:line="360" w:lineRule="auto"/>
        <w:ind w:firstLine="420" w:firstLineChars="200"/>
        <w:rPr>
          <w:rFonts w:hint="default" w:eastAsia="宋体"/>
          <w:highlight w:val="none"/>
          <w:lang w:val="en-US" w:eastAsia="zh-CN"/>
        </w:rPr>
      </w:pPr>
      <w:r>
        <w:rPr>
          <w:rFonts w:hint="eastAsia" w:ascii="仿宋" w:hAnsi="仿宋" w:eastAsia="仿宋"/>
          <w:highlight w:val="none"/>
        </w:rPr>
        <w:t>(</w:t>
      </w:r>
      <w:r>
        <w:rPr>
          <w:rFonts w:ascii="仿宋" w:hAnsi="仿宋" w:eastAsia="仿宋"/>
          <w:highlight w:val="none"/>
        </w:rPr>
        <w:t>15</w:t>
      </w:r>
      <w:r>
        <w:rPr>
          <w:rFonts w:hint="eastAsia" w:ascii="仿宋" w:hAnsi="仿宋" w:eastAsia="仿宋"/>
          <w:highlight w:val="none"/>
        </w:rPr>
        <w:t>)</w:t>
      </w:r>
      <w:r>
        <w:rPr>
          <w:rFonts w:hint="eastAsia"/>
          <w:highlight w:val="none"/>
        </w:rPr>
        <w:t>本次招标项目不接受联合体投标；</w:t>
      </w:r>
      <w:r>
        <w:rPr>
          <w:rFonts w:hint="eastAsia"/>
          <w:highlight w:val="none"/>
          <w:lang w:val="en-US" w:eastAsia="zh-CN"/>
        </w:rPr>
        <w:t>接受代理商投标；</w:t>
      </w:r>
    </w:p>
    <w:p w14:paraId="4C70ED7D">
      <w:pPr>
        <w:pStyle w:val="14"/>
        <w:spacing w:line="360" w:lineRule="auto"/>
        <w:ind w:firstLine="422" w:firstLineChars="200"/>
        <w:rPr>
          <w:highlight w:val="none"/>
        </w:rPr>
      </w:pPr>
      <w:r>
        <w:rPr>
          <w:rFonts w:hint="eastAsia" w:hAnsi="宋体"/>
          <w:b/>
          <w:highlight w:val="none"/>
        </w:rPr>
        <w:t>*</w:t>
      </w:r>
      <w:r>
        <w:rPr>
          <w:rFonts w:hint="eastAsia" w:ascii="仿宋" w:hAnsi="仿宋" w:eastAsia="仿宋"/>
          <w:highlight w:val="none"/>
        </w:rPr>
        <w:t>(</w:t>
      </w:r>
      <w:r>
        <w:rPr>
          <w:rFonts w:ascii="仿宋" w:hAnsi="仿宋" w:eastAsia="仿宋"/>
          <w:highlight w:val="none"/>
        </w:rPr>
        <w:t>16</w:t>
      </w:r>
      <w:r>
        <w:rPr>
          <w:rFonts w:hint="eastAsia" w:ascii="仿宋" w:hAnsi="仿宋" w:eastAsia="仿宋"/>
          <w:highlight w:val="none"/>
        </w:rPr>
        <w:t>)</w:t>
      </w:r>
      <w:r>
        <w:rPr>
          <w:rFonts w:hint="eastAsia"/>
          <w:highlight w:val="none"/>
        </w:rPr>
        <w:t>投标人在向招标人出示</w:t>
      </w:r>
      <w:r>
        <w:rPr>
          <w:rFonts w:hint="eastAsia" w:ascii="仿宋" w:hAnsi="仿宋" w:eastAsia="仿宋"/>
          <w:b/>
          <w:highlight w:val="none"/>
        </w:rPr>
        <w:t>《投标保证金缴纳凭证》</w:t>
      </w:r>
      <w:r>
        <w:rPr>
          <w:rFonts w:hint="eastAsia"/>
          <w:highlight w:val="none"/>
        </w:rPr>
        <w:t>后方可进行投标；</w:t>
      </w:r>
    </w:p>
    <w:p w14:paraId="42FF06CE">
      <w:pPr>
        <w:pStyle w:val="14"/>
        <w:spacing w:line="360" w:lineRule="auto"/>
        <w:ind w:firstLine="420" w:firstLineChars="200"/>
        <w:rPr>
          <w:highlight w:val="none"/>
        </w:rPr>
      </w:pPr>
      <w:r>
        <w:rPr>
          <w:rFonts w:hint="eastAsia" w:ascii="仿宋" w:hAnsi="仿宋" w:eastAsia="仿宋"/>
          <w:highlight w:val="none"/>
        </w:rPr>
        <w:t>(</w:t>
      </w:r>
      <w:r>
        <w:rPr>
          <w:rFonts w:ascii="仿宋" w:hAnsi="仿宋" w:eastAsia="仿宋"/>
          <w:highlight w:val="none"/>
        </w:rPr>
        <w:t>17</w:t>
      </w:r>
      <w:r>
        <w:rPr>
          <w:rFonts w:hint="eastAsia"/>
          <w:highlight w:val="none"/>
        </w:rPr>
        <w:t>)投标文件1正4副共计5份并附U盘电子版（详见本招标文件“第二章 投标文件编制”）。</w:t>
      </w:r>
    </w:p>
    <w:p w14:paraId="0997E972">
      <w:pPr>
        <w:adjustRightInd w:val="0"/>
        <w:snapToGrid w:val="0"/>
        <w:spacing w:line="360" w:lineRule="auto"/>
        <w:ind w:firstLine="420" w:firstLineChars="200"/>
        <w:jc w:val="left"/>
        <w:rPr>
          <w:rFonts w:ascii="Arial" w:hAnsi="Arial" w:cs="Arial"/>
          <w:color w:val="333333"/>
          <w:szCs w:val="21"/>
          <w:highlight w:val="none"/>
          <w:shd w:val="clear" w:color="auto" w:fill="FFFFFF"/>
        </w:rPr>
      </w:pPr>
      <w:r>
        <w:rPr>
          <w:rFonts w:hint="eastAsia" w:ascii="仿宋" w:hAnsi="仿宋" w:eastAsia="仿宋"/>
          <w:highlight w:val="none"/>
        </w:rPr>
        <w:t>(</w:t>
      </w:r>
      <w:r>
        <w:rPr>
          <w:rFonts w:ascii="仿宋" w:hAnsi="仿宋" w:eastAsia="仿宋"/>
          <w:highlight w:val="none"/>
        </w:rPr>
        <w:t>18</w:t>
      </w:r>
      <w:r>
        <w:rPr>
          <w:rFonts w:hint="eastAsia" w:ascii="仿宋" w:hAnsi="仿宋" w:eastAsia="仿宋"/>
          <w:highlight w:val="none"/>
        </w:rPr>
        <w:t>)</w:t>
      </w:r>
      <w:r>
        <w:rPr>
          <w:rFonts w:ascii="Arial" w:hAnsi="Arial" w:cs="Arial"/>
          <w:color w:val="333333"/>
          <w:szCs w:val="21"/>
          <w:highlight w:val="none"/>
          <w:shd w:val="clear" w:color="auto" w:fill="FFFFFF"/>
        </w:rPr>
        <w:t>投标人须提供类似业绩合同原件。</w:t>
      </w:r>
    </w:p>
    <w:p w14:paraId="7AAB64C9">
      <w:pPr>
        <w:pStyle w:val="14"/>
        <w:spacing w:line="360" w:lineRule="auto"/>
        <w:ind w:firstLine="422" w:firstLineChars="200"/>
        <w:rPr>
          <w:rFonts w:ascii="仿宋" w:hAnsi="仿宋" w:eastAsia="仿宋"/>
          <w:highlight w:val="none"/>
        </w:rPr>
      </w:pPr>
      <w:r>
        <w:rPr>
          <w:rFonts w:hint="eastAsia" w:ascii="仿宋" w:hAnsi="仿宋" w:eastAsia="仿宋"/>
          <w:b/>
          <w:bCs/>
          <w:highlight w:val="none"/>
        </w:rPr>
        <w:t>注：上述带“*”项为必备的资格文件，缺项</w:t>
      </w:r>
      <w:r>
        <w:rPr>
          <w:rFonts w:hint="eastAsia" w:ascii="仿宋" w:hAnsi="仿宋" w:eastAsia="仿宋"/>
          <w:b/>
          <w:bCs/>
          <w:szCs w:val="22"/>
          <w:highlight w:val="none"/>
        </w:rPr>
        <w:t>会按不响应招标文件或无效投标处理</w:t>
      </w:r>
      <w:r>
        <w:rPr>
          <w:rFonts w:hint="eastAsia" w:ascii="仿宋" w:hAnsi="仿宋" w:eastAsia="仿宋"/>
          <w:b/>
          <w:bCs/>
          <w:highlight w:val="none"/>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highlight w:val="none"/>
          <w:shd w:val="clear" w:color="auto" w:fill="FFFFFF"/>
        </w:rPr>
      </w:pPr>
      <w:r>
        <w:rPr>
          <w:rFonts w:hint="eastAsia"/>
          <w:highlight w:val="none"/>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发标时间：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10</w:t>
      </w:r>
      <w:r>
        <w:rPr>
          <w:rFonts w:hint="eastAsia" w:ascii="宋体" w:hAnsi="Courier New" w:eastAsia="宋体" w:cs="Times New Roman"/>
          <w:highlight w:val="none"/>
          <w:u w:val="single"/>
          <w:lang w:val="en-US" w:eastAsia="zh-CN"/>
        </w:rPr>
        <w:t>日</w:t>
      </w:r>
      <w:r>
        <w:rPr>
          <w:rFonts w:hint="eastAsia" w:cs="Times New Roman"/>
          <w:highlight w:val="none"/>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应标截止时间：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7</w:t>
      </w:r>
      <w:r>
        <w:rPr>
          <w:rFonts w:hint="eastAsia" w:eastAsia="宋体" w:cs="宋体"/>
          <w:highlight w:val="none"/>
          <w:u w:val="single"/>
        </w:rPr>
        <w:t>月</w:t>
      </w:r>
      <w:r>
        <w:rPr>
          <w:rFonts w:hint="eastAsia" w:cs="宋体"/>
          <w:highlight w:val="none"/>
          <w:u w:val="single"/>
          <w:lang w:val="en-US" w:eastAsia="zh-CN"/>
        </w:rPr>
        <w:t>16</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2E9312A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eastAsia" w:eastAsia="宋体" w:cs="宋体"/>
          <w:sz w:val="21"/>
          <w:szCs w:val="21"/>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03925B72">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textAlignment w:val="auto"/>
        <w:rPr>
          <w:rFonts w:hint="default" w:eastAsia="宋体" w:cs="宋体"/>
          <w:sz w:val="21"/>
          <w:szCs w:val="21"/>
          <w:highlight w:val="none"/>
          <w:lang w:val="en-US" w:eastAsia="zh-CN"/>
        </w:rPr>
      </w:pPr>
      <w:r>
        <w:rPr>
          <w:rFonts w:hint="default" w:eastAsia="宋体" w:cs="宋体"/>
          <w:sz w:val="21"/>
          <w:szCs w:val="21"/>
          <w:highlight w:val="none"/>
          <w:lang w:val="en-US" w:eastAsia="zh-CN"/>
        </w:rPr>
        <w:t>投标截止时间：</w:t>
      </w:r>
      <w:r>
        <w:rPr>
          <w:rFonts w:hint="eastAsia" w:eastAsia="宋体" w:cs="宋体"/>
          <w:highlight w:val="none"/>
          <w:u w:val="single"/>
        </w:rPr>
        <w:t>202</w:t>
      </w:r>
      <w:r>
        <w:rPr>
          <w:rFonts w:hint="eastAsia" w:cs="宋体"/>
          <w:highlight w:val="none"/>
          <w:u w:val="single"/>
          <w:lang w:val="en-US" w:eastAsia="zh-CN"/>
        </w:rPr>
        <w:t>6</w:t>
      </w:r>
      <w:r>
        <w:rPr>
          <w:rFonts w:hint="eastAsia" w:eastAsia="宋体" w:cs="宋体"/>
          <w:highlight w:val="none"/>
          <w:u w:val="single"/>
        </w:rPr>
        <w:t>年</w:t>
      </w:r>
      <w:r>
        <w:rPr>
          <w:rFonts w:hint="eastAsia" w:cs="宋体"/>
          <w:highlight w:val="none"/>
          <w:u w:val="single"/>
          <w:lang w:val="en-US" w:eastAsia="zh-CN"/>
        </w:rPr>
        <w:t>7</w:t>
      </w:r>
      <w:r>
        <w:rPr>
          <w:rFonts w:hint="eastAsia" w:eastAsia="宋体" w:cs="宋体"/>
          <w:highlight w:val="none"/>
          <w:u w:val="single"/>
        </w:rPr>
        <w:t>月</w:t>
      </w:r>
      <w:r>
        <w:rPr>
          <w:rFonts w:hint="eastAsia" w:cs="宋体"/>
          <w:highlight w:val="none"/>
          <w:u w:val="single"/>
          <w:lang w:val="en-US" w:eastAsia="zh-CN"/>
        </w:rPr>
        <w:t>22</w:t>
      </w:r>
      <w:r>
        <w:rPr>
          <w:rFonts w:hint="eastAsia" w:eastAsia="宋体" w:cs="宋体"/>
          <w:highlight w:val="none"/>
          <w:u w:val="single"/>
        </w:rPr>
        <w:t>日</w:t>
      </w:r>
      <w:r>
        <w:rPr>
          <w:rFonts w:hint="eastAsia" w:cs="宋体"/>
          <w:highlight w:val="none"/>
          <w:u w:val="single"/>
          <w:lang w:val="en-US" w:eastAsia="zh-CN"/>
        </w:rPr>
        <w:t>17</w:t>
      </w:r>
      <w:r>
        <w:rPr>
          <w:rFonts w:hint="eastAsia"/>
          <w:highlight w:val="none"/>
          <w:u w:val="single"/>
          <w:lang w:val="en-US" w:eastAsia="zh-CN"/>
        </w:rPr>
        <w:t>:00:00</w:t>
      </w:r>
      <w:r>
        <w:rPr>
          <w:rFonts w:hint="default" w:ascii="宋体" w:hAnsi="Courier New" w:eastAsia="宋体" w:cs="Times New Roman"/>
          <w:highlight w:val="none"/>
          <w:u w:val="single"/>
          <w:lang w:val="en-US" w:eastAsia="zh-CN"/>
        </w:rPr>
        <w:t>（北京时间）</w:t>
      </w:r>
      <w:r>
        <w:rPr>
          <w:rFonts w:hint="default" w:eastAsia="宋体" w:cs="宋体"/>
          <w:sz w:val="21"/>
          <w:szCs w:val="21"/>
          <w:highlight w:val="none"/>
          <w:lang w:val="en-US" w:eastAsia="zh-CN"/>
        </w:rPr>
        <w:t>。</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22</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12:00</w:t>
      </w:r>
      <w:r>
        <w:rPr>
          <w:rFonts w:hint="eastAsia"/>
          <w:highlight w:val="none"/>
          <w:u w:val="single"/>
          <w:lang w:val="en-US" w:eastAsia="zh-CN"/>
        </w:rPr>
        <w:t>:00</w:t>
      </w:r>
      <w:r>
        <w:rPr>
          <w:rFonts w:hint="default" w:ascii="宋体" w:hAnsi="Courier New" w:eastAsia="宋体" w:cs="Times New Roman"/>
          <w:highlight w:val="none"/>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none"/>
          <w:u w:val="single"/>
          <w:lang w:val="en-US" w:eastAsia="zh-CN"/>
        </w:rPr>
        <w:t>20</w:t>
      </w:r>
      <w:r>
        <w:rPr>
          <w:rFonts w:hint="eastAsia" w:cs="Times New Roman"/>
          <w:highlight w:val="none"/>
          <w:u w:val="single"/>
          <w:lang w:val="en-US" w:eastAsia="zh-CN"/>
        </w:rPr>
        <w:t>26</w:t>
      </w:r>
      <w:r>
        <w:rPr>
          <w:rFonts w:hint="eastAsia" w:ascii="宋体" w:hAnsi="Courier New" w:eastAsia="宋体" w:cs="Times New Roman"/>
          <w:highlight w:val="none"/>
          <w:u w:val="single"/>
          <w:lang w:val="en-US" w:eastAsia="zh-CN"/>
        </w:rPr>
        <w:t>年</w:t>
      </w:r>
      <w:r>
        <w:rPr>
          <w:rFonts w:hint="eastAsia" w:cs="Times New Roman"/>
          <w:highlight w:val="none"/>
          <w:u w:val="single"/>
          <w:lang w:val="en-US" w:eastAsia="zh-CN"/>
        </w:rPr>
        <w:t>7</w:t>
      </w:r>
      <w:r>
        <w:rPr>
          <w:rFonts w:hint="eastAsia" w:ascii="宋体" w:hAnsi="Courier New" w:eastAsia="宋体" w:cs="Times New Roman"/>
          <w:highlight w:val="none"/>
          <w:u w:val="single"/>
          <w:lang w:val="en-US" w:eastAsia="zh-CN"/>
        </w:rPr>
        <w:t>月</w:t>
      </w:r>
      <w:r>
        <w:rPr>
          <w:rFonts w:hint="eastAsia" w:cs="Times New Roman"/>
          <w:highlight w:val="none"/>
          <w:u w:val="single"/>
          <w:lang w:val="en-US" w:eastAsia="zh-CN"/>
        </w:rPr>
        <w:t>22</w:t>
      </w:r>
      <w:r>
        <w:rPr>
          <w:rFonts w:hint="eastAsia" w:ascii="宋体" w:hAnsi="Courier New" w:eastAsia="宋体" w:cs="Times New Roman"/>
          <w:highlight w:val="none"/>
          <w:u w:val="single"/>
          <w:lang w:val="en-US" w:eastAsia="zh-CN"/>
        </w:rPr>
        <w:t>日</w:t>
      </w:r>
      <w:r>
        <w:rPr>
          <w:rFonts w:hint="default" w:ascii="宋体" w:hAnsi="Courier New" w:eastAsia="宋体" w:cs="Times New Roman"/>
          <w:highlight w:val="none"/>
          <w:u w:val="single"/>
          <w:lang w:val="en-US" w:eastAsia="zh-CN"/>
        </w:rPr>
        <w:t>17:00</w:t>
      </w:r>
      <w:r>
        <w:rPr>
          <w:rFonts w:hint="eastAsia" w:ascii="宋体" w:hAnsi="Courier New" w:eastAsia="宋体" w:cs="Times New Roman"/>
          <w:highlight w:val="none"/>
          <w:u w:val="single"/>
          <w:lang w:val="en-US" w:eastAsia="zh-CN"/>
        </w:rPr>
        <w:t>前</w:t>
      </w:r>
      <w:r>
        <w:rPr>
          <w:rFonts w:hint="eastAsia" w:cs="Times New Roman"/>
          <w:highlight w:val="none"/>
          <w:u w:val="single"/>
          <w:lang w:val="en-US" w:eastAsia="zh-CN"/>
        </w:rPr>
        <w:t>；</w:t>
      </w:r>
    </w:p>
    <w:p w14:paraId="474343AB">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w:t>
      </w:r>
    </w:p>
    <w:p w14:paraId="5D4F8B0C">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highlight w:val="none"/>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eastAsia" w:ascii="Times New Roman" w:hAnsi="Times New Roman" w:cs="Times New Roman"/>
          <w:color w:val="auto"/>
          <w:highlight w:val="none"/>
        </w:rPr>
        <w:t>具有统一社会信用代码的新版营业执照副本原件</w:t>
      </w:r>
      <w:r>
        <w:rPr>
          <w:rFonts w:hint="eastAsia" w:ascii="Times New Roman" w:hAnsi="Times New Roman" w:cs="Times New Roman"/>
          <w:color w:val="auto"/>
          <w:highlight w:val="none"/>
          <w:lang w:val="en-US" w:eastAsia="zh-CN"/>
        </w:rPr>
        <w:t>或复印件</w:t>
      </w:r>
      <w:r>
        <w:rPr>
          <w:rFonts w:hint="eastAsia" w:ascii="Times New Roman" w:hAnsi="Times New Roman" w:cs="Times New Roman"/>
          <w:color w:val="auto"/>
          <w:highlight w:val="none"/>
        </w:rPr>
        <w:t>（加盖公章）；</w:t>
      </w:r>
    </w:p>
    <w:p w14:paraId="6D74587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rPr>
      </w:pPr>
      <w:r>
        <w:rPr>
          <w:rFonts w:hint="default" w:ascii="Times New Roman" w:hAnsi="Times New Roman" w:cs="Times New Roman"/>
          <w:color w:val="auto"/>
          <w:highlight w:val="none"/>
        </w:rPr>
        <w:t>法定代表人授权书（附件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highlight w:val="none"/>
        </w:rPr>
        <w:t>）；法定代表人参加投标的，提供法人身份证明</w:t>
      </w:r>
      <w:r>
        <w:rPr>
          <w:rFonts w:hint="eastAsia"/>
          <w:highlight w:val="none"/>
        </w:rPr>
        <w:t>复印件</w:t>
      </w:r>
      <w:r>
        <w:rPr>
          <w:rFonts w:hint="default" w:ascii="Times New Roman" w:hAnsi="Times New Roman" w:cs="Times New Roman"/>
          <w:color w:val="auto"/>
          <w:highlight w:val="none"/>
        </w:rPr>
        <w:t>；被授权人参加投标的，需提供法定代表人授权委托书（含法人身份证和被授权人身份证正反面复印件）</w:t>
      </w:r>
      <w:r>
        <w:rPr>
          <w:rFonts w:hint="default" w:ascii="Times New Roman" w:hAnsi="Times New Roman" w:cs="Times New Roman"/>
          <w:color w:val="auto"/>
          <w:highlight w:val="none"/>
          <w:lang w:val="en-US" w:eastAsia="zh-CN"/>
        </w:rPr>
        <w:t>和</w:t>
      </w:r>
      <w:r>
        <w:rPr>
          <w:rFonts w:hint="default" w:ascii="Times New Roman" w:hAnsi="Times New Roman" w:cs="Times New Roman"/>
          <w:color w:val="auto"/>
          <w:highlight w:val="none"/>
        </w:rPr>
        <w:t>被授权人近</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个月</w:t>
      </w:r>
      <w:r>
        <w:rPr>
          <w:rFonts w:hint="default" w:ascii="Times New Roman" w:hAnsi="Times New Roman" w:cs="Times New Roman"/>
          <w:color w:val="auto"/>
          <w:highlight w:val="none"/>
          <w:lang w:val="en-US" w:eastAsia="zh-CN"/>
        </w:rPr>
        <w:t>及以上在授权单位的社保</w:t>
      </w:r>
      <w:r>
        <w:rPr>
          <w:rFonts w:hint="default" w:ascii="Times New Roman" w:hAnsi="Times New Roman" w:cs="Times New Roman"/>
          <w:color w:val="auto"/>
          <w:highlight w:val="none"/>
        </w:rPr>
        <w:t>缴纳证明</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需加盖公章</w:t>
      </w:r>
      <w:r>
        <w:rPr>
          <w:rFonts w:hint="eastAsia" w:ascii="Times New Roman" w:hAnsi="Times New Roman" w:cs="Times New Roman"/>
          <w:color w:val="auto"/>
          <w:highlight w:val="none"/>
          <w:lang w:eastAsia="zh-CN"/>
        </w:rPr>
        <w:t>）；</w:t>
      </w:r>
    </w:p>
    <w:p w14:paraId="1CEFCCB6">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highlight w:val="none"/>
          <w:lang w:val="en-US" w:eastAsia="zh-CN"/>
        </w:rPr>
        <w:t>；</w:t>
      </w:r>
    </w:p>
    <w:p w14:paraId="1E42F04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保密承诺函（附件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highlight w:val="none"/>
          <w:lang w:val="en-US" w:eastAsia="zh-CN"/>
        </w:rPr>
        <w:t>，需盖章）</w:t>
      </w:r>
      <w:r>
        <w:rPr>
          <w:rFonts w:hint="eastAsia" w:ascii="Times New Roman" w:hAnsi="Times New Roman" w:cs="Times New Roman"/>
          <w:color w:val="auto"/>
          <w:highlight w:val="none"/>
          <w:lang w:val="en-US" w:eastAsia="zh-CN"/>
        </w:rPr>
        <w:t>；</w:t>
      </w:r>
    </w:p>
    <w:p w14:paraId="3D76658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ascii="Arial" w:hAnsi="Arial" w:cs="Arial"/>
          <w:color w:val="333333"/>
          <w:szCs w:val="21"/>
          <w:highlight w:val="none"/>
          <w:shd w:val="clear" w:color="auto" w:fill="FFFFFF"/>
        </w:rPr>
        <w:t>类似业绩</w:t>
      </w:r>
      <w:r>
        <w:rPr>
          <w:rFonts w:hint="default" w:ascii="宋体" w:hAnsi="宋体" w:eastAsia="宋体" w:cs="Times New Roman"/>
          <w:b w:val="0"/>
          <w:bCs/>
          <w:highlight w:val="none"/>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70F701E1">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422" w:firstLineChars="200"/>
        <w:textAlignment w:val="auto"/>
        <w:rPr>
          <w:b/>
          <w:bCs/>
          <w:color w:val="auto"/>
          <w:highlight w:val="none"/>
        </w:rPr>
      </w:pPr>
      <w:r>
        <w:rPr>
          <w:rFonts w:hint="eastAsia"/>
          <w:b/>
          <w:bCs/>
          <w:color w:val="auto"/>
          <w:highlight w:val="none"/>
        </w:rPr>
        <w:t>对于投标人资质审核不通过的，招标人有权拒绝其投标。</w:t>
      </w:r>
    </w:p>
    <w:p w14:paraId="1F689E4F">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空调维保服务技术方案对比表。</w:t>
      </w:r>
    </w:p>
    <w:p w14:paraId="3D6F729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投标维保服务配置明细表，列明服务分项、服务内容、服务标准、服务配件规格型号、品牌等信息（要求与分项报价表完全对应），但注意：此表在技术标书中，禁止出现任何分项价格及项目总价；</w:t>
      </w:r>
    </w:p>
    <w:p w14:paraId="69AE970B">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服务技术规格偏离表（附件3）；</w:t>
      </w:r>
    </w:p>
    <w:p w14:paraId="5D2BBFA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空调维保服务技术性能、服务参数、维保标准的描述； </w:t>
      </w:r>
    </w:p>
    <w:p w14:paraId="1760B338">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备件工具材料明细表；</w:t>
      </w:r>
    </w:p>
    <w:p w14:paraId="50140ACD">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类似业绩（签订日期为2021年1月1日至今）；</w:t>
      </w:r>
    </w:p>
    <w:p w14:paraId="6E70AD99">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商务标</w:t>
      </w:r>
    </w:p>
    <w:p w14:paraId="36BEA27F">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highlight w:val="none"/>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5"/>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3</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highlight w:val="none"/>
          <w:shd w:val="clear" w:fill="FFFFFF"/>
          <w:lang w:val="en-US" w:eastAsia="zh-CN"/>
        </w:rPr>
      </w:pPr>
      <w:r>
        <w:rPr>
          <w:rFonts w:hint="eastAsia" w:ascii="宋体" w:hAnsi="宋体" w:eastAsia="宋体" w:cs="宋体"/>
          <w:i w:val="0"/>
          <w:iCs w:val="0"/>
          <w:caps w:val="0"/>
          <w:color w:val="0F1115"/>
          <w:spacing w:val="0"/>
          <w:sz w:val="21"/>
          <w:szCs w:val="21"/>
          <w:highlight w:val="none"/>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highlight w:val="none"/>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highlight w:val="none"/>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U盘须单独密封于一个袋内；</w:t>
      </w:r>
    </w:p>
    <w:p w14:paraId="1AD38BB2">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4"/>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highlight w:val="none"/>
          <w:shd w:val="clear" w:fill="FFFFFF"/>
          <w:lang w:val="en-US" w:eastAsia="zh-CN"/>
        </w:rPr>
      </w:pPr>
      <w:r>
        <w:rPr>
          <w:rFonts w:hint="eastAsia" w:ascii="宋体" w:hAnsi="宋体" w:eastAsia="宋体" w:cs="宋体"/>
          <w:b w:val="0"/>
          <w:bCs w:val="0"/>
          <w:i w:val="0"/>
          <w:iCs w:val="0"/>
          <w:caps w:val="0"/>
          <w:color w:val="0F1115"/>
          <w:spacing w:val="0"/>
          <w:sz w:val="21"/>
          <w:szCs w:val="21"/>
          <w:highlight w:val="none"/>
          <w:shd w:val="clear" w:fill="FFFFFF"/>
          <w:lang w:val="en-US" w:eastAsia="zh-CN"/>
        </w:rPr>
        <w:t>开标一览表须单独密封于一个袋内。</w:t>
      </w:r>
    </w:p>
    <w:p w14:paraId="5DF4D985">
      <w:pPr>
        <w:pStyle w:val="72"/>
        <w:keepNext w:val="0"/>
        <w:keepLines w:val="0"/>
        <w:pageBreakBefore w:val="0"/>
        <w:widowControl w:val="0"/>
        <w:numPr>
          <w:ilvl w:val="0"/>
          <w:numId w:val="1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highlight w:val="none"/>
          <w:lang w:val="en-US" w:eastAsia="zh-CN"/>
        </w:rPr>
      </w:pPr>
      <w:r>
        <w:rPr>
          <w:rFonts w:hint="eastAsia" w:ascii="黑体" w:hAnsi="黑体" w:eastAsia="黑体" w:cs="黑体"/>
          <w:b w:val="0"/>
          <w:sz w:val="24"/>
          <w:szCs w:val="24"/>
          <w:highlight w:val="none"/>
          <w:lang w:val="en-US" w:eastAsia="zh-CN"/>
        </w:rPr>
        <w:t>投标文件的投递</w:t>
      </w:r>
    </w:p>
    <w:p w14:paraId="384251F5">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highlight w:val="none"/>
          <w:lang w:val="en-US" w:eastAsia="zh-CN"/>
        </w:rPr>
      </w:pPr>
      <w:r>
        <w:rPr>
          <w:rFonts w:hint="eastAsia" w:ascii="Times New Roman" w:hAnsi="Times New Roman" w:cs="Times New Roman"/>
          <w:color w:val="auto"/>
          <w:highlight w:val="none"/>
          <w:lang w:val="en-US" w:eastAsia="zh-CN"/>
        </w:rPr>
        <w:t>投递盖章扫描版电子标书（包含资质标书、技术标书、商务标书）</w:t>
      </w:r>
      <w:r>
        <w:rPr>
          <w:rFonts w:hint="eastAsia" w:ascii="宋体" w:hAnsi="宋体" w:eastAsia="宋体" w:cs="宋体"/>
          <w:sz w:val="24"/>
          <w:szCs w:val="24"/>
          <w:highlight w:val="none"/>
        </w:rPr>
        <w:t>，</w:t>
      </w:r>
      <w:r>
        <w:rPr>
          <w:rFonts w:hint="eastAsia" w:ascii="Times New Roman" w:hAnsi="Times New Roman" w:cs="Times New Roman"/>
          <w:color w:val="auto"/>
          <w:highlight w:val="none"/>
          <w:lang w:val="en-US" w:eastAsia="zh-CN"/>
        </w:rPr>
        <w:t>用“公司名称+文件名称”命名。</w:t>
      </w:r>
      <w:r>
        <w:rPr>
          <w:rFonts w:hint="eastAsia" w:ascii="Times New Roman" w:hAnsi="Times New Roman" w:cs="Times New Roman"/>
          <w:b/>
          <w:bCs/>
          <w:color w:val="auto"/>
          <w:highlight w:val="none"/>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郝龙磊</w:t>
      </w:r>
      <w:r>
        <w:rPr>
          <w:rFonts w:hint="eastAsia" w:ascii="宋体" w:hAnsi="Courier New" w:eastAsia="宋体" w:cs="Times New Roman"/>
          <w:highlight w:val="none"/>
          <w:lang w:val="en-US" w:eastAsia="zh-CN"/>
        </w:rPr>
        <w:t>13853169035</w:t>
      </w:r>
    </w:p>
    <w:p w14:paraId="4AAA3F9B">
      <w:pPr>
        <w:pStyle w:val="76"/>
        <w:keepNext w:val="0"/>
        <w:keepLines w:val="0"/>
        <w:pageBreakBefore w:val="0"/>
        <w:widowControl w:val="0"/>
        <w:numPr>
          <w:ilvl w:val="1"/>
          <w:numId w:val="14"/>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highlight w:val="none"/>
          <w:lang w:val="en-US" w:eastAsia="zh-CN"/>
        </w:rPr>
      </w:pPr>
      <w:r>
        <w:rPr>
          <w:rFonts w:hint="eastAsia"/>
          <w:highlight w:val="none"/>
          <w:lang w:val="en-US" w:eastAsia="zh-CN"/>
        </w:rPr>
        <w:t>投标文件</w:t>
      </w:r>
      <w:r>
        <w:rPr>
          <w:rFonts w:hint="eastAsia" w:ascii="宋体" w:hAnsi="Courier New" w:eastAsia="宋体" w:cs="Times New Roman"/>
          <w:highlight w:val="none"/>
          <w:lang w:val="en-US" w:eastAsia="zh-CN"/>
        </w:rPr>
        <w:t>递交</w:t>
      </w:r>
      <w:r>
        <w:rPr>
          <w:rFonts w:hint="eastAsia"/>
          <w:highlight w:val="none"/>
          <w:lang w:val="en-US" w:eastAsia="zh-CN"/>
        </w:rPr>
        <w:t>截止时间：</w:t>
      </w:r>
      <w:r>
        <w:rPr>
          <w:rFonts w:hint="eastAsia"/>
          <w:highlight w:val="none"/>
          <w:u w:val="single"/>
          <w:lang w:val="en-US" w:eastAsia="zh-CN"/>
        </w:rPr>
        <w:t>2026年7月24日8:59:59</w:t>
      </w:r>
      <w:r>
        <w:rPr>
          <w:rFonts w:hint="default"/>
          <w:highlight w:val="none"/>
          <w:u w:val="single"/>
          <w:lang w:val="en-US" w:eastAsia="zh-CN"/>
        </w:rPr>
        <w:t>（</w:t>
      </w:r>
      <w:r>
        <w:rPr>
          <w:rFonts w:hint="default" w:ascii="宋体" w:hAnsi="Courier New" w:eastAsia="宋体" w:cs="Times New Roman"/>
          <w:highlight w:val="none"/>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从银行基本账户转账</w:t>
      </w:r>
    </w:p>
    <w:p w14:paraId="25AC0430">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422" w:firstLineChars="200"/>
        <w:textAlignment w:val="auto"/>
        <w:rPr>
          <w:rFonts w:hint="eastAsia"/>
          <w:b/>
          <w:bCs/>
          <w:highlight w:val="none"/>
          <w:lang w:val="en-US" w:eastAsia="zh-CN"/>
        </w:rPr>
      </w:pPr>
      <w:r>
        <w:rPr>
          <w:rFonts w:hint="eastAsia"/>
          <w:b/>
          <w:bCs/>
          <w:highlight w:val="none"/>
          <w:lang w:val="en-US" w:eastAsia="zh-CN"/>
        </w:rPr>
        <w:t>转账附言：公司名称+项目名称+投标保证金。</w:t>
      </w:r>
    </w:p>
    <w:p w14:paraId="5568414C">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保证金缴纳</w:t>
      </w:r>
      <w:r>
        <w:rPr>
          <w:rFonts w:hint="eastAsia" w:cs="Times New Roman"/>
          <w:highlight w:val="none"/>
        </w:rPr>
        <w:t>截止</w:t>
      </w:r>
      <w:r>
        <w:rPr>
          <w:rFonts w:hint="eastAsia" w:ascii="宋体" w:hAnsi="宋体" w:eastAsia="宋体" w:cs="宋体"/>
          <w:b w:val="0"/>
          <w:bCs w:val="0"/>
          <w:sz w:val="21"/>
          <w:szCs w:val="21"/>
          <w:highlight w:val="none"/>
        </w:rPr>
        <w:t>时间：202</w:t>
      </w:r>
      <w:r>
        <w:rPr>
          <w:rFonts w:hint="eastAsia" w:hAnsi="宋体" w:cs="宋体"/>
          <w:b w:val="0"/>
          <w:bCs w:val="0"/>
          <w:sz w:val="21"/>
          <w:szCs w:val="21"/>
          <w:highlight w:val="none"/>
          <w:lang w:val="en-US" w:eastAsia="zh-CN"/>
        </w:rPr>
        <w:t>6</w:t>
      </w:r>
      <w:r>
        <w:rPr>
          <w:rFonts w:hint="eastAsia" w:ascii="宋体" w:hAnsi="宋体" w:eastAsia="宋体" w:cs="宋体"/>
          <w:b w:val="0"/>
          <w:bCs w:val="0"/>
          <w:sz w:val="21"/>
          <w:szCs w:val="21"/>
          <w:highlight w:val="none"/>
        </w:rPr>
        <w:t>年</w:t>
      </w:r>
      <w:r>
        <w:rPr>
          <w:rFonts w:hint="eastAsia" w:hAnsi="宋体" w:cs="宋体"/>
          <w:b w:val="0"/>
          <w:bCs w:val="0"/>
          <w:sz w:val="21"/>
          <w:szCs w:val="21"/>
          <w:highlight w:val="none"/>
          <w:lang w:val="en-US" w:eastAsia="zh-CN"/>
        </w:rPr>
        <w:t>7</w:t>
      </w:r>
      <w:r>
        <w:rPr>
          <w:rFonts w:hint="eastAsia" w:ascii="宋体" w:hAnsi="宋体" w:eastAsia="宋体" w:cs="宋体"/>
          <w:b w:val="0"/>
          <w:bCs w:val="0"/>
          <w:sz w:val="21"/>
          <w:szCs w:val="21"/>
          <w:highlight w:val="none"/>
        </w:rPr>
        <w:t>月</w:t>
      </w:r>
      <w:r>
        <w:rPr>
          <w:rFonts w:hint="eastAsia" w:hAnsi="宋体" w:cs="宋体"/>
          <w:b w:val="0"/>
          <w:bCs w:val="0"/>
          <w:sz w:val="21"/>
          <w:szCs w:val="21"/>
          <w:highlight w:val="none"/>
          <w:lang w:val="en-US" w:eastAsia="zh-CN"/>
        </w:rPr>
        <w:t>21</w:t>
      </w:r>
      <w:r>
        <w:rPr>
          <w:rFonts w:hint="eastAsia" w:ascii="宋体" w:hAnsi="宋体" w:eastAsia="宋体" w:cs="宋体"/>
          <w:b w:val="0"/>
          <w:bCs w:val="0"/>
          <w:sz w:val="21"/>
          <w:szCs w:val="21"/>
          <w:highlight w:val="none"/>
        </w:rPr>
        <w:t>日</w:t>
      </w:r>
      <w:r>
        <w:rPr>
          <w:rFonts w:hint="eastAsia" w:hAnsi="宋体" w:cs="宋体"/>
          <w:b w:val="0"/>
          <w:bCs w:val="0"/>
          <w:sz w:val="21"/>
          <w:szCs w:val="21"/>
          <w:highlight w:val="none"/>
          <w:lang w:val="en-US" w:eastAsia="zh-CN"/>
        </w:rPr>
        <w:t>17</w:t>
      </w:r>
      <w:r>
        <w:rPr>
          <w:rFonts w:hint="eastAsia"/>
          <w:highlight w:val="none"/>
          <w:u w:val="none"/>
          <w:lang w:val="en-US" w:eastAsia="zh-CN"/>
        </w:rPr>
        <w:t>:00:00</w:t>
      </w:r>
      <w:r>
        <w:rPr>
          <w:rFonts w:hint="default" w:ascii="宋体" w:hAnsi="Courier New" w:eastAsia="宋体" w:cs="Times New Roman"/>
          <w:highlight w:val="none"/>
          <w:u w:val="none"/>
          <w:lang w:val="en-US" w:eastAsia="zh-CN"/>
        </w:rPr>
        <w:t>（北京时间）</w:t>
      </w:r>
    </w:p>
    <w:p w14:paraId="5306DE77">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ascii="宋体" w:hAnsi="宋体" w:eastAsia="宋体" w:cs="宋体"/>
          <w:b w:val="0"/>
          <w:bCs w:val="0"/>
          <w:szCs w:val="21"/>
          <w:highlight w:val="none"/>
        </w:rPr>
        <w:t>供</w:t>
      </w:r>
      <w:r>
        <w:rPr>
          <w:rFonts w:hint="eastAsia"/>
          <w:highlight w:val="none"/>
        </w:rPr>
        <w:t>应商在提交响应文件截止时间后撤回响应文件的；</w:t>
      </w:r>
    </w:p>
    <w:p w14:paraId="56CEC55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供应商在响应文件中提供虚假材料的；</w:t>
      </w:r>
    </w:p>
    <w:p w14:paraId="14DF0C7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除因不可抗力或谈判文件、询价通知书认可的情形以外，成交供应商不与采购人签订合同的；</w:t>
      </w:r>
    </w:p>
    <w:p w14:paraId="1D9AD298">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供应商与采购人、其他供应商或者采购代理机构恶意串通、围标、陪标的；</w:t>
      </w:r>
    </w:p>
    <w:p w14:paraId="1211AC71">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val="en-US" w:eastAsia="zh-CN"/>
        </w:rPr>
      </w:pPr>
      <w:r>
        <w:rPr>
          <w:rFonts w:hint="eastAsia"/>
          <w:highlight w:val="none"/>
        </w:rPr>
        <w:t>自中标通知书发出之日起30日内，中标人无正当理由投标人无正当签订合同的；</w:t>
      </w:r>
    </w:p>
    <w:p w14:paraId="271EC8CF">
      <w:pPr>
        <w:pStyle w:val="76"/>
        <w:keepNext w:val="0"/>
        <w:keepLines w:val="0"/>
        <w:pageBreakBefore w:val="0"/>
        <w:widowControl w:val="0"/>
        <w:numPr>
          <w:ilvl w:val="1"/>
          <w:numId w:val="17"/>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highlight w:val="none"/>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开评标</w:t>
      </w:r>
    </w:p>
    <w:p w14:paraId="6D5294CB">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587160D4">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none"/>
          <w:lang w:val="en-US" w:eastAsia="zh-CN"/>
        </w:rPr>
        <w:t>2026年7</w:t>
      </w:r>
      <w:r>
        <w:rPr>
          <w:rFonts w:hint="eastAsia" w:ascii="宋体" w:hAnsi="宋体" w:eastAsia="宋体" w:cs="宋体"/>
          <w:b w:val="0"/>
          <w:bCs w:val="0"/>
          <w:sz w:val="21"/>
          <w:szCs w:val="21"/>
          <w:highlight w:val="none"/>
          <w:lang w:val="en-US" w:eastAsia="zh-CN"/>
        </w:rPr>
        <w:t>月</w:t>
      </w:r>
      <w:r>
        <w:rPr>
          <w:rFonts w:hint="eastAsia" w:hAnsi="宋体" w:cs="宋体"/>
          <w:b w:val="0"/>
          <w:bCs w:val="0"/>
          <w:sz w:val="21"/>
          <w:szCs w:val="21"/>
          <w:highlight w:val="none"/>
          <w:lang w:val="en-US" w:eastAsia="zh-CN"/>
        </w:rPr>
        <w:t>24</w:t>
      </w:r>
      <w:r>
        <w:rPr>
          <w:rFonts w:hint="eastAsia" w:ascii="宋体" w:hAnsi="宋体" w:eastAsia="宋体" w:cs="宋体"/>
          <w:b w:val="0"/>
          <w:bCs w:val="0"/>
          <w:sz w:val="21"/>
          <w:szCs w:val="21"/>
          <w:highlight w:val="none"/>
          <w:lang w:val="en-US" w:eastAsia="zh-CN"/>
        </w:rPr>
        <w:t>日</w:t>
      </w:r>
      <w:r>
        <w:rPr>
          <w:rFonts w:hint="eastAsia" w:hAnsi="宋体" w:cs="宋体"/>
          <w:b w:val="0"/>
          <w:bCs w:val="0"/>
          <w:sz w:val="21"/>
          <w:szCs w:val="21"/>
          <w:highlight w:val="none"/>
          <w:lang w:val="en-US" w:eastAsia="zh-CN"/>
        </w:rPr>
        <w:t>9</w:t>
      </w:r>
      <w:r>
        <w:rPr>
          <w:rFonts w:hint="default" w:ascii="宋体" w:hAnsi="宋体" w:eastAsia="宋体" w:cs="宋体"/>
          <w:b w:val="0"/>
          <w:bCs w:val="0"/>
          <w:sz w:val="21"/>
          <w:szCs w:val="21"/>
          <w:highlight w:val="none"/>
          <w:lang w:val="en-US" w:eastAsia="zh-CN"/>
        </w:rPr>
        <w:t>:00:00（北京时间）</w:t>
      </w:r>
    </w:p>
    <w:p w14:paraId="72FF61DD">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1"/>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none"/>
          <w:u w:val="none"/>
          <w:lang w:val="en-US" w:eastAsia="zh-CN"/>
        </w:rPr>
        <w:t>线下</w:t>
      </w:r>
      <w:r>
        <w:rPr>
          <w:rFonts w:hint="eastAsia" w:ascii="宋体" w:hAnsi="Courier New" w:eastAsia="宋体" w:cs="Times New Roman"/>
          <w:b/>
          <w:bCs w:val="0"/>
          <w:color w:val="auto"/>
          <w:kern w:val="2"/>
          <w:sz w:val="21"/>
          <w:highlight w:val="none"/>
          <w:u w:val="none"/>
          <w:lang w:val="en-US" w:eastAsia="zh-CN" w:bidi="ar-SA"/>
        </w:rPr>
        <w:t>招标</w:t>
      </w:r>
    </w:p>
    <w:p w14:paraId="59F17765">
      <w:pPr>
        <w:pStyle w:val="72"/>
        <w:keepNext w:val="0"/>
        <w:keepLines w:val="0"/>
        <w:pageBreakBefore w:val="0"/>
        <w:widowControl w:val="0"/>
        <w:numPr>
          <w:ilvl w:val="0"/>
          <w:numId w:val="20"/>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none"/>
          <w:u w:val="none"/>
          <w:lang w:val="en-US" w:eastAsia="zh-CN"/>
        </w:rPr>
      </w:pPr>
      <w:r>
        <w:rPr>
          <w:rFonts w:hint="default" w:ascii="宋体" w:hAnsi="宋体" w:eastAsia="宋体" w:cs="宋体"/>
          <w:b w:val="0"/>
          <w:bCs w:val="0"/>
          <w:sz w:val="21"/>
          <w:szCs w:val="21"/>
          <w:highlight w:val="none"/>
          <w:u w:val="none"/>
          <w:lang w:val="en-US" w:eastAsia="zh-CN"/>
        </w:rPr>
        <w:t>采用技术入围后，商务实行低价中标</w:t>
      </w:r>
      <w:r>
        <w:rPr>
          <w:rFonts w:hint="eastAsia" w:ascii="宋体" w:hAnsi="宋体" w:eastAsia="宋体" w:cs="宋体"/>
          <w:b w:val="0"/>
          <w:bCs w:val="0"/>
          <w:sz w:val="21"/>
          <w:szCs w:val="21"/>
          <w:highlight w:val="none"/>
          <w:u w:val="none"/>
          <w:lang w:val="en-US" w:eastAsia="zh-CN"/>
        </w:rPr>
        <w:t>。</w:t>
      </w:r>
    </w:p>
    <w:p w14:paraId="0B2A8F6D">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19"/>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注意：所有参与现场投标的投标人，需要自带笔记本电脑在</w:t>
      </w:r>
      <w:r>
        <w:rPr>
          <w:rFonts w:hint="eastAsia"/>
          <w:highlight w:val="none"/>
          <w:lang w:eastAsia="zh-CN"/>
        </w:rPr>
        <w:t>“</w:t>
      </w:r>
      <w:r>
        <w:rPr>
          <w:rFonts w:hint="eastAsia"/>
          <w:highlight w:val="none"/>
        </w:rPr>
        <w:t>重汽e采通</w:t>
      </w:r>
      <w:r>
        <w:rPr>
          <w:rFonts w:hint="eastAsia"/>
          <w:highlight w:val="none"/>
          <w:lang w:eastAsia="zh-CN"/>
        </w:rPr>
        <w:t>”</w:t>
      </w:r>
      <w:r>
        <w:rPr>
          <w:rFonts w:hint="eastAsia"/>
          <w:highlight w:val="none"/>
        </w:rPr>
        <w:t>进行自主投标和提交澄清函；投标和提交澄清函均有时间限制，超时未提交的按无效处理。</w:t>
      </w:r>
    </w:p>
    <w:p w14:paraId="20BA3AE6">
      <w:pPr>
        <w:pStyle w:val="72"/>
        <w:keepNext w:val="0"/>
        <w:keepLines w:val="0"/>
        <w:pageBreakBefore w:val="0"/>
        <w:widowControl w:val="0"/>
        <w:numPr>
          <w:ilvl w:val="1"/>
          <w:numId w:val="20"/>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评分标准</w:t>
      </w:r>
      <w:r>
        <w:rPr>
          <w:rFonts w:hint="eastAsia" w:hAnsi="黑体" w:cs="黑体"/>
          <w:b w:val="0"/>
          <w:bCs w:val="0"/>
          <w:sz w:val="21"/>
          <w:szCs w:val="21"/>
          <w:highlight w:val="none"/>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highlight w:val="none"/>
              </w:rPr>
            </w:pPr>
            <w:r>
              <w:rPr>
                <w:rFonts w:hint="eastAsia"/>
                <w:b/>
                <w:highlight w:val="none"/>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highlight w:val="none"/>
              </w:rPr>
            </w:pPr>
            <w:r>
              <w:rPr>
                <w:rFonts w:hint="eastAsia"/>
                <w:b/>
                <w:highlight w:val="none"/>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highlight w:val="none"/>
                <w:lang w:eastAsia="zh-CN"/>
              </w:rPr>
            </w:pPr>
            <w:r>
              <w:rPr>
                <w:rFonts w:hint="eastAsia"/>
                <w:b/>
                <w:highlight w:val="none"/>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highlight w:val="none"/>
              </w:rPr>
            </w:pPr>
            <w:r>
              <w:rPr>
                <w:rFonts w:hint="eastAsia"/>
                <w:b/>
                <w:highlight w:val="none"/>
              </w:rPr>
              <w:t>最高</w:t>
            </w:r>
          </w:p>
          <w:p w14:paraId="2F3BD2A5">
            <w:pPr>
              <w:spacing w:line="320" w:lineRule="exact"/>
              <w:ind w:right="34" w:rightChars="16"/>
              <w:jc w:val="center"/>
              <w:rPr>
                <w:b/>
                <w:szCs w:val="21"/>
                <w:highlight w:val="none"/>
              </w:rPr>
            </w:pPr>
            <w:r>
              <w:rPr>
                <w:rFonts w:hint="eastAsia"/>
                <w:b/>
                <w:highlight w:val="none"/>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highlight w:val="none"/>
              </w:rPr>
            </w:pPr>
            <w:r>
              <w:rPr>
                <w:rFonts w:hint="eastAsia"/>
                <w:b/>
                <w:highlight w:val="none"/>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highlight w:val="none"/>
                <w:lang w:eastAsia="zh-CN"/>
              </w:rPr>
            </w:pPr>
            <w:r>
              <w:rPr>
                <w:rFonts w:hint="eastAsia" w:ascii="宋体"/>
                <w:highlight w:val="none"/>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highlight w:val="none"/>
                <w:lang w:val="en-US" w:eastAsia="zh-CN"/>
              </w:rPr>
            </w:pPr>
            <w:r>
              <w:rPr>
                <w:rFonts w:hint="eastAsia" w:ascii="宋体"/>
                <w:highlight w:val="none"/>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维保服务核心技术方案</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ighlight w:val="none"/>
                <w:lang w:val="en-US" w:eastAsia="zh-CN"/>
              </w:rPr>
            </w:pPr>
            <w:r>
              <w:rPr>
                <w:rFonts w:hint="eastAsia" w:ascii="宋体"/>
                <w:highlight w:val="none"/>
                <w:lang w:val="en-US" w:eastAsia="zh-CN"/>
              </w:rPr>
              <w:t>50</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所投空调维保服务方案</w:t>
            </w:r>
            <w:r>
              <w:rPr>
                <w:rFonts w:hint="eastAsia" w:ascii="宋体"/>
                <w:highlight w:val="none"/>
                <w:lang w:eastAsia="zh-CN"/>
              </w:rPr>
              <w:t>（含</w:t>
            </w:r>
            <w:r>
              <w:rPr>
                <w:rFonts w:hint="eastAsia" w:ascii="宋体"/>
                <w:highlight w:val="none"/>
              </w:rPr>
              <w:t>维保技术标准、服务流程</w:t>
            </w:r>
            <w:r>
              <w:rPr>
                <w:rFonts w:hint="eastAsia" w:ascii="宋体"/>
                <w:highlight w:val="none"/>
                <w:lang w:eastAsia="zh-CN"/>
              </w:rPr>
              <w:t>）</w:t>
            </w:r>
            <w:r>
              <w:rPr>
                <w:rFonts w:hint="eastAsia" w:ascii="宋体"/>
                <w:highlight w:val="none"/>
              </w:rPr>
              <w:t>满足招标文件要求得 40 分；每一项维保技术标准、服务流程优于招标文件的加 1 分，最高加 10 分；每一项维保技术标准、服务流程低于招标文件的减 1 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lang w:val="en-US" w:eastAsia="zh-CN"/>
              </w:rPr>
              <w:t>1</w:t>
            </w:r>
            <w:r>
              <w:rPr>
                <w:rFonts w:hint="eastAsia" w:ascii="宋体"/>
                <w:highlight w:val="none"/>
              </w:rPr>
              <w:t>4分</w:t>
            </w:r>
          </w:p>
        </w:tc>
        <w:tc>
          <w:tcPr>
            <w:tcW w:w="6153" w:type="dxa"/>
            <w:tcBorders>
              <w:top w:val="single" w:color="auto" w:sz="4" w:space="0"/>
              <w:left w:val="single" w:color="auto" w:sz="4" w:space="0"/>
              <w:bottom w:val="nil"/>
              <w:right w:val="single" w:color="auto" w:sz="4" w:space="0"/>
            </w:tcBorders>
            <w:vAlign w:val="center"/>
          </w:tcPr>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投标文件中提供完整的空调维保作业指导书、服务参数对照表、从业人员资质证书、设备检测校验报告等资料得 8 分，缺一项关键资料减 2 分，减完为止。维保工具、检测设备具备国家 / 行业检测认证，提供有效认证证书，每项认证得 1 分，最多得 4 分。维保作业符合国家节能、安全规范标准，提供相关证明材料得 2 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维保质量及保障措施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空调维保质量管控体系完善、故障排查修复能力强，服务口碑稳定，具备标准化维保质控流程、全流程质量追溯保障措施的酌情得 1-6 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295"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highlight w:val="none"/>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ascii="宋体" w:hAnsi="宋体" w:eastAsia="宋体" w:cs="宋体"/>
                <w:sz w:val="24"/>
                <w:szCs w:val="24"/>
                <w:highlight w:val="none"/>
              </w:rPr>
              <w:t>维保服务周期响应时效</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响应维保周期基本要求得基本分 2 分；能提供详细的年度维保排期计划、24 小时应急抢修保障方案，有详细缩短故障处置时长、保障设备稳定运行的专项措施及佐证材料，根据实际情况酌情得 1-4 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类似维保业绩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投标人每有一项空调维保类似业绩（签订日期为 2020 年 1 月 1 日至今），根据业绩规模、服务年限酌情得 1-6 分（必须提供合同原件，否则不得分）。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ascii="宋体" w:hAnsi="宋体" w:eastAsia="宋体" w:cs="宋体"/>
                <w:sz w:val="24"/>
                <w:szCs w:val="24"/>
                <w:highlight w:val="none"/>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1.企业注册资本金达到</w:t>
            </w:r>
            <w:r>
              <w:rPr>
                <w:rFonts w:hint="eastAsia" w:ascii="宋体"/>
                <w:highlight w:val="none"/>
                <w:lang w:val="en-US" w:eastAsia="zh-CN"/>
              </w:rPr>
              <w:t>1</w:t>
            </w:r>
            <w:r>
              <w:rPr>
                <w:rFonts w:hint="eastAsia" w:ascii="宋体"/>
                <w:highlight w:val="none"/>
              </w:rPr>
              <w:t>00万元得1分，每增加</w:t>
            </w:r>
            <w:r>
              <w:rPr>
                <w:rFonts w:hint="eastAsia" w:ascii="宋体"/>
                <w:highlight w:val="none"/>
                <w:lang w:val="en-US" w:eastAsia="zh-CN"/>
              </w:rPr>
              <w:t>2</w:t>
            </w:r>
            <w:r>
              <w:rPr>
                <w:rFonts w:hint="eastAsia" w:ascii="宋体"/>
                <w:highlight w:val="none"/>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2.</w:t>
            </w:r>
            <w:r>
              <w:rPr>
                <w:rFonts w:hint="eastAsia" w:ascii="宋体"/>
                <w:highlight w:val="none"/>
              </w:rPr>
              <w:t>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视投标人综合服务实力、行业品牌影响力、本地服务网点覆盖、财务状况、维保人员配置、安全文明作业、节能环保运维方案等综合情况酌情得 1-6 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highlight w:val="none"/>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lang w:val="en-US" w:eastAsia="zh-CN"/>
              </w:rPr>
            </w:pPr>
            <w:r>
              <w:rPr>
                <w:rFonts w:hint="eastAsia" w:ascii="宋体"/>
                <w:highlight w:val="none"/>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ighlight w:val="none"/>
                <w:lang w:val="en-US" w:eastAsia="zh-CN"/>
              </w:rPr>
            </w:pPr>
            <w:r>
              <w:rPr>
                <w:rFonts w:hint="eastAsia" w:ascii="宋体"/>
                <w:highlight w:val="none"/>
                <w:lang w:val="en-US" w:eastAsia="zh-CN"/>
              </w:rPr>
              <w:t>6</w:t>
            </w:r>
            <w:r>
              <w:rPr>
                <w:rFonts w:hint="eastAsia" w:ascii="宋体"/>
                <w:highlight w:val="none"/>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rPr>
              <w:t>维保质保期满足或优于招标文件要求，售后服务措施得当，体系完整，项目所在地有相应的的售后服务能力酌情得1-</w:t>
            </w:r>
            <w:r>
              <w:rPr>
                <w:rFonts w:hint="eastAsia" w:ascii="宋体"/>
                <w:highlight w:val="none"/>
                <w:lang w:val="en-US" w:eastAsia="zh-CN"/>
              </w:rPr>
              <w:t>6</w:t>
            </w:r>
            <w:r>
              <w:rPr>
                <w:rFonts w:hint="eastAsia" w:ascii="宋体"/>
                <w:highlight w:val="none"/>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ighlight w:val="none"/>
              </w:rPr>
            </w:pPr>
            <w:r>
              <w:rPr>
                <w:rFonts w:hint="eastAsia" w:ascii="宋体"/>
                <w:highlight w:val="none"/>
                <w:lang w:val="en-US" w:eastAsia="zh-CN"/>
              </w:rPr>
              <w:t>技术标入围后，商务标实行低价中标</w:t>
            </w:r>
            <w:r>
              <w:rPr>
                <w:rFonts w:hint="eastAsia" w:ascii="宋体"/>
                <w:highlight w:val="none"/>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highlight w:val="none"/>
              </w:rPr>
            </w:pPr>
            <w:r>
              <w:rPr>
                <w:rFonts w:hint="eastAsia" w:ascii="宋体" w:hAnsi="宋体"/>
                <w:highlight w:val="none"/>
              </w:rPr>
              <w:t>备注：</w:t>
            </w:r>
          </w:p>
          <w:p w14:paraId="6DF29DAE">
            <w:pPr>
              <w:rPr>
                <w:rFonts w:ascii="宋体"/>
                <w:highlight w:val="none"/>
              </w:rPr>
            </w:pPr>
            <w:r>
              <w:rPr>
                <w:rFonts w:hint="eastAsia" w:ascii="宋体" w:hAnsi="宋体"/>
                <w:highlight w:val="none"/>
              </w:rPr>
              <w:t>1、通过初审者为有效投标。</w:t>
            </w:r>
          </w:p>
          <w:p w14:paraId="7D34192B">
            <w:pPr>
              <w:rPr>
                <w:rFonts w:hint="eastAsia" w:ascii="宋体" w:hAnsi="宋体"/>
                <w:highlight w:val="none"/>
              </w:rPr>
            </w:pPr>
            <w:r>
              <w:rPr>
                <w:rFonts w:hint="eastAsia" w:ascii="宋体" w:hAnsi="宋体"/>
                <w:highlight w:val="none"/>
              </w:rPr>
              <w:t>2、评委打分超过得分界限或未按本方法赋分时，该评委的打分按废票处理。</w:t>
            </w:r>
          </w:p>
          <w:p w14:paraId="5B5A2EB5">
            <w:pPr>
              <w:rPr>
                <w:rFonts w:hint="eastAsia" w:ascii="宋体" w:hAnsi="宋体"/>
                <w:highlight w:val="none"/>
              </w:rPr>
            </w:pPr>
            <w:r>
              <w:rPr>
                <w:rFonts w:hint="eastAsia" w:ascii="宋体" w:hAnsi="宋体"/>
                <w:highlight w:val="none"/>
                <w:lang w:val="en-US" w:eastAsia="zh-CN"/>
              </w:rPr>
              <w:t>3</w:t>
            </w:r>
            <w:r>
              <w:rPr>
                <w:rFonts w:hint="eastAsia" w:ascii="宋体" w:hAnsi="宋体"/>
                <w:highlight w:val="none"/>
              </w:rPr>
              <w:t>、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highlight w:val="none"/>
              </w:rPr>
            </w:pPr>
            <w:r>
              <w:rPr>
                <w:rFonts w:hint="eastAsia" w:ascii="仿宋_GB2312" w:hAnsi="仿宋_GB2312" w:cs="仿宋_GB2312"/>
                <w:bCs/>
                <w:highlight w:val="none"/>
                <w:lang w:val="en-US" w:eastAsia="zh-CN"/>
              </w:rPr>
              <w:t>4</w:t>
            </w:r>
            <w:bookmarkStart w:id="34" w:name="_GoBack"/>
            <w:bookmarkEnd w:id="34"/>
            <w:r>
              <w:rPr>
                <w:rFonts w:hint="eastAsia" w:ascii="仿宋_GB2312" w:hAnsi="仿宋_GB2312" w:cs="仿宋_GB2312"/>
                <w:bCs/>
                <w:highlight w:val="none"/>
                <w:lang w:val="en-US" w:eastAsia="zh-CN"/>
              </w:rPr>
              <w:t>、</w:t>
            </w:r>
            <w:r>
              <w:rPr>
                <w:rFonts w:hint="eastAsia" w:ascii="仿宋_GB2312" w:hAnsi="仿宋_GB2312" w:cs="仿宋_GB2312"/>
                <w:b/>
                <w:bCs w:val="0"/>
                <w:sz w:val="22"/>
                <w:szCs w:val="21"/>
                <w:highlight w:val="none"/>
                <w:lang w:val="en-US" w:eastAsia="zh-CN"/>
              </w:rPr>
              <w:t>综合最低价</w:t>
            </w:r>
            <w:r>
              <w:rPr>
                <w:rFonts w:hint="eastAsia" w:ascii="仿宋_GB2312" w:hAnsi="仿宋_GB2312" w:cs="仿宋_GB2312"/>
                <w:bCs/>
                <w:highlight w:val="none"/>
              </w:rPr>
              <w:t>；</w:t>
            </w:r>
            <w:r>
              <w:rPr>
                <w:rFonts w:hint="eastAsia" w:ascii="仿宋_GB2312" w:hAnsi="仿宋_GB2312" w:cs="仿宋_GB2312"/>
                <w:color w:val="000000"/>
                <w:szCs w:val="28"/>
                <w:highlight w:val="none"/>
                <w:lang w:val="en-US" w:eastAsia="zh-CN"/>
              </w:rPr>
              <w:t>技术标入围后，商务标实行低价中标</w:t>
            </w:r>
            <w:r>
              <w:rPr>
                <w:rFonts w:hint="eastAsia" w:ascii="仿宋_GB2312" w:hAnsi="仿宋_GB2312" w:cs="仿宋_GB2312"/>
                <w:bCs/>
                <w:highlight w:val="none"/>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cs="Times New Roman"/>
          <w:highlight w:val="none"/>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ighlight w:val="none"/>
          <w:lang w:eastAsia="zh-CN"/>
        </w:rPr>
      </w:pPr>
      <w:r>
        <w:rPr>
          <w:rFonts w:hint="eastAsia"/>
          <w:highlight w:val="none"/>
        </w:rPr>
        <w:t>本项目只产生</w:t>
      </w:r>
      <w:r>
        <w:rPr>
          <w:rFonts w:hint="eastAsia"/>
          <w:highlight w:val="none"/>
          <w:lang w:val="en-US" w:eastAsia="zh-CN"/>
        </w:rPr>
        <w:t>1</w:t>
      </w:r>
      <w:r>
        <w:rPr>
          <w:rFonts w:hint="eastAsia"/>
          <w:highlight w:val="none"/>
        </w:rPr>
        <w:t>个中标人。中标人签订合同前须进行最终审查。最终审查的对象</w:t>
      </w:r>
      <w:r>
        <w:rPr>
          <w:rFonts w:hint="eastAsia"/>
          <w:highlight w:val="none"/>
          <w:lang w:val="en-US" w:eastAsia="zh-CN"/>
        </w:rPr>
        <w:t>是</w:t>
      </w:r>
      <w:r>
        <w:rPr>
          <w:rFonts w:hint="eastAsia"/>
          <w:highlight w:val="none"/>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highlight w:val="none"/>
          <w:lang w:val="en-US" w:eastAsia="zh-CN"/>
        </w:rPr>
        <w:t>的</w:t>
      </w:r>
      <w:r>
        <w:rPr>
          <w:rFonts w:hint="eastAsia"/>
          <w:highlight w:val="none"/>
        </w:rPr>
        <w:t>，则本次评标作废</w:t>
      </w:r>
      <w:r>
        <w:rPr>
          <w:rFonts w:hint="eastAsia"/>
          <w:highlight w:val="none"/>
          <w:lang w:val="en-US" w:eastAsia="zh-CN"/>
        </w:rPr>
        <w:t>或变更意向中标人</w:t>
      </w:r>
      <w:r>
        <w:rPr>
          <w:rFonts w:hint="eastAsia"/>
          <w:highlight w:val="none"/>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废标及终止招标</w:t>
      </w:r>
    </w:p>
    <w:p w14:paraId="0C3179D2">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投标人提供的有关资格、资质证明文件不合格、不真实或提供虚假投标材料；</w:t>
      </w:r>
    </w:p>
    <w:p w14:paraId="6FDED8F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投标人在报价有效期内撤回投标；</w:t>
      </w:r>
    </w:p>
    <w:p w14:paraId="3376C2B4">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lang w:eastAsia="zh-CN"/>
        </w:rPr>
      </w:pPr>
      <w:r>
        <w:rPr>
          <w:rFonts w:hint="eastAsia"/>
          <w:highlight w:val="none"/>
        </w:rPr>
        <w:t>在整个评标过程中，投标人有企图影响评标结果公正性的任何活动；</w:t>
      </w:r>
    </w:p>
    <w:p w14:paraId="1FD16286">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投标人以任何方式诋毁其他投标人；</w:t>
      </w:r>
    </w:p>
    <w:p w14:paraId="5179F72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投标人串通投标；</w:t>
      </w:r>
    </w:p>
    <w:p w14:paraId="4AFE6A7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投标人被举报、检举，并经招标人查实无误的；</w:t>
      </w:r>
    </w:p>
    <w:p w14:paraId="34970088">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以他人名义投标或者以其他方式弄虚作假，骗取中标的；</w:t>
      </w:r>
    </w:p>
    <w:p w14:paraId="5A79DF27">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投标人负责人为同一人或者存在控股、管理关系的不同单位；</w:t>
      </w:r>
    </w:p>
    <w:p w14:paraId="3CA95BAC">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有效投标不足三家；</w:t>
      </w:r>
    </w:p>
    <w:p w14:paraId="1D2B4C1A">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不同投标人的投标文件异常一致或者投标报价呈规律性差异的；</w:t>
      </w:r>
    </w:p>
    <w:p w14:paraId="6C84FB5F">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投标人报价均超过</w:t>
      </w:r>
      <w:r>
        <w:rPr>
          <w:rFonts w:hint="eastAsia"/>
          <w:highlight w:val="none"/>
          <w:lang w:val="en-US" w:eastAsia="zh-CN"/>
        </w:rPr>
        <w:t>最高限价</w:t>
      </w:r>
      <w:r>
        <w:rPr>
          <w:rFonts w:hint="eastAsia"/>
          <w:highlight w:val="none"/>
        </w:rPr>
        <w:t>的；</w:t>
      </w:r>
    </w:p>
    <w:p w14:paraId="627A4FDE">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未按要求填报商务报价资料，对招标开展造成较大影响；</w:t>
      </w:r>
    </w:p>
    <w:p w14:paraId="720979DB">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lang w:val="en-US" w:eastAsia="zh-CN"/>
        </w:rPr>
        <w:t>未按照招标人规定的时间内在中国重汽e采通完成投标的；</w:t>
      </w:r>
    </w:p>
    <w:p w14:paraId="2A852CD1">
      <w:pPr>
        <w:pStyle w:val="76"/>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firstLine="0" w:firstLineChars="0"/>
        <w:textAlignment w:val="auto"/>
        <w:rPr>
          <w:rFonts w:hint="eastAsia"/>
          <w:highlight w:val="none"/>
        </w:rPr>
      </w:pPr>
      <w:r>
        <w:rPr>
          <w:rFonts w:hint="eastAsia"/>
          <w:highlight w:val="none"/>
        </w:rPr>
        <w:t>法律、法规规定的其他情况。</w:t>
      </w:r>
    </w:p>
    <w:p w14:paraId="215E3D0C">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8"/>
      <w:bookmarkStart w:id="7" w:name="OLE_LINK25"/>
      <w:bookmarkStart w:id="8" w:name="OLE_LINK29"/>
      <w:bookmarkStart w:id="9" w:name="OLE_LINK27"/>
      <w:bookmarkStart w:id="10" w:name="OLE_LINK26"/>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3"/>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3"/>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Ansi="Courier New" w:cs="Times New Roman"/>
          <w:highlight w:val="none"/>
          <w:lang w:val="en-US" w:eastAsia="zh-CN"/>
        </w:rPr>
        <w:t>合同</w:t>
      </w:r>
      <w:r>
        <w:rPr>
          <w:rFonts w:hint="eastAsia"/>
          <w:highlight w:val="none"/>
          <w:lang w:val="en-US" w:eastAsia="zh-CN"/>
        </w:rPr>
        <w:t>签订</w:t>
      </w:r>
    </w:p>
    <w:p w14:paraId="38A4E3E0">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招标人根据评标工作小组的评标结果确定中标人，在重汽e采通平台公布中标结果，并发送中标通知。</w:t>
      </w:r>
    </w:p>
    <w:p w14:paraId="01A8757D">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highlight w:val="none"/>
        </w:rPr>
      </w:pPr>
      <w:r>
        <w:rPr>
          <w:rFonts w:hint="eastAsia" w:ascii="宋体" w:hAnsi="宋体" w:cs="宋体"/>
          <w:color w:val="000000"/>
          <w:sz w:val="21"/>
          <w:szCs w:val="21"/>
          <w:highlight w:val="none"/>
        </w:rPr>
        <w:t>中标人应该在中标通知书规定的时间、地点与招标人签订采购合同，否则按照开标后撤回投标处理。</w:t>
      </w:r>
    </w:p>
    <w:p w14:paraId="05680D5A">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highlight w:val="none"/>
        </w:rPr>
      </w:pPr>
      <w:r>
        <w:rPr>
          <w:rFonts w:hint="eastAsia" w:ascii="宋体" w:hAnsi="宋体" w:cs="宋体"/>
          <w:b w:val="0"/>
          <w:bCs w:val="0"/>
          <w:color w:val="000000"/>
          <w:sz w:val="21"/>
          <w:szCs w:val="21"/>
          <w:highlight w:val="none"/>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highlight w:val="none"/>
        </w:rPr>
      </w:pPr>
      <w:r>
        <w:rPr>
          <w:rFonts w:hint="eastAsia" w:ascii="宋体" w:hAnsi="宋体" w:cs="宋体"/>
          <w:b w:val="0"/>
          <w:bCs w:val="0"/>
          <w:color w:val="000000"/>
          <w:sz w:val="21"/>
          <w:szCs w:val="21"/>
          <w:highlight w:val="none"/>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highlight w:val="none"/>
          <w:lang w:eastAsia="zh-CN"/>
        </w:rPr>
        <w:t>。</w:t>
      </w:r>
    </w:p>
    <w:p w14:paraId="5591E191">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highlight w:val="none"/>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highlight w:val="none"/>
        </w:rPr>
      </w:pPr>
      <w:r>
        <w:rPr>
          <w:rFonts w:hint="eastAsia"/>
          <w:highlight w:val="none"/>
          <w:lang w:val="en-US" w:eastAsia="zh-CN"/>
        </w:rPr>
        <w:t>交货及付款</w:t>
      </w:r>
    </w:p>
    <w:p w14:paraId="6AAC4A46">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交货地点：详见技术要求。</w:t>
      </w:r>
    </w:p>
    <w:p w14:paraId="6C8560A2">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交货方式：详见技术要求。</w:t>
      </w:r>
    </w:p>
    <w:p w14:paraId="3089FF21">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质保期：以最终签署的协议（或合同）约定为准。</w:t>
      </w:r>
    </w:p>
    <w:p w14:paraId="0CA26A1A">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付款方式：银行转账。</w:t>
      </w:r>
    </w:p>
    <w:p w14:paraId="6043C049">
      <w:pPr>
        <w:pStyle w:val="76"/>
        <w:keepNext w:val="0"/>
        <w:keepLines w:val="0"/>
        <w:pageBreakBefore w:val="0"/>
        <w:widowControl w:val="0"/>
        <w:numPr>
          <w:ilvl w:val="0"/>
          <w:numId w:val="26"/>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highlight w:val="none"/>
          <w:lang w:val="en-US" w:eastAsia="zh-CN"/>
        </w:rPr>
      </w:pPr>
      <w:r>
        <w:rPr>
          <w:rFonts w:hint="eastAsia" w:cs="Times New Roman"/>
          <w:highlight w:val="none"/>
          <w:lang w:val="en-US" w:eastAsia="zh-CN"/>
        </w:rPr>
        <w:t>付款节点：</w:t>
      </w:r>
    </w:p>
    <w:p w14:paraId="10BD62EF">
      <w:pPr>
        <w:keepNext w:val="0"/>
        <w:keepLines w:val="0"/>
        <w:pageBreakBefore w:val="0"/>
        <w:widowControl/>
        <w:numPr>
          <w:ilvl w:val="0"/>
          <w:numId w:val="0"/>
        </w:numPr>
        <w:suppressLineNumbers w:val="0"/>
        <w:kinsoku/>
        <w:wordWrap/>
        <w:overflowPunct/>
        <w:topLinePunct w:val="0"/>
        <w:autoSpaceDE/>
        <w:autoSpaceDN/>
        <w:bidi w:val="0"/>
        <w:spacing w:line="360" w:lineRule="auto"/>
        <w:ind w:firstLine="420" w:firstLineChars="200"/>
        <w:jc w:val="left"/>
        <w:textAlignment w:val="auto"/>
        <w:rPr>
          <w:rFonts w:hint="eastAsia" w:ascii="仿宋_GB2312" w:hAnsi="仿宋_GB2312" w:eastAsia="宋体" w:cs="仿宋_GB2312"/>
          <w:bCs/>
          <w:kern w:val="2"/>
          <w:sz w:val="21"/>
          <w:highlight w:val="none"/>
          <w:lang w:val="en-US" w:eastAsia="zh-CN" w:bidi="ar-SA"/>
        </w:rPr>
      </w:pPr>
      <w:r>
        <w:rPr>
          <w:rFonts w:hint="eastAsia" w:ascii="仿宋_GB2312" w:hAnsi="仿宋_GB2312" w:eastAsia="宋体" w:cs="仿宋_GB2312"/>
          <w:bCs/>
          <w:kern w:val="2"/>
          <w:sz w:val="21"/>
          <w:highlight w:val="none"/>
          <w:lang w:val="en-US" w:eastAsia="zh-CN" w:bidi="ar-SA"/>
        </w:rPr>
        <w:t>每次服务竣工验收合格后，双方对实际的工作量和工作内容进行签字确认后付款至服务费的90%，服务费的10%作为质保金，质保期内（1年）无质量问题后支付。工程款发票要求为增值税专用发票。因发票违规给付款方造成的增值税、所得税等损失，由开票方承担相关责任，包括但不限于税款、滞纳金、罚款及其它相关损失。</w:t>
      </w:r>
    </w:p>
    <w:p w14:paraId="6E0D7439">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ighlight w:val="none"/>
          <w:lang w:val="en-US" w:eastAsia="zh-CN"/>
        </w:rPr>
      </w:pPr>
      <w:r>
        <w:rPr>
          <w:rFonts w:hint="eastAsia"/>
          <w:highlight w:val="none"/>
          <w:lang w:val="en-US" w:eastAsia="zh-CN"/>
        </w:rPr>
        <w:t>本次招标最终解释权归中国重汽集团济南汽车部件有限公司。</w:t>
      </w:r>
    </w:p>
    <w:p w14:paraId="66BCACD8">
      <w:pPr>
        <w:pStyle w:val="76"/>
        <w:bidi w:val="0"/>
        <w:rPr>
          <w:highlight w:val="none"/>
        </w:rPr>
      </w:pPr>
    </w:p>
    <w:p w14:paraId="243FF35F">
      <w:pPr>
        <w:pStyle w:val="76"/>
        <w:bidi w:val="0"/>
        <w:rPr>
          <w:rFonts w:hint="eastAsia"/>
          <w:highlight w:val="none"/>
        </w:rPr>
      </w:pPr>
      <w:bookmarkStart w:id="11" w:name="_Toc47976607"/>
    </w:p>
    <w:p w14:paraId="362F0A00">
      <w:pPr>
        <w:pStyle w:val="76"/>
        <w:bidi w:val="0"/>
        <w:rPr>
          <w:rFonts w:hint="eastAsia"/>
          <w:highlight w:val="none"/>
        </w:rPr>
      </w:pPr>
    </w:p>
    <w:p w14:paraId="10AEFF69">
      <w:pPr>
        <w:pStyle w:val="76"/>
        <w:bidi w:val="0"/>
        <w:rPr>
          <w:rFonts w:hint="eastAsia"/>
          <w:highlight w:val="none"/>
        </w:rPr>
      </w:pPr>
    </w:p>
    <w:p w14:paraId="16F7CE97">
      <w:pPr>
        <w:pStyle w:val="76"/>
        <w:bidi w:val="0"/>
        <w:rPr>
          <w:rFonts w:hint="eastAsia"/>
          <w:highlight w:val="none"/>
        </w:rPr>
      </w:pPr>
    </w:p>
    <w:p w14:paraId="23D42FBD">
      <w:pPr>
        <w:pStyle w:val="76"/>
        <w:bidi w:val="0"/>
        <w:rPr>
          <w:rFonts w:hint="eastAsia"/>
          <w:highlight w:val="none"/>
        </w:rPr>
      </w:pPr>
    </w:p>
    <w:p w14:paraId="7307E11A">
      <w:pPr>
        <w:pStyle w:val="76"/>
        <w:bidi w:val="0"/>
        <w:rPr>
          <w:rFonts w:hint="eastAsia"/>
          <w:highlight w:val="none"/>
        </w:rPr>
      </w:pPr>
    </w:p>
    <w:p w14:paraId="3A64B4FF">
      <w:pPr>
        <w:pStyle w:val="76"/>
        <w:bidi w:val="0"/>
        <w:rPr>
          <w:rFonts w:hint="eastAsia"/>
          <w:highlight w:val="none"/>
        </w:rPr>
      </w:pPr>
    </w:p>
    <w:p w14:paraId="3F9FB118">
      <w:pPr>
        <w:pStyle w:val="76"/>
        <w:bidi w:val="0"/>
        <w:rPr>
          <w:rFonts w:hint="eastAsia"/>
          <w:highlight w:val="none"/>
        </w:rPr>
      </w:pPr>
    </w:p>
    <w:p w14:paraId="319C0962">
      <w:pPr>
        <w:pStyle w:val="76"/>
        <w:bidi w:val="0"/>
        <w:rPr>
          <w:rFonts w:hint="eastAsia"/>
          <w:highlight w:val="none"/>
        </w:rPr>
      </w:pPr>
    </w:p>
    <w:p w14:paraId="26981F33">
      <w:pPr>
        <w:rPr>
          <w:rFonts w:hint="eastAsia"/>
          <w:highlight w:val="none"/>
        </w:rPr>
      </w:pPr>
    </w:p>
    <w:p w14:paraId="1D3BF604">
      <w:pPr>
        <w:rPr>
          <w:rFonts w:hint="eastAsia"/>
          <w:highlight w:val="none"/>
        </w:rPr>
      </w:pPr>
      <w:r>
        <w:rPr>
          <w:rFonts w:hint="eastAsia"/>
          <w:highlight w:val="none"/>
        </w:rPr>
        <w:br w:type="page"/>
      </w:r>
    </w:p>
    <w:p w14:paraId="66D8E76B">
      <w:pPr>
        <w:pStyle w:val="71"/>
        <w:rPr>
          <w:rFonts w:hint="eastAsia" w:cs="Times New Roman"/>
          <w:highlight w:val="none"/>
        </w:rPr>
      </w:pPr>
      <w:bookmarkStart w:id="12" w:name="_Toc16839"/>
      <w:r>
        <w:rPr>
          <w:rFonts w:hint="eastAsia" w:cs="Times New Roman"/>
          <w:highlight w:val="none"/>
        </w:rPr>
        <w:t>第二部分　</w:t>
      </w:r>
      <w:bookmarkEnd w:id="11"/>
      <w:bookmarkEnd w:id="12"/>
      <w:r>
        <w:rPr>
          <w:rFonts w:hint="eastAsia" w:cs="Times New Roman"/>
          <w:highlight w:val="none"/>
        </w:rPr>
        <w:t>技术要求</w:t>
      </w:r>
    </w:p>
    <w:p w14:paraId="3D669F3D">
      <w:pPr>
        <w:keepNext/>
        <w:keepLines/>
        <w:spacing w:before="120" w:after="120" w:line="440" w:lineRule="exact"/>
        <w:jc w:val="center"/>
        <w:outlineLvl w:val="1"/>
        <w:rPr>
          <w:rFonts w:ascii="宋体" w:hAnsi="宋体"/>
          <w:b/>
          <w:bCs/>
          <w:sz w:val="24"/>
          <w:szCs w:val="24"/>
          <w:highlight w:val="none"/>
        </w:rPr>
      </w:pPr>
      <w:bookmarkStart w:id="13" w:name="_Toc169605878"/>
      <w:r>
        <w:rPr>
          <w:rFonts w:hint="eastAsia" w:ascii="宋体" w:hAnsi="宋体"/>
          <w:b/>
          <w:bCs/>
          <w:sz w:val="24"/>
          <w:szCs w:val="24"/>
          <w:highlight w:val="none"/>
        </w:rPr>
        <w:t>第一节  采购货物使用环境</w:t>
      </w:r>
      <w:bookmarkEnd w:id="13"/>
    </w:p>
    <w:p w14:paraId="73DEEE75">
      <w:pPr>
        <w:spacing w:line="440" w:lineRule="exact"/>
        <w:ind w:firstLine="480" w:firstLineChars="200"/>
        <w:rPr>
          <w:rFonts w:hint="eastAsia" w:ascii="宋体" w:hAnsi="宋体"/>
          <w:sz w:val="24"/>
          <w:szCs w:val="24"/>
          <w:highlight w:val="none"/>
          <w:u w:val="single"/>
        </w:rPr>
      </w:pPr>
      <w:r>
        <w:rPr>
          <w:rFonts w:hint="eastAsia" w:ascii="宋体" w:hAnsi="宋体" w:cs="宋体"/>
          <w:sz w:val="24"/>
          <w:szCs w:val="24"/>
          <w:highlight w:val="none"/>
        </w:rPr>
        <w:t>一、项目名称：</w:t>
      </w:r>
      <w:r>
        <w:rPr>
          <w:rFonts w:hint="eastAsia" w:ascii="宋体" w:hAnsi="宋体" w:cs="宋体"/>
          <w:sz w:val="24"/>
          <w:szCs w:val="24"/>
          <w:highlight w:val="none"/>
          <w:u w:val="single"/>
          <w:lang w:val="en-US" w:eastAsia="zh-CN"/>
        </w:rPr>
        <w:t>多联机空调维保项目</w:t>
      </w:r>
    </w:p>
    <w:p w14:paraId="6972C929">
      <w:pPr>
        <w:spacing w:line="44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二、建设地点：</w:t>
      </w:r>
      <w:r>
        <w:rPr>
          <w:rFonts w:hint="eastAsia" w:ascii="宋体" w:hAnsi="宋体" w:cs="宋体"/>
          <w:sz w:val="24"/>
          <w:szCs w:val="24"/>
          <w:highlight w:val="none"/>
          <w:u w:val="single"/>
        </w:rPr>
        <w:t xml:space="preserve">中国重汽集团济南汽车部件有限公司 </w:t>
      </w:r>
    </w:p>
    <w:p w14:paraId="36F105B0">
      <w:pPr>
        <w:spacing w:line="440" w:lineRule="exact"/>
        <w:ind w:firstLine="480" w:firstLineChars="200"/>
        <w:rPr>
          <w:rFonts w:hint="eastAsia" w:ascii="宋体" w:hAnsi="宋体" w:cs="宋体"/>
          <w:sz w:val="24"/>
          <w:szCs w:val="24"/>
          <w:highlight w:val="none"/>
          <w:u w:val="single"/>
          <w:lang w:val="en-US" w:eastAsia="zh-CN"/>
        </w:rPr>
      </w:pPr>
      <w:r>
        <w:rPr>
          <w:rFonts w:hint="eastAsia" w:ascii="宋体" w:hAnsi="宋体" w:cs="宋体"/>
          <w:sz w:val="24"/>
          <w:szCs w:val="24"/>
          <w:highlight w:val="none"/>
        </w:rPr>
        <w:t>三、使用地点：</w:t>
      </w:r>
      <w:r>
        <w:rPr>
          <w:rFonts w:hint="eastAsia" w:ascii="宋体" w:hAnsi="宋体" w:cs="宋体"/>
          <w:sz w:val="24"/>
          <w:szCs w:val="24"/>
          <w:highlight w:val="none"/>
          <w:u w:val="single"/>
          <w:lang w:val="en-US" w:eastAsia="zh-CN"/>
        </w:rPr>
        <w:t>餐厅</w:t>
      </w:r>
    </w:p>
    <w:p w14:paraId="3DA517D9">
      <w:pPr>
        <w:adjustRightInd w:val="0"/>
        <w:snapToGrid w:val="0"/>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四、工作制度：</w:t>
      </w:r>
      <w:r>
        <w:rPr>
          <w:rFonts w:hint="eastAsia" w:ascii="宋体" w:hAnsi="宋体" w:cs="宋体"/>
          <w:sz w:val="24"/>
          <w:szCs w:val="24"/>
          <w:highlight w:val="none"/>
          <w:lang w:val="en-US" w:eastAsia="zh-CN"/>
        </w:rPr>
        <w:t>多联机空调在冬季、夏季开放</w:t>
      </w:r>
      <w:r>
        <w:rPr>
          <w:rFonts w:hint="eastAsia" w:ascii="宋体" w:hAnsi="宋体" w:cs="宋体"/>
          <w:sz w:val="24"/>
          <w:szCs w:val="24"/>
          <w:highlight w:val="none"/>
        </w:rPr>
        <w:t>。</w:t>
      </w:r>
    </w:p>
    <w:p w14:paraId="2A3EE7B8">
      <w:pPr>
        <w:spacing w:line="440" w:lineRule="exact"/>
        <w:ind w:firstLine="480" w:firstLineChars="200"/>
        <w:rPr>
          <w:rFonts w:ascii="宋体" w:hAnsi="宋体" w:cs="宋体"/>
          <w:sz w:val="24"/>
          <w:szCs w:val="24"/>
          <w:highlight w:val="none"/>
        </w:rPr>
      </w:pPr>
      <w:r>
        <w:rPr>
          <w:rFonts w:hint="eastAsia" w:ascii="宋体" w:hAnsi="宋体" w:cs="宋体"/>
          <w:sz w:val="24"/>
          <w:szCs w:val="24"/>
          <w:highlight w:val="none"/>
        </w:rPr>
        <w:t>五、使用地点区域自然环境：</w:t>
      </w:r>
    </w:p>
    <w:p w14:paraId="5B318AE6">
      <w:pPr>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1、海拨高度：1000m及以下。</w:t>
      </w:r>
    </w:p>
    <w:p w14:paraId="5FC9AA8F">
      <w:pPr>
        <w:adjustRightInd w:val="0"/>
        <w:snapToGrid w:val="0"/>
        <w:spacing w:line="440" w:lineRule="exact"/>
        <w:ind w:firstLine="720" w:firstLineChars="300"/>
        <w:rPr>
          <w:rFonts w:ascii="宋体" w:hAnsi="宋体" w:cs="宋体"/>
          <w:bCs/>
          <w:sz w:val="24"/>
          <w:szCs w:val="24"/>
          <w:highlight w:val="none"/>
        </w:rPr>
      </w:pPr>
      <w:r>
        <w:rPr>
          <w:rFonts w:hint="eastAsia" w:ascii="宋体" w:hAnsi="宋体" w:cs="宋体"/>
          <w:sz w:val="24"/>
          <w:szCs w:val="24"/>
          <w:highlight w:val="none"/>
        </w:rPr>
        <w:t>2、环境温度：-10℃～+45℃</w:t>
      </w:r>
      <w:r>
        <w:rPr>
          <w:rFonts w:hint="eastAsia" w:ascii="宋体" w:hAnsi="宋体" w:cs="宋体"/>
          <w:bCs/>
          <w:sz w:val="24"/>
          <w:szCs w:val="24"/>
          <w:highlight w:val="none"/>
        </w:rPr>
        <w:t>。</w:t>
      </w:r>
    </w:p>
    <w:p w14:paraId="284837BB">
      <w:pPr>
        <w:adjustRightInd w:val="0"/>
        <w:snapToGrid w:val="0"/>
        <w:spacing w:line="440" w:lineRule="exact"/>
        <w:ind w:firstLine="720" w:firstLineChars="300"/>
        <w:rPr>
          <w:rFonts w:ascii="宋体" w:hAnsi="宋体" w:cs="宋体"/>
          <w:sz w:val="24"/>
          <w:szCs w:val="24"/>
          <w:highlight w:val="none"/>
        </w:rPr>
      </w:pPr>
      <w:r>
        <w:rPr>
          <w:rFonts w:hint="eastAsia" w:ascii="宋体" w:hAnsi="宋体" w:cs="宋体"/>
          <w:sz w:val="24"/>
          <w:szCs w:val="24"/>
          <w:highlight w:val="none"/>
        </w:rPr>
        <w:t>3、相对湿度：年平均59%，</w:t>
      </w:r>
      <w:r>
        <w:rPr>
          <w:rFonts w:hint="eastAsia" w:ascii="宋体" w:hAnsi="宋体" w:cs="宋体"/>
          <w:bCs/>
          <w:sz w:val="24"/>
          <w:szCs w:val="24"/>
          <w:highlight w:val="none"/>
        </w:rPr>
        <w:t>最大95%、最小15%。</w:t>
      </w:r>
    </w:p>
    <w:p w14:paraId="0AEA4D8F">
      <w:pPr>
        <w:spacing w:line="440" w:lineRule="exact"/>
        <w:ind w:firstLine="480"/>
        <w:rPr>
          <w:rFonts w:ascii="宋体" w:hAnsi="宋体" w:cs="宋体"/>
          <w:sz w:val="24"/>
          <w:szCs w:val="24"/>
          <w:highlight w:val="none"/>
        </w:rPr>
      </w:pPr>
      <w:r>
        <w:rPr>
          <w:rFonts w:hint="eastAsia" w:ascii="宋体" w:hAnsi="宋体" w:cs="宋体"/>
          <w:sz w:val="24"/>
          <w:szCs w:val="24"/>
          <w:highlight w:val="none"/>
        </w:rPr>
        <w:t xml:space="preserve">六、能源环境： </w:t>
      </w:r>
    </w:p>
    <w:p w14:paraId="6F50DECC">
      <w:pPr>
        <w:spacing w:line="440" w:lineRule="exact"/>
        <w:ind w:firstLine="720" w:firstLineChars="300"/>
        <w:rPr>
          <w:rFonts w:ascii="宋体" w:hAnsi="宋体"/>
          <w:sz w:val="24"/>
          <w:szCs w:val="24"/>
          <w:highlight w:val="none"/>
        </w:rPr>
      </w:pPr>
      <w:r>
        <w:rPr>
          <w:rFonts w:hint="eastAsia" w:ascii="宋体" w:hAnsi="宋体"/>
          <w:sz w:val="24"/>
          <w:szCs w:val="24"/>
          <w:highlight w:val="none"/>
        </w:rPr>
        <w:t>1、电力：中国制式，供电电压</w:t>
      </w:r>
      <w:r>
        <w:rPr>
          <w:rFonts w:ascii="宋体" w:hAnsi="宋体"/>
          <w:sz w:val="24"/>
          <w:szCs w:val="24"/>
          <w:highlight w:val="none"/>
        </w:rPr>
        <w:t>380V</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/220V±</w:t>
      </w: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，供电频率</w:t>
      </w:r>
      <w:r>
        <w:rPr>
          <w:rFonts w:ascii="宋体" w:hAnsi="宋体"/>
          <w:sz w:val="24"/>
          <w:szCs w:val="24"/>
          <w:highlight w:val="none"/>
        </w:rPr>
        <w:t>50Hz</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p>
    <w:p w14:paraId="1EEA8057">
      <w:pPr>
        <w:keepNext/>
        <w:keepLines/>
        <w:spacing w:before="120" w:after="120" w:line="440" w:lineRule="exact"/>
        <w:jc w:val="center"/>
        <w:outlineLvl w:val="1"/>
        <w:rPr>
          <w:rFonts w:ascii="宋体" w:hAnsi="宋体"/>
          <w:b/>
          <w:bCs/>
          <w:sz w:val="24"/>
          <w:szCs w:val="24"/>
          <w:highlight w:val="none"/>
        </w:rPr>
      </w:pPr>
      <w:bookmarkStart w:id="14" w:name="_Toc169605879"/>
      <w:r>
        <w:rPr>
          <w:rFonts w:hint="eastAsia" w:ascii="宋体" w:hAnsi="宋体"/>
          <w:b/>
          <w:bCs/>
          <w:sz w:val="24"/>
          <w:szCs w:val="24"/>
          <w:highlight w:val="none"/>
        </w:rPr>
        <w:t>第二节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概况</w:t>
      </w:r>
      <w:bookmarkEnd w:id="14"/>
    </w:p>
    <w:p w14:paraId="179CA9A3">
      <w:pPr>
        <w:spacing w:line="440" w:lineRule="exact"/>
        <w:ind w:firstLine="482" w:firstLineChars="200"/>
        <w:rPr>
          <w:rFonts w:hint="eastAsia" w:ascii="宋体" w:hAnsi="宋体" w:cs="宋体"/>
          <w:sz w:val="24"/>
          <w:szCs w:val="24"/>
          <w:highlight w:val="none"/>
          <w:u w:val="single"/>
          <w:lang w:val="en-US" w:eastAsia="zh-CN"/>
        </w:rPr>
      </w:pPr>
      <w:r>
        <w:rPr>
          <w:rFonts w:hint="eastAsia" w:ascii="宋体" w:hAnsi="宋体"/>
          <w:b/>
          <w:sz w:val="24"/>
          <w:szCs w:val="24"/>
          <w:highlight w:val="none"/>
        </w:rPr>
        <w:t>一、</w:t>
      </w:r>
      <w:r>
        <w:rPr>
          <w:rFonts w:hint="eastAsia" w:ascii="宋体" w:hAnsi="宋体"/>
          <w:b/>
          <w:sz w:val="24"/>
          <w:szCs w:val="24"/>
          <w:highlight w:val="none"/>
          <w:lang w:val="en-US" w:eastAsia="zh-CN"/>
        </w:rPr>
        <w:t>服务</w:t>
      </w:r>
      <w:r>
        <w:rPr>
          <w:rFonts w:hint="eastAsia" w:ascii="宋体" w:hAnsi="宋体"/>
          <w:b/>
          <w:sz w:val="24"/>
          <w:szCs w:val="24"/>
          <w:highlight w:val="none"/>
        </w:rPr>
        <w:t>名称：</w:t>
      </w:r>
      <w:r>
        <w:rPr>
          <w:rFonts w:hint="eastAsia" w:ascii="宋体" w:hAnsi="宋体" w:cs="宋体"/>
          <w:sz w:val="24"/>
          <w:szCs w:val="24"/>
          <w:highlight w:val="none"/>
          <w:u w:val="single"/>
          <w:lang w:val="en-US" w:eastAsia="zh-CN"/>
        </w:rPr>
        <w:t>多联机空调维保</w:t>
      </w:r>
    </w:p>
    <w:p w14:paraId="0CFFC824">
      <w:pPr>
        <w:spacing w:line="440" w:lineRule="exact"/>
        <w:ind w:firstLine="482" w:firstLineChars="200"/>
        <w:rPr>
          <w:rFonts w:ascii="宋体" w:hAnsi="宋体"/>
          <w:sz w:val="24"/>
          <w:szCs w:val="24"/>
          <w:highlight w:val="none"/>
        </w:rPr>
      </w:pPr>
      <w:r>
        <w:rPr>
          <w:rFonts w:hint="eastAsia" w:ascii="宋体" w:hAnsi="宋体"/>
          <w:b/>
          <w:sz w:val="24"/>
          <w:szCs w:val="24"/>
          <w:highlight w:val="none"/>
        </w:rPr>
        <w:t>二、</w:t>
      </w:r>
      <w:r>
        <w:rPr>
          <w:rFonts w:hint="eastAsia" w:ascii="宋体" w:hAnsi="宋体"/>
          <w:b/>
          <w:sz w:val="24"/>
          <w:szCs w:val="24"/>
          <w:highlight w:val="none"/>
          <w:lang w:val="en-US" w:eastAsia="zh-CN"/>
        </w:rPr>
        <w:t>服务</w:t>
      </w:r>
      <w:r>
        <w:rPr>
          <w:rFonts w:hint="eastAsia" w:ascii="宋体" w:hAnsi="宋体"/>
          <w:b/>
          <w:sz w:val="24"/>
          <w:szCs w:val="24"/>
          <w:highlight w:val="none"/>
        </w:rPr>
        <w:t>数量：</w:t>
      </w:r>
    </w:p>
    <w:p w14:paraId="41520F9E">
      <w:pPr>
        <w:spacing w:line="440" w:lineRule="exact"/>
        <w:ind w:firstLine="480" w:firstLineChars="200"/>
        <w:jc w:val="center"/>
        <w:rPr>
          <w:rFonts w:hint="eastAsia" w:ascii="宋体" w:hAnsi="宋体"/>
          <w:sz w:val="24"/>
          <w:szCs w:val="24"/>
          <w:highlight w:val="none"/>
        </w:rPr>
      </w:pPr>
      <w:r>
        <w:rPr>
          <w:rFonts w:hint="eastAsia" w:ascii="宋体" w:hAnsi="宋体"/>
          <w:sz w:val="24"/>
          <w:szCs w:val="24"/>
          <w:highlight w:val="none"/>
        </w:rPr>
        <w:t>采购</w:t>
      </w:r>
      <w:r>
        <w:rPr>
          <w:rFonts w:hint="eastAsia" w:ascii="宋体" w:hAnsi="宋体"/>
          <w:sz w:val="24"/>
          <w:szCs w:val="24"/>
          <w:highlight w:val="none"/>
          <w:lang w:val="en-US" w:eastAsia="zh-CN"/>
        </w:rPr>
        <w:t>服务</w:t>
      </w:r>
      <w:r>
        <w:rPr>
          <w:rFonts w:hint="eastAsia" w:ascii="宋体" w:hAnsi="宋体"/>
          <w:sz w:val="24"/>
          <w:szCs w:val="24"/>
          <w:highlight w:val="none"/>
        </w:rPr>
        <w:t>主要构成一览表</w:t>
      </w:r>
    </w:p>
    <w:p w14:paraId="1A97B646">
      <w:pPr>
        <w:spacing w:line="440" w:lineRule="exact"/>
        <w:ind w:firstLine="480" w:firstLineChars="200"/>
        <w:jc w:val="center"/>
        <w:rPr>
          <w:rFonts w:hint="eastAsia" w:ascii="宋体" w:hAnsi="宋体"/>
          <w:sz w:val="24"/>
          <w:szCs w:val="24"/>
          <w:highlight w:val="none"/>
        </w:rPr>
      </w:pPr>
    </w:p>
    <w:tbl>
      <w:tblPr>
        <w:tblStyle w:val="30"/>
        <w:tblW w:w="10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171"/>
        <w:gridCol w:w="2502"/>
        <w:gridCol w:w="786"/>
        <w:gridCol w:w="686"/>
        <w:gridCol w:w="3867"/>
      </w:tblGrid>
      <w:tr w14:paraId="4D5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53" w:type="dxa"/>
            <w:noWrap w:val="0"/>
            <w:vAlign w:val="center"/>
          </w:tcPr>
          <w:p w14:paraId="099130C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序号</w:t>
            </w:r>
          </w:p>
        </w:tc>
        <w:tc>
          <w:tcPr>
            <w:tcW w:w="2171" w:type="dxa"/>
            <w:noWrap w:val="0"/>
            <w:vAlign w:val="center"/>
          </w:tcPr>
          <w:p w14:paraId="48F3832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物料</w:t>
            </w:r>
          </w:p>
        </w:tc>
        <w:tc>
          <w:tcPr>
            <w:tcW w:w="2502" w:type="dxa"/>
            <w:noWrap w:val="0"/>
            <w:vAlign w:val="center"/>
          </w:tcPr>
          <w:p w14:paraId="40E4331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型号规格</w:t>
            </w:r>
          </w:p>
        </w:tc>
        <w:tc>
          <w:tcPr>
            <w:tcW w:w="786" w:type="dxa"/>
            <w:noWrap w:val="0"/>
            <w:vAlign w:val="center"/>
          </w:tcPr>
          <w:p w14:paraId="634B35F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单位</w:t>
            </w:r>
          </w:p>
        </w:tc>
        <w:tc>
          <w:tcPr>
            <w:tcW w:w="686" w:type="dxa"/>
            <w:noWrap w:val="0"/>
            <w:vAlign w:val="center"/>
          </w:tcPr>
          <w:p w14:paraId="712D155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数量</w:t>
            </w:r>
          </w:p>
        </w:tc>
        <w:tc>
          <w:tcPr>
            <w:tcW w:w="3867" w:type="dxa"/>
            <w:noWrap w:val="0"/>
            <w:vAlign w:val="center"/>
          </w:tcPr>
          <w:p w14:paraId="029E095D">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备注</w:t>
            </w:r>
          </w:p>
        </w:tc>
      </w:tr>
      <w:tr w14:paraId="50FD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3" w:type="dxa"/>
            <w:noWrap w:val="0"/>
            <w:vAlign w:val="center"/>
          </w:tcPr>
          <w:p w14:paraId="3EE8025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2171" w:type="dxa"/>
            <w:noWrap w:val="0"/>
            <w:vAlign w:val="center"/>
          </w:tcPr>
          <w:p w14:paraId="0E1B2F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室内机清洗及检修1</w:t>
            </w:r>
          </w:p>
        </w:tc>
        <w:tc>
          <w:tcPr>
            <w:tcW w:w="2502" w:type="dxa"/>
            <w:noWrap w:val="0"/>
            <w:vAlign w:val="top"/>
          </w:tcPr>
          <w:p w14:paraId="3B851E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MCC暗藏吊顶室内机</w:t>
            </w:r>
          </w:p>
        </w:tc>
        <w:tc>
          <w:tcPr>
            <w:tcW w:w="786" w:type="dxa"/>
            <w:noWrap w:val="0"/>
            <w:vAlign w:val="top"/>
          </w:tcPr>
          <w:p w14:paraId="70CD43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BFCA4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6D666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2EEB3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3" w:type="dxa"/>
            <w:noWrap w:val="0"/>
            <w:vAlign w:val="center"/>
          </w:tcPr>
          <w:p w14:paraId="0158FE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2171" w:type="dxa"/>
            <w:noWrap w:val="0"/>
            <w:vAlign w:val="center"/>
          </w:tcPr>
          <w:p w14:paraId="255B81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室内机清洗及检修2</w:t>
            </w:r>
          </w:p>
        </w:tc>
        <w:tc>
          <w:tcPr>
            <w:tcW w:w="2502" w:type="dxa"/>
            <w:noWrap w:val="0"/>
            <w:vAlign w:val="top"/>
          </w:tcPr>
          <w:p w14:paraId="77BFD3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MDB暗藏吊顶式新风机</w:t>
            </w:r>
          </w:p>
        </w:tc>
        <w:tc>
          <w:tcPr>
            <w:tcW w:w="786" w:type="dxa"/>
            <w:noWrap w:val="0"/>
            <w:vAlign w:val="top"/>
          </w:tcPr>
          <w:p w14:paraId="4D247E4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8402C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70246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5836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69B1592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2171" w:type="dxa"/>
            <w:noWrap w:val="0"/>
            <w:vAlign w:val="center"/>
          </w:tcPr>
          <w:p w14:paraId="52C3E2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室外机清洗及检修</w:t>
            </w:r>
          </w:p>
        </w:tc>
        <w:tc>
          <w:tcPr>
            <w:tcW w:w="2502" w:type="dxa"/>
            <w:noWrap w:val="0"/>
            <w:vAlign w:val="center"/>
          </w:tcPr>
          <w:p w14:paraId="40CE9F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MDS顶出风室外机</w:t>
            </w:r>
          </w:p>
        </w:tc>
        <w:tc>
          <w:tcPr>
            <w:tcW w:w="786" w:type="dxa"/>
            <w:noWrap w:val="0"/>
            <w:vAlign w:val="top"/>
          </w:tcPr>
          <w:p w14:paraId="7FF41B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35202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4FBB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1.电脑检测机组各项运行参数并校正高、低压传感器、温度传感器等部件；</w:t>
            </w:r>
          </w:p>
          <w:p w14:paraId="361325A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2.检查冷媒系统是否有泄露；</w:t>
            </w:r>
          </w:p>
          <w:p w14:paraId="59E995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3.机组供电电源、压缩机、风机等动力部件运转电流等常规电气检查保养；</w:t>
            </w:r>
          </w:p>
          <w:p w14:paraId="62698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4.电控系统的除尘吹扫及清理;</w:t>
            </w:r>
          </w:p>
          <w:p w14:paraId="051801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5.室外主机冷凝器翅片清洗。</w:t>
            </w:r>
          </w:p>
        </w:tc>
      </w:tr>
      <w:tr w14:paraId="5D27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53" w:type="dxa"/>
            <w:noWrap w:val="0"/>
            <w:vAlign w:val="center"/>
          </w:tcPr>
          <w:p w14:paraId="36496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2171" w:type="dxa"/>
            <w:noWrap w:val="0"/>
            <w:vAlign w:val="bottom"/>
          </w:tcPr>
          <w:p w14:paraId="4BDFB93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bottom"/>
          </w:tcPr>
          <w:p w14:paraId="222AE1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型号MC322</w:t>
            </w:r>
          </w:p>
        </w:tc>
        <w:tc>
          <w:tcPr>
            <w:tcW w:w="786" w:type="dxa"/>
            <w:noWrap w:val="0"/>
            <w:vAlign w:val="bottom"/>
          </w:tcPr>
          <w:p w14:paraId="50C97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8283A8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bottom"/>
          </w:tcPr>
          <w:p w14:paraId="2B004E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4C37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53" w:type="dxa"/>
            <w:noWrap w:val="0"/>
            <w:vAlign w:val="center"/>
          </w:tcPr>
          <w:p w14:paraId="34D23AB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5</w:t>
            </w:r>
          </w:p>
        </w:tc>
        <w:tc>
          <w:tcPr>
            <w:tcW w:w="2171" w:type="dxa"/>
            <w:noWrap w:val="0"/>
            <w:vAlign w:val="center"/>
          </w:tcPr>
          <w:p w14:paraId="32A728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内机主板</w:t>
            </w:r>
          </w:p>
        </w:tc>
        <w:tc>
          <w:tcPr>
            <w:tcW w:w="2502" w:type="dxa"/>
            <w:noWrap w:val="0"/>
            <w:vAlign w:val="center"/>
          </w:tcPr>
          <w:p w14:paraId="2F8318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型号MC204</w:t>
            </w:r>
          </w:p>
        </w:tc>
        <w:tc>
          <w:tcPr>
            <w:tcW w:w="786" w:type="dxa"/>
            <w:noWrap w:val="0"/>
            <w:vAlign w:val="center"/>
          </w:tcPr>
          <w:p w14:paraId="46B0C6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2F05B6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626EF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2A0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53" w:type="dxa"/>
            <w:noWrap w:val="0"/>
            <w:vAlign w:val="center"/>
          </w:tcPr>
          <w:p w14:paraId="44C0B5F8">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6</w:t>
            </w:r>
          </w:p>
        </w:tc>
        <w:tc>
          <w:tcPr>
            <w:tcW w:w="2171" w:type="dxa"/>
            <w:noWrap w:val="0"/>
            <w:vAlign w:val="center"/>
          </w:tcPr>
          <w:p w14:paraId="6837A5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外机主板</w:t>
            </w:r>
          </w:p>
        </w:tc>
        <w:tc>
          <w:tcPr>
            <w:tcW w:w="2502" w:type="dxa"/>
            <w:noWrap w:val="0"/>
            <w:vAlign w:val="center"/>
          </w:tcPr>
          <w:p w14:paraId="5EC6B5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型号MC250</w:t>
            </w:r>
          </w:p>
        </w:tc>
        <w:tc>
          <w:tcPr>
            <w:tcW w:w="786" w:type="dxa"/>
            <w:noWrap w:val="0"/>
            <w:vAlign w:val="center"/>
          </w:tcPr>
          <w:p w14:paraId="1B097D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57365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18975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453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60A3CF9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2171" w:type="dxa"/>
            <w:noWrap w:val="0"/>
            <w:vAlign w:val="center"/>
          </w:tcPr>
          <w:p w14:paraId="4FD341B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压缩机变频驱动板</w:t>
            </w:r>
          </w:p>
        </w:tc>
        <w:tc>
          <w:tcPr>
            <w:tcW w:w="2502" w:type="dxa"/>
            <w:noWrap w:val="0"/>
            <w:vAlign w:val="center"/>
          </w:tcPr>
          <w:p w14:paraId="19FD7F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型号MC729</w:t>
            </w:r>
          </w:p>
        </w:tc>
        <w:tc>
          <w:tcPr>
            <w:tcW w:w="786" w:type="dxa"/>
            <w:noWrap w:val="0"/>
            <w:vAlign w:val="center"/>
          </w:tcPr>
          <w:p w14:paraId="33839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03E66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3B2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32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653" w:type="dxa"/>
            <w:noWrap w:val="0"/>
            <w:vAlign w:val="center"/>
          </w:tcPr>
          <w:p w14:paraId="102B7E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w:t>
            </w:r>
          </w:p>
        </w:tc>
        <w:tc>
          <w:tcPr>
            <w:tcW w:w="2171" w:type="dxa"/>
            <w:noWrap w:val="0"/>
            <w:vAlign w:val="center"/>
          </w:tcPr>
          <w:p w14:paraId="5FBD000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风机驱动板</w:t>
            </w:r>
          </w:p>
        </w:tc>
        <w:tc>
          <w:tcPr>
            <w:tcW w:w="2502" w:type="dxa"/>
            <w:noWrap w:val="0"/>
            <w:vAlign w:val="center"/>
          </w:tcPr>
          <w:p w14:paraId="077791E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型号MC701</w:t>
            </w:r>
          </w:p>
        </w:tc>
        <w:tc>
          <w:tcPr>
            <w:tcW w:w="786" w:type="dxa"/>
            <w:noWrap w:val="0"/>
            <w:vAlign w:val="center"/>
          </w:tcPr>
          <w:p w14:paraId="728BF3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648E6DA9">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41F6191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24B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53" w:type="dxa"/>
            <w:noWrap w:val="0"/>
            <w:vAlign w:val="center"/>
          </w:tcPr>
          <w:p w14:paraId="0C6411C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w:t>
            </w:r>
          </w:p>
        </w:tc>
        <w:tc>
          <w:tcPr>
            <w:tcW w:w="2171" w:type="dxa"/>
            <w:noWrap w:val="0"/>
            <w:vAlign w:val="center"/>
          </w:tcPr>
          <w:p w14:paraId="1B8B4C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滤波板</w:t>
            </w:r>
          </w:p>
        </w:tc>
        <w:tc>
          <w:tcPr>
            <w:tcW w:w="2502" w:type="dxa"/>
            <w:noWrap w:val="0"/>
            <w:vAlign w:val="center"/>
          </w:tcPr>
          <w:p w14:paraId="0541D6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型号MC717</w:t>
            </w:r>
          </w:p>
        </w:tc>
        <w:tc>
          <w:tcPr>
            <w:tcW w:w="786" w:type="dxa"/>
            <w:noWrap w:val="0"/>
            <w:vAlign w:val="center"/>
          </w:tcPr>
          <w:p w14:paraId="07249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686" w:type="dxa"/>
            <w:noWrap w:val="0"/>
            <w:vAlign w:val="center"/>
          </w:tcPr>
          <w:p w14:paraId="5DF2535A">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17D168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3FC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53" w:type="dxa"/>
            <w:noWrap w:val="0"/>
            <w:vAlign w:val="center"/>
          </w:tcPr>
          <w:p w14:paraId="259FC0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2171" w:type="dxa"/>
            <w:noWrap w:val="0"/>
            <w:vAlign w:val="center"/>
          </w:tcPr>
          <w:p w14:paraId="0F3902B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048AC7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w:t>
            </w:r>
          </w:p>
          <w:p w14:paraId="17A492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DC80PHDG-D1Y2</w:t>
            </w:r>
          </w:p>
        </w:tc>
        <w:tc>
          <w:tcPr>
            <w:tcW w:w="786" w:type="dxa"/>
            <w:noWrap w:val="0"/>
            <w:vAlign w:val="center"/>
          </w:tcPr>
          <w:p w14:paraId="7DB6DCD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69330613">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017B79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8CA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653" w:type="dxa"/>
            <w:noWrap w:val="0"/>
            <w:vAlign w:val="center"/>
          </w:tcPr>
          <w:p w14:paraId="5067597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2171" w:type="dxa"/>
            <w:noWrap w:val="0"/>
            <w:vAlign w:val="center"/>
          </w:tcPr>
          <w:p w14:paraId="2A4AB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7DC8C08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型号DSF-50-R410A</w:t>
            </w:r>
          </w:p>
        </w:tc>
        <w:tc>
          <w:tcPr>
            <w:tcW w:w="786" w:type="dxa"/>
            <w:noWrap w:val="0"/>
            <w:vAlign w:val="center"/>
          </w:tcPr>
          <w:p w14:paraId="04DE107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5297DB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00D8DB8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A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53" w:type="dxa"/>
            <w:noWrap w:val="0"/>
            <w:vAlign w:val="center"/>
          </w:tcPr>
          <w:p w14:paraId="4E32E3F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2171" w:type="dxa"/>
            <w:noWrap w:val="0"/>
            <w:vAlign w:val="center"/>
          </w:tcPr>
          <w:p w14:paraId="774C657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电子膨胀阀</w:t>
            </w:r>
          </w:p>
        </w:tc>
        <w:tc>
          <w:tcPr>
            <w:tcW w:w="2502" w:type="dxa"/>
            <w:noWrap w:val="0"/>
            <w:vAlign w:val="center"/>
          </w:tcPr>
          <w:p w14:paraId="122AFC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UKV-25D57</w:t>
            </w:r>
          </w:p>
        </w:tc>
        <w:tc>
          <w:tcPr>
            <w:tcW w:w="786" w:type="dxa"/>
            <w:noWrap w:val="0"/>
            <w:vAlign w:val="center"/>
          </w:tcPr>
          <w:p w14:paraId="739BA7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2F219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61473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F8C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653" w:type="dxa"/>
            <w:noWrap w:val="0"/>
            <w:vAlign w:val="center"/>
          </w:tcPr>
          <w:p w14:paraId="06C41D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13</w:t>
            </w:r>
          </w:p>
        </w:tc>
        <w:tc>
          <w:tcPr>
            <w:tcW w:w="2171" w:type="dxa"/>
            <w:noWrap w:val="0"/>
            <w:vAlign w:val="center"/>
          </w:tcPr>
          <w:p w14:paraId="1AAD17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温度传感器</w:t>
            </w:r>
          </w:p>
        </w:tc>
        <w:tc>
          <w:tcPr>
            <w:tcW w:w="2502" w:type="dxa"/>
            <w:noWrap w:val="0"/>
            <w:vAlign w:val="center"/>
          </w:tcPr>
          <w:p w14:paraId="1C845A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PT2M-51F</w:t>
            </w:r>
          </w:p>
        </w:tc>
        <w:tc>
          <w:tcPr>
            <w:tcW w:w="786" w:type="dxa"/>
            <w:noWrap w:val="0"/>
            <w:vAlign w:val="top"/>
          </w:tcPr>
          <w:p w14:paraId="7C7B7F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5A6DD95">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792A8B2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A70D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3" w:type="dxa"/>
            <w:noWrap w:val="0"/>
            <w:vAlign w:val="center"/>
          </w:tcPr>
          <w:p w14:paraId="52449F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c>
          <w:tcPr>
            <w:tcW w:w="2171" w:type="dxa"/>
            <w:noWrap w:val="0"/>
            <w:vAlign w:val="center"/>
          </w:tcPr>
          <w:p w14:paraId="522A75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制冷剂</w:t>
            </w:r>
          </w:p>
        </w:tc>
        <w:tc>
          <w:tcPr>
            <w:tcW w:w="2502" w:type="dxa"/>
            <w:noWrap w:val="0"/>
            <w:vAlign w:val="center"/>
          </w:tcPr>
          <w:p w14:paraId="73056B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R410A冷媒</w:t>
            </w:r>
          </w:p>
        </w:tc>
        <w:tc>
          <w:tcPr>
            <w:tcW w:w="786" w:type="dxa"/>
            <w:noWrap w:val="0"/>
            <w:vAlign w:val="center"/>
          </w:tcPr>
          <w:p w14:paraId="5F5BD06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kg</w:t>
            </w:r>
          </w:p>
        </w:tc>
        <w:tc>
          <w:tcPr>
            <w:tcW w:w="686" w:type="dxa"/>
            <w:noWrap w:val="0"/>
            <w:vAlign w:val="center"/>
          </w:tcPr>
          <w:p w14:paraId="41F71034">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2DB392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BAE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53" w:type="dxa"/>
            <w:noWrap w:val="0"/>
            <w:vAlign w:val="center"/>
          </w:tcPr>
          <w:p w14:paraId="3B2995A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c>
          <w:tcPr>
            <w:tcW w:w="2171" w:type="dxa"/>
            <w:noWrap w:val="0"/>
            <w:vAlign w:val="center"/>
          </w:tcPr>
          <w:p w14:paraId="5DD662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打压查漏</w:t>
            </w:r>
          </w:p>
        </w:tc>
        <w:tc>
          <w:tcPr>
            <w:tcW w:w="2502" w:type="dxa"/>
            <w:noWrap w:val="0"/>
            <w:vAlign w:val="top"/>
          </w:tcPr>
          <w:p w14:paraId="3FB3C3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3F7723D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33ADB52B">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6656E477">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6DB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653" w:type="dxa"/>
            <w:noWrap w:val="0"/>
            <w:vAlign w:val="center"/>
          </w:tcPr>
          <w:p w14:paraId="006183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w:t>
            </w:r>
          </w:p>
        </w:tc>
        <w:tc>
          <w:tcPr>
            <w:tcW w:w="2171" w:type="dxa"/>
            <w:noWrap w:val="0"/>
            <w:vAlign w:val="center"/>
          </w:tcPr>
          <w:p w14:paraId="6902AB2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焊接</w:t>
            </w:r>
          </w:p>
        </w:tc>
        <w:tc>
          <w:tcPr>
            <w:tcW w:w="2502" w:type="dxa"/>
            <w:noWrap w:val="0"/>
            <w:vAlign w:val="top"/>
          </w:tcPr>
          <w:p w14:paraId="61CBDA1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230A9B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处</w:t>
            </w:r>
          </w:p>
        </w:tc>
        <w:tc>
          <w:tcPr>
            <w:tcW w:w="686" w:type="dxa"/>
            <w:noWrap w:val="0"/>
            <w:vAlign w:val="center"/>
          </w:tcPr>
          <w:p w14:paraId="3B60B93E">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2D0EBC52">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5A58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53" w:type="dxa"/>
            <w:noWrap w:val="0"/>
            <w:vAlign w:val="center"/>
          </w:tcPr>
          <w:p w14:paraId="24F14F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17</w:t>
            </w:r>
          </w:p>
        </w:tc>
        <w:tc>
          <w:tcPr>
            <w:tcW w:w="2171" w:type="dxa"/>
            <w:noWrap w:val="0"/>
            <w:vAlign w:val="center"/>
          </w:tcPr>
          <w:p w14:paraId="097F21E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抽真空</w:t>
            </w:r>
          </w:p>
        </w:tc>
        <w:tc>
          <w:tcPr>
            <w:tcW w:w="2502" w:type="dxa"/>
            <w:noWrap w:val="0"/>
            <w:vAlign w:val="top"/>
          </w:tcPr>
          <w:p w14:paraId="2B2375D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79E89A9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161F5CEC">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32FE9EEF">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015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F3B89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18</w:t>
            </w:r>
          </w:p>
        </w:tc>
        <w:tc>
          <w:tcPr>
            <w:tcW w:w="2171" w:type="dxa"/>
            <w:noWrap w:val="0"/>
            <w:vAlign w:val="top"/>
          </w:tcPr>
          <w:p w14:paraId="426F61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检修/调试人工费</w:t>
            </w:r>
          </w:p>
        </w:tc>
        <w:tc>
          <w:tcPr>
            <w:tcW w:w="2502" w:type="dxa"/>
            <w:noWrap w:val="0"/>
            <w:vAlign w:val="top"/>
          </w:tcPr>
          <w:p w14:paraId="1914B73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w:t>
            </w:r>
          </w:p>
        </w:tc>
        <w:tc>
          <w:tcPr>
            <w:tcW w:w="786" w:type="dxa"/>
            <w:noWrap w:val="0"/>
            <w:vAlign w:val="top"/>
          </w:tcPr>
          <w:p w14:paraId="0F91AF8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686" w:type="dxa"/>
            <w:noWrap w:val="0"/>
            <w:vAlign w:val="center"/>
          </w:tcPr>
          <w:p w14:paraId="0335B335">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1</w:t>
            </w:r>
          </w:p>
        </w:tc>
        <w:tc>
          <w:tcPr>
            <w:tcW w:w="3867" w:type="dxa"/>
            <w:noWrap w:val="0"/>
            <w:vAlign w:val="center"/>
          </w:tcPr>
          <w:p w14:paraId="45D90890">
            <w:pPr>
              <w:keepNext w:val="0"/>
              <w:keepLines w:val="0"/>
              <w:suppressLineNumbers w:val="0"/>
              <w:spacing w:before="0" w:beforeAutospacing="0" w:after="0" w:afterAutospacing="0" w:line="440" w:lineRule="exact"/>
              <w:ind w:left="0" w:right="0"/>
              <w:jc w:val="center"/>
              <w:rPr>
                <w:rFonts w:hint="eastAsia" w:asciiTheme="majorEastAsia" w:hAnsiTheme="majorEastAsia" w:eastAsiaTheme="majorEastAsia" w:cstheme="majorEastAsia"/>
                <w:sz w:val="24"/>
                <w:szCs w:val="24"/>
                <w:highlight w:val="none"/>
                <w:lang w:val="en-US" w:eastAsia="zh-CN"/>
              </w:rPr>
            </w:pPr>
          </w:p>
        </w:tc>
      </w:tr>
      <w:tr w14:paraId="2735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B5FD1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19</w:t>
            </w:r>
          </w:p>
        </w:tc>
        <w:tc>
          <w:tcPr>
            <w:tcW w:w="2171" w:type="dxa"/>
            <w:noWrap w:val="0"/>
            <w:vAlign w:val="center"/>
          </w:tcPr>
          <w:p w14:paraId="475CC5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普通清洗保养室内机</w:t>
            </w:r>
          </w:p>
        </w:tc>
        <w:tc>
          <w:tcPr>
            <w:tcW w:w="2502" w:type="dxa"/>
            <w:noWrap w:val="0"/>
            <w:vAlign w:val="center"/>
          </w:tcPr>
          <w:p w14:paraId="306159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79D825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A9911F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785FE0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488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8F1798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2171" w:type="dxa"/>
            <w:noWrap w:val="0"/>
            <w:vAlign w:val="center"/>
          </w:tcPr>
          <w:p w14:paraId="103C2E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深度清洗保养室外机</w:t>
            </w:r>
          </w:p>
        </w:tc>
        <w:tc>
          <w:tcPr>
            <w:tcW w:w="2502" w:type="dxa"/>
            <w:noWrap w:val="0"/>
            <w:vAlign w:val="center"/>
          </w:tcPr>
          <w:p w14:paraId="48C6774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MDS180ER5-FV</w:t>
            </w:r>
          </w:p>
        </w:tc>
        <w:tc>
          <w:tcPr>
            <w:tcW w:w="786" w:type="dxa"/>
            <w:noWrap w:val="0"/>
            <w:vAlign w:val="top"/>
          </w:tcPr>
          <w:p w14:paraId="4FB5A84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050E114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736EC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298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821AA3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21</w:t>
            </w:r>
          </w:p>
        </w:tc>
        <w:tc>
          <w:tcPr>
            <w:tcW w:w="2171" w:type="dxa"/>
            <w:noWrap w:val="0"/>
            <w:vAlign w:val="center"/>
          </w:tcPr>
          <w:p w14:paraId="28734FA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深度清洗保养室内机</w:t>
            </w:r>
          </w:p>
        </w:tc>
        <w:tc>
          <w:tcPr>
            <w:tcW w:w="2502" w:type="dxa"/>
            <w:noWrap w:val="0"/>
            <w:vAlign w:val="center"/>
          </w:tcPr>
          <w:p w14:paraId="150FD7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MCC140XP</w:t>
            </w:r>
          </w:p>
        </w:tc>
        <w:tc>
          <w:tcPr>
            <w:tcW w:w="786" w:type="dxa"/>
            <w:noWrap w:val="0"/>
            <w:vAlign w:val="top"/>
          </w:tcPr>
          <w:p w14:paraId="475EE74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DB317D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FAB3F2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清洗内机回风滤网及检修，含吊顶拆装</w:t>
            </w:r>
          </w:p>
        </w:tc>
      </w:tr>
      <w:tr w14:paraId="33B2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F6E21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22</w:t>
            </w:r>
          </w:p>
        </w:tc>
        <w:tc>
          <w:tcPr>
            <w:tcW w:w="2171" w:type="dxa"/>
            <w:noWrap w:val="0"/>
            <w:vAlign w:val="center"/>
          </w:tcPr>
          <w:p w14:paraId="1F2D96D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65A4C98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E705DHD-72D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1976B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B9249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9BA6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71B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5BDCC5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w:t>
            </w:r>
          </w:p>
        </w:tc>
        <w:tc>
          <w:tcPr>
            <w:tcW w:w="2171" w:type="dxa"/>
            <w:noWrap w:val="0"/>
            <w:vAlign w:val="center"/>
          </w:tcPr>
          <w:p w14:paraId="06C730F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top"/>
          </w:tcPr>
          <w:p w14:paraId="466B5EB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SAVC070D22U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LKA</w:t>
            </w:r>
          </w:p>
        </w:tc>
        <w:tc>
          <w:tcPr>
            <w:tcW w:w="786" w:type="dxa"/>
            <w:noWrap w:val="0"/>
            <w:vAlign w:val="top"/>
          </w:tcPr>
          <w:p w14:paraId="5D48EE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0CF16E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08DB5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C06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91361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24</w:t>
            </w:r>
          </w:p>
        </w:tc>
        <w:tc>
          <w:tcPr>
            <w:tcW w:w="2171" w:type="dxa"/>
            <w:noWrap w:val="0"/>
            <w:vAlign w:val="center"/>
          </w:tcPr>
          <w:p w14:paraId="6AF0D6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7D71A3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E655DHD-65D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6349CCF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CB0D6D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ACAC06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4DB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AE2B14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w:t>
            </w:r>
          </w:p>
        </w:tc>
        <w:tc>
          <w:tcPr>
            <w:tcW w:w="2171" w:type="dxa"/>
            <w:noWrap w:val="0"/>
            <w:vAlign w:val="center"/>
          </w:tcPr>
          <w:p w14:paraId="3B7C61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3C001E4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E405DHD-36D</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2YG</w:t>
            </w:r>
          </w:p>
        </w:tc>
        <w:tc>
          <w:tcPr>
            <w:tcW w:w="786" w:type="dxa"/>
            <w:noWrap w:val="0"/>
            <w:vAlign w:val="top"/>
          </w:tcPr>
          <w:p w14:paraId="2CA418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358B597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87B7D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C1A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292863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26</w:t>
            </w:r>
          </w:p>
        </w:tc>
        <w:tc>
          <w:tcPr>
            <w:tcW w:w="2171" w:type="dxa"/>
            <w:noWrap w:val="0"/>
            <w:vAlign w:val="center"/>
          </w:tcPr>
          <w:p w14:paraId="41F8B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压缩机</w:t>
            </w:r>
          </w:p>
        </w:tc>
        <w:tc>
          <w:tcPr>
            <w:tcW w:w="2502" w:type="dxa"/>
            <w:noWrap w:val="0"/>
            <w:vAlign w:val="center"/>
          </w:tcPr>
          <w:p w14:paraId="19DA12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E655DH-65D2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YG</w:t>
            </w:r>
          </w:p>
        </w:tc>
        <w:tc>
          <w:tcPr>
            <w:tcW w:w="786" w:type="dxa"/>
            <w:noWrap w:val="0"/>
            <w:vAlign w:val="top"/>
          </w:tcPr>
          <w:p w14:paraId="799120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5374DA2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828D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161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994FA8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27</w:t>
            </w:r>
          </w:p>
        </w:tc>
        <w:tc>
          <w:tcPr>
            <w:tcW w:w="2171" w:type="dxa"/>
            <w:noWrap w:val="0"/>
            <w:vAlign w:val="center"/>
          </w:tcPr>
          <w:p w14:paraId="753C496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A7CDE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1≤匹≤16</w:t>
            </w:r>
          </w:p>
        </w:tc>
        <w:tc>
          <w:tcPr>
            <w:tcW w:w="786" w:type="dxa"/>
            <w:noWrap w:val="0"/>
            <w:vAlign w:val="top"/>
          </w:tcPr>
          <w:p w14:paraId="0C42CF2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EB45FB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8B90D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BC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34CCED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28</w:t>
            </w:r>
          </w:p>
        </w:tc>
        <w:tc>
          <w:tcPr>
            <w:tcW w:w="2171" w:type="dxa"/>
            <w:noWrap w:val="0"/>
            <w:vAlign w:val="center"/>
          </w:tcPr>
          <w:p w14:paraId="3D0E87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室外主控板</w:t>
            </w:r>
          </w:p>
        </w:tc>
        <w:tc>
          <w:tcPr>
            <w:tcW w:w="2502" w:type="dxa"/>
            <w:noWrap w:val="0"/>
            <w:vAlign w:val="center"/>
          </w:tcPr>
          <w:p w14:paraId="4C5AF0B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匹≥18</w:t>
            </w:r>
          </w:p>
        </w:tc>
        <w:tc>
          <w:tcPr>
            <w:tcW w:w="786" w:type="dxa"/>
            <w:noWrap w:val="0"/>
            <w:vAlign w:val="top"/>
          </w:tcPr>
          <w:p w14:paraId="435C734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F842A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C1E0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D5C6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707F16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29</w:t>
            </w:r>
          </w:p>
        </w:tc>
        <w:tc>
          <w:tcPr>
            <w:tcW w:w="2171" w:type="dxa"/>
            <w:noWrap w:val="0"/>
            <w:vAlign w:val="center"/>
          </w:tcPr>
          <w:p w14:paraId="3AC4859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42D48BC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（PS22A78）</w:t>
            </w:r>
          </w:p>
        </w:tc>
        <w:tc>
          <w:tcPr>
            <w:tcW w:w="786" w:type="dxa"/>
            <w:noWrap w:val="0"/>
            <w:vAlign w:val="top"/>
          </w:tcPr>
          <w:p w14:paraId="6DF29D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476158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E2884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B5FE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ADBB4D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30</w:t>
            </w:r>
          </w:p>
        </w:tc>
        <w:tc>
          <w:tcPr>
            <w:tcW w:w="2171" w:type="dxa"/>
            <w:noWrap w:val="0"/>
            <w:vAlign w:val="center"/>
          </w:tcPr>
          <w:p w14:paraId="584953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变频模块</w:t>
            </w:r>
          </w:p>
        </w:tc>
        <w:tc>
          <w:tcPr>
            <w:tcW w:w="2502" w:type="dxa"/>
            <w:noWrap w:val="0"/>
            <w:vAlign w:val="top"/>
          </w:tcPr>
          <w:p w14:paraId="502E4CD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（PS22A79）</w:t>
            </w:r>
          </w:p>
        </w:tc>
        <w:tc>
          <w:tcPr>
            <w:tcW w:w="786" w:type="dxa"/>
            <w:noWrap w:val="0"/>
            <w:vAlign w:val="top"/>
          </w:tcPr>
          <w:p w14:paraId="5A810B4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FAED0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E640A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9C5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FFFEE3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31</w:t>
            </w:r>
          </w:p>
        </w:tc>
        <w:tc>
          <w:tcPr>
            <w:tcW w:w="2171" w:type="dxa"/>
            <w:noWrap w:val="0"/>
            <w:vAlign w:val="center"/>
          </w:tcPr>
          <w:p w14:paraId="77B298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002C4E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59CFDF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4ED73D9">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A3F76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D05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B8785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32</w:t>
            </w:r>
          </w:p>
        </w:tc>
        <w:tc>
          <w:tcPr>
            <w:tcW w:w="2171" w:type="dxa"/>
            <w:noWrap w:val="0"/>
            <w:vAlign w:val="center"/>
          </w:tcPr>
          <w:p w14:paraId="617E80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四通阀</w:t>
            </w:r>
          </w:p>
        </w:tc>
        <w:tc>
          <w:tcPr>
            <w:tcW w:w="2502" w:type="dxa"/>
            <w:noWrap w:val="0"/>
            <w:vAlign w:val="center"/>
          </w:tcPr>
          <w:p w14:paraId="688E907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C3605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571077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4480CE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265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33F41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33</w:t>
            </w:r>
          </w:p>
        </w:tc>
        <w:tc>
          <w:tcPr>
            <w:tcW w:w="2171" w:type="dxa"/>
            <w:noWrap w:val="0"/>
            <w:vAlign w:val="center"/>
          </w:tcPr>
          <w:p w14:paraId="47D16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221921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ZL-700*202*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20-3N</w:t>
            </w:r>
          </w:p>
        </w:tc>
        <w:tc>
          <w:tcPr>
            <w:tcW w:w="786" w:type="dxa"/>
            <w:noWrap w:val="0"/>
            <w:vAlign w:val="top"/>
          </w:tcPr>
          <w:p w14:paraId="669723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6D12B7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14BE52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44B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6F5A3B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34</w:t>
            </w:r>
          </w:p>
        </w:tc>
        <w:tc>
          <w:tcPr>
            <w:tcW w:w="2171" w:type="dxa"/>
            <w:noWrap w:val="0"/>
            <w:vAlign w:val="center"/>
          </w:tcPr>
          <w:p w14:paraId="0914F5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室外风叶</w:t>
            </w:r>
          </w:p>
        </w:tc>
        <w:tc>
          <w:tcPr>
            <w:tcW w:w="2502" w:type="dxa"/>
            <w:noWrap w:val="0"/>
            <w:vAlign w:val="center"/>
          </w:tcPr>
          <w:p w14:paraId="42C7EDE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ZL-560*162*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20-4N</w:t>
            </w:r>
          </w:p>
        </w:tc>
        <w:tc>
          <w:tcPr>
            <w:tcW w:w="786" w:type="dxa"/>
            <w:noWrap w:val="0"/>
            <w:vAlign w:val="top"/>
          </w:tcPr>
          <w:p w14:paraId="3054DE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EEE47B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885D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8E76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0EBF4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35</w:t>
            </w:r>
          </w:p>
        </w:tc>
        <w:tc>
          <w:tcPr>
            <w:tcW w:w="2171" w:type="dxa"/>
            <w:noWrap w:val="0"/>
            <w:vAlign w:val="center"/>
          </w:tcPr>
          <w:p w14:paraId="62C772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5445B60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匹≤16</w:t>
            </w:r>
          </w:p>
        </w:tc>
        <w:tc>
          <w:tcPr>
            <w:tcW w:w="786" w:type="dxa"/>
            <w:noWrap w:val="0"/>
            <w:vAlign w:val="top"/>
          </w:tcPr>
          <w:p w14:paraId="7BF641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E9F33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B30D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4A78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E983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36</w:t>
            </w:r>
          </w:p>
        </w:tc>
        <w:tc>
          <w:tcPr>
            <w:tcW w:w="2171" w:type="dxa"/>
            <w:noWrap w:val="0"/>
            <w:vAlign w:val="center"/>
          </w:tcPr>
          <w:p w14:paraId="62EB334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室外交流电机</w:t>
            </w:r>
          </w:p>
        </w:tc>
        <w:tc>
          <w:tcPr>
            <w:tcW w:w="2502" w:type="dxa"/>
            <w:noWrap w:val="0"/>
            <w:vAlign w:val="center"/>
          </w:tcPr>
          <w:p w14:paraId="7CF605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匹≥20</w:t>
            </w:r>
          </w:p>
        </w:tc>
        <w:tc>
          <w:tcPr>
            <w:tcW w:w="786" w:type="dxa"/>
            <w:noWrap w:val="0"/>
            <w:vAlign w:val="top"/>
          </w:tcPr>
          <w:p w14:paraId="3A31D69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9340EF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11EE4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A32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5BD7A7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37</w:t>
            </w:r>
          </w:p>
        </w:tc>
        <w:tc>
          <w:tcPr>
            <w:tcW w:w="2171" w:type="dxa"/>
            <w:noWrap w:val="0"/>
            <w:vAlign w:val="center"/>
          </w:tcPr>
          <w:p w14:paraId="446FBA3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07EF8B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匹≤2</w:t>
            </w:r>
          </w:p>
        </w:tc>
        <w:tc>
          <w:tcPr>
            <w:tcW w:w="786" w:type="dxa"/>
            <w:noWrap w:val="0"/>
            <w:vAlign w:val="top"/>
          </w:tcPr>
          <w:p w14:paraId="45EAA93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77C0293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B6815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E48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5AFF87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38</w:t>
            </w:r>
          </w:p>
        </w:tc>
        <w:tc>
          <w:tcPr>
            <w:tcW w:w="2171" w:type="dxa"/>
            <w:noWrap w:val="0"/>
            <w:vAlign w:val="center"/>
          </w:tcPr>
          <w:p w14:paraId="77D760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BE631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3≤匹≤5</w:t>
            </w:r>
          </w:p>
        </w:tc>
        <w:tc>
          <w:tcPr>
            <w:tcW w:w="786" w:type="dxa"/>
            <w:noWrap w:val="0"/>
            <w:vAlign w:val="top"/>
          </w:tcPr>
          <w:p w14:paraId="56202F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6F30BF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4F9419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E58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476B7F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39</w:t>
            </w:r>
          </w:p>
        </w:tc>
        <w:tc>
          <w:tcPr>
            <w:tcW w:w="2171" w:type="dxa"/>
            <w:noWrap w:val="0"/>
            <w:vAlign w:val="center"/>
          </w:tcPr>
          <w:p w14:paraId="4DD1EFC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7B57BED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 匹风管</w:t>
            </w:r>
          </w:p>
        </w:tc>
        <w:tc>
          <w:tcPr>
            <w:tcW w:w="786" w:type="dxa"/>
            <w:noWrap w:val="0"/>
            <w:vAlign w:val="top"/>
          </w:tcPr>
          <w:p w14:paraId="3DD2C77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7CF9E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682D2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77904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86A67A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40</w:t>
            </w:r>
          </w:p>
        </w:tc>
        <w:tc>
          <w:tcPr>
            <w:tcW w:w="2171" w:type="dxa"/>
            <w:noWrap w:val="0"/>
            <w:vAlign w:val="center"/>
          </w:tcPr>
          <w:p w14:paraId="211798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室内电机</w:t>
            </w:r>
          </w:p>
        </w:tc>
        <w:tc>
          <w:tcPr>
            <w:tcW w:w="2502" w:type="dxa"/>
            <w:noWrap w:val="0"/>
            <w:vAlign w:val="center"/>
          </w:tcPr>
          <w:p w14:paraId="566082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 匹风管</w:t>
            </w:r>
          </w:p>
        </w:tc>
        <w:tc>
          <w:tcPr>
            <w:tcW w:w="786" w:type="dxa"/>
            <w:noWrap w:val="0"/>
            <w:vAlign w:val="top"/>
          </w:tcPr>
          <w:p w14:paraId="49EF5E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40460EF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96A8CD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037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2C65B8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41</w:t>
            </w:r>
          </w:p>
        </w:tc>
        <w:tc>
          <w:tcPr>
            <w:tcW w:w="2171" w:type="dxa"/>
            <w:noWrap w:val="0"/>
            <w:vAlign w:val="center"/>
          </w:tcPr>
          <w:p w14:paraId="4FC719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7C6B2FE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内置全系列</w:t>
            </w:r>
          </w:p>
        </w:tc>
        <w:tc>
          <w:tcPr>
            <w:tcW w:w="786" w:type="dxa"/>
            <w:noWrap w:val="0"/>
            <w:vAlign w:val="top"/>
          </w:tcPr>
          <w:p w14:paraId="314CDBB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25BF27E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CC2240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72B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4B4EBF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42</w:t>
            </w:r>
          </w:p>
        </w:tc>
        <w:tc>
          <w:tcPr>
            <w:tcW w:w="2171" w:type="dxa"/>
            <w:noWrap w:val="0"/>
            <w:vAlign w:val="center"/>
          </w:tcPr>
          <w:p w14:paraId="5CC7809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内机节流部件</w:t>
            </w:r>
          </w:p>
        </w:tc>
        <w:tc>
          <w:tcPr>
            <w:tcW w:w="2502" w:type="dxa"/>
            <w:noWrap w:val="0"/>
            <w:vAlign w:val="center"/>
          </w:tcPr>
          <w:p w14:paraId="589ED5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外置全系列</w:t>
            </w:r>
          </w:p>
        </w:tc>
        <w:tc>
          <w:tcPr>
            <w:tcW w:w="786" w:type="dxa"/>
            <w:noWrap w:val="0"/>
            <w:vAlign w:val="top"/>
          </w:tcPr>
          <w:p w14:paraId="53BED6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台</w:t>
            </w:r>
          </w:p>
        </w:tc>
        <w:tc>
          <w:tcPr>
            <w:tcW w:w="686" w:type="dxa"/>
            <w:noWrap w:val="0"/>
            <w:vAlign w:val="center"/>
          </w:tcPr>
          <w:p w14:paraId="1F21F9E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242E7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33E14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FF4D99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43</w:t>
            </w:r>
          </w:p>
        </w:tc>
        <w:tc>
          <w:tcPr>
            <w:tcW w:w="2171" w:type="dxa"/>
            <w:noWrap w:val="0"/>
            <w:vAlign w:val="center"/>
          </w:tcPr>
          <w:p w14:paraId="350303D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4C078B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匹≤3</w:t>
            </w:r>
          </w:p>
        </w:tc>
        <w:tc>
          <w:tcPr>
            <w:tcW w:w="786" w:type="dxa"/>
            <w:noWrap w:val="0"/>
            <w:vAlign w:val="top"/>
          </w:tcPr>
          <w:p w14:paraId="40CBE0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8B1B1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DF0E7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B13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CC85E2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44</w:t>
            </w:r>
          </w:p>
        </w:tc>
        <w:tc>
          <w:tcPr>
            <w:tcW w:w="2171" w:type="dxa"/>
            <w:noWrap w:val="0"/>
            <w:vAlign w:val="center"/>
          </w:tcPr>
          <w:p w14:paraId="5375F5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室内主控板</w:t>
            </w:r>
          </w:p>
        </w:tc>
        <w:tc>
          <w:tcPr>
            <w:tcW w:w="2502" w:type="dxa"/>
            <w:noWrap w:val="0"/>
            <w:vAlign w:val="center"/>
          </w:tcPr>
          <w:p w14:paraId="6CD1AC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匹≥5</w:t>
            </w:r>
          </w:p>
        </w:tc>
        <w:tc>
          <w:tcPr>
            <w:tcW w:w="786" w:type="dxa"/>
            <w:noWrap w:val="0"/>
            <w:vAlign w:val="top"/>
          </w:tcPr>
          <w:p w14:paraId="44A6EE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79D456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4DE1E1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ACC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04AC871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45</w:t>
            </w:r>
          </w:p>
        </w:tc>
        <w:tc>
          <w:tcPr>
            <w:tcW w:w="2171" w:type="dxa"/>
            <w:noWrap w:val="0"/>
            <w:vAlign w:val="center"/>
          </w:tcPr>
          <w:p w14:paraId="633EDD6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风机电源</w:t>
            </w:r>
          </w:p>
        </w:tc>
        <w:tc>
          <w:tcPr>
            <w:tcW w:w="2502" w:type="dxa"/>
            <w:noWrap w:val="0"/>
            <w:vAlign w:val="center"/>
          </w:tcPr>
          <w:p w14:paraId="7CD0EAA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3660EA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0F5F25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3FE3DC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3B8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1A0E89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46</w:t>
            </w:r>
          </w:p>
        </w:tc>
        <w:tc>
          <w:tcPr>
            <w:tcW w:w="2171" w:type="dxa"/>
            <w:noWrap w:val="0"/>
            <w:vAlign w:val="center"/>
          </w:tcPr>
          <w:p w14:paraId="2859A40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风机模块</w:t>
            </w:r>
          </w:p>
        </w:tc>
        <w:tc>
          <w:tcPr>
            <w:tcW w:w="2502" w:type="dxa"/>
            <w:noWrap w:val="0"/>
            <w:vAlign w:val="center"/>
          </w:tcPr>
          <w:p w14:paraId="280C9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15A</w:t>
            </w:r>
          </w:p>
        </w:tc>
        <w:tc>
          <w:tcPr>
            <w:tcW w:w="786" w:type="dxa"/>
            <w:noWrap w:val="0"/>
            <w:vAlign w:val="top"/>
          </w:tcPr>
          <w:p w14:paraId="5FA480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9E1A24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79DC77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5770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7AB4918">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47</w:t>
            </w:r>
          </w:p>
        </w:tc>
        <w:tc>
          <w:tcPr>
            <w:tcW w:w="2171" w:type="dxa"/>
            <w:noWrap w:val="0"/>
            <w:vAlign w:val="center"/>
          </w:tcPr>
          <w:p w14:paraId="75A280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室外机滤波板</w:t>
            </w:r>
          </w:p>
        </w:tc>
        <w:tc>
          <w:tcPr>
            <w:tcW w:w="2502" w:type="dxa"/>
            <w:noWrap w:val="0"/>
            <w:vAlign w:val="center"/>
          </w:tcPr>
          <w:p w14:paraId="3886BA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7BE1705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DC2F686">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C3C452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8F4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E8CEB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48</w:t>
            </w:r>
          </w:p>
        </w:tc>
        <w:tc>
          <w:tcPr>
            <w:tcW w:w="2171" w:type="dxa"/>
            <w:noWrap w:val="0"/>
            <w:vAlign w:val="center"/>
          </w:tcPr>
          <w:p w14:paraId="1B62F6A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外置排水泵</w:t>
            </w:r>
          </w:p>
        </w:tc>
        <w:tc>
          <w:tcPr>
            <w:tcW w:w="2502" w:type="dxa"/>
            <w:noWrap w:val="0"/>
            <w:vAlign w:val="center"/>
          </w:tcPr>
          <w:p w14:paraId="261B4F9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42F08F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2E4DCC7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2A6036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C2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7CB0DA9A">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49</w:t>
            </w:r>
          </w:p>
        </w:tc>
        <w:tc>
          <w:tcPr>
            <w:tcW w:w="2171" w:type="dxa"/>
            <w:noWrap w:val="0"/>
            <w:vAlign w:val="center"/>
          </w:tcPr>
          <w:p w14:paraId="7D352BB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线控器</w:t>
            </w:r>
          </w:p>
        </w:tc>
        <w:tc>
          <w:tcPr>
            <w:tcW w:w="2502" w:type="dxa"/>
            <w:noWrap w:val="0"/>
            <w:vAlign w:val="center"/>
          </w:tcPr>
          <w:p w14:paraId="5E1B38B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1699C4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B3280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DC16BA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73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144ED471">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50</w:t>
            </w:r>
          </w:p>
        </w:tc>
        <w:tc>
          <w:tcPr>
            <w:tcW w:w="2171" w:type="dxa"/>
            <w:noWrap w:val="0"/>
            <w:vAlign w:val="center"/>
          </w:tcPr>
          <w:p w14:paraId="63D9A58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内机回风口加装回风帆布改造</w:t>
            </w:r>
          </w:p>
        </w:tc>
        <w:tc>
          <w:tcPr>
            <w:tcW w:w="2502" w:type="dxa"/>
            <w:noWrap w:val="0"/>
            <w:vAlign w:val="center"/>
          </w:tcPr>
          <w:p w14:paraId="72AB4B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3F28A6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301F625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F2F24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B3F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639377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51</w:t>
            </w:r>
          </w:p>
        </w:tc>
        <w:tc>
          <w:tcPr>
            <w:tcW w:w="2171" w:type="dxa"/>
            <w:noWrap w:val="0"/>
            <w:vAlign w:val="center"/>
          </w:tcPr>
          <w:p w14:paraId="27CD23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内机冷凝水管路保温</w:t>
            </w:r>
          </w:p>
        </w:tc>
        <w:tc>
          <w:tcPr>
            <w:tcW w:w="2502" w:type="dxa"/>
            <w:noWrap w:val="0"/>
            <w:vAlign w:val="center"/>
          </w:tcPr>
          <w:p w14:paraId="793EC3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411F5B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393C8B3">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5E4614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3AE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DAD05C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52</w:t>
            </w:r>
          </w:p>
        </w:tc>
        <w:tc>
          <w:tcPr>
            <w:tcW w:w="2171" w:type="dxa"/>
            <w:noWrap w:val="0"/>
            <w:vAlign w:val="center"/>
          </w:tcPr>
          <w:p w14:paraId="720699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内机管路保温</w:t>
            </w:r>
          </w:p>
        </w:tc>
        <w:tc>
          <w:tcPr>
            <w:tcW w:w="2502" w:type="dxa"/>
            <w:noWrap w:val="0"/>
            <w:vAlign w:val="center"/>
          </w:tcPr>
          <w:p w14:paraId="213AB8B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全系列</w:t>
            </w:r>
          </w:p>
        </w:tc>
        <w:tc>
          <w:tcPr>
            <w:tcW w:w="786" w:type="dxa"/>
            <w:noWrap w:val="0"/>
            <w:vAlign w:val="top"/>
          </w:tcPr>
          <w:p w14:paraId="0A72C1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BA4612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9A9E0F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F44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5342149B">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53</w:t>
            </w:r>
          </w:p>
        </w:tc>
        <w:tc>
          <w:tcPr>
            <w:tcW w:w="2171" w:type="dxa"/>
            <w:noWrap w:val="0"/>
            <w:vAlign w:val="center"/>
          </w:tcPr>
          <w:p w14:paraId="6C66EA7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ABS 出风口</w:t>
            </w:r>
          </w:p>
        </w:tc>
        <w:tc>
          <w:tcPr>
            <w:tcW w:w="2502" w:type="dxa"/>
            <w:noWrap w:val="0"/>
            <w:vAlign w:val="center"/>
          </w:tcPr>
          <w:p w14:paraId="2AF96B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600*600</w:t>
            </w:r>
          </w:p>
        </w:tc>
        <w:tc>
          <w:tcPr>
            <w:tcW w:w="786" w:type="dxa"/>
            <w:noWrap w:val="0"/>
            <w:vAlign w:val="top"/>
          </w:tcPr>
          <w:p w14:paraId="23D01F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8142747">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754219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0A2D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4545D29D">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54</w:t>
            </w:r>
          </w:p>
        </w:tc>
        <w:tc>
          <w:tcPr>
            <w:tcW w:w="2171" w:type="dxa"/>
            <w:noWrap w:val="0"/>
            <w:vAlign w:val="center"/>
          </w:tcPr>
          <w:p w14:paraId="2E231A0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保温风道天圆地方</w:t>
            </w:r>
          </w:p>
        </w:tc>
        <w:tc>
          <w:tcPr>
            <w:tcW w:w="2502" w:type="dxa"/>
            <w:noWrap w:val="0"/>
            <w:vAlign w:val="center"/>
          </w:tcPr>
          <w:p w14:paraId="31C5CB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485*300</w:t>
            </w:r>
          </w:p>
        </w:tc>
        <w:tc>
          <w:tcPr>
            <w:tcW w:w="786" w:type="dxa"/>
            <w:noWrap w:val="0"/>
            <w:vAlign w:val="top"/>
          </w:tcPr>
          <w:p w14:paraId="1B58865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611FFB8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0FADE0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220F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71AA7D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55</w:t>
            </w:r>
          </w:p>
        </w:tc>
        <w:tc>
          <w:tcPr>
            <w:tcW w:w="2171" w:type="dxa"/>
            <w:noWrap w:val="0"/>
            <w:vAlign w:val="center"/>
          </w:tcPr>
          <w:p w14:paraId="4EB630C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登高车</w:t>
            </w:r>
          </w:p>
        </w:tc>
        <w:tc>
          <w:tcPr>
            <w:tcW w:w="2502" w:type="dxa"/>
            <w:noWrap w:val="0"/>
            <w:vAlign w:val="center"/>
          </w:tcPr>
          <w:p w14:paraId="74221F8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8-10 米/时</w:t>
            </w:r>
          </w:p>
        </w:tc>
        <w:tc>
          <w:tcPr>
            <w:tcW w:w="786" w:type="dxa"/>
            <w:noWrap w:val="0"/>
            <w:vAlign w:val="top"/>
          </w:tcPr>
          <w:p w14:paraId="26EDCBB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5E5844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0AD43E8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37E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6FD229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56</w:t>
            </w:r>
          </w:p>
        </w:tc>
        <w:tc>
          <w:tcPr>
            <w:tcW w:w="2171" w:type="dxa"/>
            <w:noWrap w:val="0"/>
            <w:vAlign w:val="center"/>
          </w:tcPr>
          <w:p w14:paraId="691985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深度清洗新风机组</w:t>
            </w:r>
          </w:p>
        </w:tc>
        <w:tc>
          <w:tcPr>
            <w:tcW w:w="2502" w:type="dxa"/>
            <w:noWrap w:val="0"/>
            <w:vAlign w:val="bottom"/>
          </w:tcPr>
          <w:p w14:paraId="7E1E35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7633B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1BB8619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1A61C1E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1061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68BA47A0">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57</w:t>
            </w:r>
          </w:p>
        </w:tc>
        <w:tc>
          <w:tcPr>
            <w:tcW w:w="2171" w:type="dxa"/>
            <w:noWrap w:val="0"/>
            <w:vAlign w:val="center"/>
          </w:tcPr>
          <w:p w14:paraId="39CE77E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操作间主机深度清洗</w:t>
            </w:r>
          </w:p>
        </w:tc>
        <w:tc>
          <w:tcPr>
            <w:tcW w:w="2502" w:type="dxa"/>
            <w:noWrap w:val="0"/>
            <w:vAlign w:val="bottom"/>
          </w:tcPr>
          <w:p w14:paraId="6344D0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0B74F9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7DE6023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5F1468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r w14:paraId="6D97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53" w:type="dxa"/>
            <w:noWrap w:val="0"/>
            <w:vAlign w:val="center"/>
          </w:tcPr>
          <w:p w14:paraId="3F5E326F">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58</w:t>
            </w:r>
          </w:p>
        </w:tc>
        <w:tc>
          <w:tcPr>
            <w:tcW w:w="2171" w:type="dxa"/>
            <w:noWrap w:val="0"/>
            <w:vAlign w:val="center"/>
          </w:tcPr>
          <w:p w14:paraId="5EB4C37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深度清洗新风出风口</w:t>
            </w:r>
          </w:p>
        </w:tc>
        <w:tc>
          <w:tcPr>
            <w:tcW w:w="2502" w:type="dxa"/>
            <w:noWrap w:val="0"/>
            <w:vAlign w:val="bottom"/>
          </w:tcPr>
          <w:p w14:paraId="2025949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MDBX580VP</w:t>
            </w:r>
          </w:p>
        </w:tc>
        <w:tc>
          <w:tcPr>
            <w:tcW w:w="786" w:type="dxa"/>
            <w:noWrap w:val="0"/>
            <w:vAlign w:val="top"/>
          </w:tcPr>
          <w:p w14:paraId="25CDD7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686" w:type="dxa"/>
            <w:noWrap w:val="0"/>
            <w:vAlign w:val="center"/>
          </w:tcPr>
          <w:p w14:paraId="408BC864">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3867" w:type="dxa"/>
            <w:noWrap w:val="0"/>
            <w:vAlign w:val="center"/>
          </w:tcPr>
          <w:p w14:paraId="65FFC49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备品备件，高于原品牌、型号，如需更换，品牌和型号满足设备需求。</w:t>
            </w:r>
          </w:p>
        </w:tc>
      </w:tr>
    </w:tbl>
    <w:p w14:paraId="77B853EE">
      <w:pPr>
        <w:pStyle w:val="20"/>
        <w:tabs>
          <w:tab w:val="right" w:leader="dot" w:pos="9629"/>
          <w:tab w:val="clear" w:pos="8729"/>
        </w:tabs>
        <w:rPr>
          <w:highlight w:val="none"/>
        </w:rPr>
      </w:pPr>
    </w:p>
    <w:p w14:paraId="41793E21">
      <w:pPr>
        <w:spacing w:line="440" w:lineRule="exact"/>
        <w:ind w:firstLine="480" w:firstLineChars="200"/>
        <w:jc w:val="center"/>
        <w:rPr>
          <w:rFonts w:hint="eastAsia" w:ascii="宋体" w:hAnsi="宋体"/>
          <w:sz w:val="24"/>
          <w:szCs w:val="24"/>
          <w:highlight w:val="none"/>
        </w:rPr>
      </w:pPr>
    </w:p>
    <w:p w14:paraId="1D23B47B">
      <w:pPr>
        <w:spacing w:line="440" w:lineRule="exact"/>
        <w:ind w:firstLine="480" w:firstLineChars="200"/>
        <w:rPr>
          <w:rFonts w:ascii="宋体" w:hAnsi="宋体" w:eastAsia="宋体" w:cs="宋体"/>
          <w:sz w:val="24"/>
          <w:szCs w:val="24"/>
          <w:highlight w:val="none"/>
        </w:rPr>
      </w:pPr>
      <w:r>
        <w:rPr>
          <w:rFonts w:hint="eastAsia" w:ascii="宋体" w:hAnsi="宋体"/>
          <w:color w:val="000000"/>
          <w:sz w:val="24"/>
          <w:szCs w:val="24"/>
          <w:highlight w:val="none"/>
        </w:rPr>
        <w:t>备注：</w:t>
      </w:r>
      <w:r>
        <w:rPr>
          <w:rFonts w:ascii="宋体" w:hAnsi="宋体"/>
          <w:color w:val="000000"/>
          <w:sz w:val="24"/>
          <w:szCs w:val="24"/>
          <w:highlight w:val="none"/>
        </w:rPr>
        <w:t>①</w:t>
      </w:r>
      <w:r>
        <w:rPr>
          <w:rFonts w:ascii="宋体" w:hAnsi="宋体" w:eastAsia="宋体" w:cs="宋体"/>
          <w:sz w:val="24"/>
          <w:szCs w:val="24"/>
          <w:highlight w:val="none"/>
        </w:rPr>
        <w:t>本表所列内容为本项目维保服务核心工作及配套备品备件清单，投标人需完整提供本表全部维保作业、备用配件，同时覆盖招标文件约定全部维保配套服务，请投标人完整研读本项目服务范围章节。投标人若对清单、服务范围存在任何异议，无论差异大小，均须在投标文件</w:t>
      </w:r>
      <w:r>
        <w:rPr>
          <w:rFonts w:hint="eastAsia"/>
          <w:sz w:val="24"/>
          <w:szCs w:val="24"/>
          <w:highlight w:val="none"/>
        </w:rPr>
        <w:t>“商务偏离”</w:t>
      </w:r>
      <w:r>
        <w:rPr>
          <w:rFonts w:ascii="宋体" w:hAnsi="宋体" w:eastAsia="宋体" w:cs="宋体"/>
          <w:sz w:val="24"/>
          <w:szCs w:val="24"/>
          <w:highlight w:val="none"/>
        </w:rPr>
        <w:t>表中逐条详细列明说明。</w:t>
      </w:r>
    </w:p>
    <w:p w14:paraId="509A699A">
      <w:pPr>
        <w:spacing w:line="440" w:lineRule="exact"/>
        <w:ind w:firstLine="480" w:firstLineChars="200"/>
        <w:rPr>
          <w:rFonts w:hint="eastAsia" w:ascii="宋体" w:hAnsi="宋体"/>
          <w:sz w:val="24"/>
          <w:szCs w:val="24"/>
          <w:highlight w:val="none"/>
        </w:rPr>
      </w:pPr>
      <w:r>
        <w:rPr>
          <w:rFonts w:ascii="宋体" w:hAnsi="宋体"/>
          <w:sz w:val="24"/>
          <w:szCs w:val="24"/>
          <w:highlight w:val="none"/>
        </w:rPr>
        <w:t>②</w:t>
      </w:r>
      <w:r>
        <w:rPr>
          <w:rFonts w:hint="eastAsia" w:ascii="宋体" w:hAnsi="宋体"/>
          <w:sz w:val="24"/>
          <w:szCs w:val="24"/>
          <w:highlight w:val="none"/>
        </w:rPr>
        <w:t xml:space="preserve"> 本表“</w:t>
      </w:r>
      <w:r>
        <w:rPr>
          <w:rFonts w:ascii="宋体" w:hAnsi="宋体" w:eastAsia="宋体" w:cs="宋体"/>
          <w:sz w:val="24"/>
          <w:szCs w:val="24"/>
          <w:highlight w:val="none"/>
        </w:rPr>
        <w:t>服务交付模式</w:t>
      </w:r>
      <w:r>
        <w:rPr>
          <w:rFonts w:hint="eastAsia" w:ascii="宋体" w:hAnsi="宋体"/>
          <w:sz w:val="24"/>
          <w:szCs w:val="24"/>
          <w:highlight w:val="none"/>
        </w:rPr>
        <w:t>”指：</w:t>
      </w:r>
      <w:r>
        <w:rPr>
          <w:rFonts w:ascii="宋体" w:hAnsi="宋体" w:eastAsia="宋体" w:cs="宋体"/>
          <w:sz w:val="24"/>
          <w:szCs w:val="24"/>
          <w:highlight w:val="none"/>
        </w:rPr>
        <w:t>包含现场上门、工具耗材运输、现场拆装检修、配件更换、系统调试、竣工验收、甲方操作人员技术培训、售后质保等全部相关工作</w:t>
      </w:r>
      <w:r>
        <w:rPr>
          <w:rFonts w:hint="eastAsia" w:ascii="宋体" w:hAnsi="宋体"/>
          <w:sz w:val="24"/>
          <w:szCs w:val="24"/>
          <w:highlight w:val="none"/>
        </w:rPr>
        <w:t xml:space="preserve">。 </w:t>
      </w:r>
    </w:p>
    <w:p w14:paraId="1AE629CF">
      <w:pPr>
        <w:spacing w:line="440" w:lineRule="exact"/>
        <w:ind w:firstLine="482" w:firstLineChars="200"/>
        <w:rPr>
          <w:rFonts w:ascii="宋体" w:hAnsi="宋体"/>
          <w:b/>
          <w:sz w:val="24"/>
          <w:szCs w:val="24"/>
          <w:highlight w:val="none"/>
        </w:rPr>
      </w:pPr>
      <w:r>
        <w:rPr>
          <w:rFonts w:hint="eastAsia" w:ascii="宋体" w:hAnsi="宋体"/>
          <w:b/>
          <w:sz w:val="24"/>
          <w:szCs w:val="24"/>
          <w:highlight w:val="none"/>
        </w:rPr>
        <w:t>三、</w:t>
      </w:r>
      <w:r>
        <w:rPr>
          <w:rFonts w:ascii="宋体" w:hAnsi="宋体" w:eastAsia="宋体" w:cs="宋体"/>
          <w:sz w:val="24"/>
          <w:szCs w:val="24"/>
          <w:highlight w:val="none"/>
        </w:rPr>
        <w:t>采购服务特别说明</w:t>
      </w:r>
    </w:p>
    <w:p w14:paraId="43C4E1CA">
      <w:pPr>
        <w:pStyle w:val="12"/>
        <w:spacing w:line="360" w:lineRule="auto"/>
        <w:ind w:firstLine="480" w:firstLineChars="200"/>
        <w:rPr>
          <w:rFonts w:ascii="宋体" w:hAnsi="宋体" w:eastAsia="宋体" w:cs="宋体"/>
          <w:kern w:val="2"/>
          <w:sz w:val="24"/>
          <w:szCs w:val="24"/>
          <w:highlight w:val="none"/>
          <w:lang w:val="en-US" w:eastAsia="zh-CN" w:bidi="ar-SA"/>
        </w:rPr>
      </w:pPr>
      <w:r>
        <w:rPr>
          <w:rFonts w:ascii="宋体" w:hAnsi="宋体" w:eastAsia="宋体" w:cs="宋体"/>
          <w:kern w:val="2"/>
          <w:sz w:val="24"/>
          <w:szCs w:val="24"/>
          <w:highlight w:val="none"/>
          <w:lang w:val="en-US" w:eastAsia="zh-CN" w:bidi="ar-SA"/>
        </w:rPr>
        <w:t>招标方所列维保服务内容、设备型号、配件规格，如为某一品牌 / 设备原厂特有，则该名称、型号、规格仅作为参考；但要求投标方所提供的维保服务、更换配件、系统调试必须满足本技术标书实质性要求，确保空调机组正常、安全、稳定运行。</w:t>
      </w:r>
    </w:p>
    <w:p w14:paraId="2C9AEF81">
      <w:pPr>
        <w:spacing w:line="440" w:lineRule="exact"/>
        <w:ind w:firstLine="482" w:firstLineChars="200"/>
        <w:jc w:val="center"/>
        <w:rPr>
          <w:rFonts w:ascii="宋体" w:hAnsi="宋体"/>
          <w:b/>
          <w:bCs/>
          <w:sz w:val="24"/>
          <w:szCs w:val="24"/>
          <w:highlight w:val="none"/>
        </w:rPr>
      </w:pPr>
      <w:r>
        <w:rPr>
          <w:rFonts w:hint="eastAsia" w:ascii="宋体" w:hAnsi="宋体"/>
          <w:b/>
          <w:bCs/>
          <w:sz w:val="24"/>
          <w:szCs w:val="24"/>
          <w:highlight w:val="none"/>
        </w:rPr>
        <w:t>第三节  采购</w:t>
      </w:r>
      <w:r>
        <w:rPr>
          <w:rFonts w:hint="eastAsia" w:ascii="宋体" w:hAnsi="宋体"/>
          <w:b/>
          <w:bCs/>
          <w:sz w:val="24"/>
          <w:szCs w:val="24"/>
          <w:highlight w:val="none"/>
          <w:lang w:val="en-US" w:eastAsia="zh-CN"/>
        </w:rPr>
        <w:t>服务</w:t>
      </w:r>
      <w:r>
        <w:rPr>
          <w:rFonts w:hint="eastAsia" w:ascii="宋体" w:hAnsi="宋体"/>
          <w:b/>
          <w:bCs/>
          <w:sz w:val="24"/>
          <w:szCs w:val="24"/>
          <w:highlight w:val="none"/>
        </w:rPr>
        <w:t>技术要求</w:t>
      </w:r>
    </w:p>
    <w:p w14:paraId="67AD15EE">
      <w:pPr>
        <w:spacing w:line="440" w:lineRule="exact"/>
        <w:ind w:firstLine="482" w:firstLineChars="200"/>
        <w:rPr>
          <w:rFonts w:hint="eastAsia" w:ascii="黑体" w:hAnsi="宋体"/>
          <w:b/>
          <w:bCs/>
          <w:sz w:val="24"/>
          <w:szCs w:val="24"/>
          <w:highlight w:val="none"/>
        </w:rPr>
      </w:pPr>
      <w:r>
        <w:rPr>
          <w:rFonts w:ascii="黑体" w:hAnsi="宋体"/>
          <w:b/>
          <w:bCs/>
          <w:sz w:val="24"/>
          <w:szCs w:val="24"/>
          <w:highlight w:val="none"/>
        </w:rPr>
        <w:t>1</w:t>
      </w:r>
      <w:r>
        <w:rPr>
          <w:rFonts w:hint="eastAsia" w:ascii="黑体" w:hAnsi="宋体"/>
          <w:b/>
          <w:bCs/>
          <w:sz w:val="24"/>
          <w:szCs w:val="24"/>
          <w:highlight w:val="none"/>
        </w:rPr>
        <w:t>基本要求</w:t>
      </w:r>
    </w:p>
    <w:p w14:paraId="30AA5259">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 室内机清洗及检修：</w:t>
      </w:r>
    </w:p>
    <w:p w14:paraId="5D22743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确保滤网无脏污、油污、灰尘附着，保持清洁状态。</w:t>
      </w:r>
    </w:p>
    <w:p w14:paraId="74D7F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color w:val="000000"/>
          <w:sz w:val="24"/>
          <w:szCs w:val="24"/>
          <w:highlight w:val="none"/>
        </w:rPr>
        <w:t>回风滤网、蒸发器、接水盘、风道彻底清洁，无灰尘、油污、堵塞、异味；</w:t>
      </w:r>
    </w:p>
    <w:p w14:paraId="76549D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内机风机、电机、导风部件运转正常，无抖动、无异响；</w:t>
      </w:r>
    </w:p>
    <w:p w14:paraId="4B8244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电气接线紧固、绝缘良好，接水盘排水通畅无渗漏；</w:t>
      </w:r>
    </w:p>
    <w:p w14:paraId="574BB9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color w:val="000000"/>
          <w:sz w:val="24"/>
          <w:szCs w:val="24"/>
          <w:highlight w:val="none"/>
        </w:rPr>
      </w:pPr>
      <w:r>
        <w:rPr>
          <w:color w:val="000000"/>
          <w:sz w:val="24"/>
          <w:szCs w:val="24"/>
          <w:highlight w:val="none"/>
        </w:rPr>
        <w:t>含吊顶拆装、恢复、清洁归位，完工后符合现场安全与美观要求。</w:t>
      </w:r>
    </w:p>
    <w:p w14:paraId="5BDD1C4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 MDS室外机清洗及检修：</w:t>
      </w:r>
    </w:p>
    <w:p w14:paraId="35415EB6">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 确保高、低压传感器显示值与实际值的偏差不超过50KPa。</w:t>
      </w:r>
    </w:p>
    <w:p w14:paraId="3EAE3668">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 温度传感器阻值应在标准值范围内（环境温度25摄氏度时，阻值为10k）。</w:t>
      </w:r>
    </w:p>
    <w:p w14:paraId="6669FDC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1.2.3 冷媒系统压力值应在标准值范围内（平衡压力0.8Mpa-1.7Mpa）。</w:t>
      </w:r>
    </w:p>
    <w:p w14:paraId="49BB9F45">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1.2.4 机组供电电源电压应在标准值范围内（380V±10%）。</w:t>
      </w:r>
    </w:p>
    <w:p w14:paraId="452AA6E0">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1.2.5 压缩机工作电流和电压应在规定范围内，排气温度（70℃-105℃）、排气压力（2.4Mpa-3.2Mpa）应正常。</w:t>
      </w:r>
    </w:p>
    <w:p w14:paraId="1A305D97">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1.2.6 电源线应无破损，接线盒无进水，接线无松动。</w:t>
      </w:r>
    </w:p>
    <w:p w14:paraId="2D53D85B">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1.2.7 风机等动力部件运转电流应在标准范围内，风机电机应正常启停、无异响。</w:t>
      </w:r>
    </w:p>
    <w:p w14:paraId="14DCFE43">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1.2.8 冷凝器翅片应保持无脏污、油污、灰尘附着。</w:t>
      </w:r>
    </w:p>
    <w:p w14:paraId="1109AA5E">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 配件供应：</w:t>
      </w:r>
    </w:p>
    <w:p w14:paraId="0BD25FB1">
      <w:pPr>
        <w:spacing w:line="44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提供的所有配件应</w:t>
      </w:r>
      <w:r>
        <w:rPr>
          <w:rFonts w:hint="eastAsia" w:ascii="宋体" w:hAnsi="宋体" w:cs="宋体"/>
          <w:sz w:val="24"/>
          <w:szCs w:val="24"/>
          <w:highlight w:val="none"/>
          <w:lang w:val="en-US" w:eastAsia="zh-CN"/>
        </w:rPr>
        <w:t>高于</w:t>
      </w:r>
      <w:r>
        <w:rPr>
          <w:rFonts w:hint="eastAsia" w:ascii="宋体" w:hAnsi="宋体" w:eastAsia="宋体" w:cs="宋体"/>
          <w:sz w:val="24"/>
          <w:szCs w:val="24"/>
          <w:highlight w:val="none"/>
          <w:lang w:val="en-US" w:eastAsia="zh-CN"/>
        </w:rPr>
        <w:t>原品牌、型号，如需更换，品牌和型号满足设备需求，确保设备运行的稳定性和可靠性。</w:t>
      </w:r>
    </w:p>
    <w:p w14:paraId="6AB20B0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highlight w:val="none"/>
        </w:rPr>
      </w:pPr>
      <w:r>
        <w:rPr>
          <w:color w:val="000000"/>
          <w:sz w:val="24"/>
          <w:szCs w:val="24"/>
          <w:highlight w:val="none"/>
        </w:rPr>
        <w:t>配件须全新正品，提供合格证明，严禁翻新件、拆机件、非标件。</w:t>
      </w:r>
    </w:p>
    <w:p w14:paraId="563F2EA9">
      <w:pPr>
        <w:spacing w:line="440" w:lineRule="exact"/>
        <w:ind w:firstLine="482" w:firstLineChars="200"/>
        <w:rPr>
          <w:rFonts w:hint="eastAsia" w:ascii="黑体" w:hAnsi="宋体"/>
          <w:b/>
          <w:bCs/>
          <w:sz w:val="24"/>
          <w:szCs w:val="24"/>
          <w:highlight w:val="none"/>
        </w:rPr>
      </w:pPr>
    </w:p>
    <w:p w14:paraId="05B1E1C0">
      <w:pPr>
        <w:spacing w:line="440" w:lineRule="exact"/>
        <w:ind w:firstLine="482" w:firstLineChars="200"/>
        <w:rPr>
          <w:rFonts w:hint="eastAsia" w:ascii="宋体" w:hAnsi="宋体" w:eastAsia="宋体" w:cs="宋体"/>
          <w:sz w:val="24"/>
          <w:szCs w:val="24"/>
          <w:highlight w:val="none"/>
        </w:rPr>
      </w:pPr>
      <w:r>
        <w:rPr>
          <w:rFonts w:hint="eastAsia" w:ascii="宋体" w:hAnsi="宋体" w:cs="宋体"/>
          <w:b/>
          <w:bCs/>
          <w:kern w:val="0"/>
          <w:sz w:val="24"/>
          <w:szCs w:val="24"/>
          <w:highlight w:val="none"/>
        </w:rPr>
        <w:t>2执行标准</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执行国家及行业最新标准，标准不一致时按最严格标准执行，环保、噪声、安全符合国家现行规范</w:t>
      </w:r>
      <w:r>
        <w:rPr>
          <w:rFonts w:hint="eastAsia" w:ascii="宋体" w:hAnsi="宋体" w:eastAsia="宋体" w:cs="宋体"/>
          <w:sz w:val="24"/>
          <w:szCs w:val="24"/>
          <w:highlight w:val="none"/>
        </w:rPr>
        <w:t>。</w:t>
      </w:r>
    </w:p>
    <w:p w14:paraId="62A09635">
      <w:pPr>
        <w:spacing w:line="440" w:lineRule="exact"/>
        <w:ind w:firstLine="482" w:firstLineChars="200"/>
        <w:rPr>
          <w:rFonts w:hint="eastAsia" w:ascii="宋体" w:hAnsi="宋体" w:eastAsia="宋体" w:cs="宋体"/>
          <w:b/>
          <w:bCs/>
          <w:kern w:val="0"/>
          <w:sz w:val="24"/>
          <w:szCs w:val="24"/>
          <w:highlight w:val="none"/>
          <w:lang w:eastAsia="zh-CN"/>
        </w:rPr>
      </w:pPr>
      <w:r>
        <w:rPr>
          <w:rFonts w:ascii="宋体" w:hAnsi="宋体" w:cs="宋体"/>
          <w:b/>
          <w:bCs/>
          <w:kern w:val="0"/>
          <w:sz w:val="24"/>
          <w:szCs w:val="24"/>
          <w:highlight w:val="none"/>
        </w:rPr>
        <w:t>3</w:t>
      </w:r>
      <w:r>
        <w:rPr>
          <w:rFonts w:hint="eastAsia" w:ascii="宋体" w:hAnsi="宋体" w:cs="宋体"/>
          <w:b/>
          <w:bCs/>
          <w:kern w:val="0"/>
          <w:sz w:val="24"/>
          <w:szCs w:val="24"/>
          <w:highlight w:val="none"/>
        </w:rPr>
        <w:t xml:space="preserve"> 技术要求及参数</w:t>
      </w:r>
      <w:r>
        <w:rPr>
          <w:rFonts w:hint="eastAsia" w:ascii="宋体" w:hAnsi="宋体" w:cs="宋体"/>
          <w:b/>
          <w:bCs/>
          <w:kern w:val="0"/>
          <w:sz w:val="24"/>
          <w:szCs w:val="24"/>
          <w:highlight w:val="none"/>
          <w:lang w:eastAsia="zh-CN"/>
        </w:rPr>
        <w:t>：</w:t>
      </w:r>
      <w:r>
        <w:rPr>
          <w:rFonts w:ascii="宋体" w:hAnsi="宋体" w:eastAsia="宋体" w:cs="宋体"/>
          <w:sz w:val="24"/>
          <w:szCs w:val="24"/>
          <w:highlight w:val="none"/>
        </w:rPr>
        <w:t>严格按照多联机空调维保规范及设备原厂标准执行。</w:t>
      </w:r>
    </w:p>
    <w:p w14:paraId="576F8411">
      <w:pPr>
        <w:ind w:firstLine="420" w:firstLineChars="200"/>
        <w:jc w:val="center"/>
        <w:rPr>
          <w:highlight w:val="none"/>
        </w:rPr>
      </w:pPr>
    </w:p>
    <w:p w14:paraId="43579802">
      <w:pPr>
        <w:ind w:firstLine="420" w:firstLineChars="200"/>
        <w:jc w:val="center"/>
        <w:rPr>
          <w:highlight w:val="none"/>
        </w:rPr>
      </w:pPr>
    </w:p>
    <w:p w14:paraId="025C6570">
      <w:pPr>
        <w:ind w:firstLine="420" w:firstLineChars="200"/>
        <w:jc w:val="center"/>
        <w:rPr>
          <w:highlight w:val="none"/>
        </w:rPr>
      </w:pPr>
    </w:p>
    <w:p w14:paraId="6DD35CC5">
      <w:pPr>
        <w:spacing w:line="440" w:lineRule="exact"/>
        <w:ind w:firstLine="482" w:firstLineChars="200"/>
        <w:rPr>
          <w:rFonts w:ascii="宋体" w:hAnsi="宋体" w:cs="宋体"/>
          <w:b/>
          <w:bCs/>
          <w:kern w:val="0"/>
          <w:sz w:val="24"/>
          <w:szCs w:val="24"/>
          <w:highlight w:val="none"/>
        </w:rPr>
      </w:pPr>
    </w:p>
    <w:p w14:paraId="1D468E45">
      <w:pPr>
        <w:spacing w:line="440" w:lineRule="exact"/>
        <w:ind w:firstLine="482" w:firstLineChars="200"/>
        <w:jc w:val="center"/>
        <w:rPr>
          <w:rFonts w:hint="eastAsia" w:ascii="宋体" w:hAnsi="宋体"/>
          <w:color w:val="000000"/>
          <w:sz w:val="24"/>
          <w:szCs w:val="24"/>
          <w:highlight w:val="none"/>
        </w:rPr>
      </w:pPr>
      <w:bookmarkStart w:id="15" w:name="_Toc133783971"/>
      <w:r>
        <w:rPr>
          <w:rFonts w:hint="eastAsia"/>
          <w:b/>
          <w:sz w:val="24"/>
          <w:szCs w:val="24"/>
          <w:highlight w:val="none"/>
        </w:rPr>
        <w:t xml:space="preserve">第四节  </w:t>
      </w:r>
      <w:r>
        <w:rPr>
          <w:rFonts w:hint="eastAsia"/>
          <w:b/>
          <w:sz w:val="24"/>
          <w:szCs w:val="24"/>
          <w:highlight w:val="none"/>
          <w:lang w:val="en-US" w:eastAsia="zh-CN"/>
        </w:rPr>
        <w:t>服务</w:t>
      </w:r>
      <w:r>
        <w:rPr>
          <w:rFonts w:hint="eastAsia"/>
          <w:b/>
          <w:sz w:val="24"/>
          <w:szCs w:val="24"/>
          <w:highlight w:val="none"/>
        </w:rPr>
        <w:t>范围</w:t>
      </w:r>
      <w:bookmarkEnd w:id="15"/>
    </w:p>
    <w:p w14:paraId="4C505B4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主要</w:t>
      </w:r>
      <w:r>
        <w:rPr>
          <w:rFonts w:ascii="宋体" w:hAnsi="宋体" w:eastAsia="宋体" w:cs="宋体"/>
          <w:sz w:val="24"/>
          <w:szCs w:val="24"/>
          <w:highlight w:val="none"/>
        </w:rPr>
        <w:t>服务</w:t>
      </w:r>
      <w:r>
        <w:rPr>
          <w:rFonts w:hint="eastAsia" w:ascii="宋体" w:hAnsi="宋体"/>
          <w:sz w:val="24"/>
          <w:szCs w:val="24"/>
          <w:highlight w:val="none"/>
        </w:rPr>
        <w:t>范围</w:t>
      </w:r>
    </w:p>
    <w:p w14:paraId="6131E61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1.1  </w:t>
      </w:r>
      <w:r>
        <w:rPr>
          <w:rFonts w:ascii="宋体" w:hAnsi="宋体" w:eastAsia="宋体" w:cs="宋体"/>
          <w:sz w:val="24"/>
          <w:szCs w:val="24"/>
          <w:highlight w:val="none"/>
        </w:rPr>
        <w:t>招标方仅提供维保作业所需的现场作业场地</w:t>
      </w:r>
      <w:r>
        <w:rPr>
          <w:rFonts w:hint="eastAsia" w:ascii="宋体" w:hAnsi="宋体"/>
          <w:sz w:val="24"/>
          <w:szCs w:val="24"/>
          <w:highlight w:val="none"/>
        </w:rPr>
        <w:t>。</w:t>
      </w:r>
    </w:p>
    <w:p w14:paraId="4815C79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1.2  招标方只负责提供符合本技术标书中“采购</w:t>
      </w:r>
      <w:r>
        <w:rPr>
          <w:rFonts w:hint="eastAsia" w:ascii="宋体" w:hAnsi="宋体"/>
          <w:sz w:val="24"/>
          <w:szCs w:val="24"/>
          <w:highlight w:val="none"/>
          <w:lang w:val="en-US" w:eastAsia="zh-CN"/>
        </w:rPr>
        <w:t>服务</w:t>
      </w:r>
      <w:r>
        <w:rPr>
          <w:rFonts w:hint="eastAsia" w:ascii="宋体" w:hAnsi="宋体"/>
          <w:sz w:val="24"/>
          <w:szCs w:val="24"/>
          <w:highlight w:val="none"/>
        </w:rPr>
        <w:t>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1.3  投标方应提供包括货物正常运行所必需的全套连线设备、材料等。</w:t>
      </w:r>
    </w:p>
    <w:p w14:paraId="4283675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4</w:t>
      </w:r>
      <w:r>
        <w:rPr>
          <w:rFonts w:hint="eastAsia" w:ascii="宋体" w:hAnsi="宋体"/>
          <w:sz w:val="24"/>
          <w:szCs w:val="24"/>
          <w:highlight w:val="none"/>
        </w:rPr>
        <w:t xml:space="preserve">  投标方应提供包括为保证</w:t>
      </w:r>
      <w:r>
        <w:rPr>
          <w:rFonts w:hint="eastAsia" w:ascii="宋体" w:hAnsi="宋体"/>
          <w:sz w:val="24"/>
          <w:szCs w:val="24"/>
          <w:highlight w:val="none"/>
          <w:lang w:val="en-US" w:eastAsia="zh-CN"/>
        </w:rPr>
        <w:t>配件</w:t>
      </w:r>
      <w:r>
        <w:rPr>
          <w:rFonts w:hint="eastAsia" w:ascii="宋体" w:hAnsi="宋体"/>
          <w:sz w:val="24"/>
          <w:szCs w:val="24"/>
          <w:highlight w:val="none"/>
        </w:rPr>
        <w:t>正常安装、调试和验收完成及以前所必需的整套配件、附件及材料等。如果终验收完成后，投标方有需要收回的配件、附件、材料等，应当在投标文件的技术偏离条款中，予以详细说明；否则视同包括在</w:t>
      </w:r>
      <w:r>
        <w:rPr>
          <w:rFonts w:hint="eastAsia" w:ascii="宋体" w:hAnsi="宋体"/>
          <w:sz w:val="24"/>
          <w:szCs w:val="24"/>
          <w:highlight w:val="none"/>
          <w:lang w:val="en-US" w:eastAsia="zh-CN"/>
        </w:rPr>
        <w:t>服务</w:t>
      </w:r>
      <w:r>
        <w:rPr>
          <w:rFonts w:hint="eastAsia" w:ascii="宋体" w:hAnsi="宋体"/>
          <w:sz w:val="24"/>
          <w:szCs w:val="24"/>
          <w:highlight w:val="none"/>
        </w:rPr>
        <w:t>范围之内。</w:t>
      </w:r>
    </w:p>
    <w:p w14:paraId="4CCC801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投标方应提供</w:t>
      </w:r>
      <w:r>
        <w:rPr>
          <w:rFonts w:hint="eastAsia" w:ascii="宋体" w:hAnsi="宋体"/>
          <w:sz w:val="24"/>
          <w:szCs w:val="24"/>
          <w:highlight w:val="none"/>
          <w:lang w:val="en-US" w:eastAsia="zh-CN"/>
        </w:rPr>
        <w:t>设备</w:t>
      </w:r>
      <w:r>
        <w:rPr>
          <w:rFonts w:hint="eastAsia" w:ascii="宋体" w:hAnsi="宋体"/>
          <w:sz w:val="24"/>
          <w:szCs w:val="24"/>
          <w:highlight w:val="none"/>
        </w:rPr>
        <w:t>维修所必需的专用工具，并在投标报价部分说明数量。</w:t>
      </w:r>
    </w:p>
    <w:p w14:paraId="5D21D30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备品备件、易损件和专用耗材供货范围</w:t>
      </w:r>
    </w:p>
    <w:p w14:paraId="456D74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招标方招标文件所指备品备件、易损件和专用耗材，是招标方为保证</w:t>
      </w:r>
      <w:r>
        <w:rPr>
          <w:rFonts w:hint="eastAsia" w:ascii="宋体" w:hAnsi="宋体"/>
          <w:sz w:val="24"/>
          <w:szCs w:val="24"/>
          <w:highlight w:val="none"/>
          <w:lang w:val="en-US" w:eastAsia="zh-CN"/>
        </w:rPr>
        <w:t>设备</w:t>
      </w:r>
      <w:r>
        <w:rPr>
          <w:rFonts w:hint="eastAsia" w:ascii="宋体" w:hAnsi="宋体"/>
          <w:sz w:val="24"/>
          <w:szCs w:val="24"/>
          <w:highlight w:val="none"/>
        </w:rPr>
        <w:t>质保期之后正常运行一年所自备自用的备品备件、易损件和专用耗材。</w:t>
      </w:r>
    </w:p>
    <w:p w14:paraId="6748AEC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投标方按照招标文件要求提供、或投标方认为招标方应当储备的备品备件、易损件和专用耗材，投标方应当在投标报价部分分别说明所列备品备件、易损件和专用耗材的使用时间。</w:t>
      </w:r>
    </w:p>
    <w:p w14:paraId="79590833">
      <w:pPr>
        <w:spacing w:line="440" w:lineRule="exact"/>
        <w:ind w:left="479" w:leftChars="228" w:firstLine="0" w:firstLineChars="0"/>
        <w:rPr>
          <w:rFonts w:hint="eastAsia" w:ascii="宋体" w:hAnsi="宋体"/>
          <w:sz w:val="24"/>
          <w:szCs w:val="24"/>
          <w:highlight w:val="none"/>
        </w:rPr>
      </w:pPr>
      <w:r>
        <w:rPr>
          <w:rFonts w:hint="eastAsia" w:ascii="宋体" w:hAnsi="宋体"/>
          <w:sz w:val="24"/>
          <w:szCs w:val="24"/>
          <w:highlight w:val="none"/>
        </w:rPr>
        <w:t>2.3  投标方须提供关键易损件、耗材的规格参数、技术要求、适配说明等资料。2.4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技术资料供货范围</w:t>
      </w:r>
    </w:p>
    <w:p w14:paraId="2047A33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投标方须负责在定标后</w:t>
      </w:r>
      <w:r>
        <w:rPr>
          <w:rFonts w:hint="eastAsia" w:ascii="宋体" w:hAnsi="宋体"/>
          <w:sz w:val="24"/>
          <w:szCs w:val="24"/>
          <w:highlight w:val="none"/>
          <w:lang w:val="en-US" w:eastAsia="zh-CN"/>
        </w:rPr>
        <w:t>15</w:t>
      </w:r>
      <w:r>
        <w:rPr>
          <w:rFonts w:hint="eastAsia" w:ascii="宋体" w:hAnsi="宋体"/>
          <w:sz w:val="24"/>
          <w:szCs w:val="24"/>
          <w:highlight w:val="none"/>
        </w:rPr>
        <w:t xml:space="preserve"> 日历日内，提供空调维保所需的全套纸质</w:t>
      </w:r>
      <w:r>
        <w:rPr>
          <w:rFonts w:hint="eastAsia" w:ascii="宋体" w:hAnsi="宋体"/>
          <w:sz w:val="24"/>
          <w:szCs w:val="24"/>
          <w:highlight w:val="none"/>
          <w:lang w:eastAsia="zh-CN"/>
        </w:rPr>
        <w:t>、</w:t>
      </w:r>
      <w:r>
        <w:rPr>
          <w:rFonts w:hint="eastAsia" w:ascii="宋体" w:hAnsi="宋体"/>
          <w:sz w:val="24"/>
          <w:szCs w:val="24"/>
          <w:highlight w:val="none"/>
        </w:rPr>
        <w:t xml:space="preserve"> 电子版资料；电子版为常用可读格式，原厂资料须提供中文说明或对照文本。</w:t>
      </w:r>
    </w:p>
    <w:p w14:paraId="396F2E1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投标方须对现场作业条件、用电安全、环保要求、高空作业、动火作业等提出明确安全要求与注意事项。</w:t>
      </w:r>
    </w:p>
    <w:p w14:paraId="208F0D7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投标方须在预验收前提供空调系统功能说明、检修流程、操作要点等资料。</w:t>
      </w:r>
    </w:p>
    <w:p w14:paraId="5BDF38E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3.4  投标方须在终验收前提供维保所需常用配件、耗材的品牌、型号、规格、供货渠道等信息。</w:t>
      </w:r>
    </w:p>
    <w:p w14:paraId="3A01A3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3.5 投标方须在终验收前提供操作使用手册、日常保养手册、安全操作规程、合格证、检测报告等全套资料。</w:t>
      </w:r>
    </w:p>
    <w:p w14:paraId="73403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6</w:t>
      </w:r>
      <w:r>
        <w:rPr>
          <w:rFonts w:hint="eastAsia" w:ascii="宋体" w:hAnsi="宋体"/>
          <w:sz w:val="24"/>
          <w:szCs w:val="24"/>
          <w:highlight w:val="none"/>
        </w:rPr>
        <w:t xml:space="preserve"> 本条款所列要求，如招标方认为投标方提供的资料不能满足要求时，有权要求投标方免费补充或增加。</w:t>
      </w:r>
    </w:p>
    <w:p w14:paraId="15037064">
      <w:pPr>
        <w:spacing w:line="440" w:lineRule="exact"/>
        <w:ind w:firstLine="482" w:firstLineChars="200"/>
        <w:jc w:val="center"/>
        <w:rPr>
          <w:rFonts w:hint="eastAsia" w:ascii="宋体" w:hAnsi="宋体"/>
          <w:b/>
          <w:bCs/>
          <w:sz w:val="24"/>
          <w:szCs w:val="24"/>
          <w:highlight w:val="none"/>
        </w:rPr>
      </w:pPr>
      <w:bookmarkStart w:id="16" w:name="_Toc133783972"/>
    </w:p>
    <w:p w14:paraId="5A715524">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第五节  </w:t>
      </w:r>
      <w:r>
        <w:rPr>
          <w:rFonts w:hint="eastAsia" w:ascii="宋体" w:hAnsi="宋体"/>
          <w:b/>
          <w:bCs/>
          <w:sz w:val="24"/>
          <w:szCs w:val="24"/>
          <w:highlight w:val="none"/>
          <w:lang w:val="en-US" w:eastAsia="zh-CN"/>
        </w:rPr>
        <w:t>服务</w:t>
      </w:r>
      <w:r>
        <w:rPr>
          <w:rFonts w:hint="eastAsia" w:ascii="宋体" w:hAnsi="宋体"/>
          <w:b/>
          <w:bCs/>
          <w:sz w:val="24"/>
          <w:szCs w:val="24"/>
          <w:highlight w:val="none"/>
        </w:rPr>
        <w:t>方式</w:t>
      </w:r>
      <w:bookmarkEnd w:id="16"/>
    </w:p>
    <w:p w14:paraId="4A38526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hint="eastAsia" w:ascii="宋体" w:hAnsi="宋体"/>
          <w:sz w:val="24"/>
          <w:szCs w:val="24"/>
          <w:highlight w:val="none"/>
          <w:lang w:val="en-US" w:eastAsia="zh-CN"/>
        </w:rPr>
        <w:t>服务</w:t>
      </w:r>
      <w:r>
        <w:rPr>
          <w:rFonts w:hint="eastAsia" w:ascii="宋体" w:hAnsi="宋体"/>
          <w:sz w:val="24"/>
          <w:szCs w:val="24"/>
          <w:highlight w:val="none"/>
        </w:rPr>
        <w:t>地点</w:t>
      </w:r>
    </w:p>
    <w:p w14:paraId="2DC5298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中国重汽集团济南汽车部件有限</w:t>
      </w:r>
      <w:r>
        <w:rPr>
          <w:rFonts w:hint="eastAsia" w:ascii="宋体" w:hAnsi="宋体"/>
          <w:sz w:val="24"/>
          <w:szCs w:val="24"/>
          <w:highlight w:val="none"/>
          <w:lang w:val="en-US" w:eastAsia="zh-CN"/>
        </w:rPr>
        <w:t>公司</w:t>
      </w:r>
      <w:r>
        <w:rPr>
          <w:rFonts w:hint="eastAsia" w:ascii="宋体" w:hAnsi="宋体"/>
          <w:sz w:val="24"/>
          <w:szCs w:val="24"/>
          <w:highlight w:val="none"/>
        </w:rPr>
        <w:t>。</w:t>
      </w:r>
    </w:p>
    <w:p w14:paraId="1910AC0A">
      <w:pPr>
        <w:spacing w:line="440" w:lineRule="exact"/>
        <w:ind w:firstLine="480" w:firstLineChars="200"/>
        <w:rPr>
          <w:rFonts w:hint="eastAsia" w:ascii="宋体" w:hAnsi="宋体"/>
          <w:sz w:val="24"/>
          <w:szCs w:val="24"/>
          <w:highlight w:val="none"/>
          <w:lang w:val="en-US" w:eastAsia="zh-CN"/>
        </w:rPr>
      </w:pPr>
      <w:r>
        <w:rPr>
          <w:rFonts w:hint="eastAsia" w:ascii="宋体" w:hAnsi="宋体"/>
          <w:sz w:val="24"/>
          <w:szCs w:val="24"/>
          <w:highlight w:val="none"/>
        </w:rPr>
        <w:t xml:space="preserve">2  </w:t>
      </w:r>
      <w:r>
        <w:rPr>
          <w:rFonts w:hint="eastAsia" w:ascii="宋体" w:hAnsi="宋体"/>
          <w:sz w:val="24"/>
          <w:szCs w:val="24"/>
          <w:highlight w:val="none"/>
          <w:lang w:val="en-US" w:eastAsia="zh-CN"/>
        </w:rPr>
        <w:t>服务周期</w:t>
      </w:r>
    </w:p>
    <w:p w14:paraId="1F14C8D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投标方在接到招标方维保通知后 24 小时内进场开展服务。</w:t>
      </w:r>
    </w:p>
    <w:p w14:paraId="2B165BF3">
      <w:pPr>
        <w:spacing w:line="440" w:lineRule="exact"/>
        <w:ind w:firstLine="480" w:firstLineChars="200"/>
        <w:rPr>
          <w:rFonts w:hint="eastAsia" w:ascii="宋体" w:hAnsi="宋体"/>
          <w:sz w:val="24"/>
          <w:szCs w:val="24"/>
          <w:highlight w:val="none"/>
          <w:lang w:eastAsia="zh-CN"/>
        </w:rPr>
      </w:pPr>
      <w:r>
        <w:rPr>
          <w:rFonts w:hint="eastAsia" w:ascii="宋体" w:hAnsi="宋体"/>
          <w:sz w:val="24"/>
          <w:szCs w:val="24"/>
          <w:highlight w:val="none"/>
        </w:rPr>
        <w:t>2.2  单次维保作业须在连续</w:t>
      </w:r>
      <w:r>
        <w:rPr>
          <w:rFonts w:hint="eastAsia" w:ascii="宋体" w:hAnsi="宋体"/>
          <w:sz w:val="24"/>
          <w:szCs w:val="24"/>
          <w:highlight w:val="none"/>
          <w:lang w:val="en-US" w:eastAsia="zh-CN"/>
        </w:rPr>
        <w:t>15</w:t>
      </w:r>
      <w:r>
        <w:rPr>
          <w:rFonts w:hint="eastAsia" w:ascii="宋体" w:hAnsi="宋体"/>
          <w:sz w:val="24"/>
          <w:szCs w:val="24"/>
          <w:highlight w:val="none"/>
        </w:rPr>
        <w:t>日历日内完成全部清洗、检修、调试工作。</w:t>
      </w:r>
    </w:p>
    <w:p w14:paraId="7B1957A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 xml:space="preserve">2.3  </w:t>
      </w:r>
      <w:r>
        <w:rPr>
          <w:rFonts w:hint="eastAsia" w:ascii="宋体" w:hAnsi="宋体"/>
          <w:sz w:val="24"/>
          <w:szCs w:val="24"/>
          <w:highlight w:val="none"/>
        </w:rPr>
        <w:t xml:space="preserve">维保完成后连续 </w:t>
      </w:r>
      <w:r>
        <w:rPr>
          <w:rFonts w:hint="eastAsia" w:ascii="宋体" w:hAnsi="宋体"/>
          <w:sz w:val="24"/>
          <w:szCs w:val="24"/>
          <w:highlight w:val="none"/>
          <w:lang w:val="en-US" w:eastAsia="zh-CN"/>
        </w:rPr>
        <w:t>5</w:t>
      </w:r>
      <w:r>
        <w:rPr>
          <w:rFonts w:hint="eastAsia" w:ascii="宋体" w:hAnsi="宋体"/>
          <w:sz w:val="24"/>
          <w:szCs w:val="24"/>
          <w:highlight w:val="none"/>
        </w:rPr>
        <w:t>日历日试运行检测合格。</w:t>
      </w:r>
    </w:p>
    <w:p w14:paraId="4E5CD4B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4</w:t>
      </w:r>
      <w:r>
        <w:rPr>
          <w:rFonts w:hint="eastAsia" w:ascii="宋体" w:hAnsi="宋体"/>
          <w:sz w:val="24"/>
          <w:szCs w:val="24"/>
          <w:highlight w:val="none"/>
        </w:rPr>
        <w:t xml:space="preserve">  连续 </w:t>
      </w:r>
      <w:r>
        <w:rPr>
          <w:rFonts w:hint="eastAsia" w:ascii="宋体" w:hAnsi="宋体"/>
          <w:sz w:val="24"/>
          <w:szCs w:val="24"/>
          <w:highlight w:val="none"/>
          <w:lang w:val="en-US" w:eastAsia="zh-CN"/>
        </w:rPr>
        <w:t>30</w:t>
      </w:r>
      <w:r>
        <w:rPr>
          <w:rFonts w:hint="eastAsia" w:ascii="宋体" w:hAnsi="宋体"/>
          <w:sz w:val="24"/>
          <w:szCs w:val="24"/>
          <w:highlight w:val="none"/>
        </w:rPr>
        <w:t xml:space="preserve"> 日历日之内完成（或协助完成）终验收。</w:t>
      </w:r>
    </w:p>
    <w:p w14:paraId="5224E6E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5</w:t>
      </w:r>
      <w:r>
        <w:rPr>
          <w:rFonts w:hint="eastAsia" w:ascii="宋体" w:hAnsi="宋体"/>
          <w:sz w:val="24"/>
          <w:szCs w:val="24"/>
          <w:highlight w:val="none"/>
        </w:rPr>
        <w:t xml:space="preserve">  投标方须提供详细服务工期计划、作业流程、安全方案。</w:t>
      </w:r>
    </w:p>
    <w:p w14:paraId="53CE34B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质保期</w:t>
      </w:r>
    </w:p>
    <w:p w14:paraId="357C20E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本项目空调维保服务整体质保期为 12 个月，自竣工验收合格签字之日起计算。</w:t>
      </w:r>
    </w:p>
    <w:p w14:paraId="7B571F2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质保期内，凡因维保质量、配件质量、安装调试原因出现故障，投标方须免费维修、免费更换配件，相应更换 / 维修部分的质保期重新起算。</w:t>
      </w:r>
    </w:p>
    <w:p w14:paraId="46E7E2E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包装</w:t>
      </w:r>
    </w:p>
    <w:p w14:paraId="1ACC834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4.8  包装箱应连续编号，不应出现重复编号。</w:t>
      </w:r>
    </w:p>
    <w:p w14:paraId="0AAFA24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运输</w:t>
      </w:r>
    </w:p>
    <w:p w14:paraId="260FEE8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同批货物应统一包装、编号运输。</w:t>
      </w:r>
    </w:p>
    <w:p w14:paraId="3CF52A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第六节  售中售后服务</w:t>
      </w:r>
      <w:bookmarkEnd w:id="17"/>
    </w:p>
    <w:p w14:paraId="563CA36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  </w:t>
      </w:r>
      <w:r>
        <w:rPr>
          <w:rFonts w:ascii="宋体" w:hAnsi="宋体" w:eastAsia="宋体" w:cs="宋体"/>
          <w:sz w:val="24"/>
          <w:szCs w:val="24"/>
          <w:highlight w:val="none"/>
        </w:rPr>
        <w:t>培训服务</w:t>
      </w:r>
    </w:p>
    <w:p w14:paraId="5BE560D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ascii="宋体" w:hAnsi="宋体" w:eastAsia="宋体" w:cs="宋体"/>
          <w:sz w:val="24"/>
          <w:szCs w:val="24"/>
          <w:highlight w:val="none"/>
        </w:rPr>
        <w:t>投标方在现场提供不少于 1 次免费培训，内容包括：日常使用、简单自查、滤网清洗、故障判断、紧急停机、安全注意事项等。</w:t>
      </w:r>
    </w:p>
    <w:p w14:paraId="61FE088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2</w:t>
      </w:r>
      <w:r>
        <w:rPr>
          <w:rFonts w:hint="eastAsia" w:ascii="宋体" w:hAnsi="宋体"/>
          <w:sz w:val="24"/>
          <w:szCs w:val="24"/>
          <w:highlight w:val="none"/>
        </w:rPr>
        <w:t xml:space="preserve"> </w:t>
      </w:r>
      <w:r>
        <w:rPr>
          <w:rFonts w:ascii="宋体" w:hAnsi="宋体" w:eastAsia="宋体" w:cs="宋体"/>
          <w:sz w:val="24"/>
          <w:szCs w:val="24"/>
          <w:highlight w:val="none"/>
        </w:rPr>
        <w:t>免费提供培训资料与操作指引。</w:t>
      </w:r>
    </w:p>
    <w:p w14:paraId="4758100C">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val="en-US" w:eastAsia="zh-CN"/>
        </w:rPr>
        <w:t>3</w:t>
      </w:r>
      <w:r>
        <w:rPr>
          <w:rFonts w:hint="eastAsia" w:ascii="宋体" w:hAnsi="宋体"/>
          <w:sz w:val="24"/>
          <w:szCs w:val="24"/>
          <w:highlight w:val="none"/>
        </w:rPr>
        <w:t xml:space="preserve">  </w:t>
      </w:r>
      <w:r>
        <w:rPr>
          <w:rFonts w:ascii="宋体" w:hAnsi="宋体" w:eastAsia="宋体" w:cs="宋体"/>
          <w:sz w:val="24"/>
          <w:szCs w:val="24"/>
          <w:highlight w:val="none"/>
        </w:rPr>
        <w:t>免费提供技术咨询、系统对接、集中控制配合等支持。</w:t>
      </w:r>
    </w:p>
    <w:p w14:paraId="3E03EF3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安装调试服务</w:t>
      </w:r>
    </w:p>
    <w:p w14:paraId="4708015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招标方配合提供电源、现场条件，投标方全权负责维保质量与安全。</w:t>
      </w:r>
    </w:p>
    <w:p w14:paraId="60CF9CC9">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rPr>
        <w:t xml:space="preserve">2.2  </w:t>
      </w:r>
      <w:r>
        <w:rPr>
          <w:rFonts w:ascii="宋体" w:hAnsi="宋体" w:eastAsia="宋体" w:cs="宋体"/>
          <w:sz w:val="24"/>
          <w:szCs w:val="24"/>
          <w:highlight w:val="none"/>
        </w:rPr>
        <w:t>涉及原厂配件、核心部件技术支持的，投标方须协调厂家免费现场支持。</w:t>
      </w:r>
    </w:p>
    <w:p w14:paraId="3E60D37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验收服务</w:t>
      </w:r>
    </w:p>
    <w:p w14:paraId="3457793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  售后服务</w:t>
      </w:r>
    </w:p>
    <w:p w14:paraId="69BFF242">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4.2  如发现所提供的</w:t>
      </w:r>
      <w:r>
        <w:rPr>
          <w:rFonts w:hint="eastAsia" w:ascii="宋体" w:hAnsi="宋体"/>
          <w:sz w:val="24"/>
          <w:szCs w:val="24"/>
          <w:highlight w:val="none"/>
          <w:lang w:val="en-US" w:eastAsia="zh-CN"/>
        </w:rPr>
        <w:t>服务</w:t>
      </w:r>
      <w:r>
        <w:rPr>
          <w:rFonts w:hint="eastAsia" w:ascii="宋体" w:hAnsi="宋体"/>
          <w:sz w:val="24"/>
          <w:szCs w:val="24"/>
          <w:highlight w:val="none"/>
        </w:rPr>
        <w:t xml:space="preserve">存在问题，需要投标方解决或配合解决时：在质保期之内，应在接到通知后 </w:t>
      </w:r>
      <w:r>
        <w:rPr>
          <w:rFonts w:hint="eastAsia" w:ascii="宋体" w:hAnsi="宋体"/>
          <w:sz w:val="24"/>
          <w:szCs w:val="24"/>
          <w:highlight w:val="none"/>
          <w:lang w:val="en-US" w:eastAsia="zh-CN"/>
        </w:rPr>
        <w:t>1</w:t>
      </w:r>
      <w:r>
        <w:rPr>
          <w:rFonts w:hint="eastAsia" w:ascii="宋体" w:hAnsi="宋体"/>
          <w:sz w:val="24"/>
          <w:szCs w:val="24"/>
          <w:highlight w:val="none"/>
        </w:rPr>
        <w:t xml:space="preserve"> </w:t>
      </w:r>
      <w:r>
        <w:rPr>
          <w:rFonts w:hint="eastAsia" w:ascii="宋体" w:hAnsi="宋体"/>
          <w:sz w:val="24"/>
          <w:szCs w:val="24"/>
          <w:highlight w:val="none"/>
          <w:lang w:val="en-US" w:eastAsia="zh-CN"/>
        </w:rPr>
        <w:t>个工作日</w:t>
      </w:r>
      <w:r>
        <w:rPr>
          <w:rFonts w:hint="eastAsia" w:ascii="宋体" w:hAnsi="宋体"/>
          <w:sz w:val="24"/>
          <w:szCs w:val="24"/>
          <w:highlight w:val="none"/>
        </w:rPr>
        <w:t xml:space="preserve">内派有关人员到达现场；在质保期之外，应在接到通知后 </w:t>
      </w:r>
      <w:r>
        <w:rPr>
          <w:rFonts w:hint="eastAsia" w:ascii="宋体" w:hAnsi="宋体"/>
          <w:sz w:val="24"/>
          <w:szCs w:val="24"/>
          <w:highlight w:val="none"/>
          <w:lang w:val="en-US" w:eastAsia="zh-CN"/>
        </w:rPr>
        <w:t>1个工作日</w:t>
      </w:r>
      <w:r>
        <w:rPr>
          <w:rFonts w:hint="eastAsia" w:ascii="宋体" w:hAnsi="宋体"/>
          <w:sz w:val="24"/>
          <w:szCs w:val="24"/>
          <w:highlight w:val="none"/>
        </w:rPr>
        <w:t>内派有关人员到达现场。</w:t>
      </w:r>
    </w:p>
    <w:p w14:paraId="1BB0B34D">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其它服务</w:t>
      </w:r>
    </w:p>
    <w:p w14:paraId="016332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 xml:space="preserve">第七节  </w:t>
      </w:r>
      <w:r>
        <w:rPr>
          <w:rFonts w:hint="eastAsia" w:ascii="宋体" w:hAnsi="宋体"/>
          <w:b/>
          <w:bCs/>
          <w:sz w:val="24"/>
          <w:szCs w:val="24"/>
          <w:highlight w:val="none"/>
          <w:lang w:val="en-US" w:eastAsia="zh-CN"/>
        </w:rPr>
        <w:t>设备</w:t>
      </w:r>
      <w:r>
        <w:rPr>
          <w:rFonts w:hint="eastAsia" w:ascii="宋体" w:hAnsi="宋体"/>
          <w:b/>
          <w:bCs/>
          <w:sz w:val="24"/>
          <w:szCs w:val="24"/>
          <w:highlight w:val="none"/>
        </w:rPr>
        <w:t>验收</w:t>
      </w:r>
      <w:bookmarkEnd w:id="18"/>
    </w:p>
    <w:p w14:paraId="747984D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验收的一般约定</w:t>
      </w:r>
    </w:p>
    <w:p w14:paraId="3BAFA9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以招标文件、技术要求、合同、验收标准为依据；条款存在差异时，以对招标方最有利的条款执行</w:t>
      </w:r>
    </w:p>
    <w:p w14:paraId="66023F93">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  检验</w:t>
      </w:r>
    </w:p>
    <w:p w14:paraId="4F2C583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2.1  </w:t>
      </w:r>
      <w:r>
        <w:rPr>
          <w:rFonts w:ascii="宋体" w:hAnsi="宋体" w:eastAsia="宋体" w:cs="宋体"/>
          <w:sz w:val="24"/>
          <w:szCs w:val="24"/>
          <w:highlight w:val="none"/>
        </w:rPr>
        <w:t>维保完工后，由买卖双方共同现场检验。</w:t>
      </w:r>
    </w:p>
    <w:p w14:paraId="2793EDA0">
      <w:pPr>
        <w:spacing w:line="440" w:lineRule="exact"/>
        <w:ind w:left="479" w:leftChars="228"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2.2 </w:t>
      </w:r>
      <w:r>
        <w:rPr>
          <w:rFonts w:ascii="宋体" w:hAnsi="宋体" w:eastAsia="宋体" w:cs="宋体"/>
          <w:sz w:val="24"/>
          <w:szCs w:val="24"/>
          <w:highlight w:val="none"/>
        </w:rPr>
        <w:t>投标方须提供验收标准、检测数据、完工清单、配件更换记录作为验收依据。</w:t>
      </w:r>
      <w:r>
        <w:rPr>
          <w:rFonts w:hint="eastAsia" w:ascii="宋体" w:hAnsi="宋体" w:eastAsia="宋体" w:cs="宋体"/>
          <w:sz w:val="24"/>
          <w:szCs w:val="24"/>
          <w:highlight w:val="none"/>
        </w:rPr>
        <w:t>2.2.</w:t>
      </w: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如发现维保质量、配件规格、运行参数不满足要求，招标方有权要求返工、返修、更换，费用由投标方承担。</w:t>
      </w:r>
    </w:p>
    <w:p w14:paraId="5F6AD5E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3 验收条件</w:t>
      </w:r>
    </w:p>
    <w:p w14:paraId="44D25D1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3.1 所有维保项目完成，资料齐全有效。 </w:t>
      </w:r>
    </w:p>
    <w:p w14:paraId="53FBE4CB">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3.2 室内机、室外机外观清洁，无损伤，接线牢固可靠。 </w:t>
      </w:r>
    </w:p>
    <w:p w14:paraId="5F27A4AC">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3.3 电气系统、冷媒系统、控制系统检测合格，运行参数达标。 </w:t>
      </w:r>
    </w:p>
    <w:p w14:paraId="14740418">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3.4 仪器仪表、传感器、控制部件校验合格，数据准确。 </w:t>
      </w:r>
    </w:p>
    <w:p w14:paraId="0ABD0064">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3.5 安全标识、操作说明完整清晰，符合国家规范。 </w:t>
      </w:r>
    </w:p>
    <w:p w14:paraId="2427278A">
      <w:pPr>
        <w:spacing w:line="440" w:lineRule="exact"/>
        <w:ind w:firstLine="480" w:firstLineChars="200"/>
        <w:rPr>
          <w:rFonts w:ascii="宋体" w:hAnsi="宋体" w:eastAsia="宋体" w:cs="宋体"/>
          <w:sz w:val="24"/>
          <w:szCs w:val="24"/>
          <w:highlight w:val="none"/>
        </w:rPr>
      </w:pPr>
      <w:r>
        <w:rPr>
          <w:rFonts w:ascii="宋体" w:hAnsi="宋体" w:eastAsia="宋体" w:cs="宋体"/>
          <w:sz w:val="24"/>
          <w:szCs w:val="24"/>
          <w:highlight w:val="none"/>
        </w:rPr>
        <w:t xml:space="preserve">3.6 系统试运行正常，噪声、能耗、制冷 / 制热效果满足使用要求。 </w:t>
      </w:r>
    </w:p>
    <w:p w14:paraId="2A823CB2">
      <w:pPr>
        <w:spacing w:line="440" w:lineRule="exact"/>
        <w:ind w:firstLine="480" w:firstLineChars="200"/>
        <w:rPr>
          <w:rFonts w:hint="eastAsia" w:ascii="宋体" w:hAnsi="宋体"/>
          <w:sz w:val="24"/>
          <w:szCs w:val="24"/>
          <w:highlight w:val="none"/>
        </w:rPr>
      </w:pPr>
      <w:r>
        <w:rPr>
          <w:rFonts w:ascii="宋体" w:hAnsi="宋体" w:eastAsia="宋体" w:cs="宋体"/>
          <w:sz w:val="24"/>
          <w:szCs w:val="24"/>
          <w:highlight w:val="none"/>
        </w:rPr>
        <w:t>3.7 现场清理完毕，无遗留工具、垃圾、耗材。</w:t>
      </w:r>
    </w:p>
    <w:p w14:paraId="4CFBDFB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  终验收基本要求</w:t>
      </w:r>
    </w:p>
    <w:p w14:paraId="55278556">
      <w:pPr>
        <w:spacing w:line="440" w:lineRule="exact"/>
        <w:ind w:firstLine="480" w:firstLineChars="200"/>
        <w:rPr>
          <w:rFonts w:hint="eastAsia"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.1</w:t>
      </w:r>
      <w:r>
        <w:rPr>
          <w:rFonts w:ascii="宋体" w:hAnsi="宋体" w:eastAsia="宋体" w:cs="宋体"/>
          <w:sz w:val="24"/>
          <w:szCs w:val="24"/>
          <w:highlight w:val="none"/>
        </w:rPr>
        <w:t>维保完成后系统连续试运行不少于</w:t>
      </w:r>
      <w:r>
        <w:rPr>
          <w:rFonts w:hint="eastAsia" w:ascii="宋体" w:hAnsi="宋体" w:cs="宋体"/>
          <w:sz w:val="24"/>
          <w:szCs w:val="24"/>
          <w:highlight w:val="none"/>
          <w:lang w:val="en-US" w:eastAsia="zh-CN"/>
        </w:rPr>
        <w:t>30</w:t>
      </w:r>
      <w:r>
        <w:rPr>
          <w:rFonts w:ascii="宋体" w:hAnsi="宋体" w:eastAsia="宋体" w:cs="宋体"/>
          <w:sz w:val="24"/>
          <w:szCs w:val="24"/>
          <w:highlight w:val="none"/>
        </w:rPr>
        <w:t>个工作日，运行稳定、无故障、无异常异响、无泄漏，各项参数达标，方可终验收。</w:t>
      </w:r>
    </w:p>
    <w:p w14:paraId="7AFD4380">
      <w:pPr>
        <w:spacing w:line="44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w:t>
      </w:r>
      <w:r>
        <w:rPr>
          <w:rFonts w:ascii="宋体" w:hAnsi="宋体" w:eastAsia="宋体" w:cs="宋体"/>
          <w:sz w:val="24"/>
          <w:szCs w:val="24"/>
          <w:highlight w:val="none"/>
        </w:rPr>
        <w:t>2</w:t>
      </w:r>
      <w:r>
        <w:rPr>
          <w:rFonts w:hint="eastAsia" w:ascii="宋体" w:hAnsi="宋体" w:eastAsia="宋体" w:cs="宋体"/>
          <w:sz w:val="24"/>
          <w:szCs w:val="24"/>
          <w:highlight w:val="none"/>
        </w:rPr>
        <w:t xml:space="preserve"> 验收标准：</w:t>
      </w:r>
    </w:p>
    <w:p w14:paraId="15B0AA99">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w:t>
      </w: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 xml:space="preserve"> </w:t>
      </w:r>
      <w:r>
        <w:rPr>
          <w:rFonts w:ascii="宋体" w:hAnsi="宋体" w:eastAsia="宋体" w:cs="宋体"/>
          <w:sz w:val="24"/>
          <w:szCs w:val="24"/>
          <w:highlight w:val="none"/>
        </w:rPr>
        <w:t>试运行期间无维修、无更换配件。</w:t>
      </w:r>
    </w:p>
    <w:p w14:paraId="13E1F74C">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w:t>
      </w:r>
      <w:r>
        <w:rPr>
          <w:rFonts w:ascii="宋体" w:hAnsi="宋体"/>
          <w:sz w:val="24"/>
          <w:szCs w:val="24"/>
          <w:highlight w:val="none"/>
        </w:rPr>
        <w:t>2.2</w:t>
      </w:r>
      <w:r>
        <w:rPr>
          <w:rFonts w:hint="eastAsia" w:ascii="宋体" w:hAnsi="宋体"/>
          <w:sz w:val="24"/>
          <w:szCs w:val="24"/>
          <w:highlight w:val="none"/>
        </w:rPr>
        <w:t xml:space="preserve"> </w:t>
      </w:r>
      <w:r>
        <w:rPr>
          <w:rFonts w:ascii="宋体" w:hAnsi="宋体" w:eastAsia="宋体" w:cs="宋体"/>
          <w:sz w:val="24"/>
          <w:szCs w:val="24"/>
          <w:highlight w:val="none"/>
        </w:rPr>
        <w:t>空调启停、控温、调速、模式切换正常准确。</w:t>
      </w:r>
    </w:p>
    <w:p w14:paraId="56FCA9F3">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.2.3 </w:t>
      </w:r>
      <w:r>
        <w:rPr>
          <w:rFonts w:ascii="宋体" w:hAnsi="宋体" w:eastAsia="宋体" w:cs="宋体"/>
          <w:sz w:val="24"/>
          <w:szCs w:val="24"/>
          <w:highlight w:val="none"/>
        </w:rPr>
        <w:t>电压、电流、压力、温度、传感器阻值全部达标。</w:t>
      </w:r>
    </w:p>
    <w:p w14:paraId="27221A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.2.4 </w:t>
      </w:r>
      <w:r>
        <w:rPr>
          <w:rFonts w:ascii="宋体" w:hAnsi="宋体" w:eastAsia="宋体" w:cs="宋体"/>
          <w:sz w:val="24"/>
          <w:szCs w:val="24"/>
          <w:highlight w:val="none"/>
        </w:rPr>
        <w:t>系统无冷媒泄漏，无电气安全隐患。</w:t>
      </w:r>
    </w:p>
    <w:p w14:paraId="7268BF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 xml:space="preserve">.2.5 </w:t>
      </w:r>
      <w:r>
        <w:rPr>
          <w:rFonts w:ascii="宋体" w:hAnsi="宋体" w:eastAsia="宋体" w:cs="宋体"/>
          <w:sz w:val="24"/>
          <w:szCs w:val="24"/>
          <w:highlight w:val="none"/>
        </w:rPr>
        <w:t>投标方提交完整验收资料、竣工报告、配件清单、质保承诺</w:t>
      </w:r>
      <w:r>
        <w:rPr>
          <w:rFonts w:hint="eastAsia" w:ascii="宋体" w:hAnsi="宋体" w:cs="宋体"/>
          <w:sz w:val="24"/>
          <w:szCs w:val="24"/>
          <w:highlight w:val="none"/>
          <w:lang w:val="en-US" w:eastAsia="zh-CN"/>
        </w:rPr>
        <w:t>等</w:t>
      </w:r>
      <w:r>
        <w:rPr>
          <w:rFonts w:ascii="宋体" w:hAnsi="宋体" w:eastAsia="宋体" w:cs="宋体"/>
          <w:sz w:val="24"/>
          <w:szCs w:val="24"/>
          <w:highlight w:val="none"/>
        </w:rPr>
        <w:t>。</w:t>
      </w:r>
    </w:p>
    <w:p w14:paraId="64A0E7E1">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.2.</w:t>
      </w:r>
      <w:r>
        <w:rPr>
          <w:rFonts w:hint="eastAsia" w:ascii="宋体" w:hAnsi="宋体"/>
          <w:sz w:val="24"/>
          <w:szCs w:val="24"/>
          <w:highlight w:val="none"/>
          <w:lang w:val="en-US" w:eastAsia="zh-CN"/>
        </w:rPr>
        <w:t>6</w:t>
      </w:r>
      <w:r>
        <w:rPr>
          <w:rFonts w:hint="eastAsia" w:ascii="宋体" w:hAnsi="宋体"/>
          <w:sz w:val="24"/>
          <w:szCs w:val="24"/>
          <w:highlight w:val="none"/>
        </w:rPr>
        <w:t xml:space="preserve"> </w:t>
      </w:r>
      <w:bookmarkStart w:id="19" w:name="_Toc133783975"/>
      <w:r>
        <w:rPr>
          <w:rFonts w:ascii="宋体" w:hAnsi="宋体" w:eastAsia="宋体" w:cs="宋体"/>
          <w:sz w:val="24"/>
          <w:szCs w:val="24"/>
          <w:highlight w:val="none"/>
        </w:rPr>
        <w:t>终验收以双方签字的《空调维保服务竣工验收单》为最终依据</w:t>
      </w:r>
      <w:r>
        <w:rPr>
          <w:rFonts w:hint="eastAsia" w:ascii="宋体" w:hAnsi="宋体"/>
          <w:sz w:val="24"/>
          <w:szCs w:val="24"/>
          <w:highlight w:val="none"/>
        </w:rPr>
        <w:t xml:space="preserve">。 </w:t>
      </w:r>
    </w:p>
    <w:p w14:paraId="06D5B0BF">
      <w:pPr>
        <w:spacing w:line="440" w:lineRule="exact"/>
        <w:ind w:firstLine="482" w:firstLineChars="200"/>
        <w:jc w:val="center"/>
        <w:rPr>
          <w:rFonts w:hint="eastAsia" w:ascii="宋体" w:hAnsi="宋体"/>
          <w:b/>
          <w:bCs/>
          <w:sz w:val="24"/>
          <w:szCs w:val="24"/>
          <w:highlight w:val="none"/>
        </w:rPr>
      </w:pPr>
      <w:r>
        <w:rPr>
          <w:rFonts w:hint="eastAsia" w:ascii="宋体" w:hAnsi="宋体"/>
          <w:b/>
          <w:bCs/>
          <w:sz w:val="24"/>
          <w:szCs w:val="24"/>
          <w:highlight w:val="none"/>
        </w:rPr>
        <w:t>第八节  投标技术文件一般要求</w:t>
      </w:r>
      <w:bookmarkEnd w:id="19"/>
    </w:p>
    <w:p w14:paraId="1998BA9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投标技术文件至少应对投标</w:t>
      </w:r>
      <w:r>
        <w:rPr>
          <w:rFonts w:ascii="宋体" w:hAnsi="宋体" w:eastAsia="宋体" w:cs="宋体"/>
          <w:sz w:val="24"/>
          <w:szCs w:val="24"/>
          <w:highlight w:val="none"/>
        </w:rPr>
        <w:t>维保服务</w:t>
      </w:r>
      <w:r>
        <w:rPr>
          <w:rFonts w:hint="eastAsia" w:ascii="宋体" w:hAnsi="宋体"/>
          <w:sz w:val="24"/>
          <w:szCs w:val="24"/>
          <w:highlight w:val="none"/>
        </w:rPr>
        <w:t>的“技术偏离”、“商务偏离”做出有无说明；若有，应予以详细填写和说明。</w:t>
      </w:r>
    </w:p>
    <w:p w14:paraId="186D9D28">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3  投标技术文件至少应对投标</w:t>
      </w:r>
      <w:r>
        <w:rPr>
          <w:rFonts w:ascii="宋体" w:hAnsi="宋体" w:eastAsia="宋体" w:cs="宋体"/>
          <w:sz w:val="24"/>
          <w:szCs w:val="24"/>
          <w:highlight w:val="none"/>
        </w:rPr>
        <w:t>维保服务内容、服务标准、技术性能、质量要求、维保参数等做出详细说明。</w:t>
      </w:r>
    </w:p>
    <w:p w14:paraId="15AEC00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4  </w:t>
      </w:r>
      <w:r>
        <w:rPr>
          <w:rFonts w:ascii="宋体" w:hAnsi="宋体" w:eastAsia="宋体" w:cs="宋体"/>
          <w:sz w:val="24"/>
          <w:szCs w:val="24"/>
          <w:highlight w:val="none"/>
        </w:rPr>
        <w:t>投标技术文件至少应根据投</w:t>
      </w:r>
      <w:r>
        <w:rPr>
          <w:rFonts w:hint="eastAsia" w:ascii="宋体" w:hAnsi="宋体"/>
          <w:sz w:val="24"/>
          <w:szCs w:val="24"/>
          <w:highlight w:val="none"/>
        </w:rPr>
        <w:t>标维保方案、服务团队、工具设备、配件保障、应急响应等做出优越性说明。</w:t>
      </w:r>
    </w:p>
    <w:p w14:paraId="4799D9F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5  投标技术文件至少应根据投标货物的配置，按照备品备件、易损件和专用耗材明细表要求以及投标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主要配置一览表要求（见下表），认真全面填写。</w:t>
      </w:r>
    </w:p>
    <w:p w14:paraId="0BFE290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                投标</w:t>
      </w:r>
      <w:r>
        <w:rPr>
          <w:rFonts w:hint="eastAsia" w:ascii="宋体" w:hAnsi="宋体"/>
          <w:sz w:val="24"/>
          <w:szCs w:val="24"/>
          <w:highlight w:val="none"/>
          <w:lang w:val="en-US" w:eastAsia="zh-CN"/>
        </w:rPr>
        <w:t>服务</w:t>
      </w:r>
      <w:r>
        <w:rPr>
          <w:rFonts w:hint="eastAsia" w:ascii="宋体" w:hAnsi="宋体"/>
          <w:sz w:val="24"/>
          <w:szCs w:val="24"/>
          <w:highlight w:val="none"/>
        </w:rPr>
        <w:t>主要配置一览表                单位：元</w:t>
      </w:r>
    </w:p>
    <w:tbl>
      <w:tblPr>
        <w:tblStyle w:val="3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41"/>
        <w:gridCol w:w="1241"/>
        <w:gridCol w:w="852"/>
        <w:gridCol w:w="852"/>
        <w:gridCol w:w="796"/>
        <w:gridCol w:w="1018"/>
        <w:gridCol w:w="1315"/>
      </w:tblGrid>
      <w:tr w14:paraId="2C9E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30E0050">
            <w:pPr>
              <w:spacing w:line="440" w:lineRule="exact"/>
              <w:rPr>
                <w:rFonts w:hint="eastAsia" w:ascii="宋体" w:hAnsi="宋体"/>
                <w:sz w:val="24"/>
                <w:szCs w:val="24"/>
                <w:highlight w:val="none"/>
              </w:rPr>
            </w:pPr>
            <w:r>
              <w:rPr>
                <w:rFonts w:hint="eastAsia" w:ascii="宋体" w:hAnsi="宋体"/>
                <w:sz w:val="24"/>
                <w:szCs w:val="24"/>
                <w:highlight w:val="none"/>
              </w:rPr>
              <w:t>名称</w:t>
            </w:r>
          </w:p>
        </w:tc>
        <w:tc>
          <w:tcPr>
            <w:tcW w:w="1241" w:type="dxa"/>
            <w:noWrap w:val="0"/>
            <w:vAlign w:val="top"/>
          </w:tcPr>
          <w:p w14:paraId="4FEAB15F">
            <w:pPr>
              <w:spacing w:line="440" w:lineRule="exact"/>
              <w:rPr>
                <w:rFonts w:hint="eastAsia" w:ascii="宋体" w:hAnsi="宋体"/>
                <w:sz w:val="24"/>
                <w:szCs w:val="24"/>
                <w:highlight w:val="none"/>
              </w:rPr>
            </w:pPr>
            <w:r>
              <w:rPr>
                <w:rFonts w:hint="eastAsia" w:ascii="宋体" w:hAnsi="宋体"/>
                <w:sz w:val="24"/>
                <w:szCs w:val="24"/>
                <w:highlight w:val="none"/>
              </w:rPr>
              <w:t>型号规格</w:t>
            </w:r>
          </w:p>
        </w:tc>
        <w:tc>
          <w:tcPr>
            <w:tcW w:w="1241" w:type="dxa"/>
            <w:noWrap w:val="0"/>
            <w:vAlign w:val="top"/>
          </w:tcPr>
          <w:p w14:paraId="0FC8B52B">
            <w:pPr>
              <w:spacing w:line="440" w:lineRule="exact"/>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具体参数</w:t>
            </w:r>
          </w:p>
        </w:tc>
        <w:tc>
          <w:tcPr>
            <w:tcW w:w="852" w:type="dxa"/>
            <w:shd w:val="clear" w:color="auto" w:fill="auto"/>
            <w:noWrap w:val="0"/>
            <w:vAlign w:val="top"/>
          </w:tcPr>
          <w:p w14:paraId="174C7667">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单位</w:t>
            </w:r>
          </w:p>
        </w:tc>
        <w:tc>
          <w:tcPr>
            <w:tcW w:w="852" w:type="dxa"/>
            <w:shd w:val="clear" w:color="auto" w:fill="auto"/>
            <w:noWrap w:val="0"/>
            <w:vAlign w:val="top"/>
          </w:tcPr>
          <w:p w14:paraId="31A145CA">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数量</w:t>
            </w:r>
          </w:p>
        </w:tc>
        <w:tc>
          <w:tcPr>
            <w:tcW w:w="796" w:type="dxa"/>
            <w:shd w:val="clear" w:color="auto" w:fill="auto"/>
            <w:noWrap w:val="0"/>
            <w:vAlign w:val="top"/>
          </w:tcPr>
          <w:p w14:paraId="64448E55">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单价</w:t>
            </w:r>
          </w:p>
        </w:tc>
        <w:tc>
          <w:tcPr>
            <w:tcW w:w="1018" w:type="dxa"/>
            <w:shd w:val="clear" w:color="auto" w:fill="auto"/>
            <w:noWrap w:val="0"/>
            <w:vAlign w:val="top"/>
          </w:tcPr>
          <w:p w14:paraId="0A7A1D4C">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总价</w:t>
            </w:r>
          </w:p>
        </w:tc>
        <w:tc>
          <w:tcPr>
            <w:tcW w:w="1315" w:type="dxa"/>
            <w:shd w:val="clear" w:color="auto" w:fill="auto"/>
            <w:noWrap w:val="0"/>
            <w:vAlign w:val="top"/>
          </w:tcPr>
          <w:p w14:paraId="302D01C3">
            <w:pPr>
              <w:spacing w:line="440" w:lineRule="exact"/>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rPr>
              <w:t>制造商</w:t>
            </w:r>
          </w:p>
        </w:tc>
      </w:tr>
      <w:tr w14:paraId="699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140C60E3">
            <w:pPr>
              <w:spacing w:line="44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例如：压缩机</w:t>
            </w:r>
          </w:p>
        </w:tc>
        <w:tc>
          <w:tcPr>
            <w:tcW w:w="1241" w:type="dxa"/>
            <w:noWrap w:val="0"/>
            <w:vAlign w:val="top"/>
          </w:tcPr>
          <w:p w14:paraId="1320A2D6">
            <w:pPr>
              <w:spacing w:line="440" w:lineRule="exact"/>
              <w:jc w:val="center"/>
              <w:rPr>
                <w:rFonts w:hint="eastAsia" w:ascii="宋体" w:hAnsi="宋体"/>
                <w:sz w:val="24"/>
                <w:szCs w:val="24"/>
                <w:highlight w:val="none"/>
              </w:rPr>
            </w:pPr>
            <w:r>
              <w:rPr>
                <w:rFonts w:hint="eastAsia" w:ascii="宋体" w:hAnsi="宋体"/>
                <w:sz w:val="24"/>
                <w:szCs w:val="24"/>
                <w:highlight w:val="none"/>
              </w:rPr>
              <w:t>E705DHD-72D2YG</w:t>
            </w:r>
          </w:p>
        </w:tc>
        <w:tc>
          <w:tcPr>
            <w:tcW w:w="1241" w:type="dxa"/>
            <w:noWrap w:val="0"/>
            <w:vAlign w:val="top"/>
          </w:tcPr>
          <w:p w14:paraId="448A6EC5">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变频冷暖</w:t>
            </w:r>
          </w:p>
          <w:p w14:paraId="6D6A5587">
            <w:pPr>
              <w:spacing w:line="440" w:lineRule="exact"/>
              <w:jc w:val="center"/>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8 匹</w:t>
            </w:r>
          </w:p>
        </w:tc>
        <w:tc>
          <w:tcPr>
            <w:tcW w:w="852" w:type="dxa"/>
            <w:shd w:val="clear" w:color="auto" w:fill="auto"/>
            <w:noWrap w:val="0"/>
            <w:vAlign w:val="top"/>
          </w:tcPr>
          <w:p w14:paraId="0F13FEEB">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台</w:t>
            </w:r>
          </w:p>
        </w:tc>
        <w:tc>
          <w:tcPr>
            <w:tcW w:w="852" w:type="dxa"/>
            <w:shd w:val="clear" w:color="auto" w:fill="auto"/>
            <w:noWrap w:val="0"/>
            <w:vAlign w:val="top"/>
          </w:tcPr>
          <w:p w14:paraId="14F20D51">
            <w:pPr>
              <w:spacing w:line="440" w:lineRule="exact"/>
              <w:jc w:val="center"/>
              <w:rPr>
                <w:rFonts w:hint="default"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1</w:t>
            </w:r>
          </w:p>
        </w:tc>
        <w:tc>
          <w:tcPr>
            <w:tcW w:w="796" w:type="dxa"/>
            <w:shd w:val="clear" w:color="auto" w:fill="auto"/>
            <w:noWrap w:val="0"/>
            <w:vAlign w:val="top"/>
          </w:tcPr>
          <w:p w14:paraId="0E4A424E">
            <w:pPr>
              <w:spacing w:line="440" w:lineRule="exact"/>
              <w:jc w:val="center"/>
              <w:rPr>
                <w:rFonts w:hint="eastAsia" w:ascii="宋体" w:hAnsi="宋体" w:eastAsia="宋体" w:cs="Times New Roman"/>
                <w:kern w:val="2"/>
                <w:sz w:val="24"/>
                <w:szCs w:val="24"/>
                <w:highlight w:val="none"/>
                <w:lang w:val="en-US" w:eastAsia="zh-CN" w:bidi="ar-SA"/>
              </w:rPr>
            </w:pPr>
            <w:r>
              <w:rPr>
                <w:rFonts w:hint="eastAsia" w:ascii="宋体" w:hAnsi="宋体"/>
                <w:sz w:val="24"/>
                <w:szCs w:val="24"/>
                <w:highlight w:val="none"/>
                <w:lang w:val="en-US" w:eastAsia="zh-CN"/>
              </w:rPr>
              <w:t>2400</w:t>
            </w:r>
          </w:p>
        </w:tc>
        <w:tc>
          <w:tcPr>
            <w:tcW w:w="1018" w:type="dxa"/>
            <w:noWrap w:val="0"/>
            <w:vAlign w:val="top"/>
          </w:tcPr>
          <w:p w14:paraId="4E340CB7">
            <w:pPr>
              <w:spacing w:line="440" w:lineRule="exact"/>
              <w:ind w:firstLine="480" w:firstLineChars="200"/>
              <w:jc w:val="center"/>
              <w:rPr>
                <w:rFonts w:hint="eastAsia" w:ascii="宋体" w:hAnsi="宋体"/>
                <w:sz w:val="24"/>
                <w:szCs w:val="24"/>
                <w:highlight w:val="none"/>
              </w:rPr>
            </w:pPr>
          </w:p>
        </w:tc>
        <w:tc>
          <w:tcPr>
            <w:tcW w:w="1315" w:type="dxa"/>
            <w:noWrap w:val="0"/>
            <w:vAlign w:val="top"/>
          </w:tcPr>
          <w:p w14:paraId="0A82C72D">
            <w:pPr>
              <w:spacing w:line="440" w:lineRule="exact"/>
              <w:ind w:firstLine="480" w:firstLineChars="200"/>
              <w:jc w:val="center"/>
              <w:rPr>
                <w:rFonts w:hint="eastAsia" w:ascii="宋体" w:hAnsi="宋体"/>
                <w:sz w:val="24"/>
                <w:szCs w:val="24"/>
                <w:highlight w:val="none"/>
              </w:rPr>
            </w:pPr>
          </w:p>
        </w:tc>
      </w:tr>
      <w:tr w14:paraId="4CB9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2F5D68A0">
            <w:pPr>
              <w:spacing w:line="440" w:lineRule="exact"/>
              <w:ind w:firstLine="480" w:firstLineChars="200"/>
              <w:rPr>
                <w:rFonts w:hint="eastAsia" w:ascii="宋体" w:hAnsi="宋体"/>
                <w:sz w:val="24"/>
                <w:szCs w:val="24"/>
                <w:highlight w:val="none"/>
              </w:rPr>
            </w:pPr>
          </w:p>
        </w:tc>
        <w:tc>
          <w:tcPr>
            <w:tcW w:w="1241" w:type="dxa"/>
            <w:noWrap w:val="0"/>
            <w:vAlign w:val="top"/>
          </w:tcPr>
          <w:p w14:paraId="2CF1DCD1">
            <w:pPr>
              <w:spacing w:line="440" w:lineRule="exact"/>
              <w:ind w:firstLine="480" w:firstLineChars="200"/>
              <w:rPr>
                <w:rFonts w:hint="eastAsia" w:ascii="宋体" w:hAnsi="宋体"/>
                <w:sz w:val="24"/>
                <w:szCs w:val="24"/>
                <w:highlight w:val="none"/>
              </w:rPr>
            </w:pPr>
          </w:p>
        </w:tc>
        <w:tc>
          <w:tcPr>
            <w:tcW w:w="1241" w:type="dxa"/>
            <w:noWrap w:val="0"/>
            <w:vAlign w:val="top"/>
          </w:tcPr>
          <w:p w14:paraId="703B3B85">
            <w:pPr>
              <w:spacing w:line="440" w:lineRule="exact"/>
              <w:ind w:firstLine="480" w:firstLineChars="200"/>
              <w:rPr>
                <w:rFonts w:hint="eastAsia" w:ascii="宋体" w:hAnsi="宋体"/>
                <w:sz w:val="24"/>
                <w:szCs w:val="24"/>
                <w:highlight w:val="none"/>
              </w:rPr>
            </w:pPr>
          </w:p>
        </w:tc>
        <w:tc>
          <w:tcPr>
            <w:tcW w:w="852" w:type="dxa"/>
            <w:noWrap w:val="0"/>
            <w:vAlign w:val="top"/>
          </w:tcPr>
          <w:p w14:paraId="74FB082E">
            <w:pPr>
              <w:spacing w:line="440" w:lineRule="exact"/>
              <w:ind w:firstLine="480" w:firstLineChars="200"/>
              <w:rPr>
                <w:rFonts w:hint="eastAsia" w:ascii="宋体" w:hAnsi="宋体"/>
                <w:sz w:val="24"/>
                <w:szCs w:val="24"/>
                <w:highlight w:val="none"/>
              </w:rPr>
            </w:pPr>
          </w:p>
        </w:tc>
        <w:tc>
          <w:tcPr>
            <w:tcW w:w="852" w:type="dxa"/>
            <w:noWrap w:val="0"/>
            <w:vAlign w:val="top"/>
          </w:tcPr>
          <w:p w14:paraId="0603CFE0">
            <w:pPr>
              <w:spacing w:line="440" w:lineRule="exact"/>
              <w:ind w:firstLine="480" w:firstLineChars="200"/>
              <w:rPr>
                <w:rFonts w:hint="eastAsia" w:ascii="宋体" w:hAnsi="宋体"/>
                <w:sz w:val="24"/>
                <w:szCs w:val="24"/>
                <w:highlight w:val="none"/>
              </w:rPr>
            </w:pPr>
          </w:p>
        </w:tc>
        <w:tc>
          <w:tcPr>
            <w:tcW w:w="796" w:type="dxa"/>
            <w:noWrap w:val="0"/>
            <w:vAlign w:val="top"/>
          </w:tcPr>
          <w:p w14:paraId="7FE45431">
            <w:pPr>
              <w:spacing w:line="440" w:lineRule="exact"/>
              <w:ind w:firstLine="480" w:firstLineChars="200"/>
              <w:rPr>
                <w:rFonts w:hint="eastAsia" w:ascii="宋体" w:hAnsi="宋体"/>
                <w:sz w:val="24"/>
                <w:szCs w:val="24"/>
                <w:highlight w:val="none"/>
              </w:rPr>
            </w:pPr>
          </w:p>
        </w:tc>
        <w:tc>
          <w:tcPr>
            <w:tcW w:w="1018" w:type="dxa"/>
            <w:noWrap w:val="0"/>
            <w:vAlign w:val="top"/>
          </w:tcPr>
          <w:p w14:paraId="72DE29CC">
            <w:pPr>
              <w:spacing w:line="440" w:lineRule="exact"/>
              <w:ind w:firstLine="480" w:firstLineChars="200"/>
              <w:rPr>
                <w:rFonts w:hint="eastAsia" w:ascii="宋体" w:hAnsi="宋体"/>
                <w:sz w:val="24"/>
                <w:szCs w:val="24"/>
                <w:highlight w:val="none"/>
              </w:rPr>
            </w:pPr>
          </w:p>
        </w:tc>
        <w:tc>
          <w:tcPr>
            <w:tcW w:w="1315" w:type="dxa"/>
            <w:noWrap w:val="0"/>
            <w:vAlign w:val="top"/>
          </w:tcPr>
          <w:p w14:paraId="66ADBE0C">
            <w:pPr>
              <w:spacing w:line="440" w:lineRule="exact"/>
              <w:ind w:firstLine="480" w:firstLineChars="200"/>
              <w:rPr>
                <w:rFonts w:hint="eastAsia" w:ascii="宋体" w:hAnsi="宋体"/>
                <w:sz w:val="24"/>
                <w:szCs w:val="24"/>
                <w:highlight w:val="none"/>
              </w:rPr>
            </w:pPr>
          </w:p>
        </w:tc>
      </w:tr>
      <w:tr w14:paraId="5E7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42A4DC1C">
            <w:pPr>
              <w:spacing w:line="440" w:lineRule="exact"/>
              <w:ind w:firstLine="480" w:firstLineChars="200"/>
              <w:rPr>
                <w:rFonts w:hint="eastAsia" w:ascii="宋体" w:hAnsi="宋体"/>
                <w:sz w:val="24"/>
                <w:szCs w:val="24"/>
                <w:highlight w:val="none"/>
              </w:rPr>
            </w:pPr>
          </w:p>
        </w:tc>
        <w:tc>
          <w:tcPr>
            <w:tcW w:w="1241" w:type="dxa"/>
            <w:noWrap w:val="0"/>
            <w:vAlign w:val="top"/>
          </w:tcPr>
          <w:p w14:paraId="3A77D766">
            <w:pPr>
              <w:spacing w:line="440" w:lineRule="exact"/>
              <w:ind w:firstLine="480" w:firstLineChars="200"/>
              <w:rPr>
                <w:rFonts w:hint="eastAsia" w:ascii="宋体" w:hAnsi="宋体"/>
                <w:sz w:val="24"/>
                <w:szCs w:val="24"/>
                <w:highlight w:val="none"/>
              </w:rPr>
            </w:pPr>
          </w:p>
        </w:tc>
        <w:tc>
          <w:tcPr>
            <w:tcW w:w="1241" w:type="dxa"/>
            <w:noWrap w:val="0"/>
            <w:vAlign w:val="top"/>
          </w:tcPr>
          <w:p w14:paraId="506CD32E">
            <w:pPr>
              <w:spacing w:line="440" w:lineRule="exact"/>
              <w:ind w:firstLine="480" w:firstLineChars="200"/>
              <w:rPr>
                <w:rFonts w:hint="eastAsia" w:ascii="宋体" w:hAnsi="宋体"/>
                <w:sz w:val="24"/>
                <w:szCs w:val="24"/>
                <w:highlight w:val="none"/>
              </w:rPr>
            </w:pPr>
          </w:p>
        </w:tc>
        <w:tc>
          <w:tcPr>
            <w:tcW w:w="852" w:type="dxa"/>
            <w:noWrap w:val="0"/>
            <w:vAlign w:val="top"/>
          </w:tcPr>
          <w:p w14:paraId="425F9FA7">
            <w:pPr>
              <w:spacing w:line="440" w:lineRule="exact"/>
              <w:ind w:firstLine="480" w:firstLineChars="200"/>
              <w:rPr>
                <w:rFonts w:hint="eastAsia" w:ascii="宋体" w:hAnsi="宋体"/>
                <w:sz w:val="24"/>
                <w:szCs w:val="24"/>
                <w:highlight w:val="none"/>
              </w:rPr>
            </w:pPr>
          </w:p>
        </w:tc>
        <w:tc>
          <w:tcPr>
            <w:tcW w:w="852" w:type="dxa"/>
            <w:noWrap w:val="0"/>
            <w:vAlign w:val="top"/>
          </w:tcPr>
          <w:p w14:paraId="7230B5F0">
            <w:pPr>
              <w:spacing w:line="440" w:lineRule="exact"/>
              <w:ind w:firstLine="480" w:firstLineChars="200"/>
              <w:rPr>
                <w:rFonts w:hint="eastAsia" w:ascii="宋体" w:hAnsi="宋体"/>
                <w:sz w:val="24"/>
                <w:szCs w:val="24"/>
                <w:highlight w:val="none"/>
              </w:rPr>
            </w:pPr>
          </w:p>
        </w:tc>
        <w:tc>
          <w:tcPr>
            <w:tcW w:w="796" w:type="dxa"/>
            <w:noWrap w:val="0"/>
            <w:vAlign w:val="top"/>
          </w:tcPr>
          <w:p w14:paraId="1CD2B76F">
            <w:pPr>
              <w:spacing w:line="440" w:lineRule="exact"/>
              <w:ind w:firstLine="480" w:firstLineChars="200"/>
              <w:rPr>
                <w:rFonts w:hint="eastAsia" w:ascii="宋体" w:hAnsi="宋体"/>
                <w:sz w:val="24"/>
                <w:szCs w:val="24"/>
                <w:highlight w:val="none"/>
              </w:rPr>
            </w:pPr>
          </w:p>
        </w:tc>
        <w:tc>
          <w:tcPr>
            <w:tcW w:w="1018" w:type="dxa"/>
            <w:noWrap w:val="0"/>
            <w:vAlign w:val="top"/>
          </w:tcPr>
          <w:p w14:paraId="334C3A87">
            <w:pPr>
              <w:spacing w:line="440" w:lineRule="exact"/>
              <w:ind w:firstLine="480" w:firstLineChars="200"/>
              <w:rPr>
                <w:rFonts w:hint="eastAsia" w:ascii="宋体" w:hAnsi="宋体"/>
                <w:sz w:val="24"/>
                <w:szCs w:val="24"/>
                <w:highlight w:val="none"/>
              </w:rPr>
            </w:pPr>
          </w:p>
        </w:tc>
        <w:tc>
          <w:tcPr>
            <w:tcW w:w="1315" w:type="dxa"/>
            <w:noWrap w:val="0"/>
            <w:vAlign w:val="top"/>
          </w:tcPr>
          <w:p w14:paraId="63D7FBFB">
            <w:pPr>
              <w:spacing w:line="440" w:lineRule="exact"/>
              <w:ind w:firstLine="480" w:firstLineChars="200"/>
              <w:rPr>
                <w:rFonts w:hint="eastAsia" w:ascii="宋体" w:hAnsi="宋体"/>
                <w:sz w:val="24"/>
                <w:szCs w:val="24"/>
                <w:highlight w:val="none"/>
              </w:rPr>
            </w:pPr>
          </w:p>
        </w:tc>
      </w:tr>
      <w:tr w14:paraId="6543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7B69161">
            <w:pPr>
              <w:spacing w:line="440" w:lineRule="exact"/>
              <w:ind w:firstLine="480" w:firstLineChars="200"/>
              <w:rPr>
                <w:rFonts w:hint="eastAsia" w:ascii="宋体" w:hAnsi="宋体"/>
                <w:sz w:val="24"/>
                <w:szCs w:val="24"/>
                <w:highlight w:val="none"/>
              </w:rPr>
            </w:pPr>
          </w:p>
        </w:tc>
        <w:tc>
          <w:tcPr>
            <w:tcW w:w="1241" w:type="dxa"/>
            <w:noWrap w:val="0"/>
            <w:vAlign w:val="top"/>
          </w:tcPr>
          <w:p w14:paraId="02FF7FB6">
            <w:pPr>
              <w:spacing w:line="440" w:lineRule="exact"/>
              <w:ind w:firstLine="480" w:firstLineChars="200"/>
              <w:rPr>
                <w:rFonts w:hint="eastAsia" w:ascii="宋体" w:hAnsi="宋体"/>
                <w:sz w:val="24"/>
                <w:szCs w:val="24"/>
                <w:highlight w:val="none"/>
              </w:rPr>
            </w:pPr>
          </w:p>
        </w:tc>
        <w:tc>
          <w:tcPr>
            <w:tcW w:w="1241" w:type="dxa"/>
            <w:noWrap w:val="0"/>
            <w:vAlign w:val="top"/>
          </w:tcPr>
          <w:p w14:paraId="0988E2E4">
            <w:pPr>
              <w:spacing w:line="440" w:lineRule="exact"/>
              <w:ind w:firstLine="480" w:firstLineChars="200"/>
              <w:rPr>
                <w:rFonts w:hint="eastAsia" w:ascii="宋体" w:hAnsi="宋体"/>
                <w:sz w:val="24"/>
                <w:szCs w:val="24"/>
                <w:highlight w:val="none"/>
              </w:rPr>
            </w:pPr>
          </w:p>
        </w:tc>
        <w:tc>
          <w:tcPr>
            <w:tcW w:w="852" w:type="dxa"/>
            <w:noWrap w:val="0"/>
            <w:vAlign w:val="top"/>
          </w:tcPr>
          <w:p w14:paraId="448FB72B">
            <w:pPr>
              <w:spacing w:line="440" w:lineRule="exact"/>
              <w:ind w:firstLine="480" w:firstLineChars="200"/>
              <w:rPr>
                <w:rFonts w:hint="eastAsia" w:ascii="宋体" w:hAnsi="宋体"/>
                <w:sz w:val="24"/>
                <w:szCs w:val="24"/>
                <w:highlight w:val="none"/>
              </w:rPr>
            </w:pPr>
          </w:p>
        </w:tc>
        <w:tc>
          <w:tcPr>
            <w:tcW w:w="852" w:type="dxa"/>
            <w:noWrap w:val="0"/>
            <w:vAlign w:val="top"/>
          </w:tcPr>
          <w:p w14:paraId="364035AF">
            <w:pPr>
              <w:spacing w:line="440" w:lineRule="exact"/>
              <w:ind w:firstLine="480" w:firstLineChars="200"/>
              <w:rPr>
                <w:rFonts w:hint="eastAsia" w:ascii="宋体" w:hAnsi="宋体"/>
                <w:sz w:val="24"/>
                <w:szCs w:val="24"/>
                <w:highlight w:val="none"/>
              </w:rPr>
            </w:pPr>
          </w:p>
        </w:tc>
        <w:tc>
          <w:tcPr>
            <w:tcW w:w="796" w:type="dxa"/>
            <w:noWrap w:val="0"/>
            <w:vAlign w:val="top"/>
          </w:tcPr>
          <w:p w14:paraId="1DD0265F">
            <w:pPr>
              <w:spacing w:line="440" w:lineRule="exact"/>
              <w:ind w:firstLine="480" w:firstLineChars="200"/>
              <w:rPr>
                <w:rFonts w:hint="eastAsia" w:ascii="宋体" w:hAnsi="宋体"/>
                <w:sz w:val="24"/>
                <w:szCs w:val="24"/>
                <w:highlight w:val="none"/>
              </w:rPr>
            </w:pPr>
          </w:p>
        </w:tc>
        <w:tc>
          <w:tcPr>
            <w:tcW w:w="1018" w:type="dxa"/>
            <w:noWrap w:val="0"/>
            <w:vAlign w:val="top"/>
          </w:tcPr>
          <w:p w14:paraId="2D1B6317">
            <w:pPr>
              <w:spacing w:line="440" w:lineRule="exact"/>
              <w:ind w:firstLine="480" w:firstLineChars="200"/>
              <w:rPr>
                <w:rFonts w:hint="eastAsia" w:ascii="宋体" w:hAnsi="宋体"/>
                <w:sz w:val="24"/>
                <w:szCs w:val="24"/>
                <w:highlight w:val="none"/>
              </w:rPr>
            </w:pPr>
          </w:p>
        </w:tc>
        <w:tc>
          <w:tcPr>
            <w:tcW w:w="1315" w:type="dxa"/>
            <w:noWrap w:val="0"/>
            <w:vAlign w:val="top"/>
          </w:tcPr>
          <w:p w14:paraId="1DA8518E">
            <w:pPr>
              <w:spacing w:line="440" w:lineRule="exact"/>
              <w:ind w:firstLine="480" w:firstLineChars="200"/>
              <w:rPr>
                <w:rFonts w:hint="eastAsia" w:ascii="宋体" w:hAnsi="宋体"/>
                <w:sz w:val="24"/>
                <w:szCs w:val="24"/>
                <w:highlight w:val="none"/>
              </w:rPr>
            </w:pPr>
          </w:p>
        </w:tc>
      </w:tr>
      <w:tr w14:paraId="3DE1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6C8184C4">
            <w:pPr>
              <w:spacing w:line="440" w:lineRule="exact"/>
              <w:ind w:firstLine="480" w:firstLineChars="200"/>
              <w:rPr>
                <w:rFonts w:hint="eastAsia" w:ascii="宋体" w:hAnsi="宋体"/>
                <w:sz w:val="24"/>
                <w:szCs w:val="24"/>
                <w:highlight w:val="none"/>
              </w:rPr>
            </w:pPr>
          </w:p>
        </w:tc>
        <w:tc>
          <w:tcPr>
            <w:tcW w:w="1241" w:type="dxa"/>
            <w:noWrap w:val="0"/>
            <w:vAlign w:val="top"/>
          </w:tcPr>
          <w:p w14:paraId="6DC52E6D">
            <w:pPr>
              <w:spacing w:line="440" w:lineRule="exact"/>
              <w:ind w:firstLine="480" w:firstLineChars="200"/>
              <w:rPr>
                <w:rFonts w:hint="eastAsia" w:ascii="宋体" w:hAnsi="宋体"/>
                <w:sz w:val="24"/>
                <w:szCs w:val="24"/>
                <w:highlight w:val="none"/>
              </w:rPr>
            </w:pPr>
          </w:p>
        </w:tc>
        <w:tc>
          <w:tcPr>
            <w:tcW w:w="1241" w:type="dxa"/>
            <w:noWrap w:val="0"/>
            <w:vAlign w:val="top"/>
          </w:tcPr>
          <w:p w14:paraId="2E690303">
            <w:pPr>
              <w:spacing w:line="440" w:lineRule="exact"/>
              <w:ind w:firstLine="480" w:firstLineChars="200"/>
              <w:rPr>
                <w:rFonts w:hint="eastAsia" w:ascii="宋体" w:hAnsi="宋体"/>
                <w:sz w:val="24"/>
                <w:szCs w:val="24"/>
                <w:highlight w:val="none"/>
              </w:rPr>
            </w:pPr>
          </w:p>
        </w:tc>
        <w:tc>
          <w:tcPr>
            <w:tcW w:w="852" w:type="dxa"/>
            <w:noWrap w:val="0"/>
            <w:vAlign w:val="top"/>
          </w:tcPr>
          <w:p w14:paraId="570E9103">
            <w:pPr>
              <w:spacing w:line="440" w:lineRule="exact"/>
              <w:ind w:firstLine="480" w:firstLineChars="200"/>
              <w:rPr>
                <w:rFonts w:hint="eastAsia" w:ascii="宋体" w:hAnsi="宋体"/>
                <w:sz w:val="24"/>
                <w:szCs w:val="24"/>
                <w:highlight w:val="none"/>
              </w:rPr>
            </w:pPr>
          </w:p>
        </w:tc>
        <w:tc>
          <w:tcPr>
            <w:tcW w:w="852" w:type="dxa"/>
            <w:noWrap w:val="0"/>
            <w:vAlign w:val="top"/>
          </w:tcPr>
          <w:p w14:paraId="1C118F0F">
            <w:pPr>
              <w:spacing w:line="440" w:lineRule="exact"/>
              <w:ind w:firstLine="480" w:firstLineChars="200"/>
              <w:rPr>
                <w:rFonts w:hint="eastAsia" w:ascii="宋体" w:hAnsi="宋体"/>
                <w:sz w:val="24"/>
                <w:szCs w:val="24"/>
                <w:highlight w:val="none"/>
              </w:rPr>
            </w:pPr>
          </w:p>
        </w:tc>
        <w:tc>
          <w:tcPr>
            <w:tcW w:w="796" w:type="dxa"/>
            <w:noWrap w:val="0"/>
            <w:vAlign w:val="top"/>
          </w:tcPr>
          <w:p w14:paraId="6DBCE4F8">
            <w:pPr>
              <w:spacing w:line="440" w:lineRule="exact"/>
              <w:ind w:firstLine="480" w:firstLineChars="200"/>
              <w:rPr>
                <w:rFonts w:hint="eastAsia" w:ascii="宋体" w:hAnsi="宋体"/>
                <w:sz w:val="24"/>
                <w:szCs w:val="24"/>
                <w:highlight w:val="none"/>
              </w:rPr>
            </w:pPr>
          </w:p>
        </w:tc>
        <w:tc>
          <w:tcPr>
            <w:tcW w:w="1018" w:type="dxa"/>
            <w:noWrap w:val="0"/>
            <w:vAlign w:val="top"/>
          </w:tcPr>
          <w:p w14:paraId="3CA41A26">
            <w:pPr>
              <w:spacing w:line="440" w:lineRule="exact"/>
              <w:ind w:firstLine="480" w:firstLineChars="200"/>
              <w:rPr>
                <w:rFonts w:hint="eastAsia" w:ascii="宋体" w:hAnsi="宋体"/>
                <w:sz w:val="24"/>
                <w:szCs w:val="24"/>
                <w:highlight w:val="none"/>
              </w:rPr>
            </w:pPr>
          </w:p>
        </w:tc>
        <w:tc>
          <w:tcPr>
            <w:tcW w:w="1315" w:type="dxa"/>
            <w:noWrap w:val="0"/>
            <w:vAlign w:val="top"/>
          </w:tcPr>
          <w:p w14:paraId="3757F7A6">
            <w:pPr>
              <w:spacing w:line="440" w:lineRule="exact"/>
              <w:ind w:firstLine="480" w:firstLineChars="200"/>
              <w:rPr>
                <w:rFonts w:hint="eastAsia" w:ascii="宋体" w:hAnsi="宋体"/>
                <w:sz w:val="24"/>
                <w:szCs w:val="24"/>
                <w:highlight w:val="none"/>
              </w:rPr>
            </w:pPr>
          </w:p>
        </w:tc>
      </w:tr>
      <w:tr w14:paraId="53FC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noWrap w:val="0"/>
            <w:vAlign w:val="top"/>
          </w:tcPr>
          <w:p w14:paraId="7A60B0F2">
            <w:pPr>
              <w:spacing w:line="440" w:lineRule="exact"/>
              <w:ind w:firstLine="480" w:firstLineChars="200"/>
              <w:rPr>
                <w:rFonts w:hint="eastAsia" w:ascii="宋体" w:hAnsi="宋体"/>
                <w:sz w:val="24"/>
                <w:szCs w:val="24"/>
                <w:highlight w:val="none"/>
              </w:rPr>
            </w:pPr>
          </w:p>
        </w:tc>
        <w:tc>
          <w:tcPr>
            <w:tcW w:w="1241" w:type="dxa"/>
            <w:noWrap w:val="0"/>
            <w:vAlign w:val="top"/>
          </w:tcPr>
          <w:p w14:paraId="5687BCD8">
            <w:pPr>
              <w:spacing w:line="440" w:lineRule="exact"/>
              <w:ind w:firstLine="480" w:firstLineChars="200"/>
              <w:rPr>
                <w:rFonts w:hint="eastAsia" w:ascii="宋体" w:hAnsi="宋体"/>
                <w:sz w:val="24"/>
                <w:szCs w:val="24"/>
                <w:highlight w:val="none"/>
              </w:rPr>
            </w:pPr>
          </w:p>
        </w:tc>
        <w:tc>
          <w:tcPr>
            <w:tcW w:w="1241" w:type="dxa"/>
            <w:noWrap w:val="0"/>
            <w:vAlign w:val="top"/>
          </w:tcPr>
          <w:p w14:paraId="7DF04679">
            <w:pPr>
              <w:spacing w:line="440" w:lineRule="exact"/>
              <w:ind w:firstLine="480" w:firstLineChars="200"/>
              <w:rPr>
                <w:rFonts w:hint="eastAsia" w:ascii="宋体" w:hAnsi="宋体"/>
                <w:sz w:val="24"/>
                <w:szCs w:val="24"/>
                <w:highlight w:val="none"/>
              </w:rPr>
            </w:pPr>
          </w:p>
        </w:tc>
        <w:tc>
          <w:tcPr>
            <w:tcW w:w="852" w:type="dxa"/>
            <w:noWrap w:val="0"/>
            <w:vAlign w:val="top"/>
          </w:tcPr>
          <w:p w14:paraId="6DCF152B">
            <w:pPr>
              <w:spacing w:line="440" w:lineRule="exact"/>
              <w:ind w:firstLine="480" w:firstLineChars="200"/>
              <w:rPr>
                <w:rFonts w:hint="eastAsia" w:ascii="宋体" w:hAnsi="宋体"/>
                <w:sz w:val="24"/>
                <w:szCs w:val="24"/>
                <w:highlight w:val="none"/>
              </w:rPr>
            </w:pPr>
          </w:p>
        </w:tc>
        <w:tc>
          <w:tcPr>
            <w:tcW w:w="852" w:type="dxa"/>
            <w:noWrap w:val="0"/>
            <w:vAlign w:val="top"/>
          </w:tcPr>
          <w:p w14:paraId="799B10B3">
            <w:pPr>
              <w:spacing w:line="440" w:lineRule="exact"/>
              <w:ind w:firstLine="480" w:firstLineChars="200"/>
              <w:rPr>
                <w:rFonts w:hint="eastAsia" w:ascii="宋体" w:hAnsi="宋体"/>
                <w:sz w:val="24"/>
                <w:szCs w:val="24"/>
                <w:highlight w:val="none"/>
              </w:rPr>
            </w:pPr>
          </w:p>
        </w:tc>
        <w:tc>
          <w:tcPr>
            <w:tcW w:w="796" w:type="dxa"/>
            <w:noWrap w:val="0"/>
            <w:vAlign w:val="top"/>
          </w:tcPr>
          <w:p w14:paraId="2023A912">
            <w:pPr>
              <w:spacing w:line="440" w:lineRule="exact"/>
              <w:ind w:firstLine="480" w:firstLineChars="200"/>
              <w:rPr>
                <w:rFonts w:hint="eastAsia" w:ascii="宋体" w:hAnsi="宋体"/>
                <w:sz w:val="24"/>
                <w:szCs w:val="24"/>
                <w:highlight w:val="none"/>
              </w:rPr>
            </w:pPr>
          </w:p>
        </w:tc>
        <w:tc>
          <w:tcPr>
            <w:tcW w:w="1018" w:type="dxa"/>
            <w:noWrap w:val="0"/>
            <w:vAlign w:val="top"/>
          </w:tcPr>
          <w:p w14:paraId="7B069438">
            <w:pPr>
              <w:spacing w:line="440" w:lineRule="exact"/>
              <w:ind w:firstLine="480" w:firstLineChars="200"/>
              <w:rPr>
                <w:rFonts w:hint="eastAsia" w:ascii="宋体" w:hAnsi="宋体"/>
                <w:sz w:val="24"/>
                <w:szCs w:val="24"/>
                <w:highlight w:val="none"/>
              </w:rPr>
            </w:pPr>
          </w:p>
        </w:tc>
        <w:tc>
          <w:tcPr>
            <w:tcW w:w="1315" w:type="dxa"/>
            <w:noWrap w:val="0"/>
            <w:vAlign w:val="top"/>
          </w:tcPr>
          <w:p w14:paraId="0FE41D9D">
            <w:pPr>
              <w:spacing w:line="440" w:lineRule="exact"/>
              <w:ind w:firstLine="480" w:firstLineChars="200"/>
              <w:rPr>
                <w:rFonts w:hint="eastAsia" w:ascii="宋体" w:hAnsi="宋体"/>
                <w:sz w:val="24"/>
                <w:szCs w:val="24"/>
                <w:highlight w:val="none"/>
              </w:rPr>
            </w:pPr>
          </w:p>
        </w:tc>
      </w:tr>
    </w:tbl>
    <w:p w14:paraId="4BACD68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8  服务范围内的维保项目、配件、耗材、工具、人工等，应当尽可能详细且分类填入配置表，其费用应当计入投标总报价之内。如果出现不</w:t>
      </w:r>
      <w:r>
        <w:rPr>
          <w:rFonts w:ascii="宋体" w:hAnsi="宋体" w:eastAsia="宋体" w:cs="宋体"/>
          <w:sz w:val="24"/>
          <w:szCs w:val="24"/>
          <w:highlight w:val="none"/>
        </w:rPr>
        <w:t>一致的报价，将有可能导致废标。</w:t>
      </w:r>
    </w:p>
    <w:p w14:paraId="479AD74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9  除招标文件明确的验收标准或内容之外，投标方应当在投标文件中提供终验收的标准以及规程，在合同签订之前，经投标方和招标方双方洽谈确认并签署，以作为验收标准执行。</w:t>
      </w:r>
    </w:p>
    <w:p w14:paraId="442F4F4D">
      <w:pPr>
        <w:spacing w:line="440" w:lineRule="exact"/>
        <w:ind w:firstLine="482" w:firstLineChars="200"/>
        <w:jc w:val="center"/>
        <w:rPr>
          <w:rFonts w:hint="eastAsia" w:ascii="宋体" w:hAnsi="宋体"/>
          <w:b/>
          <w:bCs/>
          <w:sz w:val="24"/>
          <w:szCs w:val="24"/>
          <w:highlight w:val="none"/>
        </w:rPr>
      </w:pPr>
      <w:bookmarkStart w:id="20" w:name="_Toc133783976"/>
      <w:r>
        <w:rPr>
          <w:rFonts w:hint="eastAsia" w:ascii="宋体" w:hAnsi="宋体"/>
          <w:b/>
          <w:bCs/>
          <w:sz w:val="24"/>
          <w:szCs w:val="24"/>
          <w:highlight w:val="none"/>
        </w:rPr>
        <w:t>第九节  其它要求</w:t>
      </w:r>
      <w:bookmarkEnd w:id="20"/>
    </w:p>
    <w:p w14:paraId="3C644187">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  特殊要求</w:t>
      </w:r>
    </w:p>
    <w:p w14:paraId="57F6F25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为保证本技术标书所列空调维保服务的质量以及先进性、可靠性、经济性和实用性，要求投标方在投标文件中，至少应具备以下资格证明文件或资料：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1.1  投标方应是通过有关资格认证的单位，因此应附有有效期内的资格认证证书，如：</w:t>
      </w:r>
      <w:r>
        <w:rPr>
          <w:rFonts w:ascii="宋体" w:hAnsi="宋体" w:eastAsia="宋体" w:cs="宋体"/>
          <w:sz w:val="24"/>
          <w:szCs w:val="24"/>
          <w:highlight w:val="none"/>
        </w:rPr>
        <w:t>ISO9001、ISO14001、ISO45001 等。</w:t>
      </w:r>
    </w:p>
    <w:p w14:paraId="64C30E84">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1.2  </w:t>
      </w:r>
      <w:r>
        <w:rPr>
          <w:rFonts w:ascii="宋体" w:hAnsi="宋体" w:eastAsia="宋体" w:cs="宋体"/>
          <w:sz w:val="24"/>
          <w:szCs w:val="24"/>
          <w:highlight w:val="none"/>
        </w:rPr>
        <w:t>应提</w:t>
      </w:r>
      <w:r>
        <w:rPr>
          <w:rFonts w:hint="eastAsia" w:ascii="宋体" w:hAnsi="宋体"/>
          <w:sz w:val="24"/>
          <w:szCs w:val="24"/>
          <w:highlight w:val="none"/>
        </w:rPr>
        <w:t>供制冷空调安装维修资质证书、电工证、高空作业证、焊工证等作业人员资格证书。</w:t>
      </w:r>
    </w:p>
    <w:p w14:paraId="291CADE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1.3  </w:t>
      </w:r>
      <w:r>
        <w:rPr>
          <w:rFonts w:ascii="宋体" w:hAnsi="宋体" w:eastAsia="宋体" w:cs="宋体"/>
          <w:sz w:val="24"/>
          <w:szCs w:val="24"/>
          <w:highlight w:val="none"/>
        </w:rPr>
        <w:t>应附有</w:t>
      </w:r>
      <w:r>
        <w:rPr>
          <w:rFonts w:hint="eastAsia" w:ascii="宋体" w:hAnsi="宋体"/>
          <w:sz w:val="24"/>
          <w:szCs w:val="24"/>
          <w:highlight w:val="none"/>
        </w:rPr>
        <w:t>与本空调维保服务相同或相似规格、多联机系统、且已经正常使用或通过验收的近三年业绩清单；清单中应具备：买方单位名称、服务内容、规模、服务时间、联系人及固定电话；投标方应当保证其业绩的真实性，否则将影响投标或中标资格。</w:t>
      </w:r>
    </w:p>
    <w:p w14:paraId="7E87591A">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1.4  应附有其它与投标单位、</w:t>
      </w:r>
      <w:r>
        <w:rPr>
          <w:rFonts w:ascii="宋体" w:hAnsi="宋体" w:eastAsia="宋体" w:cs="宋体"/>
          <w:sz w:val="24"/>
          <w:szCs w:val="24"/>
          <w:highlight w:val="none"/>
        </w:rPr>
        <w:t>维保服务能力相关的荣誉证书或资料</w:t>
      </w:r>
      <w:r>
        <w:rPr>
          <w:rFonts w:hint="eastAsia" w:ascii="宋体" w:hAnsi="宋体"/>
          <w:sz w:val="24"/>
          <w:szCs w:val="24"/>
          <w:highlight w:val="none"/>
        </w:rPr>
        <w:t>。</w:t>
      </w:r>
    </w:p>
    <w:p w14:paraId="3392AAF8">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1.5  应附有中国相关国家部委颁发的有效期之内所必需的《生产许可证》。</w:t>
      </w:r>
    </w:p>
    <w:p w14:paraId="366E8336">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1.6  </w:t>
      </w:r>
      <w:r>
        <w:rPr>
          <w:rFonts w:ascii="宋体" w:hAnsi="宋体" w:eastAsia="宋体" w:cs="宋体"/>
          <w:sz w:val="24"/>
          <w:szCs w:val="24"/>
          <w:highlight w:val="none"/>
        </w:rPr>
        <w:t>应附</w:t>
      </w:r>
      <w:r>
        <w:rPr>
          <w:rFonts w:hint="eastAsia" w:ascii="宋体" w:hAnsi="宋体"/>
          <w:sz w:val="24"/>
          <w:szCs w:val="24"/>
          <w:highlight w:val="none"/>
        </w:rPr>
        <w:t>有必要的设备检测报告、配件合格证明、冷媒及耗材环保认证等</w:t>
      </w:r>
      <w:r>
        <w:rPr>
          <w:rFonts w:ascii="宋体" w:hAnsi="宋体" w:eastAsia="宋体" w:cs="宋体"/>
          <w:sz w:val="24"/>
          <w:szCs w:val="24"/>
          <w:highlight w:val="none"/>
        </w:rPr>
        <w:t>。</w:t>
      </w:r>
    </w:p>
    <w:p w14:paraId="1274126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1.7  </w:t>
      </w:r>
      <w:r>
        <w:rPr>
          <w:rFonts w:ascii="宋体" w:hAnsi="宋体" w:eastAsia="宋体" w:cs="宋体"/>
          <w:sz w:val="24"/>
          <w:szCs w:val="24"/>
          <w:highlight w:val="none"/>
        </w:rPr>
        <w:t>投</w:t>
      </w:r>
      <w:r>
        <w:rPr>
          <w:rFonts w:hint="eastAsia" w:ascii="宋体" w:hAnsi="宋体"/>
          <w:sz w:val="24"/>
          <w:szCs w:val="24"/>
          <w:highlight w:val="none"/>
        </w:rPr>
        <w:t>标方必须附有国家规定必须的安全、环保、用电、动火作业相关保障措施及证明资料。</w:t>
      </w:r>
    </w:p>
    <w:p w14:paraId="6EC25283">
      <w:pPr>
        <w:spacing w:line="440" w:lineRule="exact"/>
        <w:ind w:firstLine="480" w:firstLineChars="200"/>
        <w:rPr>
          <w:rFonts w:ascii="宋体" w:hAnsi="宋体" w:eastAsia="宋体" w:cs="宋体"/>
          <w:sz w:val="24"/>
          <w:szCs w:val="24"/>
          <w:highlight w:val="none"/>
        </w:rPr>
      </w:pPr>
      <w:r>
        <w:rPr>
          <w:rFonts w:hint="eastAsia" w:ascii="宋体" w:hAnsi="宋体"/>
          <w:sz w:val="24"/>
          <w:szCs w:val="24"/>
          <w:highlight w:val="none"/>
        </w:rPr>
        <w:t xml:space="preserve">1.8 </w:t>
      </w:r>
      <w:r>
        <w:rPr>
          <w:rFonts w:ascii="宋体" w:hAnsi="宋体" w:eastAsia="宋体" w:cs="宋体"/>
          <w:sz w:val="24"/>
          <w:szCs w:val="24"/>
          <w:highlight w:val="none"/>
        </w:rPr>
        <w:t>可</w:t>
      </w:r>
      <w:r>
        <w:rPr>
          <w:rFonts w:hint="eastAsia" w:ascii="宋体" w:hAnsi="宋体"/>
          <w:sz w:val="24"/>
          <w:szCs w:val="24"/>
          <w:highlight w:val="none"/>
        </w:rPr>
        <w:t>附有投标方认为能够证明其服务质量、技术水平、安全水平、节能水平、环保水平等相关证明文件，如：噪声检测报告、节能改造案例、系统调试</w:t>
      </w:r>
      <w:r>
        <w:rPr>
          <w:rFonts w:ascii="宋体" w:hAnsi="宋体" w:eastAsia="宋体" w:cs="宋体"/>
          <w:sz w:val="24"/>
          <w:szCs w:val="24"/>
          <w:highlight w:val="none"/>
        </w:rPr>
        <w:t>报告等。</w:t>
      </w:r>
    </w:p>
    <w:p w14:paraId="3A4DF92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  说明</w:t>
      </w:r>
    </w:p>
    <w:p w14:paraId="71AFE7CF">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2.1  投标方可以根据自身的技术、经验等优势以及对招标文件和本技术标书的理解，</w:t>
      </w:r>
      <w:r>
        <w:rPr>
          <w:rFonts w:ascii="宋体" w:hAnsi="宋体" w:eastAsia="宋体" w:cs="宋体"/>
          <w:sz w:val="24"/>
          <w:szCs w:val="24"/>
          <w:highlight w:val="none"/>
        </w:rPr>
        <w:t>写明对招标</w:t>
      </w:r>
      <w:r>
        <w:rPr>
          <w:rFonts w:hint="eastAsia" w:ascii="宋体" w:hAnsi="宋体"/>
          <w:sz w:val="24"/>
          <w:szCs w:val="24"/>
          <w:highlight w:val="none"/>
        </w:rPr>
        <w:t>方空调系统维保、优化运行、节能降耗、故障预防的优化方案或建议意见。投标方的这些努力，投标方表示感谢，并将有助于投标方优先胜出。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2.3  请投标方仔细阅读“</w:t>
      </w:r>
      <w:r>
        <w:rPr>
          <w:rFonts w:ascii="宋体" w:hAnsi="宋体" w:eastAsia="宋体" w:cs="宋体"/>
          <w:sz w:val="24"/>
          <w:szCs w:val="24"/>
          <w:highlight w:val="none"/>
        </w:rPr>
        <w:t>采购服务概况</w:t>
      </w:r>
      <w:r>
        <w:rPr>
          <w:rFonts w:hint="eastAsia" w:ascii="宋体" w:hAnsi="宋体"/>
          <w:sz w:val="24"/>
          <w:szCs w:val="24"/>
          <w:highlight w:val="none"/>
        </w:rPr>
        <w:t>”章节内说明，针对允许分投分中的</w:t>
      </w:r>
      <w:r>
        <w:rPr>
          <w:rFonts w:hint="eastAsia" w:ascii="宋体" w:hAnsi="宋体"/>
          <w:sz w:val="24"/>
          <w:szCs w:val="24"/>
          <w:highlight w:val="none"/>
          <w:lang w:val="en-US" w:eastAsia="zh-CN"/>
        </w:rPr>
        <w:t>服务内容</w:t>
      </w:r>
      <w:r>
        <w:rPr>
          <w:rFonts w:hint="eastAsia" w:ascii="宋体" w:hAnsi="宋体"/>
          <w:sz w:val="24"/>
          <w:szCs w:val="24"/>
          <w:highlight w:val="none"/>
        </w:rPr>
        <w:t>，招标方有权利选择其中优秀设备或服务，作为投标方合同供货范围中的指定选用设备或服务（替代投标方分投而未中标部分）。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highlight w:val="none"/>
        </w:rPr>
      </w:pPr>
      <w:r>
        <w:rPr>
          <w:rFonts w:hint="eastAsia" w:ascii="宋体" w:hAnsi="宋体"/>
          <w:sz w:val="24"/>
          <w:szCs w:val="24"/>
          <w:highlight w:val="none"/>
        </w:rPr>
        <w:t>2.5  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”章节所列的招标方在合同签署后将成为买方，中标的投标方将成为卖方；为避免歧异，本技术标书在“</w:t>
      </w:r>
      <w:r>
        <w:rPr>
          <w:rFonts w:hint="eastAsia" w:ascii="宋体" w:hAnsi="宋体"/>
          <w:sz w:val="24"/>
          <w:szCs w:val="24"/>
          <w:highlight w:val="none"/>
          <w:lang w:val="en-US" w:eastAsia="zh-CN"/>
        </w:rPr>
        <w:t>设备验收</w:t>
      </w:r>
      <w:r>
        <w:rPr>
          <w:rFonts w:hint="eastAsia" w:ascii="宋体" w:hAnsi="宋体"/>
          <w:sz w:val="24"/>
          <w:szCs w:val="24"/>
          <w:highlight w:val="none"/>
        </w:rPr>
        <w:t>”之外的其它章节，均将潜在的卖方称为投标方、将买方称为招标方。</w:t>
      </w:r>
    </w:p>
    <w:p w14:paraId="2A65E9F9">
      <w:pPr>
        <w:pStyle w:val="76"/>
        <w:rPr>
          <w:b w:val="0"/>
          <w:bCs w:val="0"/>
          <w:highlight w:val="none"/>
        </w:rPr>
      </w:pPr>
    </w:p>
    <w:p w14:paraId="41362990">
      <w:pPr>
        <w:pStyle w:val="76"/>
        <w:rPr>
          <w:b/>
          <w:bCs/>
          <w:highlight w:val="none"/>
        </w:rPr>
      </w:pPr>
    </w:p>
    <w:p w14:paraId="0E3885EE">
      <w:pPr>
        <w:rPr>
          <w:rFonts w:hint="eastAsia"/>
          <w:highlight w:val="none"/>
        </w:rPr>
      </w:pPr>
      <w:bookmarkStart w:id="21" w:name="_Toc47976609"/>
      <w:r>
        <w:rPr>
          <w:rFonts w:hint="eastAsia"/>
          <w:highlight w:val="none"/>
        </w:rPr>
        <w:br w:type="page"/>
      </w:r>
    </w:p>
    <w:p w14:paraId="5871DF53">
      <w:pPr>
        <w:pStyle w:val="71"/>
        <w:numPr>
          <w:ilvl w:val="0"/>
          <w:numId w:val="27"/>
        </w:numPr>
        <w:rPr>
          <w:rFonts w:hint="eastAsia"/>
          <w:highlight w:val="none"/>
        </w:rPr>
      </w:pPr>
      <w:bookmarkStart w:id="22" w:name="_Toc8030"/>
      <w:r>
        <w:rPr>
          <w:rFonts w:hint="eastAsia"/>
          <w:highlight w:val="none"/>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366A5A44">
      <w:pPr>
        <w:pStyle w:val="72"/>
        <w:numPr>
          <w:ilvl w:val="0"/>
          <w:numId w:val="0"/>
        </w:numPr>
        <w:ind w:leftChars="0"/>
        <w:rPr>
          <w:rFonts w:hint="eastAsia"/>
          <w:lang w:val="en-US" w:eastAsia="zh-CN"/>
        </w:rPr>
      </w:pPr>
      <w:bookmarkStart w:id="23" w:name="_Toc47976611"/>
      <w:bookmarkStart w:id="24" w:name="_Toc47976615"/>
      <w:r>
        <w:rPr>
          <w:rFonts w:hint="eastAsia"/>
          <w:lang w:val="en-US" w:eastAsia="zh-CN"/>
        </w:rPr>
        <w:t>一、标的、服务内容、服务周期</w:t>
      </w:r>
    </w:p>
    <w:bookmarkEnd w:id="23"/>
    <w:p w14:paraId="11E6D91A">
      <w:pPr>
        <w:pStyle w:val="72"/>
        <w:numPr>
          <w:ilvl w:val="0"/>
          <w:numId w:val="0"/>
        </w:numPr>
        <w:ind w:leftChars="0"/>
        <w:rPr>
          <w:rFonts w:hint="eastAsia"/>
          <w:lang w:val="en-US" w:eastAsia="zh-CN"/>
        </w:rPr>
      </w:pPr>
      <w:bookmarkStart w:id="25" w:name="_Toc47976612"/>
      <w:r>
        <w:rPr>
          <w:rFonts w:hint="eastAsia"/>
          <w:lang w:val="en-US" w:eastAsia="zh-CN"/>
        </w:rPr>
        <w:t>二、服务地点</w:t>
      </w:r>
    </w:p>
    <w:p w14:paraId="3F03A936">
      <w:pPr>
        <w:pStyle w:val="72"/>
        <w:numPr>
          <w:ilvl w:val="0"/>
          <w:numId w:val="0"/>
        </w:numPr>
        <w:ind w:leftChars="0"/>
      </w:pPr>
      <w:r>
        <w:rPr>
          <w:rFonts w:hint="eastAsia"/>
          <w:lang w:val="en-US" w:eastAsia="zh-CN"/>
        </w:rPr>
        <w:t>三、价款及</w:t>
      </w:r>
      <w:r>
        <w:rPr>
          <w:rFonts w:hint="eastAsia"/>
        </w:rPr>
        <w:t>付款方式</w:t>
      </w:r>
      <w:bookmarkEnd w:id="25"/>
    </w:p>
    <w:p w14:paraId="0A7F4E98">
      <w:pPr>
        <w:pStyle w:val="72"/>
        <w:numPr>
          <w:ilvl w:val="0"/>
          <w:numId w:val="0"/>
        </w:numPr>
        <w:ind w:leftChars="0"/>
      </w:pPr>
      <w:bookmarkStart w:id="26" w:name="_Toc47976613"/>
      <w:r>
        <w:rPr>
          <w:rFonts w:hint="eastAsia"/>
          <w:lang w:val="en-US" w:eastAsia="zh-CN"/>
        </w:rPr>
        <w:t>四、质量要求、</w:t>
      </w:r>
      <w:r>
        <w:rPr>
          <w:rFonts w:hint="eastAsia"/>
        </w:rPr>
        <w:t>保修期及售后服务</w:t>
      </w:r>
      <w:bookmarkEnd w:id="26"/>
    </w:p>
    <w:p w14:paraId="50F6C5C1">
      <w:pPr>
        <w:pStyle w:val="72"/>
        <w:numPr>
          <w:ilvl w:val="0"/>
          <w:numId w:val="0"/>
        </w:numPr>
        <w:ind w:leftChars="0"/>
      </w:pPr>
      <w:bookmarkStart w:id="27" w:name="_Toc47976614"/>
      <w:r>
        <w:rPr>
          <w:rFonts w:hint="eastAsia"/>
          <w:lang w:val="en-US" w:eastAsia="zh-CN"/>
        </w:rPr>
        <w:t>五、</w:t>
      </w:r>
      <w:bookmarkEnd w:id="27"/>
      <w:r>
        <w:rPr>
          <w:rFonts w:hint="eastAsia"/>
          <w:lang w:val="en-US" w:eastAsia="zh-CN"/>
        </w:rPr>
        <w:t>维保、调试及验收要求</w:t>
      </w:r>
    </w:p>
    <w:p w14:paraId="7FDA440C">
      <w:pPr>
        <w:pStyle w:val="72"/>
        <w:numPr>
          <w:ilvl w:val="0"/>
          <w:numId w:val="0"/>
        </w:numPr>
        <w:ind w:leftChars="0"/>
      </w:pPr>
      <w:r>
        <w:rPr>
          <w:rFonts w:hint="eastAsia"/>
          <w:lang w:val="en-US" w:eastAsia="zh-CN"/>
        </w:rPr>
        <w:t>六、违约责任</w:t>
      </w:r>
    </w:p>
    <w:p w14:paraId="7B4D50AD">
      <w:pPr>
        <w:pStyle w:val="72"/>
        <w:numPr>
          <w:ilvl w:val="0"/>
          <w:numId w:val="0"/>
        </w:numPr>
        <w:ind w:leftChars="0"/>
      </w:pPr>
      <w:r>
        <w:rPr>
          <w:rFonts w:hint="eastAsia"/>
          <w:lang w:val="en-US" w:eastAsia="zh-CN"/>
        </w:rPr>
        <w:t>七、争议解决方式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8" w:name="_Toc16500"/>
      <w:r>
        <w:rPr>
          <w:rFonts w:hint="eastAsia"/>
        </w:rPr>
        <w:t>第四部分　</w:t>
      </w:r>
      <w:bookmarkEnd w:id="24"/>
      <w:r>
        <w:rPr>
          <w:rFonts w:hint="eastAsia"/>
          <w:lang w:val="en-US" w:eastAsia="zh-CN"/>
        </w:rPr>
        <w:t>投标文件附件</w:t>
      </w:r>
      <w:bookmarkEnd w:id="28"/>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29" w:name="_Toc47976618"/>
      <w:bookmarkStart w:id="30" w:name="_Toc29366869"/>
      <w:bookmarkStart w:id="31" w:name="_Toc29366865"/>
      <w:r>
        <w:rPr>
          <w:rFonts w:hint="eastAsia" w:ascii="宋体" w:hAnsi="宋体" w:eastAsia="宋体" w:cs="宋体"/>
          <w:sz w:val="32"/>
          <w:szCs w:val="32"/>
          <w:highlight w:val="none"/>
          <w:lang w:val="en-US" w:eastAsia="zh-CN"/>
        </w:rPr>
        <w:t>附件1 法定代表人授权委托书</w:t>
      </w:r>
    </w:p>
    <w:bookmarkEnd w:id="29"/>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多联机空调维保项目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多联机空调维保项目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0"/>
    <w:bookmarkEnd w:id="31"/>
    <w:p w14:paraId="38EF994B">
      <w:pPr>
        <w:rPr>
          <w:rFonts w:hint="eastAsia" w:ascii="宋体" w:hAnsi="宋体" w:eastAsia="宋体" w:cs="宋体"/>
          <w:sz w:val="32"/>
          <w:szCs w:val="32"/>
          <w:highlight w:val="none"/>
          <w:lang w:val="en-US" w:eastAsia="zh-CN"/>
        </w:rPr>
      </w:pP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多联机空调维保项目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577"/>
        <w:gridCol w:w="571"/>
        <w:gridCol w:w="2554"/>
        <w:gridCol w:w="715"/>
        <w:gridCol w:w="1865"/>
        <w:gridCol w:w="1433"/>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cs="Times New Roman"/>
                <w:b/>
                <w:szCs w:val="20"/>
                <w:lang w:val="en-US" w:eastAsia="zh-CN"/>
              </w:rPr>
              <w:t>多联机空调维保</w:t>
            </w:r>
            <w:r>
              <w:rPr>
                <w:rFonts w:hint="eastAsia" w:ascii="Times New Roman" w:hAnsi="Times New Roman" w:eastAsia="宋体" w:cs="Times New Roman"/>
                <w:b/>
                <w:szCs w:val="20"/>
                <w:lang w:val="en-US" w:eastAsia="zh-CN"/>
              </w:rPr>
              <w:t>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2" w:name="_Toc47976616"/>
      <w:bookmarkStart w:id="33" w:name="_Toc4225"/>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2"/>
      <w:bookmarkEnd w:id="33"/>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多联机空调维保项目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eastAsia="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多联机空调维保项目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多联机空调维保项目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cs="宋体"/>
                <w:b/>
                <w:szCs w:val="20"/>
                <w:lang w:val="en-US" w:eastAsia="zh-CN"/>
              </w:rPr>
              <w:t>服务</w:t>
            </w:r>
            <w:r>
              <w:rPr>
                <w:rFonts w:hint="eastAsia" w:ascii="宋体" w:hAnsi="宋体" w:eastAsia="宋体" w:cs="宋体"/>
                <w:b/>
                <w:szCs w:val="20"/>
              </w:rPr>
              <w:t>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多联机空调维保项目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
    <w:altName w:val="Times New Roman"/>
    <w:panose1 w:val="00000000000000000000"/>
    <w:charset w:val="00"/>
    <w:family w:val="roman"/>
    <w:pitch w:val="default"/>
    <w:sig w:usb0="00000000" w:usb1="00000000" w:usb2="00000000" w:usb3="00000000" w:csb0="0000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8">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9">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0">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12D9A626"/>
    <w:multiLevelType w:val="singleLevel"/>
    <w:tmpl w:val="12D9A626"/>
    <w:lvl w:ilvl="0" w:tentative="0">
      <w:start w:val="3"/>
      <w:numFmt w:val="chineseCounting"/>
      <w:suff w:val="nothing"/>
      <w:lvlText w:val="第%1部分　"/>
      <w:lvlJc w:val="left"/>
      <w:rPr>
        <w:rFonts w:hint="eastAsia"/>
      </w:rPr>
    </w:lvl>
  </w:abstractNum>
  <w:abstractNum w:abstractNumId="12">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4">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6">
    <w:nsid w:val="2B8672BE"/>
    <w:multiLevelType w:val="singleLevel"/>
    <w:tmpl w:val="2B8672BE"/>
    <w:lvl w:ilvl="0" w:tentative="0">
      <w:start w:val="1"/>
      <w:numFmt w:val="decimal"/>
      <w:lvlText w:val="%1."/>
      <w:lvlJc w:val="left"/>
      <w:pPr>
        <w:ind w:left="425" w:hanging="425"/>
      </w:pPr>
      <w:rPr>
        <w:rFonts w:hint="default"/>
      </w:rPr>
    </w:lvl>
  </w:abstractNum>
  <w:abstractNum w:abstractNumId="17">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0">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2">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3">
    <w:nsid w:val="5A6836EF"/>
    <w:multiLevelType w:val="singleLevel"/>
    <w:tmpl w:val="5A6836EF"/>
    <w:lvl w:ilvl="0" w:tentative="0">
      <w:start w:val="1"/>
      <w:numFmt w:val="decimal"/>
      <w:suff w:val="nothing"/>
      <w:lvlText w:val="%1."/>
      <w:lvlJc w:val="left"/>
      <w:pPr>
        <w:ind w:left="0" w:firstLine="0"/>
      </w:pPr>
    </w:lvl>
  </w:abstractNum>
  <w:abstractNum w:abstractNumId="24">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6">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8"/>
  </w:num>
  <w:num w:numId="2">
    <w:abstractNumId w:val="26"/>
  </w:num>
  <w:num w:numId="3">
    <w:abstractNumId w:val="21"/>
  </w:num>
  <w:num w:numId="4">
    <w:abstractNumId w:val="19"/>
  </w:num>
  <w:num w:numId="5">
    <w:abstractNumId w:val="8"/>
  </w:num>
  <w:num w:numId="6">
    <w:abstractNumId w:val="13"/>
  </w:num>
  <w:num w:numId="7">
    <w:abstractNumId w:val="15"/>
  </w:num>
  <w:num w:numId="8">
    <w:abstractNumId w:val="20"/>
  </w:num>
  <w:num w:numId="9">
    <w:abstractNumId w:val="22"/>
  </w:num>
  <w:num w:numId="10">
    <w:abstractNumId w:val="12"/>
  </w:num>
  <w:num w:numId="11">
    <w:abstractNumId w:val="10"/>
  </w:num>
  <w:num w:numId="12">
    <w:abstractNumId w:val="0"/>
  </w:num>
  <w:num w:numId="13">
    <w:abstractNumId w:val="4"/>
  </w:num>
  <w:num w:numId="14">
    <w:abstractNumId w:val="5"/>
  </w:num>
  <w:num w:numId="15">
    <w:abstractNumId w:val="3"/>
  </w:num>
  <w:num w:numId="16">
    <w:abstractNumId w:val="9"/>
  </w:num>
  <w:num w:numId="17">
    <w:abstractNumId w:val="14"/>
  </w:num>
  <w:num w:numId="18">
    <w:abstractNumId w:val="2"/>
  </w:num>
  <w:num w:numId="19">
    <w:abstractNumId w:val="25"/>
  </w:num>
  <w:num w:numId="20">
    <w:abstractNumId w:val="6"/>
  </w:num>
  <w:num w:numId="21">
    <w:abstractNumId w:val="24"/>
  </w:num>
  <w:num w:numId="22">
    <w:abstractNumId w:val="7"/>
  </w:num>
  <w:num w:numId="23">
    <w:abstractNumId w:val="1"/>
  </w:num>
  <w:num w:numId="24">
    <w:abstractNumId w:val="17"/>
  </w:num>
  <w:num w:numId="25">
    <w:abstractNumId w:val="23"/>
  </w:num>
  <w:num w:numId="26">
    <w:abstractNumId w:val="1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1EF6C32"/>
    <w:rsid w:val="02173A21"/>
    <w:rsid w:val="02CC3DCA"/>
    <w:rsid w:val="02FE76EF"/>
    <w:rsid w:val="034E1239"/>
    <w:rsid w:val="035256C0"/>
    <w:rsid w:val="03F033B0"/>
    <w:rsid w:val="04340045"/>
    <w:rsid w:val="04472DF8"/>
    <w:rsid w:val="05612989"/>
    <w:rsid w:val="057C1D39"/>
    <w:rsid w:val="05891259"/>
    <w:rsid w:val="05AF46BA"/>
    <w:rsid w:val="05D554DB"/>
    <w:rsid w:val="05F572F9"/>
    <w:rsid w:val="06023C82"/>
    <w:rsid w:val="0633552C"/>
    <w:rsid w:val="0654565B"/>
    <w:rsid w:val="07253DF6"/>
    <w:rsid w:val="07613623"/>
    <w:rsid w:val="08633479"/>
    <w:rsid w:val="08940DDD"/>
    <w:rsid w:val="08D71511"/>
    <w:rsid w:val="09630A6C"/>
    <w:rsid w:val="09FE7278"/>
    <w:rsid w:val="0A63147A"/>
    <w:rsid w:val="0ADB2EF0"/>
    <w:rsid w:val="0ADD4CBE"/>
    <w:rsid w:val="0B415BB4"/>
    <w:rsid w:val="0C2A1544"/>
    <w:rsid w:val="0C4F5E3C"/>
    <w:rsid w:val="0C83309C"/>
    <w:rsid w:val="0CA60618"/>
    <w:rsid w:val="0CB51572"/>
    <w:rsid w:val="0D01045C"/>
    <w:rsid w:val="0DE361E9"/>
    <w:rsid w:val="0DE73E36"/>
    <w:rsid w:val="0E4D31E3"/>
    <w:rsid w:val="0E530E38"/>
    <w:rsid w:val="10DC2AA3"/>
    <w:rsid w:val="10F468BD"/>
    <w:rsid w:val="10FA7C8C"/>
    <w:rsid w:val="12174CE2"/>
    <w:rsid w:val="121D1E44"/>
    <w:rsid w:val="12F64B6E"/>
    <w:rsid w:val="130B198F"/>
    <w:rsid w:val="13FA68E0"/>
    <w:rsid w:val="14C06690"/>
    <w:rsid w:val="15BB1367"/>
    <w:rsid w:val="16A918E4"/>
    <w:rsid w:val="16FC210E"/>
    <w:rsid w:val="17D966D6"/>
    <w:rsid w:val="18146E94"/>
    <w:rsid w:val="18432991"/>
    <w:rsid w:val="18945E62"/>
    <w:rsid w:val="19517BDA"/>
    <w:rsid w:val="19581095"/>
    <w:rsid w:val="19AE68D1"/>
    <w:rsid w:val="19E33213"/>
    <w:rsid w:val="1A463A67"/>
    <w:rsid w:val="1A4856D7"/>
    <w:rsid w:val="1A9829AF"/>
    <w:rsid w:val="1B481CDF"/>
    <w:rsid w:val="1B9B4505"/>
    <w:rsid w:val="1BA3160C"/>
    <w:rsid w:val="1BB870C9"/>
    <w:rsid w:val="1BC71D3B"/>
    <w:rsid w:val="1C59115B"/>
    <w:rsid w:val="1CA51100"/>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1428C"/>
    <w:rsid w:val="227640E7"/>
    <w:rsid w:val="227F2CA6"/>
    <w:rsid w:val="2286766F"/>
    <w:rsid w:val="22C5630B"/>
    <w:rsid w:val="23EC0BA6"/>
    <w:rsid w:val="24701A48"/>
    <w:rsid w:val="247E07FE"/>
    <w:rsid w:val="24AB04CD"/>
    <w:rsid w:val="25113A8A"/>
    <w:rsid w:val="25EC6AF8"/>
    <w:rsid w:val="268B0052"/>
    <w:rsid w:val="26B30B53"/>
    <w:rsid w:val="26CF6817"/>
    <w:rsid w:val="26EC4567"/>
    <w:rsid w:val="272A6A1B"/>
    <w:rsid w:val="27743C90"/>
    <w:rsid w:val="27B358EA"/>
    <w:rsid w:val="283931F7"/>
    <w:rsid w:val="284A307C"/>
    <w:rsid w:val="285E514C"/>
    <w:rsid w:val="28B55739"/>
    <w:rsid w:val="29CA2459"/>
    <w:rsid w:val="2AE22289"/>
    <w:rsid w:val="2B271A58"/>
    <w:rsid w:val="2B4D164C"/>
    <w:rsid w:val="2B6304A7"/>
    <w:rsid w:val="2BE02638"/>
    <w:rsid w:val="2C593377"/>
    <w:rsid w:val="2C642D3E"/>
    <w:rsid w:val="2CF6734C"/>
    <w:rsid w:val="2D4D284A"/>
    <w:rsid w:val="2D663463"/>
    <w:rsid w:val="2E077189"/>
    <w:rsid w:val="2E112A52"/>
    <w:rsid w:val="2EDD38C8"/>
    <w:rsid w:val="2EF96EE4"/>
    <w:rsid w:val="2EFB779B"/>
    <w:rsid w:val="2FAA5F8F"/>
    <w:rsid w:val="2FD2302A"/>
    <w:rsid w:val="2FF10008"/>
    <w:rsid w:val="30C9346B"/>
    <w:rsid w:val="317E4255"/>
    <w:rsid w:val="31D238BE"/>
    <w:rsid w:val="31E37A09"/>
    <w:rsid w:val="32355791"/>
    <w:rsid w:val="32C207BF"/>
    <w:rsid w:val="3380787D"/>
    <w:rsid w:val="33822A0F"/>
    <w:rsid w:val="349855A3"/>
    <w:rsid w:val="34F565DC"/>
    <w:rsid w:val="352E7115"/>
    <w:rsid w:val="354D5AA0"/>
    <w:rsid w:val="35D271A0"/>
    <w:rsid w:val="36254FE4"/>
    <w:rsid w:val="36AA39B8"/>
    <w:rsid w:val="372F61E0"/>
    <w:rsid w:val="38C745C2"/>
    <w:rsid w:val="390124A7"/>
    <w:rsid w:val="39322FCA"/>
    <w:rsid w:val="399B0BDB"/>
    <w:rsid w:val="3A2968D6"/>
    <w:rsid w:val="3A503E1E"/>
    <w:rsid w:val="3AB90991"/>
    <w:rsid w:val="3B706131"/>
    <w:rsid w:val="3B7F4B16"/>
    <w:rsid w:val="3BF833EC"/>
    <w:rsid w:val="3C8E02FC"/>
    <w:rsid w:val="3C931866"/>
    <w:rsid w:val="3D3346FD"/>
    <w:rsid w:val="3DE11DF4"/>
    <w:rsid w:val="3E6F041E"/>
    <w:rsid w:val="3E7C65B4"/>
    <w:rsid w:val="3E846635"/>
    <w:rsid w:val="3EC02A3D"/>
    <w:rsid w:val="3F834738"/>
    <w:rsid w:val="3F8B14C5"/>
    <w:rsid w:val="3F9D2397"/>
    <w:rsid w:val="3FE931E1"/>
    <w:rsid w:val="4020131E"/>
    <w:rsid w:val="40AC20A0"/>
    <w:rsid w:val="41A5482C"/>
    <w:rsid w:val="4275481E"/>
    <w:rsid w:val="428542D8"/>
    <w:rsid w:val="428B617A"/>
    <w:rsid w:val="42CE288A"/>
    <w:rsid w:val="433D7BDC"/>
    <w:rsid w:val="437E1813"/>
    <w:rsid w:val="43A427AA"/>
    <w:rsid w:val="43E96A97"/>
    <w:rsid w:val="444E2202"/>
    <w:rsid w:val="45354CBC"/>
    <w:rsid w:val="45BD47FC"/>
    <w:rsid w:val="45CC5FB2"/>
    <w:rsid w:val="462E6F30"/>
    <w:rsid w:val="46B75BA8"/>
    <w:rsid w:val="46E91D19"/>
    <w:rsid w:val="476E5648"/>
    <w:rsid w:val="47701514"/>
    <w:rsid w:val="47DE0683"/>
    <w:rsid w:val="48C97955"/>
    <w:rsid w:val="48D805C0"/>
    <w:rsid w:val="48F61800"/>
    <w:rsid w:val="492E2C7C"/>
    <w:rsid w:val="49880C8F"/>
    <w:rsid w:val="4A1A43A3"/>
    <w:rsid w:val="4A1E2A29"/>
    <w:rsid w:val="4A2007F8"/>
    <w:rsid w:val="4A8835F7"/>
    <w:rsid w:val="4AB619BA"/>
    <w:rsid w:val="4B1A4B97"/>
    <w:rsid w:val="4B592E71"/>
    <w:rsid w:val="4B963237"/>
    <w:rsid w:val="4BBE3774"/>
    <w:rsid w:val="4BEA574A"/>
    <w:rsid w:val="4BFA7044"/>
    <w:rsid w:val="4BFD2306"/>
    <w:rsid w:val="4C851584"/>
    <w:rsid w:val="4CB314C9"/>
    <w:rsid w:val="4DF75369"/>
    <w:rsid w:val="4DFF4B95"/>
    <w:rsid w:val="4E9E572E"/>
    <w:rsid w:val="4EA23B01"/>
    <w:rsid w:val="4EB0217D"/>
    <w:rsid w:val="4F8B220C"/>
    <w:rsid w:val="4FA74C65"/>
    <w:rsid w:val="4FD25793"/>
    <w:rsid w:val="504F4EAF"/>
    <w:rsid w:val="506C3F7C"/>
    <w:rsid w:val="516C4BAA"/>
    <w:rsid w:val="51BF13F4"/>
    <w:rsid w:val="51D51447"/>
    <w:rsid w:val="521A2D60"/>
    <w:rsid w:val="528B5CF4"/>
    <w:rsid w:val="52B9239A"/>
    <w:rsid w:val="52D52A7F"/>
    <w:rsid w:val="54287EA1"/>
    <w:rsid w:val="54BD78FD"/>
    <w:rsid w:val="552A3C28"/>
    <w:rsid w:val="555A2DA3"/>
    <w:rsid w:val="555B06B0"/>
    <w:rsid w:val="56901A99"/>
    <w:rsid w:val="571B2939"/>
    <w:rsid w:val="575363BD"/>
    <w:rsid w:val="581925FA"/>
    <w:rsid w:val="58A86DDE"/>
    <w:rsid w:val="58E62E3A"/>
    <w:rsid w:val="59154AD7"/>
    <w:rsid w:val="59254E33"/>
    <w:rsid w:val="595B6819"/>
    <w:rsid w:val="59AA17DC"/>
    <w:rsid w:val="5A0A04BC"/>
    <w:rsid w:val="5A3C6E2C"/>
    <w:rsid w:val="5A542AB4"/>
    <w:rsid w:val="5ADF548D"/>
    <w:rsid w:val="5BF95104"/>
    <w:rsid w:val="5C4627AE"/>
    <w:rsid w:val="5C9249CA"/>
    <w:rsid w:val="5D5C60B4"/>
    <w:rsid w:val="5DA23E51"/>
    <w:rsid w:val="5E5B22B9"/>
    <w:rsid w:val="5F4E71AE"/>
    <w:rsid w:val="5F906154"/>
    <w:rsid w:val="5F9B694B"/>
    <w:rsid w:val="60027C70"/>
    <w:rsid w:val="605E6D10"/>
    <w:rsid w:val="60651FB9"/>
    <w:rsid w:val="614E12EC"/>
    <w:rsid w:val="616D6769"/>
    <w:rsid w:val="619522AC"/>
    <w:rsid w:val="61BD5D78"/>
    <w:rsid w:val="62AF7E63"/>
    <w:rsid w:val="62BD60DC"/>
    <w:rsid w:val="63D71235"/>
    <w:rsid w:val="63F04A69"/>
    <w:rsid w:val="646A3D0C"/>
    <w:rsid w:val="64A82747"/>
    <w:rsid w:val="64E36D74"/>
    <w:rsid w:val="65336B29"/>
    <w:rsid w:val="65AF62ED"/>
    <w:rsid w:val="65C45128"/>
    <w:rsid w:val="66526AE4"/>
    <w:rsid w:val="66A50B1E"/>
    <w:rsid w:val="67095CF1"/>
    <w:rsid w:val="674E3DF4"/>
    <w:rsid w:val="67A92DAB"/>
    <w:rsid w:val="67B2063C"/>
    <w:rsid w:val="67C97AC3"/>
    <w:rsid w:val="67D5595A"/>
    <w:rsid w:val="67E30EC1"/>
    <w:rsid w:val="695D046C"/>
    <w:rsid w:val="69AB74E8"/>
    <w:rsid w:val="6A4E3B2B"/>
    <w:rsid w:val="6A775937"/>
    <w:rsid w:val="6A7B1191"/>
    <w:rsid w:val="6AAE6E86"/>
    <w:rsid w:val="6AC838A9"/>
    <w:rsid w:val="6AED682D"/>
    <w:rsid w:val="6B481C3B"/>
    <w:rsid w:val="6B875383"/>
    <w:rsid w:val="6BB836A4"/>
    <w:rsid w:val="6BED7089"/>
    <w:rsid w:val="6C1331A3"/>
    <w:rsid w:val="6C765676"/>
    <w:rsid w:val="6CA84BC1"/>
    <w:rsid w:val="6D170ADE"/>
    <w:rsid w:val="6D3E4756"/>
    <w:rsid w:val="6D5D40D0"/>
    <w:rsid w:val="6F12155D"/>
    <w:rsid w:val="6FC523EB"/>
    <w:rsid w:val="6FE22646"/>
    <w:rsid w:val="70122115"/>
    <w:rsid w:val="70825D63"/>
    <w:rsid w:val="70BA0E1D"/>
    <w:rsid w:val="71FE41EB"/>
    <w:rsid w:val="72895F2E"/>
    <w:rsid w:val="72C02EBE"/>
    <w:rsid w:val="72C507AD"/>
    <w:rsid w:val="72D028D8"/>
    <w:rsid w:val="73234831"/>
    <w:rsid w:val="73397A01"/>
    <w:rsid w:val="745D47C3"/>
    <w:rsid w:val="75341FA7"/>
    <w:rsid w:val="755404B8"/>
    <w:rsid w:val="75F01B62"/>
    <w:rsid w:val="764F7753"/>
    <w:rsid w:val="76AC3757"/>
    <w:rsid w:val="76B66003"/>
    <w:rsid w:val="76DC0C04"/>
    <w:rsid w:val="77D4005C"/>
    <w:rsid w:val="782513D5"/>
    <w:rsid w:val="78292927"/>
    <w:rsid w:val="78B2145F"/>
    <w:rsid w:val="78D35C78"/>
    <w:rsid w:val="78D62583"/>
    <w:rsid w:val="78F33EC6"/>
    <w:rsid w:val="78F37D6B"/>
    <w:rsid w:val="79791A31"/>
    <w:rsid w:val="7A6B48EE"/>
    <w:rsid w:val="7B8A3D70"/>
    <w:rsid w:val="7B902651"/>
    <w:rsid w:val="7B9755C4"/>
    <w:rsid w:val="7C6021A7"/>
    <w:rsid w:val="7CAB4D9F"/>
    <w:rsid w:val="7CB93F8E"/>
    <w:rsid w:val="7CED7FF7"/>
    <w:rsid w:val="7CF66B46"/>
    <w:rsid w:val="7D185B2A"/>
    <w:rsid w:val="7D4A0A5C"/>
    <w:rsid w:val="7D97125D"/>
    <w:rsid w:val="7DB618B0"/>
    <w:rsid w:val="7DBD28BA"/>
    <w:rsid w:val="7DF63749"/>
    <w:rsid w:val="7E736B66"/>
    <w:rsid w:val="7EE64005"/>
    <w:rsid w:val="7EEE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 w:type="paragraph" w:customStyle="1" w:styleId="114">
    <w:name w:val="BodyText3"/>
    <w:basedOn w:val="1"/>
    <w:qFormat/>
    <w:uiPriority w:val="0"/>
    <w:pPr>
      <w:spacing w:after="120"/>
    </w:pPr>
    <w:rPr>
      <w:sz w:val="16"/>
      <w:szCs w:val="16"/>
    </w:rPr>
  </w:style>
  <w:style w:type="character" w:customStyle="1" w:styleId="115">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37</Pages>
  <Words>1501</Words>
  <Characters>1655</Characters>
  <Lines>127</Lines>
  <Paragraphs>35</Paragraphs>
  <TotalTime>20</TotalTime>
  <ScaleCrop>false</ScaleCrop>
  <LinksUpToDate>false</LinksUpToDate>
  <CharactersWithSpaces>1686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骑士</cp:lastModifiedBy>
  <cp:lastPrinted>2020-06-28T02:28:00Z</cp:lastPrinted>
  <dcterms:modified xsi:type="dcterms:W3CDTF">2026-07-10T08:49:42Z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E165F3114E734B7291ED236160331EEB_13</vt:lpwstr>
  </property>
  <property fmtid="{D5CDD505-2E9C-101B-9397-08002B2CF9AE}" pid="4" name="KSOTemplateDocerSaveRecord">
    <vt:lpwstr>eyJoZGlkIjoiYTQ5NjcwNTc1YjMzNzM3NzZlZGVhZjNmMGQ3MmM2YzIiLCJ1c2VySWQiOiI2NDU1Mzg1MTkifQ==</vt:lpwstr>
  </property>
</Properties>
</file>