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90260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  <w:lang w:val="en-US" w:eastAsia="zh-CN" w:bidi="ar-SA"/>
        </w:rPr>
        <w:t>评分标准</w:t>
      </w:r>
    </w:p>
    <w:tbl>
      <w:tblPr>
        <w:tblStyle w:val="8"/>
        <w:tblW w:w="96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76"/>
        <w:gridCol w:w="700"/>
        <w:gridCol w:w="1175"/>
        <w:gridCol w:w="938"/>
        <w:gridCol w:w="5834"/>
      </w:tblGrid>
      <w:tr w14:paraId="13CA3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atLeast"/>
          <w:jc w:val="center"/>
        </w:trPr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72B8C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</w:rPr>
              <w:t>评标因素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23D8B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</w:rPr>
              <w:t>总分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lang w:eastAsia="zh-CN"/>
              </w:rPr>
              <w:t>）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961C4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</w:rPr>
              <w:t>评审内容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EFAD1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</w:rPr>
              <w:t>最高得分</w:t>
            </w:r>
          </w:p>
        </w:tc>
        <w:tc>
          <w:tcPr>
            <w:tcW w:w="5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7A18F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</w:rPr>
              <w:t>评分标准</w:t>
            </w:r>
          </w:p>
        </w:tc>
      </w:tr>
      <w:tr w14:paraId="6EA5E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3" w:hRule="atLeast"/>
          <w:jc w:val="center"/>
        </w:trPr>
        <w:tc>
          <w:tcPr>
            <w:tcW w:w="9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E1AA12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</w:rPr>
              <w:t>技术标</w:t>
            </w:r>
          </w:p>
        </w:tc>
        <w:tc>
          <w:tcPr>
            <w:tcW w:w="7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F8D05C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lang w:val="en-US" w:eastAsia="zh-CN"/>
              </w:rPr>
              <w:t>100*</w:t>
            </w:r>
          </w:p>
          <w:p w14:paraId="05155E07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lang w:val="en-US" w:eastAsia="zh-CN"/>
              </w:rPr>
              <w:t>40%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00AF22">
            <w:pPr>
              <w:widowControl/>
              <w:shd w:val="clear" w:color="auto" w:fill="FFFFFF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lang w:eastAsia="zh-CN"/>
              </w:rPr>
            </w:pPr>
            <w:r>
              <w:rPr>
                <w:rFonts w:hint="eastAsia" w:ascii="宋体" w:cs="宋体"/>
                <w:lang w:bidi="ar-SA"/>
              </w:rPr>
              <w:t>项目实施整体思路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67374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lang w:val="en-US" w:eastAsia="zh-CN"/>
              </w:rPr>
              <w:t>20</w:t>
            </w:r>
          </w:p>
        </w:tc>
        <w:tc>
          <w:tcPr>
            <w:tcW w:w="5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DB8F8">
            <w:pPr>
              <w:widowControl/>
              <w:shd w:val="clear" w:color="auto" w:fill="FFFFFF"/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对项目的总体实施思路进行阐述，详细阐述项目建设目标、实现思路和关键技术的理解。为保证项目完成，对本项目的认识，项目的策划、方案设计、制造供货到安装的统筹考虑及安排。</w:t>
            </w:r>
          </w:p>
          <w:p w14:paraId="3A6E938F">
            <w:pPr>
              <w:widowControl/>
              <w:shd w:val="clear" w:color="auto" w:fill="FFFFFF"/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  <w:t>优秀得15-20分；</w:t>
            </w:r>
          </w:p>
          <w:p w14:paraId="61FFE462">
            <w:pPr>
              <w:widowControl/>
              <w:shd w:val="clear" w:color="auto" w:fill="FFFFFF"/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  <w:t>符合得10-15分；</w:t>
            </w:r>
          </w:p>
          <w:p w14:paraId="4D85AEE4">
            <w:pPr>
              <w:pStyle w:val="7"/>
              <w:ind w:left="0" w:leftChars="0" w:firstLine="0" w:firstLineChars="0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  <w:t>基本满足得0-10分。</w:t>
            </w:r>
          </w:p>
        </w:tc>
      </w:tr>
      <w:tr w14:paraId="1A127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5" w:hRule="atLeast"/>
          <w:jc w:val="center"/>
        </w:trPr>
        <w:tc>
          <w:tcPr>
            <w:tcW w:w="9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25CB55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8B1FFB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AC57E">
            <w:pPr>
              <w:widowControl/>
              <w:shd w:val="clear" w:color="auto" w:fill="FFFFFF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</w:rPr>
            </w:pPr>
            <w:r>
              <w:rPr>
                <w:rFonts w:hint="eastAsia" w:ascii="宋体" w:cs="宋体"/>
                <w:lang w:eastAsia="zh-CN" w:bidi="ar-SA"/>
              </w:rPr>
              <w:t>深化</w:t>
            </w:r>
            <w:r>
              <w:rPr>
                <w:rFonts w:hint="eastAsia" w:ascii="宋体" w:cs="宋体"/>
                <w:lang w:bidi="ar-SA"/>
              </w:rPr>
              <w:t>设计方案及主材设备的技术性能参数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A606D1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lang w:val="en-US" w:eastAsia="zh-CN"/>
              </w:rPr>
              <w:t>30</w:t>
            </w:r>
          </w:p>
        </w:tc>
        <w:tc>
          <w:tcPr>
            <w:tcW w:w="58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6ED047">
            <w:pPr>
              <w:widowControl/>
              <w:numPr>
                <w:ilvl w:val="0"/>
                <w:numId w:val="3"/>
              </w:numPr>
              <w:shd w:val="clear" w:color="auto" w:fill="FFFFFF"/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  <w:t>在现有设计的基础上进行的深化设计及复核，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  <w:t>考虑车间综合情况和使用者的体验，包括方案的全面性、合理性、匹配性、可行性、先进性、经济性。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  <w:t>如有变化需说明具体优化之处。</w:t>
            </w:r>
          </w:p>
          <w:p w14:paraId="26BFE4BB">
            <w:pPr>
              <w:widowControl/>
              <w:numPr>
                <w:ilvl w:val="0"/>
                <w:numId w:val="3"/>
              </w:numPr>
              <w:shd w:val="clear" w:color="auto" w:fill="FFFFFF"/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  <w:t>所投产品的实际各项技术参数、技术工艺及主要零部件配置方案等。</w:t>
            </w:r>
          </w:p>
          <w:p w14:paraId="5B20773C">
            <w:pPr>
              <w:widowControl/>
              <w:shd w:val="clear" w:color="auto" w:fill="FFFFFF"/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  <w:t>优秀得15-30分；</w:t>
            </w:r>
          </w:p>
          <w:p w14:paraId="54004EE8">
            <w:pPr>
              <w:widowControl/>
              <w:shd w:val="clear" w:color="auto" w:fill="FFFFFF"/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  <w:t>符合得10-20分；</w:t>
            </w:r>
          </w:p>
          <w:p w14:paraId="32FCF0FD">
            <w:pPr>
              <w:widowControl/>
              <w:shd w:val="clear" w:color="auto" w:fill="FFFFFF"/>
              <w:spacing w:line="300" w:lineRule="exact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  <w:t>基本满足得0-10分。</w:t>
            </w:r>
          </w:p>
        </w:tc>
      </w:tr>
      <w:tr w14:paraId="1729F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8" w:hRule="atLeast"/>
          <w:jc w:val="center"/>
        </w:trPr>
        <w:tc>
          <w:tcPr>
            <w:tcW w:w="9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2EA884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7CECD5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30599">
            <w:pPr>
              <w:widowControl/>
              <w:shd w:val="clear" w:color="auto" w:fill="FFFFFF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lang w:val="en-US" w:eastAsia="zh-CN"/>
              </w:rPr>
            </w:pPr>
            <w:r>
              <w:rPr>
                <w:rFonts w:hint="eastAsia" w:ascii="宋体" w:cs="宋体"/>
                <w:lang w:bidi="ar-SA"/>
              </w:rPr>
              <w:t>施工质量、安全文明措施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B71822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lang w:val="en-US" w:eastAsia="zh-CN"/>
              </w:rPr>
              <w:t>20</w:t>
            </w:r>
          </w:p>
        </w:tc>
        <w:tc>
          <w:tcPr>
            <w:tcW w:w="58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7ECDE8">
            <w:pPr>
              <w:widowControl/>
              <w:shd w:val="clear" w:color="auto" w:fill="FFFFFF"/>
              <w:spacing w:line="3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  <w:t>为完成本项目，对现场施工的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质量保证措施、安全生产、文明施工、环境保护等措施进行阐述。</w:t>
            </w:r>
          </w:p>
          <w:p w14:paraId="49F232E7">
            <w:pPr>
              <w:widowControl/>
              <w:shd w:val="clear" w:color="auto" w:fill="FFFFFF"/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  <w:t>优秀得15-20分；</w:t>
            </w:r>
          </w:p>
          <w:p w14:paraId="0FF871DF">
            <w:pPr>
              <w:widowControl/>
              <w:shd w:val="clear" w:color="auto" w:fill="FFFFFF"/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  <w:t>符合得10-15分；</w:t>
            </w:r>
          </w:p>
          <w:p w14:paraId="51AF5617">
            <w:pPr>
              <w:pStyle w:val="3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  <w:t>基本满足得0-10分。</w:t>
            </w:r>
          </w:p>
        </w:tc>
      </w:tr>
      <w:tr w14:paraId="2D5C5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9" w:hRule="atLeast"/>
          <w:jc w:val="center"/>
        </w:trPr>
        <w:tc>
          <w:tcPr>
            <w:tcW w:w="9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84BBA9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4AB598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2D274">
            <w:pPr>
              <w:widowControl/>
              <w:shd w:val="clear" w:color="auto" w:fill="FFFFFF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bidi="ar-SA"/>
              </w:rPr>
              <w:t>供货及安装进度保证措施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4B2868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lang w:val="en-US" w:eastAsia="zh-CN"/>
              </w:rPr>
              <w:t>0</w:t>
            </w:r>
          </w:p>
        </w:tc>
        <w:tc>
          <w:tcPr>
            <w:tcW w:w="58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7CC681">
            <w:pPr>
              <w:widowControl/>
              <w:shd w:val="clear" w:color="auto" w:fill="FFFFFF"/>
              <w:spacing w:line="3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为完成本项目，制定合理的进度计划，从深化设计、生产制造、供货、安装等方面，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  <w:t>在保证质量的前提下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详细说明控制进度的保证措施。</w:t>
            </w:r>
          </w:p>
          <w:p w14:paraId="7D21FA4C">
            <w:pPr>
              <w:widowControl/>
              <w:shd w:val="clear" w:color="auto" w:fill="FFFFFF"/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  <w:t>优秀得15-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  <w:t>0分；</w:t>
            </w:r>
          </w:p>
          <w:p w14:paraId="3C8EC640">
            <w:pPr>
              <w:widowControl/>
              <w:shd w:val="clear" w:color="auto" w:fill="FFFFFF"/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  <w:t>符合得10-15分；</w:t>
            </w:r>
          </w:p>
          <w:p w14:paraId="5C9EBDC0">
            <w:pPr>
              <w:widowControl/>
              <w:shd w:val="clear" w:color="auto" w:fill="FFFFFF"/>
              <w:spacing w:line="300" w:lineRule="exact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-SA"/>
              </w:rPr>
              <w:t>基本满足得0-10分。</w:t>
            </w:r>
          </w:p>
        </w:tc>
      </w:tr>
      <w:tr w14:paraId="4AE9F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10" w:hRule="atLeast"/>
          <w:jc w:val="center"/>
        </w:trPr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6D83E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</w:rPr>
              <w:t>商务标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79B84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lang w:val="en-US" w:eastAsia="zh-CN"/>
              </w:rPr>
              <w:t>100*</w:t>
            </w:r>
          </w:p>
          <w:p w14:paraId="23A915C8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lang w:val="en-US" w:eastAsia="zh-CN"/>
              </w:rPr>
              <w:t>60%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D865B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</w:rPr>
              <w:t>投标报价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326735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lang w:val="en-US" w:eastAsia="zh-CN"/>
              </w:rPr>
              <w:t>100</w:t>
            </w:r>
          </w:p>
        </w:tc>
        <w:tc>
          <w:tcPr>
            <w:tcW w:w="58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31DEE4">
            <w:pPr>
              <w:jc w:val="both"/>
              <w:rPr>
                <w:rFonts w:hint="eastAsia" w:ascii="宋体" w:hAnsi="宋体" w:eastAsia="宋体" w:cs="宋体"/>
                <w:b w:val="0"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</w:rPr>
              <w:t>1.商务标得分=当前轮次最低价/供方投标价X商务标总分。</w:t>
            </w:r>
          </w:p>
          <w:p w14:paraId="70A24BB9">
            <w:pPr>
              <w:widowControl/>
              <w:shd w:val="clear" w:color="auto" w:fill="FFFFFF"/>
              <w:spacing w:line="300" w:lineRule="exact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</w:rPr>
              <w:t>2.评标价格均以元（RMB）为单位计算，百分率、得分值小数点后保留二位，第三位四舍五入。</w:t>
            </w:r>
          </w:p>
        </w:tc>
      </w:tr>
      <w:tr w14:paraId="2F45E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97" w:hRule="atLeast"/>
          <w:jc w:val="center"/>
        </w:trPr>
        <w:tc>
          <w:tcPr>
            <w:tcW w:w="96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327A9">
            <w:pPr>
              <w:rPr>
                <w:rFonts w:ascii="宋体"/>
                <w:b w:val="0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highlight w:val="none"/>
              </w:rPr>
              <w:t>备注：</w:t>
            </w:r>
          </w:p>
          <w:p w14:paraId="73C51959">
            <w:pPr>
              <w:rPr>
                <w:rFonts w:ascii="宋体"/>
                <w:b w:val="0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highlight w:val="none"/>
              </w:rPr>
              <w:t>1、通过初审者为有效投标。</w:t>
            </w:r>
          </w:p>
          <w:p w14:paraId="5F8B2645">
            <w:pPr>
              <w:rPr>
                <w:rFonts w:hint="eastAsia" w:ascii="宋体" w:hAnsi="宋体"/>
                <w:b w:val="0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highlight w:val="none"/>
              </w:rPr>
              <w:t>2、</w:t>
            </w:r>
            <w:r>
              <w:rPr>
                <w:rFonts w:hint="eastAsia" w:ascii="??" w:hAnsi="??"/>
                <w:b w:val="0"/>
                <w:bCs/>
                <w:color w:val="auto"/>
                <w:highlight w:val="none"/>
              </w:rPr>
              <w:t>综合评价值相同的，依照价格、技术、商务、服务及其他评价内容的优先次序，根据分项评价值进行排名。</w:t>
            </w:r>
            <w:r>
              <w:rPr>
                <w:rFonts w:hint="eastAsia" w:ascii="宋体" w:hAnsi="宋体"/>
                <w:b w:val="0"/>
                <w:bCs/>
                <w:color w:val="auto"/>
                <w:highlight w:val="none"/>
              </w:rPr>
              <w:t>若上述排名皆相同的，则由全体评委成员无记名投票，得票高者排序在前。</w:t>
            </w:r>
          </w:p>
          <w:p w14:paraId="3AB74540">
            <w:pPr>
              <w:rPr>
                <w:rFonts w:hint="eastAsia" w:ascii="宋体" w:hAnsi="宋体"/>
                <w:b w:val="0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highlight w:val="none"/>
              </w:rPr>
              <w:t>3、评委打分超过得分界限或未按本方法赋分时，该评委的打分按废票处理。</w:t>
            </w:r>
          </w:p>
          <w:p w14:paraId="0341A59F">
            <w:pPr>
              <w:rPr>
                <w:rFonts w:ascii="宋体"/>
                <w:b w:val="0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highlight w:val="none"/>
              </w:rPr>
              <w:t>4、投标人提交的投标文件和资料必须真实有效。合同签订前，招标人有权组织联合小组（财务、技术、设备、质量等）到中标候选人实地审核，如发现投标文件和资料有弄虚作假，招标人有权取消其中标候选人资格，同时招标人有权扣留其投标保证金。</w:t>
            </w:r>
          </w:p>
        </w:tc>
      </w:tr>
    </w:tbl>
    <w:p w14:paraId="7CF313B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032D4D"/>
    <w:multiLevelType w:val="singleLevel"/>
    <w:tmpl w:val="CE032D4D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">
    <w:nsid w:val="DC3F8C8B"/>
    <w:multiLevelType w:val="singleLevel"/>
    <w:tmpl w:val="DC3F8C8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656A6EAE"/>
    <w:multiLevelType w:val="multilevel"/>
    <w:tmpl w:val="656A6EAE"/>
    <w:lvl w:ilvl="0" w:tentative="0">
      <w:start w:val="1"/>
      <w:numFmt w:val="chineseCountingThousand"/>
      <w:pStyle w:val="10"/>
      <w:suff w:val="nothing"/>
      <w:lvlText w:val="%1、"/>
      <w:lvlJc w:val="left"/>
      <w:pPr>
        <w:ind w:left="2972" w:hanging="420"/>
      </w:pPr>
      <w:rPr>
        <w:rFonts w:hint="eastAsia" w:ascii="黑体" w:hAnsi="黑体" w:eastAsia="黑体"/>
        <w:sz w:val="28"/>
        <w:szCs w:val="28"/>
        <w:highlight w:val="none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C5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8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8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98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Fließtext"/>
    <w:basedOn w:val="1"/>
    <w:qFormat/>
    <w:uiPriority w:val="99"/>
    <w:pPr>
      <w:widowControl/>
      <w:jc w:val="center"/>
    </w:pPr>
    <w:rPr>
      <w:rFonts w:ascii="Arial" w:hAnsi="Arial"/>
      <w:kern w:val="0"/>
      <w:szCs w:val="20"/>
      <w:lang w:val="de-DE" w:eastAsia="de-DE"/>
    </w:rPr>
  </w:style>
  <w:style w:type="paragraph" w:styleId="3">
    <w:name w:val="Body Text"/>
    <w:basedOn w:val="1"/>
    <w:semiHidden/>
    <w:qFormat/>
    <w:uiPriority w:val="98"/>
    <w:rPr>
      <w:rFonts w:ascii="仿宋_GB2312" w:eastAsia="仿宋_GB2312"/>
      <w:sz w:val="32"/>
    </w:rPr>
  </w:style>
  <w:style w:type="paragraph" w:styleId="4">
    <w:name w:val="Body Text Indent"/>
    <w:basedOn w:val="1"/>
    <w:next w:val="1"/>
    <w:semiHidden/>
    <w:qFormat/>
    <w:uiPriority w:val="0"/>
    <w:pPr>
      <w:spacing w:after="120"/>
      <w:ind w:left="420" w:leftChars="200"/>
    </w:pPr>
    <w:rPr>
      <w:rFonts w:ascii="Calibri" w:hAnsi="Calibri"/>
      <w:szCs w:val="22"/>
    </w:r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toc 2"/>
    <w:basedOn w:val="1"/>
    <w:next w:val="1"/>
    <w:qFormat/>
    <w:uiPriority w:val="39"/>
    <w:pPr>
      <w:ind w:left="420" w:leftChars="200"/>
    </w:pPr>
  </w:style>
  <w:style w:type="paragraph" w:styleId="7">
    <w:name w:val="Body Text First Indent 2"/>
    <w:basedOn w:val="4"/>
    <w:next w:val="6"/>
    <w:qFormat/>
    <w:uiPriority w:val="0"/>
    <w:pPr>
      <w:spacing w:line="276" w:lineRule="auto"/>
      <w:ind w:left="200" w:firstLine="200" w:firstLineChars="200"/>
      <w:jc w:val="left"/>
    </w:pPr>
  </w:style>
  <w:style w:type="paragraph" w:customStyle="1" w:styleId="10">
    <w:name w:val="一级标题"/>
    <w:basedOn w:val="5"/>
    <w:qFormat/>
    <w:uiPriority w:val="1"/>
    <w:pPr>
      <w:numPr>
        <w:ilvl w:val="0"/>
        <w:numId w:val="1"/>
      </w:numPr>
      <w:spacing w:line="360" w:lineRule="auto"/>
      <w:ind w:left="420"/>
      <w:outlineLvl w:val="1"/>
    </w:pPr>
    <w:rPr>
      <w:rFonts w:ascii="黑体" w:eastAsia="黑体"/>
      <w:b/>
      <w:bCs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2026-07-11T07:20:54Z</dcterms:created>
  <dc:creator>赵翊旭</dc:creator>
  <cp:lastModifiedBy>赵翊旭</cp:lastModifiedBy>
  <dcterms:modified xsi:type="dcterms:W3CDTF">2026-07-11T07:21:28Z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ICV">
    <vt:lpwstr>E00445F0C2B248978995391579A1442E_12</vt:lpwstr>
  </property>
</Properties>
</file>