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z w:val="30"/>
          <w:szCs w:val="30"/>
        </w:rPr>
      </w:pPr>
    </w:p>
    <w:p>
      <w:pPr>
        <w:spacing w:line="900" w:lineRule="exact"/>
        <w:jc w:val="center"/>
        <w:rPr>
          <w:rFonts w:hint="default" w:eastAsia="宋体"/>
          <w:b/>
          <w:bCs/>
          <w:sz w:val="48"/>
          <w:szCs w:val="48"/>
          <w:lang w:val="en-US" w:eastAsia="zh-CN"/>
        </w:rPr>
      </w:pPr>
      <w:r>
        <w:rPr>
          <w:rFonts w:hint="eastAsia"/>
          <w:b/>
          <w:bCs/>
          <w:sz w:val="48"/>
          <w:szCs w:val="48"/>
        </w:rPr>
        <w:t>中国重汽集团</w:t>
      </w:r>
      <w:r>
        <w:rPr>
          <w:rFonts w:hint="eastAsia"/>
          <w:b/>
          <w:bCs/>
          <w:sz w:val="48"/>
          <w:szCs w:val="48"/>
          <w:lang w:val="en-US" w:eastAsia="zh-CN"/>
        </w:rPr>
        <w:t>济南动力有限公司</w:t>
      </w:r>
    </w:p>
    <w:p>
      <w:pPr>
        <w:spacing w:line="900" w:lineRule="exact"/>
        <w:jc w:val="center"/>
        <w:rPr>
          <w:b/>
          <w:bCs/>
          <w:sz w:val="48"/>
          <w:szCs w:val="48"/>
        </w:rPr>
      </w:pPr>
      <w:r>
        <w:rPr>
          <w:rFonts w:hint="eastAsia"/>
          <w:b/>
          <w:bCs/>
          <w:sz w:val="48"/>
          <w:szCs w:val="48"/>
        </w:rPr>
        <w:t>新能源产品试验检测中心</w:t>
      </w:r>
    </w:p>
    <w:p>
      <w:pPr>
        <w:spacing w:line="900" w:lineRule="exact"/>
        <w:jc w:val="center"/>
        <w:rPr>
          <w:b/>
          <w:bCs/>
          <w:sz w:val="48"/>
          <w:szCs w:val="48"/>
        </w:rPr>
      </w:pPr>
      <w:r>
        <w:rPr>
          <w:rFonts w:hint="eastAsia"/>
          <w:b/>
          <w:bCs/>
          <w:sz w:val="48"/>
          <w:szCs w:val="48"/>
        </w:rPr>
        <w:t>加氢站运维管理项目</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pPr>
        <w:jc w:val="center"/>
        <w:rPr>
          <w:rFonts w:hint="eastAsia" w:ascii="宋体" w:hAnsi="宋体" w:eastAsia="宋体" w:cs="宋体"/>
          <w:sz w:val="28"/>
          <w:szCs w:val="28"/>
        </w:rPr>
      </w:pPr>
    </w:p>
    <w:p>
      <w:pPr>
        <w:pStyle w:val="59"/>
        <w:rPr>
          <w:rFonts w:hint="eastAsia" w:ascii="宋体" w:hAnsi="宋体" w:eastAsia="宋体" w:cs="宋体"/>
        </w:rPr>
      </w:pPr>
      <w:r>
        <w:rPr>
          <w:rFonts w:hint="eastAsia" w:ascii="宋体" w:hAnsi="宋体" w:eastAsia="宋体" w:cs="宋体"/>
        </w:rPr>
        <w:t>第一章  招标公告</w:t>
      </w:r>
    </w:p>
    <w:p>
      <w:pPr>
        <w:pStyle w:val="81"/>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eastAsia" w:ascii="宋体" w:hAnsi="宋体" w:eastAsia="宋体" w:cs="宋体"/>
          <w:lang w:eastAsia="zh-CN"/>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lang w:eastAsia="zh-CN"/>
        </w:rPr>
        <w:t>新能源产品试验检测中心加氢站运维管理项目</w:t>
      </w:r>
    </w:p>
    <w:p>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采购形式编号：ZBGL2026070317</w:t>
      </w:r>
    </w:p>
    <w:bookmarkEnd w:id="0"/>
    <w:p>
      <w:pPr>
        <w:pStyle w:val="81"/>
        <w:rPr>
          <w:rFonts w:hint="eastAsia" w:ascii="宋体" w:hAnsi="宋体" w:eastAsia="宋体" w:cs="宋体"/>
        </w:rPr>
      </w:pPr>
      <w:r>
        <w:rPr>
          <w:rFonts w:hint="eastAsia" w:ascii="宋体" w:hAnsi="宋体" w:eastAsia="宋体" w:cs="宋体"/>
        </w:rPr>
        <w:t>二、招标内容及形式</w:t>
      </w:r>
    </w:p>
    <w:p>
      <w:pPr>
        <w:pStyle w:val="15"/>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1、招标内容：新能源产品试验检测中心加氢站运维</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2、招标形式：</w:t>
      </w:r>
      <w:r>
        <w:rPr>
          <w:rFonts w:hint="eastAsia" w:hAnsi="宋体" w:cs="宋体"/>
          <w:color w:val="000000"/>
          <w:sz w:val="24"/>
          <w:szCs w:val="24"/>
          <w:lang w:val="en-US" w:eastAsia="zh-CN"/>
        </w:rPr>
        <w:t>公开招标</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pPr>
        <w:pStyle w:val="81"/>
        <w:rPr>
          <w:rFonts w:hint="eastAsia" w:ascii="宋体" w:hAnsi="宋体" w:eastAsia="宋体" w:cs="宋体"/>
        </w:rPr>
      </w:pPr>
      <w:r>
        <w:rPr>
          <w:rFonts w:hint="eastAsia" w:ascii="宋体" w:hAnsi="宋体" w:eastAsia="宋体" w:cs="宋体"/>
        </w:rPr>
        <w:t>三、项目概况与招标范围</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hAnsi="宋体" w:cs="宋体"/>
          <w:color w:val="000000"/>
          <w:sz w:val="24"/>
          <w:szCs w:val="24"/>
          <w:lang w:eastAsia="zh-CN"/>
        </w:rPr>
        <w:t>新能源产品试验检测中心加氢站运维管理项目</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2、项目地点：济南市莱芜区莱城大道1188号。</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pPr>
        <w:pStyle w:val="79"/>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pPr>
        <w:pStyle w:val="79"/>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b w:val="0"/>
                <w:lang w:eastAsia="zh-CN"/>
              </w:rPr>
            </w:pPr>
            <w:r>
              <w:rPr>
                <w:rFonts w:hint="eastAsia" w:ascii="宋体" w:hAnsi="宋体" w:eastAsia="宋体" w:cs="宋体"/>
                <w:b w:val="0"/>
                <w:lang w:eastAsia="zh-CN"/>
              </w:rPr>
              <w:t>新能源产品试验检测中心加氢站运维管理项目</w:t>
            </w:r>
          </w:p>
        </w:tc>
        <w:tc>
          <w:tcPr>
            <w:tcW w:w="1441" w:type="dxa"/>
            <w:tcBorders>
              <w:top w:val="single" w:color="auto" w:sz="4" w:space="0"/>
              <w:left w:val="single" w:color="auto" w:sz="4" w:space="0"/>
              <w:bottom w:val="single" w:color="auto" w:sz="4" w:space="0"/>
              <w:right w:val="single" w:color="auto" w:sz="4" w:space="0"/>
            </w:tcBorders>
            <w:vAlign w:val="center"/>
          </w:tcPr>
          <w:p>
            <w:pPr>
              <w:pStyle w:val="83"/>
              <w:jc w:val="center"/>
              <w:rPr>
                <w:rFonts w:hint="eastAsia" w:ascii="宋体" w:hAnsi="宋体" w:eastAsia="宋体" w:cs="宋体"/>
                <w:b w:val="0"/>
              </w:rPr>
            </w:pPr>
            <w:r>
              <w:rPr>
                <w:rFonts w:hint="eastAsia" w:ascii="宋体" w:hAnsi="宋体" w:eastAsia="宋体" w:cs="宋体"/>
                <w:b w:val="0"/>
                <w:lang w:val="en-US" w:eastAsia="zh-CN"/>
              </w:rPr>
              <w:t>开口</w:t>
            </w:r>
            <w:r>
              <w:rPr>
                <w:rFonts w:hint="eastAsia" w:ascii="宋体" w:hAnsi="宋体" w:eastAsia="宋体" w:cs="宋体"/>
                <w:b w:val="0"/>
              </w:rPr>
              <w:t>合同</w:t>
            </w:r>
          </w:p>
        </w:tc>
        <w:tc>
          <w:tcPr>
            <w:tcW w:w="4644" w:type="dxa"/>
            <w:tcBorders>
              <w:top w:val="single" w:color="auto" w:sz="4" w:space="0"/>
              <w:left w:val="single" w:color="auto" w:sz="4" w:space="0"/>
              <w:bottom w:val="single" w:color="auto" w:sz="4" w:space="0"/>
              <w:right w:val="single" w:color="auto" w:sz="4" w:space="0"/>
            </w:tcBorders>
            <w:vAlign w:val="center"/>
          </w:tcPr>
          <w:p>
            <w:pPr>
              <w:pStyle w:val="15"/>
              <w:spacing w:line="360" w:lineRule="auto"/>
              <w:ind w:firstLine="420" w:firstLineChars="200"/>
              <w:rPr>
                <w:rFonts w:hint="eastAsia" w:ascii="宋体" w:hAnsi="宋体" w:eastAsia="宋体" w:cs="宋体"/>
                <w:b w:val="0"/>
              </w:rPr>
            </w:pPr>
            <w:r>
              <w:rPr>
                <w:rFonts w:hint="eastAsia" w:hAnsi="宋体" w:cs="宋体"/>
                <w:color w:val="000000"/>
                <w:szCs w:val="24"/>
                <w:highlight w:val="none"/>
                <w:lang w:val="en-US" w:eastAsia="zh-CN"/>
              </w:rPr>
              <w:t>根据实际出勤人数支付，</w:t>
            </w:r>
            <w:r>
              <w:rPr>
                <w:rFonts w:hint="eastAsia" w:hAnsi="宋体" w:cs="宋体"/>
                <w:color w:val="000000"/>
                <w:szCs w:val="24"/>
                <w:highlight w:val="none"/>
              </w:rPr>
              <w:t>每季度第一个月的10日前，由乙方向甲方提供上一季度的服务费用发票，甲方收到发票后</w:t>
            </w:r>
            <w:r>
              <w:rPr>
                <w:rFonts w:hint="eastAsia" w:hAnsi="宋体" w:cs="宋体"/>
                <w:color w:val="000000"/>
                <w:szCs w:val="24"/>
                <w:highlight w:val="none"/>
                <w:lang w:val="en-US" w:eastAsia="zh-CN"/>
              </w:rPr>
              <w:t>立即</w:t>
            </w:r>
            <w:r>
              <w:rPr>
                <w:rFonts w:hint="eastAsia" w:hAnsi="宋体" w:cs="宋体"/>
                <w:color w:val="000000"/>
                <w:szCs w:val="24"/>
                <w:highlight w:val="none"/>
              </w:rPr>
              <w:t>支付。</w:t>
            </w:r>
          </w:p>
        </w:tc>
        <w:tc>
          <w:tcPr>
            <w:tcW w:w="1773" w:type="dxa"/>
            <w:tcBorders>
              <w:top w:val="single" w:color="auto" w:sz="4" w:space="0"/>
              <w:left w:val="single" w:color="auto" w:sz="4" w:space="0"/>
              <w:bottom w:val="single" w:color="auto" w:sz="4" w:space="0"/>
              <w:right w:val="single" w:color="auto" w:sz="4" w:space="0"/>
            </w:tcBorders>
            <w:vAlign w:val="center"/>
          </w:tcPr>
          <w:p>
            <w:pPr>
              <w:pStyle w:val="83"/>
              <w:jc w:val="center"/>
              <w:rPr>
                <w:rFonts w:hint="eastAsia" w:ascii="宋体" w:hAnsi="宋体" w:eastAsia="宋体" w:cs="宋体"/>
                <w:b w:val="0"/>
              </w:rPr>
            </w:pPr>
            <w:r>
              <w:rPr>
                <w:rFonts w:hint="eastAsia" w:ascii="宋体" w:hAnsi="宋体" w:eastAsia="宋体" w:cs="宋体"/>
                <w:b w:val="0"/>
              </w:rPr>
              <w:t>100%</w:t>
            </w:r>
          </w:p>
        </w:tc>
      </w:tr>
    </w:tbl>
    <w:p>
      <w:pPr>
        <w:pStyle w:val="81"/>
        <w:rPr>
          <w:rFonts w:hint="eastAsia" w:ascii="宋体" w:hAnsi="宋体" w:eastAsia="宋体" w:cs="宋体"/>
        </w:rPr>
      </w:pPr>
      <w:r>
        <w:rPr>
          <w:rFonts w:hint="eastAsia" w:ascii="宋体" w:hAnsi="宋体" w:eastAsia="宋体" w:cs="宋体"/>
        </w:rPr>
        <w:t>四、投标说明</w:t>
      </w:r>
    </w:p>
    <w:p>
      <w:pPr>
        <w:pStyle w:val="89"/>
        <w:ind w:firstLine="480"/>
        <w:rPr>
          <w:rFonts w:hint="eastAsia" w:ascii="宋体" w:hAnsi="宋体" w:eastAsia="宋体" w:cs="宋体"/>
        </w:rPr>
      </w:pPr>
      <w:r>
        <w:rPr>
          <w:rFonts w:hint="eastAsia" w:ascii="宋体" w:hAnsi="宋体" w:eastAsia="宋体" w:cs="宋体"/>
        </w:rPr>
        <w:t>1、报名方式</w:t>
      </w:r>
    </w:p>
    <w:p>
      <w:pPr>
        <w:pStyle w:val="79"/>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拟投标人在“中国重汽e采通”平台</w:t>
      </w:r>
      <w:r>
        <w:rPr>
          <w:rFonts w:hint="eastAsia" w:eastAsia="宋体" w:cs="宋体"/>
          <w:lang w:val="en-US" w:eastAsia="zh-CN"/>
        </w:rPr>
        <w:t>应标</w:t>
      </w:r>
      <w:r>
        <w:rPr>
          <w:rFonts w:hint="eastAsia" w:ascii="宋体" w:hAnsi="宋体" w:eastAsia="宋体" w:cs="宋体"/>
        </w:rPr>
        <w:t>。</w:t>
      </w:r>
      <w:r>
        <w:rPr>
          <w:rFonts w:hint="eastAsia" w:ascii="宋体" w:hAnsi="宋体" w:eastAsia="宋体" w:cs="宋体"/>
          <w:b/>
          <w:bCs/>
        </w:rPr>
        <w:t>按照中国重汽e采通“SRM非生产供应商注册手册”（附件</w:t>
      </w:r>
      <w:r>
        <w:rPr>
          <w:rFonts w:hint="eastAsia" w:ascii="宋体" w:hAnsi="宋体" w:eastAsia="宋体" w:cs="宋体"/>
          <w:b/>
          <w:bCs/>
          <w:lang w:val="en-US" w:eastAsia="zh-CN"/>
        </w:rPr>
        <w:t>13</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w:t>
      </w:r>
      <w:r>
        <w:rPr>
          <w:rFonts w:hint="eastAsia" w:eastAsia="宋体" w:cs="宋体"/>
          <w:lang w:val="en-US" w:eastAsia="zh-CN"/>
        </w:rPr>
        <w:t>投标</w:t>
      </w:r>
      <w:r>
        <w:rPr>
          <w:rFonts w:hint="eastAsia" w:ascii="宋体" w:hAnsi="宋体" w:eastAsia="宋体" w:cs="宋体"/>
        </w:rPr>
        <w:t>成功。</w:t>
      </w:r>
    </w:p>
    <w:p>
      <w:pPr>
        <w:pStyle w:val="79"/>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eastAsia="宋体" w:cs="宋体"/>
          <w:lang w:val="en-US" w:eastAsia="zh-CN"/>
        </w:rPr>
        <w:t>投标</w:t>
      </w:r>
      <w:r>
        <w:rPr>
          <w:rFonts w:hint="eastAsia" w:ascii="宋体" w:hAnsi="宋体" w:eastAsia="宋体" w:cs="宋体"/>
          <w:lang w:val="en-US" w:eastAsia="zh-CN"/>
        </w:rPr>
        <w:t>成功后，请将营业执照，授权书（含法人及授权人身份信息）发送邮件至我单位备案，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79"/>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79"/>
        <w:ind w:firstLine="482"/>
        <w:rPr>
          <w:rFonts w:hint="eastAsia" w:ascii="宋体" w:hAnsi="宋体" w:eastAsia="宋体" w:cs="宋体"/>
          <w:b/>
        </w:rPr>
      </w:pPr>
      <w:r>
        <w:rPr>
          <w:rFonts w:hint="eastAsia" w:ascii="宋体" w:hAnsi="宋体" w:eastAsia="宋体" w:cs="宋体"/>
          <w:b/>
        </w:rPr>
        <w:t>投标邮件附件：营业执照，授权书（含法人及授权人身份信息）（附件发送，不要发压缩包，不要使用126或者123邮箱报名，我公司无法打开下载）</w:t>
      </w:r>
    </w:p>
    <w:p>
      <w:pPr>
        <w:pStyle w:val="79"/>
        <w:ind w:firstLine="480"/>
        <w:rPr>
          <w:rFonts w:hint="eastAsia" w:ascii="宋体" w:hAnsi="宋体" w:eastAsia="宋体" w:cs="宋体"/>
          <w:highlight w:val="green"/>
        </w:rPr>
      </w:pPr>
      <w:r>
        <w:rPr>
          <w:rFonts w:hint="eastAsia" w:eastAsia="宋体" w:cs="宋体"/>
          <w:highlight w:val="green"/>
          <w:lang w:val="en-US" w:eastAsia="zh-CN"/>
        </w:rPr>
        <w:t>投标</w:t>
      </w:r>
      <w:r>
        <w:rPr>
          <w:rFonts w:hint="eastAsia" w:ascii="宋体" w:hAnsi="宋体" w:eastAsia="宋体" w:cs="宋体"/>
          <w:highlight w:val="green"/>
        </w:rPr>
        <w:t>后无需电话询问是否报名成功，我单位会通过邮件一一回复。</w:t>
      </w:r>
    </w:p>
    <w:p>
      <w:pPr>
        <w:pStyle w:val="85"/>
        <w:ind w:firstLine="480"/>
        <w:rPr>
          <w:rFonts w:hint="eastAsia" w:ascii="宋体" w:hAnsi="宋体" w:eastAsia="宋体" w:cs="宋体"/>
        </w:rPr>
      </w:pPr>
      <w:r>
        <w:rPr>
          <w:rFonts w:hint="eastAsia" w:ascii="宋体" w:hAnsi="宋体" w:eastAsia="宋体" w:cs="宋体"/>
        </w:rPr>
        <w:t>2、投标条件</w:t>
      </w:r>
    </w:p>
    <w:p>
      <w:pPr>
        <w:pStyle w:val="15"/>
        <w:spacing w:line="360" w:lineRule="auto"/>
        <w:ind w:firstLine="206" w:firstLineChars="98"/>
        <w:rPr>
          <w:rFonts w:hint="eastAsia" w:ascii="宋体" w:hAnsi="宋体" w:eastAsia="宋体" w:cs="宋体"/>
          <w:b/>
          <w:color w:val="000000"/>
          <w:sz w:val="24"/>
          <w:szCs w:val="24"/>
        </w:rPr>
      </w:pPr>
      <w:r>
        <w:rPr>
          <w:rFonts w:hint="eastAsia" w:hAnsi="宋体"/>
          <w:b/>
          <w:bCs/>
          <w:color w:val="FF0000"/>
          <w:highlight w:val="none"/>
        </w:rPr>
        <w:t>*</w:t>
      </w: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i/>
          <w:color w:val="000000"/>
          <w:sz w:val="24"/>
          <w:szCs w:val="24"/>
          <w:highlight w:val="yellow"/>
          <w:lang w:val="en-US" w:eastAsia="zh-CN"/>
        </w:rPr>
        <w:t>500</w:t>
      </w:r>
      <w:r>
        <w:rPr>
          <w:rFonts w:hint="eastAsia" w:ascii="宋体" w:hAnsi="宋体" w:eastAsia="宋体" w:cs="宋体"/>
          <w:i/>
          <w:color w:val="000000"/>
          <w:sz w:val="24"/>
          <w:szCs w:val="24"/>
          <w:highlight w:val="yellow"/>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r>
        <w:rPr>
          <w:rFonts w:hint="eastAsia" w:hAnsi="宋体" w:cs="宋体"/>
          <w:color w:val="000000"/>
          <w:sz w:val="24"/>
          <w:szCs w:val="24"/>
          <w:lang w:eastAsia="zh-CN"/>
        </w:rPr>
        <w:t>；具有</w:t>
      </w:r>
      <w:r>
        <w:rPr>
          <w:rFonts w:hint="eastAsia" w:hAnsi="宋体" w:cs="宋体"/>
          <w:color w:val="000000"/>
          <w:sz w:val="24"/>
          <w:szCs w:val="24"/>
          <w:lang w:val="en-US" w:eastAsia="zh-CN"/>
        </w:rPr>
        <w:t>加氢站运维服务相关经验，</w:t>
      </w:r>
      <w:r>
        <w:rPr>
          <w:rFonts w:hint="eastAsia" w:hAnsi="宋体" w:cs="宋体"/>
          <w:color w:val="000000"/>
          <w:sz w:val="24"/>
          <w:szCs w:val="24"/>
          <w:lang w:eastAsia="zh-CN"/>
        </w:rPr>
        <w:t>提供</w:t>
      </w:r>
      <w:r>
        <w:rPr>
          <w:rFonts w:hint="eastAsia" w:hAnsi="宋体" w:cs="宋体"/>
          <w:color w:val="000000"/>
          <w:sz w:val="24"/>
          <w:szCs w:val="24"/>
          <w:lang w:val="en-US" w:eastAsia="zh-CN"/>
        </w:rPr>
        <w:t>3家以上</w:t>
      </w:r>
      <w:r>
        <w:rPr>
          <w:rFonts w:hint="eastAsia" w:hAnsi="宋体" w:cs="宋体"/>
          <w:color w:val="000000"/>
          <w:sz w:val="24"/>
          <w:szCs w:val="24"/>
          <w:lang w:eastAsia="zh-CN"/>
        </w:rPr>
        <w:t>已实施完毕</w:t>
      </w:r>
      <w:r>
        <w:rPr>
          <w:rFonts w:hint="eastAsia" w:hAnsi="宋体" w:cs="宋体"/>
          <w:color w:val="000000"/>
          <w:sz w:val="24"/>
          <w:szCs w:val="24"/>
          <w:lang w:val="en-US" w:eastAsia="zh-CN"/>
        </w:rPr>
        <w:t>且运维两年以上</w:t>
      </w:r>
      <w:r>
        <w:rPr>
          <w:rFonts w:hint="eastAsia" w:hAnsi="宋体" w:cs="宋体"/>
          <w:color w:val="000000"/>
          <w:sz w:val="24"/>
          <w:szCs w:val="24"/>
          <w:lang w:eastAsia="zh-CN"/>
        </w:rPr>
        <w:t>的</w:t>
      </w:r>
      <w:r>
        <w:rPr>
          <w:rFonts w:hint="eastAsia" w:hAnsi="宋体" w:cs="宋体"/>
          <w:color w:val="000000"/>
          <w:sz w:val="24"/>
          <w:szCs w:val="24"/>
          <w:lang w:val="en-US" w:eastAsia="zh-CN"/>
        </w:rPr>
        <w:t>加氢站运维服务</w:t>
      </w:r>
      <w:r>
        <w:rPr>
          <w:rFonts w:hint="eastAsia" w:hAnsi="宋体" w:cs="宋体"/>
          <w:color w:val="000000"/>
          <w:sz w:val="24"/>
          <w:szCs w:val="24"/>
          <w:lang w:eastAsia="zh-CN"/>
        </w:rPr>
        <w:t>类似案例业绩；</w:t>
      </w:r>
      <w:r>
        <w:rPr>
          <w:rFonts w:hint="eastAsia" w:hAnsi="宋体" w:cs="宋体"/>
          <w:color w:val="000000"/>
          <w:sz w:val="24"/>
          <w:szCs w:val="24"/>
          <w:lang w:val="en-US" w:eastAsia="zh-CN"/>
        </w:rPr>
        <w:t>投标运维服务团队需配备气瓶充装作业、特种设备管理人员资格等具有资质的运维人员</w:t>
      </w:r>
      <w:r>
        <w:rPr>
          <w:rFonts w:hint="eastAsia" w:ascii="宋体" w:hAnsi="宋体" w:eastAsia="宋体" w:cs="宋体"/>
          <w:color w:val="000000"/>
          <w:sz w:val="24"/>
          <w:szCs w:val="24"/>
        </w:rPr>
        <w:t>。</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pPr>
        <w:pStyle w:val="15"/>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pPr>
        <w:pStyle w:val="79"/>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5"/>
        <w:ind w:firstLine="480"/>
        <w:rPr>
          <w:rFonts w:hint="eastAsia" w:ascii="宋体" w:hAnsi="宋体" w:eastAsia="宋体" w:cs="宋体"/>
        </w:rPr>
      </w:pPr>
      <w:r>
        <w:rPr>
          <w:rFonts w:hint="eastAsia" w:ascii="宋体" w:hAnsi="宋体" w:eastAsia="宋体" w:cs="宋体"/>
        </w:rPr>
        <w:t>3、报价</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pPr>
        <w:pStyle w:val="79"/>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pPr>
        <w:pStyle w:val="79"/>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89"/>
        <w:ind w:firstLine="480"/>
        <w:rPr>
          <w:rFonts w:hint="eastAsia" w:ascii="宋体" w:hAnsi="宋体" w:eastAsia="宋体" w:cs="宋体"/>
        </w:rPr>
      </w:pPr>
      <w:r>
        <w:rPr>
          <w:rFonts w:hint="eastAsia" w:ascii="宋体" w:hAnsi="宋体" w:eastAsia="宋体" w:cs="宋体"/>
        </w:rPr>
        <w:t>4、投标保证金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提供1万元（或其他等值货币）的投标保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pPr>
        <w:pStyle w:val="85"/>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79"/>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pPr>
        <w:pStyle w:val="85"/>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79"/>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79"/>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sz w:val="24"/>
          <w:szCs w:val="24"/>
        </w:rPr>
      </w:pPr>
      <w:bookmarkStart w:id="1" w:name="_Toc212369516"/>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79"/>
        <w:pageBreakBefore w:val="0"/>
        <w:widowControl w:val="0"/>
        <w:kinsoku/>
        <w:wordWrap/>
        <w:overflowPunct/>
        <w:topLinePunct w:val="0"/>
        <w:autoSpaceDE/>
        <w:autoSpaceDN/>
        <w:bidi w:val="0"/>
        <w:adjustRightInd/>
        <w:snapToGrid/>
        <w:spacing w:line="360" w:lineRule="auto"/>
        <w:ind w:firstLine="197" w:firstLineChars="82"/>
        <w:textAlignment w:val="auto"/>
        <w:rPr>
          <w:rFonts w:hint="eastAsia"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79"/>
        <w:ind w:firstLine="197" w:firstLineChars="82"/>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代理商投标要携带生产商的授权书、原厂售后服务承诺书，</w:t>
      </w:r>
      <w:r>
        <w:rPr>
          <w:rFonts w:hint="eastAsia" w:ascii="宋体" w:hAnsi="宋体" w:eastAsia="宋体" w:cs="宋体"/>
          <w:b/>
          <w:color w:val="000000"/>
          <w:sz w:val="24"/>
          <w:szCs w:val="24"/>
        </w:rPr>
        <w:t>根据实际情况提供即可，无格式限制；</w:t>
      </w:r>
    </w:p>
    <w:p>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bookmarkEnd w:id="2"/>
    <w:p>
      <w:pPr>
        <w:spacing w:line="360" w:lineRule="auto"/>
        <w:ind w:firstLine="480"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rPr>
        <w:t>.2技术部分：</w:t>
      </w:r>
    </w:p>
    <w:p>
      <w:pPr>
        <w:pStyle w:val="79"/>
        <w:ind w:firstLine="480"/>
        <w:rPr>
          <w:rFonts w:hint="eastAsia" w:ascii="宋体" w:hAnsi="宋体" w:eastAsia="宋体" w:cs="宋体"/>
          <w:b/>
          <w:sz w:val="24"/>
          <w:szCs w:val="24"/>
        </w:rPr>
      </w:pPr>
      <w:r>
        <w:rPr>
          <w:rFonts w:hint="eastAsia" w:ascii="宋体" w:hAnsi="宋体" w:eastAsia="宋体" w:cs="宋体"/>
          <w:sz w:val="24"/>
          <w:szCs w:val="24"/>
        </w:rPr>
        <w:t>（1）技术规格偏离表（附件</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b/>
          <w:sz w:val="24"/>
          <w:szCs w:val="24"/>
        </w:rPr>
        <w:t>必须先进行两列要求一一对照。不允许直接写无偏离。</w:t>
      </w:r>
    </w:p>
    <w:p>
      <w:pPr>
        <w:pStyle w:val="87"/>
        <w:ind w:firstLine="480"/>
        <w:rPr>
          <w:rFonts w:hint="eastAsia" w:ascii="宋体" w:hAnsi="宋体" w:eastAsia="宋体" w:cs="宋体"/>
          <w:b/>
          <w:sz w:val="24"/>
          <w:szCs w:val="24"/>
        </w:rPr>
      </w:pPr>
      <w:r>
        <w:rPr>
          <w:rFonts w:hint="eastAsia" w:ascii="宋体" w:hAnsi="宋体" w:eastAsia="宋体" w:cs="宋体"/>
          <w:bCs/>
          <w:sz w:val="24"/>
          <w:szCs w:val="24"/>
        </w:rPr>
        <w:t>（2）</w:t>
      </w:r>
      <w:r>
        <w:rPr>
          <w:rFonts w:hint="eastAsia" w:ascii="宋体" w:hAnsi="宋体" w:eastAsia="宋体" w:cs="宋体"/>
          <w:sz w:val="24"/>
          <w:szCs w:val="24"/>
        </w:rPr>
        <w:t>近三年同类项目业绩一览表（附件</w:t>
      </w:r>
      <w:r>
        <w:rPr>
          <w:rFonts w:hint="eastAsia" w:ascii="宋体" w:hAnsi="宋体" w:eastAsia="宋体" w:cs="宋体"/>
          <w:sz w:val="24"/>
          <w:szCs w:val="24"/>
          <w:lang w:val="en-US" w:eastAsia="zh-CN"/>
        </w:rPr>
        <w:t>5</w:t>
      </w:r>
      <w:r>
        <w:rPr>
          <w:rFonts w:hint="eastAsia" w:ascii="宋体" w:hAnsi="宋体" w:eastAsia="宋体" w:cs="宋体"/>
          <w:sz w:val="24"/>
          <w:szCs w:val="24"/>
        </w:rPr>
        <w:t>）及有效合同复印件；</w:t>
      </w:r>
      <w:r>
        <w:rPr>
          <w:rFonts w:hint="eastAsia" w:ascii="宋体" w:hAnsi="宋体" w:eastAsia="宋体" w:cs="宋体"/>
          <w:b/>
          <w:sz w:val="24"/>
          <w:szCs w:val="24"/>
        </w:rPr>
        <w:t>若没有提供相应业绩证明，将影响现场评标专家组对投标单位业绩判定打分。</w:t>
      </w:r>
    </w:p>
    <w:p>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（3）拟投入的主要设施设备表（附件</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lang w:val="zh-CN"/>
        </w:rPr>
        <w:t>）。</w:t>
      </w:r>
    </w:p>
    <w:p>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（4）拟投入的项目人员配备情况表。</w:t>
      </w:r>
    </w:p>
    <w:p>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（5）企业概况一览表。</w:t>
      </w:r>
    </w:p>
    <w:p>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（6）投标人运维管理实施方案介绍。</w:t>
      </w:r>
    </w:p>
    <w:p>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（7）投标人运维管理团队人员资历、素质、技术能力介绍。</w:t>
      </w:r>
    </w:p>
    <w:p>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（8）其他业主方对投标人服务过的运维管理项目评价</w:t>
      </w:r>
      <w:r>
        <w:rPr>
          <w:rFonts w:hint="eastAsia" w:ascii="宋体" w:hAnsi="宋体" w:eastAsia="宋体" w:cs="宋体"/>
          <w:color w:val="000000"/>
          <w:sz w:val="24"/>
          <w:szCs w:val="24"/>
          <w:highlight w:val="none"/>
          <w:lang w:val="zh-CN"/>
        </w:rPr>
        <w:t>（</w:t>
      </w:r>
      <w:r>
        <w:rPr>
          <w:rFonts w:hint="eastAsia" w:ascii="宋体" w:hAnsi="宋体" w:eastAsia="宋体" w:cs="宋体"/>
          <w:color w:val="000000"/>
          <w:sz w:val="24"/>
          <w:szCs w:val="24"/>
          <w:highlight w:val="none"/>
          <w:lang w:val="en-US" w:eastAsia="zh-CN"/>
        </w:rPr>
        <w:t>进口液驱活塞压缩机）</w:t>
      </w:r>
      <w:r>
        <w:rPr>
          <w:rFonts w:hint="eastAsia" w:ascii="宋体" w:hAnsi="宋体" w:eastAsia="宋体" w:cs="宋体"/>
          <w:color w:val="000000"/>
          <w:sz w:val="24"/>
          <w:szCs w:val="24"/>
          <w:highlight w:val="none"/>
          <w:lang w:val="zh-CN"/>
        </w:rPr>
        <w:t>。</w:t>
      </w:r>
    </w:p>
    <w:p>
      <w:pPr>
        <w:pStyle w:val="79"/>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rPr>
        <w:t>9</w:t>
      </w:r>
      <w:r>
        <w:rPr>
          <w:rFonts w:hint="eastAsia" w:ascii="宋体" w:hAnsi="宋体" w:eastAsia="宋体" w:cs="宋体"/>
          <w:sz w:val="24"/>
          <w:szCs w:val="24"/>
        </w:rPr>
        <w:t>）投标人需提交的其它资料。</w:t>
      </w:r>
    </w:p>
    <w:p>
      <w:pPr>
        <w:pStyle w:val="79"/>
        <w:ind w:firstLine="482"/>
        <w:rPr>
          <w:rFonts w:hint="eastAsia" w:ascii="宋体" w:hAnsi="宋体" w:eastAsia="宋体" w:cs="宋体"/>
          <w:b/>
          <w:bCs/>
          <w:sz w:val="24"/>
          <w:szCs w:val="24"/>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rPr>
        <w:t>.3商务部分：</w:t>
      </w:r>
    </w:p>
    <w:p>
      <w:pPr>
        <w:pStyle w:val="79"/>
        <w:ind w:firstLine="480"/>
        <w:rPr>
          <w:rFonts w:hint="eastAsia" w:ascii="宋体" w:hAnsi="宋体" w:eastAsia="宋体" w:cs="宋体"/>
          <w:sz w:val="24"/>
          <w:szCs w:val="24"/>
        </w:rPr>
      </w:pPr>
      <w:r>
        <w:rPr>
          <w:rFonts w:hint="eastAsia" w:ascii="宋体" w:hAnsi="宋体" w:eastAsia="宋体" w:cs="宋体"/>
          <w:sz w:val="24"/>
          <w:szCs w:val="24"/>
        </w:rPr>
        <w:t>（1）开标一览表（附件</w:t>
      </w:r>
      <w:r>
        <w:rPr>
          <w:rFonts w:hint="eastAsia" w:ascii="宋体" w:hAnsi="宋体" w:eastAsia="宋体" w:cs="宋体"/>
          <w:sz w:val="24"/>
          <w:szCs w:val="24"/>
          <w:lang w:val="en-US" w:eastAsia="zh-CN"/>
        </w:rPr>
        <w:t>6</w:t>
      </w:r>
      <w:r>
        <w:rPr>
          <w:rFonts w:hint="eastAsia" w:ascii="宋体" w:hAnsi="宋体" w:eastAsia="宋体" w:cs="宋体"/>
          <w:sz w:val="24"/>
          <w:szCs w:val="24"/>
        </w:rPr>
        <w:t>）。</w:t>
      </w:r>
    </w:p>
    <w:p>
      <w:pPr>
        <w:pStyle w:val="79"/>
        <w:ind w:firstLine="480"/>
        <w:rPr>
          <w:rFonts w:hint="eastAsia" w:ascii="宋体" w:hAnsi="宋体" w:eastAsia="宋体" w:cs="宋体"/>
          <w:b/>
          <w:sz w:val="24"/>
          <w:szCs w:val="24"/>
          <w:lang w:eastAsia="zh-CN"/>
        </w:rPr>
      </w:pPr>
      <w:r>
        <w:rPr>
          <w:rFonts w:hint="eastAsia" w:ascii="宋体" w:hAnsi="宋体" w:eastAsia="宋体" w:cs="宋体"/>
          <w:sz w:val="24"/>
          <w:szCs w:val="24"/>
        </w:rPr>
        <w:t>（2）投标报价明细表（附件</w:t>
      </w: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b/>
          <w:sz w:val="24"/>
          <w:szCs w:val="24"/>
        </w:rPr>
        <w:t>附件</w:t>
      </w:r>
      <w:r>
        <w:rPr>
          <w:rFonts w:hint="eastAsia" w:ascii="宋体" w:hAnsi="宋体" w:eastAsia="宋体" w:cs="宋体"/>
          <w:b/>
          <w:sz w:val="24"/>
          <w:szCs w:val="24"/>
          <w:lang w:val="en-US" w:eastAsia="zh-CN"/>
        </w:rPr>
        <w:t>6</w:t>
      </w:r>
      <w:r>
        <w:rPr>
          <w:rFonts w:hint="eastAsia" w:ascii="宋体" w:hAnsi="宋体" w:eastAsia="宋体" w:cs="宋体"/>
          <w:b/>
          <w:sz w:val="24"/>
          <w:szCs w:val="24"/>
        </w:rPr>
        <w:t>、</w:t>
      </w:r>
      <w:r>
        <w:rPr>
          <w:rFonts w:hint="eastAsia" w:ascii="宋体" w:hAnsi="宋体" w:eastAsia="宋体" w:cs="宋体"/>
          <w:b/>
          <w:sz w:val="24"/>
          <w:szCs w:val="24"/>
          <w:lang w:val="en-US" w:eastAsia="zh-CN"/>
        </w:rPr>
        <w:t>7</w:t>
      </w:r>
      <w:r>
        <w:rPr>
          <w:rFonts w:hint="eastAsia" w:ascii="宋体" w:hAnsi="宋体" w:eastAsia="宋体" w:cs="宋体"/>
          <w:b/>
          <w:sz w:val="24"/>
          <w:szCs w:val="24"/>
        </w:rPr>
        <w:t>、</w:t>
      </w:r>
      <w:r>
        <w:rPr>
          <w:rFonts w:hint="eastAsia" w:ascii="宋体" w:hAnsi="宋体" w:eastAsia="宋体" w:cs="宋体"/>
          <w:b/>
          <w:sz w:val="24"/>
          <w:szCs w:val="24"/>
          <w:lang w:val="en-US" w:eastAsia="zh-CN"/>
        </w:rPr>
        <w:t>8</w:t>
      </w:r>
      <w:r>
        <w:rPr>
          <w:rFonts w:hint="eastAsia" w:ascii="宋体" w:hAnsi="宋体" w:eastAsia="宋体" w:cs="宋体"/>
          <w:b/>
          <w:sz w:val="24"/>
          <w:szCs w:val="24"/>
        </w:rPr>
        <w:t>需要一起单独封装1份</w:t>
      </w:r>
      <w:r>
        <w:rPr>
          <w:rFonts w:hint="eastAsia" w:ascii="宋体" w:hAnsi="宋体" w:eastAsia="宋体" w:cs="宋体"/>
          <w:b/>
          <w:sz w:val="24"/>
          <w:szCs w:val="24"/>
          <w:lang w:eastAsia="zh-CN"/>
        </w:rPr>
        <w:t>；</w:t>
      </w:r>
    </w:p>
    <w:p>
      <w:pPr>
        <w:pStyle w:val="79"/>
        <w:ind w:firstLine="480"/>
        <w:rPr>
          <w:rFonts w:hint="eastAsia" w:ascii="宋体" w:hAnsi="宋体" w:eastAsia="宋体" w:cs="宋体"/>
          <w:sz w:val="24"/>
          <w:szCs w:val="24"/>
        </w:rPr>
      </w:pPr>
      <w:r>
        <w:rPr>
          <w:rFonts w:hint="eastAsia" w:ascii="宋体" w:hAnsi="宋体" w:eastAsia="宋体" w:cs="宋体"/>
          <w:sz w:val="24"/>
          <w:szCs w:val="24"/>
        </w:rPr>
        <w:t>（3）商务条款偏离表（附件</w:t>
      </w:r>
      <w:r>
        <w:rPr>
          <w:rFonts w:hint="eastAsia" w:ascii="宋体" w:hAnsi="宋体" w:eastAsia="宋体" w:cs="宋体"/>
          <w:sz w:val="24"/>
          <w:szCs w:val="24"/>
          <w:lang w:val="en-US" w:eastAsia="zh-CN"/>
        </w:rPr>
        <w:t>8</w:t>
      </w:r>
      <w:r>
        <w:rPr>
          <w:rFonts w:hint="eastAsia" w:ascii="宋体" w:hAnsi="宋体" w:eastAsia="宋体" w:cs="宋体"/>
          <w:sz w:val="24"/>
          <w:szCs w:val="24"/>
        </w:rPr>
        <w:t>）</w:t>
      </w:r>
      <w:r>
        <w:rPr>
          <w:rFonts w:hint="eastAsia" w:ascii="宋体" w:hAnsi="宋体" w:eastAsia="宋体" w:cs="宋体"/>
          <w:b/>
          <w:sz w:val="24"/>
          <w:szCs w:val="24"/>
        </w:rPr>
        <w:t>付款方式不可以偏离</w:t>
      </w:r>
      <w:r>
        <w:rPr>
          <w:rFonts w:hint="eastAsia" w:ascii="宋体" w:hAnsi="宋体" w:eastAsia="宋体" w:cs="宋体"/>
          <w:b/>
          <w:sz w:val="24"/>
          <w:szCs w:val="24"/>
          <w:lang w:eastAsia="zh-CN"/>
        </w:rPr>
        <w:t>；</w:t>
      </w:r>
    </w:p>
    <w:p>
      <w:pPr>
        <w:pStyle w:val="79"/>
        <w:ind w:firstLine="480"/>
        <w:rPr>
          <w:rFonts w:hint="eastAsia" w:ascii="宋体" w:hAnsi="宋体" w:eastAsia="宋体" w:cs="宋体"/>
          <w:b/>
          <w:sz w:val="24"/>
          <w:szCs w:val="24"/>
        </w:rPr>
      </w:pPr>
      <w:r>
        <w:rPr>
          <w:rFonts w:hint="eastAsia" w:ascii="宋体" w:hAnsi="宋体" w:eastAsia="宋体" w:cs="宋体"/>
          <w:sz w:val="24"/>
          <w:szCs w:val="24"/>
        </w:rPr>
        <w:t>（4）服务承诺函(附件</w:t>
      </w: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b/>
          <w:sz w:val="24"/>
          <w:szCs w:val="24"/>
        </w:rPr>
        <w:t>需写明质保期外服务费用情况；</w:t>
      </w:r>
    </w:p>
    <w:p>
      <w:pPr>
        <w:pStyle w:val="79"/>
        <w:ind w:firstLine="480"/>
        <w:rPr>
          <w:rFonts w:hint="eastAsia" w:ascii="宋体" w:hAnsi="宋体" w:eastAsia="宋体" w:cs="宋体"/>
          <w:sz w:val="24"/>
          <w:szCs w:val="24"/>
        </w:rPr>
      </w:pPr>
      <w:r>
        <w:rPr>
          <w:rFonts w:hint="eastAsia" w:ascii="宋体" w:hAnsi="宋体" w:eastAsia="宋体" w:cs="宋体"/>
          <w:sz w:val="24"/>
          <w:szCs w:val="24"/>
        </w:rPr>
        <w:t>（5）按招标文件投标人须知和技术规格书中要求提供的有关文件。</w:t>
      </w:r>
    </w:p>
    <w:p>
      <w:pPr>
        <w:pStyle w:val="79"/>
        <w:ind w:firstLine="48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6）按招标文件投标人须知和技术规格书中要求提供的有关文件。</w:t>
      </w:r>
    </w:p>
    <w:p>
      <w:pPr>
        <w:pStyle w:val="85"/>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79"/>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pPr>
        <w:pStyle w:val="81"/>
        <w:rPr>
          <w:rFonts w:hint="eastAsia" w:ascii="宋体" w:hAnsi="宋体" w:eastAsia="宋体" w:cs="宋体"/>
        </w:rPr>
      </w:pPr>
      <w:r>
        <w:rPr>
          <w:rFonts w:hint="eastAsia" w:ascii="宋体" w:hAnsi="宋体" w:eastAsia="宋体" w:cs="宋体"/>
        </w:rPr>
        <w:t>五、议程安排</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7</w:t>
      </w:r>
      <w:r>
        <w:rPr>
          <w:rFonts w:hint="eastAsia" w:ascii="宋体" w:hAnsi="宋体" w:eastAsia="宋体" w:cs="宋体"/>
          <w:b w:val="0"/>
          <w:color w:val="auto"/>
          <w:highlight w:val="none"/>
        </w:rPr>
        <w:t>月</w:t>
      </w:r>
      <w:r>
        <w:rPr>
          <w:rFonts w:hint="default" w:ascii="宋体" w:hAnsi="宋体" w:eastAsia="宋体" w:cs="宋体"/>
          <w:b w:val="0"/>
          <w:color w:val="auto"/>
          <w:highlight w:val="none"/>
          <w:woUserID w:val="1"/>
        </w:rPr>
        <w:t>25</w:t>
      </w:r>
      <w:r>
        <w:rPr>
          <w:rFonts w:hint="eastAsia" w:ascii="宋体" w:hAnsi="宋体" w:eastAsia="宋体" w:cs="宋体"/>
          <w:b w:val="0"/>
          <w:color w:val="auto"/>
          <w:highlight w:val="none"/>
        </w:rPr>
        <w:t>日（周</w:t>
      </w:r>
      <w:r>
        <w:rPr>
          <w:rFonts w:hint="default" w:ascii="宋体" w:hAnsi="宋体" w:eastAsia="宋体" w:cs="宋体"/>
          <w:b w:val="0"/>
          <w:color w:val="auto"/>
          <w:highlight w:val="none"/>
          <w:woUserID w:val="1"/>
        </w:rPr>
        <w:t>六</w:t>
      </w:r>
      <w:r>
        <w:rPr>
          <w:rFonts w:hint="eastAsia" w:ascii="宋体" w:hAnsi="宋体" w:eastAsia="宋体" w:cs="宋体"/>
          <w:b w:val="0"/>
          <w:color w:val="auto"/>
          <w:highlight w:val="none"/>
        </w:rPr>
        <w:t>）</w:t>
      </w:r>
    </w:p>
    <w:p>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 xml:space="preserve">2026年 </w:t>
      </w:r>
      <w:r>
        <w:rPr>
          <w:rFonts w:hint="default" w:eastAsia="宋体" w:cs="宋体"/>
          <w:b/>
          <w:bCs/>
          <w:color w:val="000000"/>
          <w:kern w:val="2"/>
          <w:sz w:val="24"/>
          <w:szCs w:val="24"/>
          <w:lang w:eastAsia="zh-CN" w:bidi="ar-SA"/>
          <w:woUserID w:val="1"/>
        </w:rPr>
        <w:t>8</w:t>
      </w:r>
      <w:r>
        <w:rPr>
          <w:rFonts w:hint="eastAsia" w:eastAsia="宋体" w:cs="宋体"/>
          <w:b/>
          <w:bCs/>
          <w:color w:val="000000"/>
          <w:kern w:val="2"/>
          <w:sz w:val="24"/>
          <w:szCs w:val="24"/>
          <w:lang w:val="en-US" w:eastAsia="zh-CN" w:bidi="ar-SA"/>
        </w:rPr>
        <w:t xml:space="preserve"> 月 </w:t>
      </w:r>
      <w:r>
        <w:rPr>
          <w:rFonts w:hint="default" w:eastAsia="宋体" w:cs="宋体"/>
          <w:b/>
          <w:bCs/>
          <w:color w:val="000000"/>
          <w:kern w:val="2"/>
          <w:sz w:val="24"/>
          <w:szCs w:val="24"/>
          <w:lang w:eastAsia="zh-CN" w:bidi="ar-SA"/>
          <w:woUserID w:val="1"/>
        </w:rPr>
        <w:t>1</w:t>
      </w:r>
      <w:r>
        <w:rPr>
          <w:rFonts w:hint="eastAsia" w:eastAsia="宋体" w:cs="宋体"/>
          <w:b/>
          <w:bCs/>
          <w:color w:val="000000"/>
          <w:kern w:val="2"/>
          <w:sz w:val="24"/>
          <w:szCs w:val="24"/>
          <w:lang w:val="en-US" w:eastAsia="zh-CN" w:bidi="ar-SA"/>
        </w:rPr>
        <w:t xml:space="preserve"> 日（周</w:t>
      </w:r>
      <w:r>
        <w:rPr>
          <w:rFonts w:hint="default" w:eastAsia="宋体" w:cs="宋体"/>
          <w:b/>
          <w:bCs/>
          <w:color w:val="000000"/>
          <w:kern w:val="2"/>
          <w:sz w:val="24"/>
          <w:szCs w:val="24"/>
          <w:lang w:eastAsia="zh-CN" w:bidi="ar-SA"/>
          <w:woUserID w:val="1"/>
        </w:rPr>
        <w:t>六</w:t>
      </w:r>
      <w:r>
        <w:rPr>
          <w:rFonts w:hint="eastAsia" w:eastAsia="宋体" w:cs="宋体"/>
          <w:b/>
          <w:bCs/>
          <w:color w:val="000000"/>
          <w:kern w:val="2"/>
          <w:sz w:val="24"/>
          <w:szCs w:val="24"/>
          <w:lang w:val="en-US" w:eastAsia="zh-CN" w:bidi="ar-SA"/>
        </w:rPr>
        <w:t>）17:00:00（时间精确到秒）</w:t>
      </w:r>
    </w:p>
    <w:p>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 xml:space="preserve">2026年 </w:t>
      </w:r>
      <w:r>
        <w:rPr>
          <w:rFonts w:hint="default" w:eastAsia="宋体" w:cs="宋体"/>
          <w:b/>
          <w:bCs/>
          <w:color w:val="000000"/>
          <w:kern w:val="2"/>
          <w:sz w:val="24"/>
          <w:szCs w:val="24"/>
          <w:lang w:eastAsia="zh-CN" w:bidi="ar-SA"/>
          <w:woUserID w:val="1"/>
        </w:rPr>
        <w:t>8</w:t>
      </w:r>
      <w:r>
        <w:rPr>
          <w:rFonts w:hint="eastAsia" w:eastAsia="宋体" w:cs="宋体"/>
          <w:b/>
          <w:bCs/>
          <w:color w:val="000000"/>
          <w:kern w:val="2"/>
          <w:sz w:val="24"/>
          <w:szCs w:val="24"/>
          <w:lang w:val="en-US" w:eastAsia="zh-CN" w:bidi="ar-SA"/>
          <w:woUserID w:val="1"/>
        </w:rPr>
        <w:t xml:space="preserve"> 月 </w:t>
      </w:r>
      <w:r>
        <w:rPr>
          <w:rFonts w:hint="default" w:eastAsia="宋体" w:cs="宋体"/>
          <w:b/>
          <w:bCs/>
          <w:color w:val="000000"/>
          <w:kern w:val="2"/>
          <w:sz w:val="24"/>
          <w:szCs w:val="24"/>
          <w:lang w:eastAsia="zh-CN" w:bidi="ar-SA"/>
          <w:woUserID w:val="1"/>
        </w:rPr>
        <w:t>7</w:t>
      </w:r>
      <w:r>
        <w:rPr>
          <w:rFonts w:hint="eastAsia" w:eastAsia="宋体" w:cs="宋体"/>
          <w:b/>
          <w:bCs/>
          <w:color w:val="000000"/>
          <w:kern w:val="2"/>
          <w:sz w:val="24"/>
          <w:szCs w:val="24"/>
          <w:lang w:val="en-US" w:eastAsia="zh-CN" w:bidi="ar-SA"/>
          <w:woUserID w:val="1"/>
        </w:rPr>
        <w:t xml:space="preserve"> 日</w:t>
      </w:r>
      <w:r>
        <w:rPr>
          <w:rFonts w:hint="eastAsia" w:eastAsia="宋体" w:cs="宋体"/>
          <w:b/>
          <w:bCs/>
          <w:color w:val="000000"/>
          <w:kern w:val="2"/>
          <w:sz w:val="24"/>
          <w:szCs w:val="24"/>
          <w:lang w:val="en-US" w:eastAsia="zh-CN" w:bidi="ar-SA"/>
        </w:rPr>
        <w:t>（周</w:t>
      </w:r>
      <w:r>
        <w:rPr>
          <w:rFonts w:hint="default" w:eastAsia="宋体" w:cs="宋体"/>
          <w:b/>
          <w:bCs/>
          <w:color w:val="000000"/>
          <w:kern w:val="2"/>
          <w:sz w:val="24"/>
          <w:szCs w:val="24"/>
          <w:lang w:eastAsia="zh-CN" w:bidi="ar-SA"/>
          <w:woUserID w:val="1"/>
        </w:rPr>
        <w:t>五</w:t>
      </w:r>
      <w:r>
        <w:rPr>
          <w:rFonts w:hint="eastAsia" w:eastAsia="宋体" w:cs="宋体"/>
          <w:b/>
          <w:bCs/>
          <w:color w:val="000000"/>
          <w:kern w:val="2"/>
          <w:sz w:val="24"/>
          <w:szCs w:val="24"/>
          <w:lang w:val="en-US" w:eastAsia="zh-CN" w:bidi="ar-SA"/>
        </w:rPr>
        <w:t>）</w:t>
      </w:r>
      <w:r>
        <w:rPr>
          <w:rFonts w:hint="default" w:eastAsia="宋体" w:cs="宋体"/>
          <w:b/>
          <w:bCs/>
          <w:color w:val="000000"/>
          <w:kern w:val="2"/>
          <w:sz w:val="24"/>
          <w:szCs w:val="24"/>
          <w:lang w:eastAsia="zh-CN" w:bidi="ar-SA"/>
          <w:woUserID w:val="1"/>
        </w:rPr>
        <w:t>9</w:t>
      </w:r>
      <w:r>
        <w:rPr>
          <w:rFonts w:hint="eastAsia" w:eastAsia="宋体" w:cs="宋体"/>
          <w:b/>
          <w:bCs/>
          <w:color w:val="000000"/>
          <w:kern w:val="2"/>
          <w:sz w:val="24"/>
          <w:szCs w:val="24"/>
          <w:lang w:val="en-US" w:eastAsia="zh-CN" w:bidi="ar-SA"/>
        </w:rPr>
        <w:t>:00:00（时间精确到秒）</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w:t>
      </w:r>
      <w:r>
        <w:rPr>
          <w:rFonts w:hint="eastAsia" w:ascii="宋体" w:hAnsi="宋体" w:eastAsia="宋体" w:cs="宋体"/>
          <w:lang w:val="en-US" w:eastAsia="zh-CN"/>
        </w:rPr>
        <w:t>在中国重汽官方网站、</w:t>
      </w:r>
      <w:r>
        <w:rPr>
          <w:rFonts w:hint="eastAsia" w:ascii="宋体" w:hAnsi="宋体" w:eastAsia="宋体" w:cs="宋体"/>
        </w:rPr>
        <w:t>中国重汽</w:t>
      </w:r>
      <w:r>
        <w:rPr>
          <w:rFonts w:hint="eastAsia" w:ascii="宋体" w:hAnsi="宋体" w:eastAsia="宋体" w:cs="宋体"/>
          <w:lang w:val="en-US" w:eastAsia="zh-CN"/>
        </w:rPr>
        <w:t>E采通平台</w:t>
      </w:r>
      <w:r>
        <w:rPr>
          <w:rFonts w:hint="eastAsia" w:ascii="宋体" w:hAnsi="宋体" w:eastAsia="宋体" w:cs="宋体"/>
        </w:rPr>
        <w:t>发布。</w:t>
      </w:r>
    </w:p>
    <w:p>
      <w:pPr>
        <w:pStyle w:val="7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79"/>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w:t>
      </w:r>
      <w:r>
        <w:rPr>
          <w:rFonts w:hint="eastAsia" w:ascii="宋体" w:hAnsi="宋体" w:eastAsia="宋体" w:cs="宋体"/>
          <w:b w:val="0"/>
          <w:color w:val="auto"/>
          <w:highlight w:val="none"/>
        </w:rPr>
        <w:t>202</w:t>
      </w:r>
      <w:r>
        <w:rPr>
          <w:rFonts w:hint="eastAsia"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eastAsia="宋体" w:cs="宋体"/>
          <w:b w:val="0"/>
          <w:color w:val="auto"/>
          <w:highlight w:val="none"/>
          <w:lang w:val="en-US" w:eastAsia="zh-CN"/>
        </w:rPr>
        <w:t xml:space="preserve"> </w:t>
      </w:r>
      <w:r>
        <w:rPr>
          <w:rFonts w:hint="default" w:eastAsia="宋体" w:cs="宋体"/>
          <w:b w:val="0"/>
          <w:color w:val="auto"/>
          <w:highlight w:val="none"/>
          <w:lang w:eastAsia="zh-CN"/>
          <w:woUserID w:val="1"/>
        </w:rPr>
        <w:t>8</w:t>
      </w:r>
      <w:r>
        <w:rPr>
          <w:rFonts w:hint="eastAsia" w:eastAsia="宋体" w:cs="宋体"/>
          <w:b w:val="0"/>
          <w:color w:val="auto"/>
          <w:highlight w:val="none"/>
          <w:lang w:val="en-US" w:eastAsia="zh-CN"/>
        </w:rPr>
        <w:t xml:space="preserve"> </w:t>
      </w:r>
      <w:r>
        <w:rPr>
          <w:rFonts w:hint="eastAsia" w:ascii="宋体" w:hAnsi="宋体" w:eastAsia="宋体" w:cs="宋体"/>
          <w:b w:val="0"/>
          <w:color w:val="auto"/>
          <w:highlight w:val="none"/>
        </w:rPr>
        <w:t>月</w:t>
      </w:r>
      <w:r>
        <w:rPr>
          <w:rFonts w:hint="eastAsia" w:eastAsia="宋体" w:cs="宋体"/>
          <w:b w:val="0"/>
          <w:color w:val="auto"/>
          <w:highlight w:val="none"/>
          <w:lang w:val="en-US" w:eastAsia="zh-CN"/>
        </w:rPr>
        <w:t xml:space="preserve"> </w:t>
      </w:r>
      <w:r>
        <w:rPr>
          <w:rFonts w:hint="default" w:eastAsia="宋体" w:cs="宋体"/>
          <w:b w:val="0"/>
          <w:color w:val="auto"/>
          <w:highlight w:val="none"/>
          <w:lang w:eastAsia="zh-CN"/>
          <w:woUserID w:val="1"/>
        </w:rPr>
        <w:t>6</w:t>
      </w:r>
      <w:r>
        <w:rPr>
          <w:rFonts w:hint="eastAsia" w:eastAsia="宋体" w:cs="宋体"/>
          <w:b w:val="0"/>
          <w:color w:val="auto"/>
          <w:highlight w:val="none"/>
          <w:lang w:val="en-US" w:eastAsia="zh-CN"/>
        </w:rPr>
        <w:t xml:space="preserve"> </w:t>
      </w:r>
      <w:r>
        <w:rPr>
          <w:rFonts w:hint="eastAsia" w:ascii="宋体" w:hAnsi="宋体" w:eastAsia="宋体" w:cs="宋体"/>
          <w:b w:val="0"/>
          <w:color w:val="auto"/>
          <w:highlight w:val="none"/>
        </w:rPr>
        <w:t>日（周</w:t>
      </w:r>
      <w:r>
        <w:rPr>
          <w:rFonts w:hint="default" w:eastAsia="宋体" w:cs="宋体"/>
          <w:b w:val="0"/>
          <w:color w:val="auto"/>
          <w:highlight w:val="none"/>
          <w:woUserID w:val="1"/>
        </w:rPr>
        <w:t>四</w:t>
      </w:r>
      <w:r>
        <w:rPr>
          <w:rFonts w:hint="eastAsia" w:ascii="宋体" w:hAnsi="宋体" w:eastAsia="宋体" w:cs="宋体"/>
          <w:b w:val="0"/>
          <w:color w:val="auto"/>
          <w:highlight w:val="none"/>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pPr>
        <w:pStyle w:val="85"/>
        <w:ind w:firstLine="480"/>
        <w:rPr>
          <w:rFonts w:hint="eastAsia" w:ascii="宋体" w:hAnsi="宋体" w:eastAsia="宋体" w:cs="宋体"/>
        </w:rPr>
      </w:pPr>
      <w:r>
        <w:rPr>
          <w:rFonts w:hint="eastAsia" w:ascii="宋体" w:hAnsi="宋体" w:eastAsia="宋体" w:cs="宋体"/>
        </w:rPr>
        <w:t>4、技术答疑</w:t>
      </w:r>
    </w:p>
    <w:p>
      <w:pPr>
        <w:pStyle w:val="79"/>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b w:val="0"/>
          <w:color w:val="auto"/>
          <w:highlight w:val="none"/>
          <w:woUserID w:val="1"/>
        </w:rPr>
        <w:t>202</w:t>
      </w:r>
      <w:r>
        <w:rPr>
          <w:rFonts w:hint="eastAsia" w:eastAsia="宋体" w:cs="宋体"/>
          <w:b w:val="0"/>
          <w:color w:val="auto"/>
          <w:highlight w:val="none"/>
          <w:lang w:val="en-US" w:eastAsia="zh-CN"/>
          <w:woUserID w:val="1"/>
        </w:rPr>
        <w:t>6</w:t>
      </w:r>
      <w:r>
        <w:rPr>
          <w:rFonts w:hint="eastAsia" w:ascii="宋体" w:hAnsi="宋体" w:eastAsia="宋体" w:cs="宋体"/>
          <w:b w:val="0"/>
          <w:color w:val="auto"/>
          <w:highlight w:val="none"/>
          <w:woUserID w:val="1"/>
        </w:rPr>
        <w:t>年</w:t>
      </w:r>
      <w:r>
        <w:rPr>
          <w:rFonts w:hint="eastAsia" w:eastAsia="宋体" w:cs="宋体"/>
          <w:b w:val="0"/>
          <w:color w:val="auto"/>
          <w:highlight w:val="none"/>
          <w:lang w:val="en-US" w:eastAsia="zh-CN"/>
          <w:woUserID w:val="1"/>
        </w:rPr>
        <w:t xml:space="preserve"> </w:t>
      </w:r>
      <w:r>
        <w:rPr>
          <w:rFonts w:hint="default" w:eastAsia="宋体" w:cs="宋体"/>
          <w:b w:val="0"/>
          <w:color w:val="auto"/>
          <w:highlight w:val="none"/>
          <w:lang w:eastAsia="zh-CN"/>
          <w:woUserID w:val="1"/>
        </w:rPr>
        <w:t>8</w:t>
      </w:r>
      <w:r>
        <w:rPr>
          <w:rFonts w:hint="eastAsia" w:eastAsia="宋体" w:cs="宋体"/>
          <w:b w:val="0"/>
          <w:color w:val="auto"/>
          <w:highlight w:val="none"/>
          <w:lang w:val="en-US" w:eastAsia="zh-CN"/>
          <w:woUserID w:val="1"/>
        </w:rPr>
        <w:t xml:space="preserve"> </w:t>
      </w:r>
      <w:r>
        <w:rPr>
          <w:rFonts w:hint="eastAsia" w:ascii="宋体" w:hAnsi="宋体" w:eastAsia="宋体" w:cs="宋体"/>
          <w:b w:val="0"/>
          <w:color w:val="auto"/>
          <w:highlight w:val="none"/>
          <w:woUserID w:val="1"/>
        </w:rPr>
        <w:t>月</w:t>
      </w:r>
      <w:r>
        <w:rPr>
          <w:rFonts w:hint="eastAsia" w:eastAsia="宋体" w:cs="宋体"/>
          <w:b w:val="0"/>
          <w:color w:val="auto"/>
          <w:highlight w:val="none"/>
          <w:lang w:val="en-US" w:eastAsia="zh-CN"/>
          <w:woUserID w:val="1"/>
        </w:rPr>
        <w:t xml:space="preserve"> </w:t>
      </w:r>
      <w:r>
        <w:rPr>
          <w:rFonts w:hint="default" w:eastAsia="宋体" w:cs="宋体"/>
          <w:b w:val="0"/>
          <w:color w:val="auto"/>
          <w:highlight w:val="none"/>
          <w:lang w:eastAsia="zh-CN"/>
          <w:woUserID w:val="1"/>
        </w:rPr>
        <w:t>6</w:t>
      </w:r>
      <w:r>
        <w:rPr>
          <w:rFonts w:hint="eastAsia" w:eastAsia="宋体" w:cs="宋体"/>
          <w:b w:val="0"/>
          <w:color w:val="auto"/>
          <w:highlight w:val="none"/>
          <w:lang w:val="en-US" w:eastAsia="zh-CN"/>
          <w:woUserID w:val="1"/>
        </w:rPr>
        <w:t xml:space="preserve"> </w:t>
      </w:r>
      <w:r>
        <w:rPr>
          <w:rFonts w:hint="eastAsia" w:ascii="宋体" w:hAnsi="宋体" w:eastAsia="宋体" w:cs="宋体"/>
          <w:b w:val="0"/>
          <w:color w:val="auto"/>
          <w:highlight w:val="none"/>
          <w:woUserID w:val="1"/>
        </w:rPr>
        <w:t>日（周</w:t>
      </w:r>
      <w:r>
        <w:rPr>
          <w:rFonts w:hint="default" w:eastAsia="宋体" w:cs="宋体"/>
          <w:b w:val="0"/>
          <w:color w:val="auto"/>
          <w:highlight w:val="none"/>
          <w:woUserID w:val="1"/>
        </w:rPr>
        <w:t>四</w:t>
      </w:r>
      <w:r>
        <w:rPr>
          <w:rFonts w:hint="eastAsia" w:ascii="宋体" w:hAnsi="宋体" w:eastAsia="宋体" w:cs="宋体"/>
          <w:b w:val="0"/>
          <w:color w:val="auto"/>
          <w:highlight w:val="none"/>
          <w:woUserID w:val="1"/>
        </w:rPr>
        <w:t>）</w:t>
      </w:r>
      <w:r>
        <w:rPr>
          <w:rFonts w:hint="eastAsia" w:ascii="宋体" w:hAnsi="宋体" w:eastAsia="宋体" w:cs="宋体"/>
        </w:rPr>
        <w:t>下午17点前，逾期不受理</w:t>
      </w:r>
    </w:p>
    <w:p>
      <w:pPr>
        <w:pStyle w:val="79"/>
        <w:ind w:firstLine="480"/>
        <w:rPr>
          <w:rFonts w:hint="eastAsia" w:ascii="宋体" w:hAnsi="宋体" w:eastAsia="宋体" w:cs="宋体"/>
        </w:rPr>
      </w:pPr>
      <w:r>
        <w:rPr>
          <w:rFonts w:hint="eastAsia" w:ascii="宋体" w:hAnsi="宋体" w:eastAsia="宋体" w:cs="宋体"/>
        </w:rPr>
        <w:t>答疑方式：书面及邮件</w:t>
      </w:r>
    </w:p>
    <w:p>
      <w:pPr>
        <w:pStyle w:val="79"/>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沈晓峰</w:t>
      </w:r>
    </w:p>
    <w:p>
      <w:pPr>
        <w:pStyle w:val="79"/>
        <w:ind w:firstLine="480"/>
        <w:rPr>
          <w:rFonts w:hint="eastAsia" w:eastAsia="宋体" w:cs="宋体"/>
          <w:lang w:val="en-US" w:eastAsia="zh-CN"/>
        </w:rPr>
      </w:pPr>
      <w:r>
        <w:rPr>
          <w:rFonts w:hint="eastAsia" w:ascii="宋体" w:hAnsi="宋体" w:eastAsia="宋体" w:cs="宋体"/>
        </w:rPr>
        <w:t>电    话：</w:t>
      </w:r>
      <w:r>
        <w:rPr>
          <w:rFonts w:hint="eastAsia" w:ascii="宋体" w:hAnsi="宋体" w:eastAsia="宋体" w:cs="宋体"/>
          <w:lang w:val="en-US" w:eastAsia="zh-CN"/>
        </w:rPr>
        <w:t>19</w:t>
      </w:r>
      <w:r>
        <w:rPr>
          <w:rFonts w:hint="eastAsia" w:eastAsia="宋体" w:cs="宋体"/>
          <w:lang w:val="en-US" w:eastAsia="zh-CN"/>
        </w:rPr>
        <w:t>861850501</w:t>
      </w:r>
    </w:p>
    <w:p>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shenxiaofeng</w:t>
      </w:r>
      <w:r>
        <w:rPr>
          <w:rFonts w:hint="eastAsia" w:ascii="宋体" w:hAnsi="宋体" w:eastAsia="宋体" w:cs="宋体"/>
        </w:rPr>
        <w:t xml:space="preserve">@sinotruk.com </w:t>
      </w:r>
    </w:p>
    <w:p>
      <w:pPr>
        <w:pStyle w:val="85"/>
        <w:ind w:firstLine="480"/>
        <w:rPr>
          <w:rFonts w:hint="eastAsia" w:ascii="宋体" w:hAnsi="宋体" w:eastAsia="宋体" w:cs="宋体"/>
        </w:rPr>
      </w:pPr>
      <w:r>
        <w:rPr>
          <w:rFonts w:hint="eastAsia" w:ascii="宋体" w:hAnsi="宋体" w:eastAsia="宋体" w:cs="宋体"/>
        </w:rPr>
        <w:t>5、商务答疑</w:t>
      </w:r>
    </w:p>
    <w:p>
      <w:pPr>
        <w:pStyle w:val="79"/>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pPr>
        <w:pStyle w:val="79"/>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pPr>
        <w:pStyle w:val="79"/>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pPr>
        <w:pStyle w:val="85"/>
        <w:ind w:firstLine="480"/>
        <w:rPr>
          <w:rFonts w:hint="eastAsia" w:ascii="宋体" w:hAnsi="宋体" w:eastAsia="宋体" w:cs="宋体"/>
        </w:rPr>
      </w:pPr>
      <w:r>
        <w:rPr>
          <w:rFonts w:hint="eastAsia" w:ascii="宋体" w:hAnsi="宋体" w:eastAsia="宋体" w:cs="宋体"/>
        </w:rPr>
        <w:t>6、投标报名及注意事项</w:t>
      </w:r>
    </w:p>
    <w:p>
      <w:pPr>
        <w:pStyle w:val="81"/>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pPr>
        <w:pStyle w:val="85"/>
        <w:ind w:firstLine="480"/>
        <w:rPr>
          <w:rFonts w:hint="eastAsia" w:ascii="宋体" w:hAnsi="宋体" w:eastAsia="宋体" w:cs="宋体"/>
        </w:rPr>
      </w:pPr>
      <w:r>
        <w:rPr>
          <w:rFonts w:hint="eastAsia" w:ascii="宋体" w:hAnsi="宋体" w:eastAsia="宋体" w:cs="宋体"/>
        </w:rPr>
        <w:t>7、开标时间</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cyan"/>
          <w:lang w:val="en-US" w:eastAsia="zh-CN"/>
        </w:rPr>
        <w:t xml:space="preserve">2026年 </w:t>
      </w:r>
      <w:r>
        <w:rPr>
          <w:rFonts w:hint="default" w:hAnsi="宋体" w:cs="宋体"/>
          <w:color w:val="000000"/>
          <w:sz w:val="24"/>
          <w:szCs w:val="24"/>
          <w:highlight w:val="cyan"/>
          <w:lang w:eastAsia="zh-CN"/>
          <w:woUserID w:val="1"/>
        </w:rPr>
        <w:t>8</w:t>
      </w:r>
      <w:r>
        <w:rPr>
          <w:rFonts w:hint="eastAsia" w:ascii="宋体" w:hAnsi="宋体" w:eastAsia="宋体" w:cs="宋体"/>
          <w:color w:val="000000"/>
          <w:sz w:val="24"/>
          <w:szCs w:val="24"/>
          <w:highlight w:val="cyan"/>
          <w:lang w:val="en-US" w:eastAsia="zh-CN"/>
        </w:rPr>
        <w:t xml:space="preserve"> 月 </w:t>
      </w:r>
      <w:r>
        <w:rPr>
          <w:rFonts w:hint="default" w:hAnsi="宋体" w:cs="宋体"/>
          <w:color w:val="000000"/>
          <w:sz w:val="24"/>
          <w:szCs w:val="24"/>
          <w:highlight w:val="cyan"/>
          <w:lang w:eastAsia="zh-CN"/>
          <w:woUserID w:val="1"/>
        </w:rPr>
        <w:t>7</w:t>
      </w:r>
      <w:r>
        <w:rPr>
          <w:rFonts w:hint="eastAsia" w:ascii="宋体" w:hAnsi="宋体" w:eastAsia="宋体" w:cs="宋体"/>
          <w:color w:val="000000"/>
          <w:sz w:val="24"/>
          <w:szCs w:val="24"/>
          <w:highlight w:val="cyan"/>
          <w:lang w:val="en-US" w:eastAsia="zh-CN"/>
        </w:rPr>
        <w:t xml:space="preserve"> 日（周</w:t>
      </w:r>
      <w:r>
        <w:rPr>
          <w:rFonts w:hint="default" w:hAnsi="宋体" w:cs="宋体"/>
          <w:color w:val="000000"/>
          <w:sz w:val="24"/>
          <w:szCs w:val="24"/>
          <w:highlight w:val="cyan"/>
          <w:lang w:eastAsia="zh-CN"/>
          <w:woUserID w:val="1"/>
        </w:rPr>
        <w:t>五</w:t>
      </w:r>
      <w:r>
        <w:rPr>
          <w:rFonts w:hint="eastAsia" w:ascii="宋体" w:hAnsi="宋体" w:eastAsia="宋体" w:cs="宋体"/>
          <w:color w:val="000000"/>
          <w:sz w:val="24"/>
          <w:szCs w:val="24"/>
          <w:highlight w:val="cyan"/>
          <w:lang w:val="en-US" w:eastAsia="zh-CN"/>
        </w:rPr>
        <w:t>）</w:t>
      </w:r>
      <w:r>
        <w:rPr>
          <w:rFonts w:hint="default" w:hAnsi="宋体" w:cs="宋体"/>
          <w:color w:val="000000"/>
          <w:sz w:val="24"/>
          <w:szCs w:val="24"/>
          <w:highlight w:val="cyan"/>
          <w:lang w:eastAsia="zh-CN"/>
          <w:woUserID w:val="1"/>
        </w:rPr>
        <w:t>上</w:t>
      </w:r>
      <w:r>
        <w:rPr>
          <w:rFonts w:hint="eastAsia" w:ascii="宋体" w:hAnsi="宋体" w:eastAsia="宋体" w:cs="宋体"/>
          <w:color w:val="000000"/>
          <w:sz w:val="24"/>
          <w:szCs w:val="24"/>
          <w:highlight w:val="cyan"/>
        </w:rPr>
        <w:t>午</w:t>
      </w:r>
      <w:r>
        <w:rPr>
          <w:rFonts w:hint="default" w:hAnsi="宋体" w:cs="宋体"/>
          <w:color w:val="000000"/>
          <w:sz w:val="24"/>
          <w:szCs w:val="24"/>
          <w:highlight w:val="cyan"/>
          <w:woUserID w:val="1"/>
        </w:rPr>
        <w:t>9</w:t>
      </w:r>
      <w:bookmarkStart w:id="21" w:name="_GoBack"/>
      <w:bookmarkEnd w:id="21"/>
      <w:r>
        <w:rPr>
          <w:rFonts w:hint="eastAsia" w:ascii="宋体" w:hAnsi="宋体" w:eastAsia="宋体" w:cs="宋体"/>
          <w:color w:val="000000"/>
          <w:sz w:val="24"/>
          <w:szCs w:val="24"/>
          <w:highlight w:val="cyan"/>
          <w:lang w:val="en-US" w:eastAsia="zh-CN"/>
        </w:rPr>
        <w:t>:00</w:t>
      </w:r>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rPr>
        <w:t>若有变动另行通知。</w:t>
      </w:r>
    </w:p>
    <w:p>
      <w:pPr>
        <w:pStyle w:val="85"/>
        <w:ind w:firstLine="480"/>
        <w:rPr>
          <w:rFonts w:hint="eastAsia" w:ascii="宋体" w:hAnsi="宋体" w:eastAsia="宋体" w:cs="宋体"/>
        </w:rPr>
      </w:pPr>
      <w:r>
        <w:rPr>
          <w:rFonts w:hint="eastAsia" w:ascii="宋体" w:hAnsi="宋体" w:eastAsia="宋体" w:cs="宋体"/>
        </w:rPr>
        <w:t>8、开标方式</w:t>
      </w:r>
    </w:p>
    <w:p>
      <w:pPr>
        <w:pStyle w:val="15"/>
        <w:spacing w:line="360" w:lineRule="auto"/>
        <w:ind w:firstLine="480" w:firstLineChars="200"/>
        <w:rPr>
          <w:rFonts w:hAnsi="宋体" w:cs="宋体"/>
          <w:bCs/>
          <w:sz w:val="24"/>
          <w:szCs w:val="24"/>
        </w:rPr>
      </w:pPr>
      <w:r>
        <w:rPr>
          <w:rFonts w:hint="eastAsia" w:hAnsi="宋体" w:cs="宋体"/>
          <w:bCs/>
          <w:sz w:val="24"/>
          <w:szCs w:val="24"/>
        </w:rPr>
        <w:t>如选择到场参与开标，自行携带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如选择线上参与开标，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85"/>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79"/>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79"/>
        <w:ind w:firstLine="480"/>
        <w:rPr>
          <w:rFonts w:hint="eastAsia" w:ascii="宋体" w:hAnsi="宋体" w:eastAsia="宋体" w:cs="宋体"/>
        </w:rPr>
      </w:pPr>
      <w:r>
        <w:rPr>
          <w:rFonts w:hint="eastAsia" w:ascii="宋体" w:hAnsi="宋体" w:eastAsia="宋体" w:cs="宋体"/>
        </w:rPr>
        <w:t>投标地点：</w:t>
      </w:r>
      <w:bookmarkStart w:id="3" w:name="OLE_LINK2"/>
      <w:bookmarkStart w:id="4" w:name="OLE_LINK3"/>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pPr>
        <w:pStyle w:val="81"/>
        <w:rPr>
          <w:rFonts w:hint="eastAsia" w:ascii="宋体" w:hAnsi="宋体" w:eastAsia="宋体" w:cs="宋体"/>
        </w:rPr>
      </w:pPr>
      <w:r>
        <w:rPr>
          <w:rFonts w:hint="eastAsia" w:ascii="宋体" w:hAnsi="宋体" w:eastAsia="宋体" w:cs="宋体"/>
        </w:rPr>
        <w:t>六、评标规则</w:t>
      </w:r>
    </w:p>
    <w:p>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1、评标</w:t>
      </w:r>
    </w:p>
    <w:p>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sz w:val="24"/>
          <w:szCs w:val="24"/>
        </w:rPr>
      </w:pPr>
      <w:r>
        <w:rPr>
          <w:rFonts w:hint="eastAsia" w:ascii="宋体" w:hAnsi="宋体" w:eastAsia="宋体" w:cs="宋体"/>
          <w:color w:val="000000"/>
          <w:kern w:val="2"/>
          <w:sz w:val="24"/>
          <w:szCs w:val="24"/>
          <w:lang w:val="en-US" w:eastAsia="zh-CN" w:bidi="ar-SA"/>
        </w:rPr>
        <w:t>本次招标采用综合评标法（技术标占比40%，商务标占比60%）确认最终中标方。商务标得分=当前轮次最低价/供方投标价 X 商务标总分。</w:t>
      </w:r>
      <w:r>
        <w:rPr>
          <w:rFonts w:hint="eastAsia" w:ascii="宋体" w:hAnsi="宋体" w:eastAsia="宋体" w:cs="宋体"/>
          <w:color w:val="000000"/>
          <w:sz w:val="24"/>
          <w:szCs w:val="24"/>
        </w:rPr>
        <w:t>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highlight w:val="yellow"/>
        </w:rPr>
      </w:pPr>
      <w:r>
        <w:rPr>
          <w:rFonts w:hint="eastAsia" w:ascii="宋体" w:hAnsi="宋体" w:eastAsia="宋体" w:cs="宋体"/>
          <w:b/>
          <w:highlight w:val="yellow"/>
        </w:rPr>
        <w:t>评标流程：</w:t>
      </w:r>
    </w:p>
    <w:p>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w:t>
      </w: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）”，在重汽e采通平台投递电子标书（包含资质标、技术标、商务标），没有通过应标资质审查的单位不能进入投标环节；</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highlight w:val="yellow"/>
        </w:rPr>
      </w:pPr>
      <w:r>
        <w:rPr>
          <w:rFonts w:hint="eastAsia" w:ascii="宋体" w:hAnsi="宋体" w:eastAsia="宋体" w:cs="宋体"/>
          <w:b/>
          <w:sz w:val="24"/>
          <w:szCs w:val="24"/>
        </w:rPr>
        <w:t>资质标评审：资质标审核通过的单位，</w:t>
      </w:r>
      <w:r>
        <w:rPr>
          <w:rFonts w:hint="eastAsia" w:ascii="宋体" w:hAnsi="宋体" w:cs="宋体"/>
          <w:b/>
          <w:sz w:val="24"/>
          <w:szCs w:val="24"/>
          <w:lang w:val="en-US" w:eastAsia="zh-CN"/>
        </w:rPr>
        <w:t>首先进行</w:t>
      </w:r>
      <w:r>
        <w:rPr>
          <w:rFonts w:hint="eastAsia" w:ascii="宋体" w:hAnsi="宋体" w:eastAsia="宋体" w:cs="宋体"/>
          <w:b/>
          <w:sz w:val="24"/>
          <w:szCs w:val="24"/>
        </w:rPr>
        <w:t>公开唱标→商务条款相应确认→进入技术标评审；</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highlight w:val="yellow"/>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highlight w:val="yellow"/>
        </w:rPr>
      </w:pP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技术标评分标准见附件1</w:t>
      </w:r>
      <w:r>
        <w:rPr>
          <w:rFonts w:hint="eastAsia" w:ascii="宋体" w:hAnsi="宋体" w:eastAsia="宋体" w:cs="宋体"/>
          <w:b/>
          <w:bCs/>
          <w:color w:val="000000"/>
          <w:sz w:val="24"/>
          <w:szCs w:val="24"/>
          <w:highlight w:val="yellow"/>
          <w:lang w:val="en-US" w:eastAsia="zh-CN"/>
        </w:rPr>
        <w:t>5</w:t>
      </w:r>
      <w:r>
        <w:rPr>
          <w:rFonts w:hint="eastAsia" w:ascii="宋体" w:hAnsi="宋体" w:eastAsia="宋体" w:cs="宋体"/>
          <w:b/>
          <w:bCs/>
          <w:color w:val="000000"/>
          <w:sz w:val="24"/>
          <w:szCs w:val="24"/>
          <w:highlight w:val="yellow"/>
        </w:rPr>
        <w:t>。</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firstLine="0"/>
        <w:textAlignment w:val="auto"/>
        <w:rPr>
          <w:rFonts w:hint="eastAsia" w:ascii="宋体" w:hAnsi="宋体" w:eastAsia="宋体" w:cs="宋体"/>
          <w:b/>
          <w:sz w:val="24"/>
          <w:szCs w:val="24"/>
        </w:rPr>
      </w:pPr>
      <w:r>
        <w:rPr>
          <w:rFonts w:hint="eastAsia" w:ascii="宋体" w:hAnsi="宋体" w:eastAsia="宋体" w:cs="宋体"/>
          <w:b/>
          <w:sz w:val="24"/>
          <w:szCs w:val="24"/>
        </w:rPr>
        <w:t>商务标评审：价格澄清→商务标评审；评审期间产生的商务价格澄清均由投标人在重汽e采通平台内限时完成提交；</w:t>
      </w:r>
    </w:p>
    <w:p>
      <w:pPr>
        <w:pStyle w:val="3"/>
        <w:ind w:firstLine="480"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6"/>
        </w:numPr>
        <w:spacing w:line="420" w:lineRule="exact"/>
        <w:rPr>
          <w:rFonts w:hint="eastAsia" w:ascii="宋体" w:hAnsi="宋体" w:eastAsia="宋体" w:cs="宋体"/>
          <w:color w:val="000000"/>
          <w:sz w:val="24"/>
          <w:szCs w:val="24"/>
        </w:rPr>
      </w:pPr>
      <w:r>
        <w:rPr>
          <w:rFonts w:hint="eastAsia" w:ascii="宋体" w:hAnsi="宋体" w:eastAsia="宋体" w:cs="宋体"/>
          <w:b/>
          <w:sz w:val="24"/>
          <w:szCs w:val="24"/>
        </w:rPr>
        <w:t>中标人确定：</w:t>
      </w:r>
      <w:r>
        <w:rPr>
          <w:rFonts w:hint="eastAsia" w:ascii="宋体" w:hAnsi="宋体" w:eastAsia="宋体" w:cs="宋体"/>
          <w:b/>
          <w:sz w:val="24"/>
          <w:szCs w:val="24"/>
          <w:lang w:val="en-US" w:eastAsia="zh-CN"/>
        </w:rPr>
        <w:t>资质审核通过后，根据综合评标确认最终中标方。</w:t>
      </w:r>
    </w:p>
    <w:p>
      <w:pPr>
        <w:pStyle w:val="79"/>
        <w:ind w:firstLine="480"/>
        <w:rPr>
          <w:rFonts w:hint="eastAsia" w:ascii="宋体" w:hAnsi="宋体" w:eastAsia="宋体" w:cs="宋体"/>
          <w:color w:val="000000"/>
          <w:sz w:val="24"/>
          <w:szCs w:val="24"/>
        </w:rPr>
      </w:pPr>
      <w:r>
        <w:rPr>
          <w:rFonts w:hint="eastAsia" w:ascii="宋体" w:hAnsi="宋体" w:eastAsia="宋体" w:cs="宋体"/>
        </w:rPr>
        <w:t>2、中标</w:t>
      </w:r>
    </w:p>
    <w:p>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1"/>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79"/>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15"/>
        <w:spacing w:line="360" w:lineRule="auto"/>
        <w:ind w:firstLine="480"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79"/>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w:t>
      </w:r>
      <w:r>
        <w:rPr>
          <w:rFonts w:hint="eastAsia" w:ascii="宋体" w:hAnsi="宋体" w:eastAsia="宋体" w:cs="宋体"/>
          <w:sz w:val="24"/>
          <w:szCs w:val="24"/>
          <w:lang w:val="en-US" w:eastAsia="zh-CN"/>
        </w:rPr>
        <w:t>三家</w:t>
      </w:r>
      <w:r>
        <w:rPr>
          <w:rFonts w:hint="eastAsia" w:ascii="宋体" w:hAnsi="宋体" w:eastAsia="宋体" w:cs="宋体"/>
          <w:sz w:val="24"/>
          <w:szCs w:val="24"/>
        </w:rPr>
        <w:t>；</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pPr>
        <w:pStyle w:val="79"/>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w:t>
      </w:r>
      <w:r>
        <w:rPr>
          <w:rFonts w:hint="eastAsia" w:ascii="宋体" w:hAnsi="宋体" w:cs="宋体"/>
          <w:sz w:val="24"/>
          <w:szCs w:val="24"/>
          <w:lang w:val="en-US" w:eastAsia="zh-CN"/>
        </w:rPr>
        <w:t>三家</w:t>
      </w:r>
      <w:r>
        <w:rPr>
          <w:rFonts w:hint="eastAsia" w:ascii="宋体" w:hAnsi="宋体" w:eastAsia="宋体" w:cs="宋体"/>
          <w:sz w:val="24"/>
          <w:szCs w:val="24"/>
        </w:rPr>
        <w:t>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pPr>
        <w:pStyle w:val="81"/>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15"/>
        <w:spacing w:line="360" w:lineRule="auto"/>
        <w:ind w:firstLine="538" w:firstLineChars="224"/>
        <w:rPr>
          <w:rFonts w:hint="eastAsia" w:ascii="宋体" w:hAnsi="宋体" w:eastAsia="宋体" w:cs="宋体"/>
          <w:b/>
          <w:bCs/>
          <w:color w:val="000000"/>
          <w:sz w:val="24"/>
          <w:szCs w:val="24"/>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rPr>
          <w:rFonts w:hint="eastAsia" w:ascii="宋体" w:hAnsi="宋体" w:eastAsia="宋体" w:cs="宋体"/>
          <w:b/>
          <w:bCs/>
          <w:color w:val="000000"/>
          <w:sz w:val="24"/>
          <w:szCs w:val="24"/>
        </w:rPr>
      </w:pPr>
      <w:r>
        <w:rPr>
          <w:rFonts w:hint="eastAsia" w:ascii="宋体" w:hAnsi="宋体" w:eastAsia="宋体" w:cs="宋体"/>
          <w:b/>
          <w:bCs/>
          <w:color w:val="000000"/>
          <w:sz w:val="24"/>
          <w:szCs w:val="24"/>
        </w:rPr>
        <w:br w:type="page"/>
      </w:r>
    </w:p>
    <w:p>
      <w:pPr>
        <w:pStyle w:val="85"/>
        <w:ind w:left="0" w:leftChars="0" w:firstLine="480" w:firstLineChars="200"/>
        <w:rPr>
          <w:rFonts w:hint="eastAsia" w:ascii="宋体" w:hAnsi="宋体" w:eastAsia="宋体" w:cs="宋体"/>
        </w:rPr>
      </w:pPr>
      <w:r>
        <w:rPr>
          <w:rFonts w:hint="eastAsia" w:ascii="宋体" w:hAnsi="宋体" w:eastAsia="宋体" w:cs="宋体"/>
        </w:rPr>
        <w:t>附件1</w:t>
      </w:r>
      <w:bookmarkStart w:id="6" w:name="_Toc212369550"/>
      <w:bookmarkStart w:id="7" w:name="_Toc25811"/>
      <w:bookmarkStart w:id="8" w:name="_Toc353881012"/>
      <w:bookmarkStart w:id="9" w:name="_Toc639004"/>
      <w:r>
        <w:rPr>
          <w:rFonts w:hint="eastAsia" w:ascii="宋体" w:hAnsi="宋体" w:eastAsia="宋体" w:cs="宋体"/>
        </w:rPr>
        <w:t xml:space="preserve"> 投标函</w:t>
      </w:r>
      <w:bookmarkEnd w:id="6"/>
      <w:bookmarkEnd w:id="7"/>
      <w:bookmarkEnd w:id="8"/>
      <w:bookmarkEnd w:id="9"/>
    </w:p>
    <w:p>
      <w:pPr>
        <w:pStyle w:val="79"/>
        <w:ind w:firstLine="480"/>
        <w:rPr>
          <w:rFonts w:hint="eastAsia" w:ascii="宋体" w:hAnsi="宋体" w:eastAsia="宋体" w:cs="宋体"/>
        </w:rPr>
      </w:pPr>
      <w:r>
        <w:rPr>
          <w:rFonts w:hint="eastAsia" w:ascii="宋体" w:hAnsi="宋体" w:eastAsia="宋体" w:cs="宋体"/>
        </w:rPr>
        <w:t>致：中国重汽集团济南动力有限公司：</w:t>
      </w:r>
    </w:p>
    <w:p>
      <w:pPr>
        <w:pStyle w:val="79"/>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79"/>
        <w:ind w:firstLine="480"/>
        <w:rPr>
          <w:rFonts w:hint="eastAsia" w:ascii="宋体" w:hAnsi="宋体" w:eastAsia="宋体" w:cs="宋体"/>
        </w:rPr>
      </w:pPr>
      <w:r>
        <w:rPr>
          <w:rFonts w:hint="eastAsia" w:ascii="宋体" w:hAnsi="宋体" w:eastAsia="宋体" w:cs="宋体"/>
        </w:rPr>
        <w:t>据此函，签字代表宣布同意如下：</w:t>
      </w:r>
    </w:p>
    <w:p>
      <w:pPr>
        <w:pStyle w:val="79"/>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79"/>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pPr>
        <w:pStyle w:val="79"/>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79"/>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pPr>
        <w:pStyle w:val="79"/>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pPr>
        <w:pStyle w:val="79"/>
        <w:ind w:firstLine="480"/>
        <w:rPr>
          <w:rFonts w:hint="eastAsia" w:ascii="宋体" w:hAnsi="宋体" w:eastAsia="宋体" w:cs="宋体"/>
        </w:rPr>
      </w:pPr>
      <w:r>
        <w:rPr>
          <w:rFonts w:hint="eastAsia" w:ascii="宋体" w:hAnsi="宋体" w:eastAsia="宋体" w:cs="宋体"/>
        </w:rPr>
        <w:t>6、与本投标有关的一切正式往来信函请寄：</w:t>
      </w:r>
    </w:p>
    <w:p>
      <w:pPr>
        <w:pStyle w:val="79"/>
        <w:ind w:firstLine="480"/>
        <w:rPr>
          <w:rFonts w:hint="eastAsia" w:ascii="宋体" w:hAnsi="宋体" w:eastAsia="宋体" w:cs="宋体"/>
        </w:rPr>
      </w:pPr>
      <w:r>
        <w:rPr>
          <w:rFonts w:hint="eastAsia" w:ascii="宋体" w:hAnsi="宋体" w:eastAsia="宋体" w:cs="宋体"/>
        </w:rPr>
        <w:t xml:space="preserve">地址：                             </w:t>
      </w:r>
    </w:p>
    <w:p>
      <w:pPr>
        <w:pStyle w:val="79"/>
        <w:ind w:firstLine="480"/>
        <w:rPr>
          <w:rFonts w:hint="eastAsia" w:ascii="宋体" w:hAnsi="宋体" w:eastAsia="宋体" w:cs="宋体"/>
        </w:rPr>
      </w:pPr>
      <w:r>
        <w:rPr>
          <w:rFonts w:hint="eastAsia" w:ascii="宋体" w:hAnsi="宋体" w:eastAsia="宋体" w:cs="宋体"/>
        </w:rPr>
        <w:t xml:space="preserve">邮编：        </w:t>
      </w:r>
    </w:p>
    <w:p>
      <w:pPr>
        <w:pStyle w:val="79"/>
        <w:ind w:firstLine="480"/>
        <w:rPr>
          <w:rFonts w:hint="eastAsia" w:ascii="宋体" w:hAnsi="宋体" w:eastAsia="宋体" w:cs="宋体"/>
        </w:rPr>
      </w:pPr>
      <w:r>
        <w:rPr>
          <w:rFonts w:hint="eastAsia" w:ascii="宋体" w:hAnsi="宋体" w:eastAsia="宋体" w:cs="宋体"/>
        </w:rPr>
        <w:t xml:space="preserve">电话：        传真：                   </w:t>
      </w:r>
    </w:p>
    <w:p>
      <w:pPr>
        <w:pStyle w:val="79"/>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79"/>
        <w:ind w:firstLine="480"/>
        <w:rPr>
          <w:rFonts w:hint="eastAsia" w:ascii="宋体" w:hAnsi="宋体" w:eastAsia="宋体" w:cs="宋体"/>
        </w:rPr>
      </w:pPr>
      <w:r>
        <w:rPr>
          <w:rFonts w:hint="eastAsia" w:ascii="宋体" w:hAnsi="宋体" w:eastAsia="宋体" w:cs="宋体"/>
        </w:rPr>
        <w:t xml:space="preserve">开户银行：                   </w:t>
      </w:r>
    </w:p>
    <w:p>
      <w:pPr>
        <w:pStyle w:val="79"/>
        <w:ind w:firstLine="480"/>
        <w:rPr>
          <w:rFonts w:hint="eastAsia" w:ascii="宋体" w:hAnsi="宋体" w:eastAsia="宋体" w:cs="宋体"/>
        </w:rPr>
      </w:pPr>
      <w:r>
        <w:rPr>
          <w:rFonts w:hint="eastAsia" w:ascii="宋体" w:hAnsi="宋体" w:eastAsia="宋体" w:cs="宋体"/>
        </w:rPr>
        <w:t>银行帐号：</w:t>
      </w:r>
    </w:p>
    <w:p>
      <w:pPr>
        <w:pStyle w:val="79"/>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pPr>
        <w:pStyle w:val="79"/>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79"/>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81"/>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附件2 法定代表人授权委托书</w:t>
      </w:r>
    </w:p>
    <w:p>
      <w:pPr>
        <w:pStyle w:val="11"/>
        <w:adjustRightInd w:val="0"/>
        <w:snapToGrid w:val="0"/>
        <w:spacing w:before="93" w:beforeLines="30" w:line="240" w:lineRule="exact"/>
        <w:jc w:val="center"/>
        <w:rPr>
          <w:rFonts w:hint="eastAsia" w:ascii="宋体" w:hAnsi="宋体" w:eastAsia="宋体" w:cs="宋体"/>
          <w:sz w:val="24"/>
        </w:rPr>
      </w:pPr>
    </w:p>
    <w:p>
      <w:pPr>
        <w:pStyle w:val="79"/>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79"/>
        <w:ind w:firstLine="480"/>
        <w:rPr>
          <w:rFonts w:hint="eastAsia" w:ascii="宋体" w:hAnsi="宋体" w:eastAsia="宋体" w:cs="宋体"/>
        </w:rPr>
      </w:pPr>
      <w:r>
        <w:rPr>
          <w:rFonts w:hint="eastAsia" w:ascii="宋体" w:hAnsi="宋体" w:eastAsia="宋体" w:cs="宋体"/>
        </w:rPr>
        <w:t>全权代表无转委权。特此委托。</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79"/>
        <w:ind w:firstLine="480"/>
        <w:rPr>
          <w:rFonts w:hint="eastAsia" w:ascii="宋体" w:hAnsi="宋体" w:eastAsia="宋体" w:cs="宋体"/>
        </w:rPr>
      </w:pPr>
      <w:r>
        <w:rPr>
          <w:rFonts w:hint="eastAsia" w:ascii="宋体" w:hAnsi="宋体" w:eastAsia="宋体" w:cs="宋体"/>
        </w:rPr>
        <w:t>全权代表姓名：            性别：          年龄：</w:t>
      </w:r>
    </w:p>
    <w:p>
      <w:pPr>
        <w:pStyle w:val="79"/>
        <w:ind w:firstLine="480"/>
        <w:rPr>
          <w:rFonts w:hint="eastAsia" w:ascii="宋体" w:hAnsi="宋体" w:eastAsia="宋体" w:cs="宋体"/>
        </w:rPr>
      </w:pPr>
      <w:r>
        <w:rPr>
          <w:rFonts w:hint="eastAsia" w:ascii="宋体" w:hAnsi="宋体" w:eastAsia="宋体" w:cs="宋体"/>
        </w:rPr>
        <w:t>单位：                    部门：          职务：</w:t>
      </w:r>
    </w:p>
    <w:p>
      <w:pPr>
        <w:pStyle w:val="79"/>
        <w:ind w:firstLine="480"/>
        <w:rPr>
          <w:rFonts w:hint="eastAsia" w:ascii="宋体" w:hAnsi="宋体" w:eastAsia="宋体" w:cs="宋体"/>
        </w:rPr>
      </w:pPr>
      <w:r>
        <w:rPr>
          <w:rFonts w:hint="eastAsia" w:ascii="宋体" w:hAnsi="宋体" w:eastAsia="宋体" w:cs="宋体"/>
        </w:rPr>
        <w:t xml:space="preserve">法定代表人签字或盖章                          </w:t>
      </w:r>
    </w:p>
    <w:p>
      <w:pPr>
        <w:pStyle w:val="79"/>
        <w:ind w:firstLine="480"/>
        <w:rPr>
          <w:rFonts w:hint="eastAsia" w:ascii="宋体" w:hAnsi="宋体" w:eastAsia="宋体" w:cs="宋体"/>
        </w:rPr>
      </w:pPr>
      <w:r>
        <w:rPr>
          <w:rFonts w:hint="eastAsia" w:ascii="宋体" w:hAnsi="宋体" w:eastAsia="宋体" w:cs="宋体"/>
        </w:rPr>
        <w:t xml:space="preserve">被授权人签字  </w:t>
      </w:r>
    </w:p>
    <w:p>
      <w:pPr>
        <w:pStyle w:val="79"/>
        <w:ind w:firstLine="480"/>
        <w:rPr>
          <w:rFonts w:hint="eastAsia" w:ascii="宋体" w:hAnsi="宋体" w:eastAsia="宋体" w:cs="宋体"/>
        </w:rPr>
      </w:pPr>
      <w:r>
        <w:rPr>
          <w:rFonts w:hint="eastAsia" w:ascii="宋体" w:hAnsi="宋体" w:eastAsia="宋体" w:cs="宋体"/>
        </w:rPr>
        <w:t xml:space="preserve">被授权人电话：                          </w:t>
      </w:r>
    </w:p>
    <w:p>
      <w:pPr>
        <w:pStyle w:val="79"/>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pPr>
        <w:pStyle w:val="85"/>
        <w:ind w:left="0" w:leftChars="0" w:firstLine="480"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pPr>
        <w:pStyle w:val="79"/>
        <w:ind w:firstLine="480"/>
        <w:rPr>
          <w:rFonts w:hint="eastAsia" w:ascii="宋体" w:hAnsi="宋体" w:eastAsia="宋体" w:cs="宋体"/>
        </w:rPr>
      </w:pPr>
      <w:r>
        <w:rPr>
          <w:rFonts w:hint="eastAsia" w:ascii="宋体" w:hAnsi="宋体" w:eastAsia="宋体" w:cs="宋体"/>
        </w:rPr>
        <w:t>项目名称：</w:t>
      </w:r>
      <w:r>
        <w:rPr>
          <w:rFonts w:hint="eastAsia" w:eastAsia="宋体" w:cs="宋体"/>
          <w:lang w:eastAsia="zh-CN"/>
        </w:rPr>
        <w:t>新能源产品试验检测中心加氢站运维管理项目</w:t>
      </w:r>
      <w:r>
        <w:rPr>
          <w:rFonts w:hint="eastAsia" w:ascii="宋体" w:hAnsi="宋体" w:eastAsia="宋体" w:cs="宋体"/>
        </w:rPr>
        <w:t xml:space="preserve">     </w:t>
      </w:r>
    </w:p>
    <w:tbl>
      <w:tblPr>
        <w:tblStyle w:val="3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3996"/>
        <w:gridCol w:w="2867"/>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3" w:type="pct"/>
            <w:noWrap w:val="0"/>
            <w:vAlign w:val="center"/>
          </w:tcPr>
          <w:p>
            <w:pPr>
              <w:pStyle w:val="83"/>
              <w:rPr>
                <w:rFonts w:hint="eastAsia" w:ascii="宋体" w:hAnsi="宋体" w:eastAsia="宋体" w:cs="宋体"/>
              </w:rPr>
            </w:pPr>
            <w:r>
              <w:rPr>
                <w:rFonts w:hint="eastAsia" w:ascii="宋体" w:hAnsi="宋体" w:eastAsia="宋体" w:cs="宋体"/>
              </w:rPr>
              <w:t>序号</w:t>
            </w:r>
          </w:p>
        </w:tc>
        <w:tc>
          <w:tcPr>
            <w:tcW w:w="2152" w:type="pct"/>
            <w:noWrap w:val="0"/>
            <w:vAlign w:val="center"/>
          </w:tcPr>
          <w:p>
            <w:pPr>
              <w:pStyle w:val="83"/>
              <w:rPr>
                <w:rFonts w:hint="eastAsia" w:ascii="宋体" w:hAnsi="宋体" w:eastAsia="宋体" w:cs="宋体"/>
              </w:rPr>
            </w:pPr>
            <w:r>
              <w:rPr>
                <w:rFonts w:hint="eastAsia" w:ascii="宋体" w:hAnsi="宋体" w:eastAsia="宋体" w:cs="宋体"/>
              </w:rPr>
              <w:t>招标要求</w:t>
            </w:r>
          </w:p>
        </w:tc>
        <w:tc>
          <w:tcPr>
            <w:tcW w:w="1544" w:type="pct"/>
            <w:noWrap w:val="0"/>
            <w:vAlign w:val="center"/>
          </w:tcPr>
          <w:p>
            <w:pPr>
              <w:pStyle w:val="83"/>
              <w:rPr>
                <w:rFonts w:hint="eastAsia" w:ascii="宋体" w:hAnsi="宋体" w:eastAsia="宋体" w:cs="宋体"/>
              </w:rPr>
            </w:pPr>
            <w:r>
              <w:rPr>
                <w:rFonts w:hint="eastAsia" w:ascii="宋体" w:hAnsi="宋体" w:eastAsia="宋体" w:cs="宋体"/>
              </w:rPr>
              <w:t>响应规格</w:t>
            </w:r>
          </w:p>
        </w:tc>
        <w:tc>
          <w:tcPr>
            <w:tcW w:w="888" w:type="pct"/>
            <w:noWrap w:val="0"/>
            <w:vAlign w:val="center"/>
          </w:tcPr>
          <w:p>
            <w:pPr>
              <w:pStyle w:val="83"/>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pPr>
              <w:pStyle w:val="83"/>
              <w:jc w:val="cente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1</w:t>
            </w:r>
          </w:p>
        </w:tc>
        <w:tc>
          <w:tcPr>
            <w:tcW w:w="2152" w:type="pct"/>
            <w:noWrap w:val="0"/>
            <w:vAlign w:val="top"/>
          </w:tcPr>
          <w:p>
            <w:pPr>
              <w:pStyle w:val="83"/>
              <w:rPr>
                <w:rFonts w:hint="eastAsia" w:ascii="宋体" w:hAnsi="宋体" w:eastAsia="宋体" w:cs="宋体"/>
                <w:b w:val="0"/>
                <w:bCs/>
                <w:sz w:val="21"/>
                <w:szCs w:val="21"/>
              </w:rPr>
            </w:pPr>
            <w:r>
              <w:rPr>
                <w:rFonts w:hint="eastAsia" w:ascii="宋体" w:hAnsi="宋体" w:eastAsia="宋体" w:cs="宋体"/>
                <w:b w:val="0"/>
                <w:bCs/>
                <w:sz w:val="21"/>
                <w:szCs w:val="21"/>
              </w:rPr>
              <w:t>制定专业化的运维管理方案及运维工作计划，保障加氢站的安全稳定运行</w:t>
            </w: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3" w:type="pct"/>
            <w:noWrap w:val="0"/>
            <w:vAlign w:val="center"/>
          </w:tcPr>
          <w:p>
            <w:pPr>
              <w:pStyle w:val="83"/>
              <w:jc w:val="cente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2</w:t>
            </w:r>
          </w:p>
        </w:tc>
        <w:tc>
          <w:tcPr>
            <w:tcW w:w="2152" w:type="pct"/>
            <w:shd w:val="clear" w:color="auto" w:fill="auto"/>
            <w:noWrap w:val="0"/>
            <w:vAlign w:val="top"/>
          </w:tcPr>
          <w:p>
            <w:pPr>
              <w:pStyle w:val="83"/>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做好系统运行分析，制定合理的设备运行方案，提高设备利用率，降低运行成本。</w:t>
            </w: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pPr>
              <w:pStyle w:val="83"/>
              <w:jc w:val="cente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3</w:t>
            </w:r>
          </w:p>
        </w:tc>
        <w:tc>
          <w:tcPr>
            <w:tcW w:w="2152" w:type="pct"/>
            <w:shd w:val="clear" w:color="auto" w:fill="auto"/>
            <w:noWrap w:val="0"/>
            <w:vAlign w:val="top"/>
          </w:tcPr>
          <w:p>
            <w:pPr>
              <w:pStyle w:val="83"/>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认真做好值班运行记录、设备巡查记录、设备维修记录、设备检修维护保养记录等文档的记录和存档工作，严格落实安全的各项技术措施，每月需提交运维服务报告，包含每月的系统运行状态、维修、维护情况及数据分析、运维建议等，运维服务期满，出具年度运维总结报告</w:t>
            </w:r>
            <w:r>
              <w:rPr>
                <w:rFonts w:hint="eastAsia" w:ascii="宋体" w:hAnsi="宋体" w:eastAsia="宋体" w:cs="宋体"/>
                <w:b w:val="0"/>
                <w:bCs/>
                <w:sz w:val="21"/>
                <w:szCs w:val="21"/>
                <w:lang w:val="en-US" w:eastAsia="zh-CN"/>
              </w:rPr>
              <w:t>。</w:t>
            </w: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exact"/>
        </w:trPr>
        <w:tc>
          <w:tcPr>
            <w:tcW w:w="413" w:type="pct"/>
            <w:noWrap w:val="0"/>
            <w:vAlign w:val="center"/>
          </w:tcPr>
          <w:p>
            <w:pPr>
              <w:pStyle w:val="83"/>
              <w:jc w:val="cente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4</w:t>
            </w:r>
          </w:p>
        </w:tc>
        <w:tc>
          <w:tcPr>
            <w:tcW w:w="2152" w:type="pct"/>
            <w:shd w:val="clear" w:color="auto" w:fill="auto"/>
            <w:noWrap w:val="0"/>
            <w:vAlign w:val="top"/>
          </w:tcPr>
          <w:p>
            <w:pPr>
              <w:pStyle w:val="83"/>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投标人负责加氢站 12 小时</w:t>
            </w:r>
            <w:r>
              <w:rPr>
                <w:rFonts w:hint="eastAsia" w:ascii="宋体" w:hAnsi="宋体" w:eastAsia="宋体" w:cs="宋体"/>
                <w:b w:val="0"/>
                <w:bCs/>
                <w:sz w:val="21"/>
                <w:szCs w:val="21"/>
                <w:lang w:val="en-US" w:eastAsia="zh-CN"/>
              </w:rPr>
              <w:t>常规运维及</w:t>
            </w:r>
            <w:r>
              <w:rPr>
                <w:rFonts w:hint="eastAsia" w:ascii="宋体" w:hAnsi="宋体" w:eastAsia="宋体" w:cs="宋体"/>
                <w:b w:val="0"/>
                <w:bCs/>
                <w:sz w:val="21"/>
                <w:szCs w:val="21"/>
              </w:rPr>
              <w:t>安全管理工作（周一至周日每天早 8:00-晚 20:00）。</w:t>
            </w:r>
            <w:r>
              <w:rPr>
                <w:rFonts w:hint="eastAsia" w:ascii="宋体" w:hAnsi="宋体" w:eastAsia="宋体" w:cs="宋体"/>
                <w:b w:val="0"/>
                <w:bCs/>
                <w:sz w:val="21"/>
                <w:szCs w:val="21"/>
                <w:lang w:val="en-US" w:eastAsia="zh-CN"/>
              </w:rPr>
              <w:t>其他时间（晚20:00-第二天早8:00）需安排一名加氢人员在站内值班，以满足可能的夜间用气需求，并且随时准备响应紧急情况。</w:t>
            </w: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pPr>
              <w:pStyle w:val="83"/>
              <w:jc w:val="center"/>
              <w:rPr>
                <w:rFonts w:hint="eastAsia" w:ascii="宋体" w:hAnsi="宋体" w:eastAsia="宋体" w:cs="宋体"/>
                <w:b w:val="0"/>
                <w:bCs/>
                <w:sz w:val="24"/>
                <w:lang w:val="en-US" w:eastAsia="zh-CN"/>
              </w:rPr>
            </w:pPr>
          </w:p>
        </w:tc>
        <w:tc>
          <w:tcPr>
            <w:tcW w:w="2152" w:type="pct"/>
            <w:noWrap w:val="0"/>
            <w:vAlign w:val="top"/>
          </w:tcPr>
          <w:p>
            <w:pPr>
              <w:pStyle w:val="83"/>
              <w:rPr>
                <w:rFonts w:hint="eastAsia" w:ascii="宋体" w:hAnsi="宋体" w:eastAsia="宋体" w:cs="宋体"/>
                <w:b w:val="0"/>
                <w:bCs/>
                <w:sz w:val="21"/>
                <w:szCs w:val="21"/>
              </w:rPr>
            </w:pP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3" w:type="pct"/>
            <w:noWrap w:val="0"/>
            <w:vAlign w:val="center"/>
          </w:tcPr>
          <w:p>
            <w:pPr>
              <w:pStyle w:val="83"/>
              <w:jc w:val="center"/>
              <w:rPr>
                <w:rFonts w:hint="eastAsia" w:ascii="宋体" w:hAnsi="宋体" w:eastAsia="宋体" w:cs="宋体"/>
                <w:b w:val="0"/>
                <w:bCs/>
                <w:sz w:val="24"/>
                <w:lang w:val="en-US" w:eastAsia="zh-CN"/>
              </w:rPr>
            </w:pPr>
          </w:p>
        </w:tc>
        <w:tc>
          <w:tcPr>
            <w:tcW w:w="2152" w:type="pct"/>
            <w:noWrap w:val="0"/>
            <w:vAlign w:val="top"/>
          </w:tcPr>
          <w:p>
            <w:pPr>
              <w:pStyle w:val="83"/>
              <w:rPr>
                <w:rFonts w:hint="default" w:ascii="宋体" w:hAnsi="宋体" w:eastAsia="宋体" w:cs="宋体"/>
                <w:sz w:val="24"/>
                <w:lang w:val="en-US" w:eastAsia="zh-CN"/>
              </w:rPr>
            </w:pP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pPr>
              <w:pStyle w:val="83"/>
              <w:jc w:val="center"/>
              <w:rPr>
                <w:rFonts w:hint="eastAsia" w:ascii="宋体" w:hAnsi="宋体" w:eastAsia="宋体" w:cs="宋体"/>
                <w:sz w:val="24"/>
              </w:rPr>
            </w:pPr>
          </w:p>
        </w:tc>
        <w:tc>
          <w:tcPr>
            <w:tcW w:w="2152" w:type="pct"/>
            <w:noWrap w:val="0"/>
            <w:vAlign w:val="top"/>
          </w:tcPr>
          <w:p>
            <w:pPr>
              <w:pStyle w:val="83"/>
              <w:rPr>
                <w:rFonts w:hint="eastAsia" w:ascii="宋体" w:hAnsi="宋体" w:eastAsia="宋体" w:cs="宋体"/>
                <w:sz w:val="24"/>
              </w:rPr>
            </w:pP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3" w:type="pct"/>
            <w:noWrap w:val="0"/>
            <w:vAlign w:val="center"/>
          </w:tcPr>
          <w:p>
            <w:pPr>
              <w:pStyle w:val="83"/>
              <w:jc w:val="center"/>
              <w:rPr>
                <w:rFonts w:hint="eastAsia" w:ascii="宋体" w:hAnsi="宋体" w:eastAsia="宋体" w:cs="宋体"/>
                <w:sz w:val="24"/>
              </w:rPr>
            </w:pPr>
          </w:p>
        </w:tc>
        <w:tc>
          <w:tcPr>
            <w:tcW w:w="2152" w:type="pct"/>
            <w:noWrap w:val="0"/>
            <w:vAlign w:val="top"/>
          </w:tcPr>
          <w:p>
            <w:pPr>
              <w:pStyle w:val="83"/>
              <w:rPr>
                <w:rFonts w:hint="eastAsia" w:ascii="宋体" w:hAnsi="宋体" w:eastAsia="宋体" w:cs="宋体"/>
                <w:sz w:val="24"/>
              </w:rPr>
            </w:pP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pPr>
              <w:pStyle w:val="83"/>
              <w:jc w:val="center"/>
              <w:rPr>
                <w:rFonts w:hint="eastAsia" w:ascii="宋体" w:hAnsi="宋体" w:eastAsia="宋体" w:cs="宋体"/>
                <w:sz w:val="24"/>
              </w:rPr>
            </w:pPr>
          </w:p>
        </w:tc>
        <w:tc>
          <w:tcPr>
            <w:tcW w:w="2152" w:type="pct"/>
            <w:noWrap w:val="0"/>
            <w:vAlign w:val="top"/>
          </w:tcPr>
          <w:p>
            <w:pPr>
              <w:pStyle w:val="83"/>
              <w:rPr>
                <w:rFonts w:hint="eastAsia" w:ascii="宋体" w:hAnsi="宋体" w:eastAsia="宋体" w:cs="宋体"/>
                <w:sz w:val="24"/>
              </w:rPr>
            </w:pPr>
          </w:p>
        </w:tc>
        <w:tc>
          <w:tcPr>
            <w:tcW w:w="1544" w:type="pct"/>
            <w:noWrap w:val="0"/>
            <w:vAlign w:val="top"/>
          </w:tcPr>
          <w:p>
            <w:pPr>
              <w:pStyle w:val="83"/>
              <w:rPr>
                <w:rFonts w:hint="eastAsia" w:ascii="宋体" w:hAnsi="宋体" w:eastAsia="宋体" w:cs="宋体"/>
                <w:sz w:val="24"/>
              </w:rPr>
            </w:pPr>
          </w:p>
        </w:tc>
        <w:tc>
          <w:tcPr>
            <w:tcW w:w="888" w:type="pct"/>
            <w:noWrap w:val="0"/>
            <w:vAlign w:val="top"/>
          </w:tcPr>
          <w:p>
            <w:pPr>
              <w:pStyle w:val="83"/>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79"/>
        <w:ind w:firstLine="480"/>
        <w:rPr>
          <w:rFonts w:hint="eastAsia" w:ascii="宋体" w:hAnsi="宋体" w:eastAsia="宋体" w:cs="宋体"/>
        </w:rPr>
      </w:pPr>
      <w:r>
        <w:rPr>
          <w:rFonts w:hint="eastAsia" w:ascii="宋体" w:hAnsi="宋体" w:eastAsia="宋体" w:cs="宋体"/>
        </w:rPr>
        <w:t>项目名称：</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联系人及</w:t>
            </w:r>
          </w:p>
          <w:p>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rPr>
          <w:rFonts w:hint="eastAsia" w:ascii="宋体" w:hAnsi="宋体" w:eastAsia="宋体" w:cs="宋体"/>
          <w:b/>
          <w:bCs/>
          <w:sz w:val="24"/>
          <w:szCs w:val="24"/>
          <w:lang w:val="en-US" w:eastAsia="zh-CN"/>
        </w:rPr>
      </w:pPr>
      <w:r>
        <w:rPr>
          <w:rFonts w:hint="eastAsia" w:ascii="宋体" w:hAnsi="宋体" w:eastAsia="宋体" w:cs="宋体"/>
          <w:b/>
          <w:bCs/>
          <w:sz w:val="24"/>
          <w:szCs w:val="24"/>
        </w:rPr>
        <w:t>附件</w:t>
      </w:r>
      <w:r>
        <w:rPr>
          <w:rFonts w:hint="eastAsia" w:ascii="宋体" w:hAnsi="宋体" w:eastAsia="宋体" w:cs="宋体"/>
          <w:b/>
          <w:bCs/>
          <w:sz w:val="24"/>
          <w:szCs w:val="24"/>
          <w:lang w:val="en-US" w:eastAsia="zh-CN"/>
        </w:rPr>
        <w:t>7 开标一览表</w:t>
      </w:r>
    </w:p>
    <w:p>
      <w:pPr>
        <w:pStyle w:val="79"/>
        <w:ind w:firstLine="480"/>
        <w:rPr>
          <w:rFonts w:hint="eastAsia" w:ascii="宋体" w:hAnsi="宋体" w:eastAsia="宋体" w:cs="宋体"/>
          <w:b/>
          <w:sz w:val="24"/>
          <w:szCs w:val="24"/>
        </w:rPr>
      </w:pPr>
      <w:r>
        <w:rPr>
          <w:rFonts w:hint="eastAsia" w:ascii="宋体" w:hAnsi="宋体" w:eastAsia="宋体" w:cs="宋体"/>
          <w:b/>
          <w:sz w:val="24"/>
          <w:szCs w:val="24"/>
        </w:rPr>
        <w:t>《开标一览表》单独封存，以备唱标使用</w:t>
      </w:r>
    </w:p>
    <w:p>
      <w:pPr>
        <w:pStyle w:val="79"/>
        <w:ind w:firstLine="480"/>
        <w:rPr>
          <w:rFonts w:hint="eastAsia" w:ascii="宋体" w:hAnsi="宋体" w:eastAsia="宋体" w:cs="宋体"/>
          <w:lang w:eastAsia="zh-CN"/>
        </w:rPr>
      </w:pPr>
      <w:r>
        <w:rPr>
          <w:rFonts w:hint="eastAsia" w:ascii="宋体" w:hAnsi="宋体" w:eastAsia="宋体" w:cs="宋体"/>
        </w:rPr>
        <w:t>项目名称：</w:t>
      </w:r>
      <w:r>
        <w:rPr>
          <w:rFonts w:hint="eastAsia" w:eastAsia="宋体" w:cs="宋体"/>
          <w:color w:val="000000"/>
          <w:szCs w:val="24"/>
          <w:lang w:eastAsia="zh-CN"/>
        </w:rPr>
        <w:t>新能源产品试验检测中心加氢站运维管理项目</w:t>
      </w:r>
    </w:p>
    <w:p>
      <w:pPr>
        <w:jc w:val="center"/>
        <w:rPr>
          <w:rFonts w:ascii="Times New Roman" w:hAnsi="Times New Roman" w:cs="宋体"/>
          <w:b/>
          <w:bCs/>
          <w:sz w:val="28"/>
          <w:szCs w:val="28"/>
        </w:rPr>
      </w:pPr>
      <w:r>
        <w:rPr>
          <w:rFonts w:hint="eastAsia" w:ascii="Times New Roman" w:hAnsi="Times New Roman" w:cs="宋体"/>
          <w:b/>
          <w:bCs/>
          <w:sz w:val="28"/>
          <w:szCs w:val="28"/>
        </w:rPr>
        <w:t>开标一览表</w:t>
      </w:r>
    </w:p>
    <w:tbl>
      <w:tblPr>
        <w:tblStyle w:val="33"/>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2269"/>
        <w:gridCol w:w="614"/>
        <w:gridCol w:w="3004"/>
        <w:gridCol w:w="2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投标人名称</w:t>
            </w:r>
          </w:p>
        </w:tc>
        <w:tc>
          <w:tcPr>
            <w:tcW w:w="554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项目运维价格/年（元，含税）</w:t>
            </w:r>
          </w:p>
        </w:tc>
        <w:tc>
          <w:tcPr>
            <w:tcW w:w="5542" w:type="dxa"/>
            <w:gridSpan w:val="2"/>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12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除满足本招标书之基本要求外，可额外提供的其他免费服务项目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22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服务名称</w:t>
            </w: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服务内容</w:t>
            </w:r>
          </w:p>
        </w:tc>
        <w:tc>
          <w:tcPr>
            <w:tcW w:w="25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bottom"/>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aps/>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aps/>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bl>
    <w:p>
      <w:pPr>
        <w:rPr>
          <w:rFonts w:hint="eastAsia" w:ascii="宋体" w:hAnsi="宋体" w:eastAsia="宋体" w:cs="宋体"/>
          <w:sz w:val="24"/>
          <w:szCs w:val="24"/>
        </w:rPr>
      </w:pPr>
    </w:p>
    <w:p>
      <w:pPr>
        <w:spacing w:line="520" w:lineRule="exact"/>
        <w:rPr>
          <w:rFonts w:hint="eastAsia" w:ascii="宋体" w:hAnsi="宋体" w:eastAsia="宋体" w:cs="宋体"/>
          <w:b/>
          <w:bCs/>
          <w:sz w:val="24"/>
          <w:szCs w:val="24"/>
        </w:rPr>
      </w:pPr>
      <w:r>
        <w:rPr>
          <w:rFonts w:hint="eastAsia" w:ascii="宋体" w:hAnsi="宋体" w:eastAsia="宋体" w:cs="宋体"/>
          <w:b/>
          <w:bCs/>
          <w:sz w:val="24"/>
          <w:szCs w:val="24"/>
        </w:rPr>
        <w:t>注：</w:t>
      </w:r>
    </w:p>
    <w:p>
      <w:pPr>
        <w:spacing w:line="520" w:lineRule="exact"/>
        <w:rPr>
          <w:rFonts w:hint="eastAsia" w:ascii="宋体" w:hAnsi="宋体" w:eastAsia="宋体" w:cs="宋体"/>
          <w:b/>
          <w:bCs/>
          <w:sz w:val="24"/>
          <w:szCs w:val="24"/>
        </w:rPr>
      </w:pPr>
      <w:r>
        <w:rPr>
          <w:rFonts w:hint="eastAsia" w:ascii="宋体" w:hAnsi="宋体" w:eastAsia="宋体" w:cs="宋体"/>
          <w:b/>
          <w:bCs/>
          <w:sz w:val="24"/>
          <w:szCs w:val="24"/>
        </w:rPr>
        <w:t>1、此表中的报价必须与相应的报价明细表中的报价一致。</w:t>
      </w:r>
    </w:p>
    <w:p>
      <w:pPr>
        <w:spacing w:line="300" w:lineRule="auto"/>
        <w:rPr>
          <w:rFonts w:hint="eastAsia" w:ascii="宋体" w:hAnsi="宋体" w:eastAsia="宋体" w:cs="宋体"/>
          <w:b/>
          <w:bCs/>
          <w:sz w:val="24"/>
          <w:szCs w:val="24"/>
        </w:rPr>
      </w:pPr>
      <w:r>
        <w:rPr>
          <w:rFonts w:hint="eastAsia" w:ascii="宋体" w:hAnsi="宋体" w:eastAsia="宋体" w:cs="宋体"/>
          <w:b/>
          <w:bCs/>
          <w:sz w:val="24"/>
          <w:szCs w:val="24"/>
        </w:rPr>
        <w:t>2、附件</w:t>
      </w:r>
      <w:r>
        <w:rPr>
          <w:rFonts w:hint="eastAsia" w:ascii="宋体" w:hAnsi="宋体" w:eastAsia="宋体" w:cs="宋体"/>
          <w:b/>
          <w:bCs/>
          <w:sz w:val="24"/>
          <w:szCs w:val="24"/>
          <w:lang w:val="en-US" w:eastAsia="zh-CN"/>
        </w:rPr>
        <w:t>678</w:t>
      </w:r>
      <w:r>
        <w:rPr>
          <w:rFonts w:hint="eastAsia" w:ascii="宋体" w:hAnsi="宋体" w:eastAsia="宋体" w:cs="宋体"/>
          <w:b/>
          <w:bCs/>
          <w:sz w:val="24"/>
          <w:szCs w:val="24"/>
        </w:rPr>
        <w:t>单独封装一份，否则不予唱标。</w:t>
      </w:r>
    </w:p>
    <w:p>
      <w:pPr>
        <w:spacing w:line="300" w:lineRule="auto"/>
        <w:rPr>
          <w:rFonts w:hint="eastAsia" w:ascii="宋体" w:hAnsi="宋体" w:eastAsia="宋体" w:cs="宋体"/>
          <w:b/>
          <w:bCs/>
          <w:sz w:val="24"/>
          <w:szCs w:val="24"/>
        </w:rPr>
      </w:pPr>
      <w:r>
        <w:rPr>
          <w:rFonts w:hint="eastAsia" w:ascii="宋体" w:hAnsi="宋体" w:eastAsia="宋体" w:cs="宋体"/>
          <w:b/>
          <w:bCs/>
          <w:sz w:val="24"/>
          <w:szCs w:val="24"/>
        </w:rPr>
        <w:t>3、需写明含税价、不含税价格、税率。</w:t>
      </w:r>
    </w:p>
    <w:p>
      <w:pPr>
        <w:pStyle w:val="3"/>
        <w:rPr>
          <w:rFonts w:hint="eastAsia" w:ascii="宋体" w:hAnsi="宋体" w:eastAsia="宋体" w:cs="宋体"/>
          <w:sz w:val="24"/>
          <w:szCs w:val="24"/>
        </w:rPr>
      </w:pPr>
    </w:p>
    <w:p>
      <w:pPr>
        <w:spacing w:line="66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投标人：（盖章）</w:t>
      </w:r>
    </w:p>
    <w:p>
      <w:pPr>
        <w:spacing w:line="66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法定代表人（委托代理人）：（签字）</w:t>
      </w:r>
    </w:p>
    <w:p>
      <w:pPr>
        <w:spacing w:line="66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pStyle w:val="3"/>
        <w:rPr>
          <w:rFonts w:hint="eastAsia" w:ascii="宋体" w:hAnsi="宋体" w:eastAsia="宋体" w:cs="宋体"/>
          <w:b w:val="0"/>
          <w:bCs w:val="0"/>
          <w:sz w:val="24"/>
          <w:szCs w:val="24"/>
        </w:rPr>
      </w:pPr>
    </w:p>
    <w:p>
      <w:pPr>
        <w:spacing w:line="360" w:lineRule="auto"/>
        <w:ind w:firstLine="480" w:firstLineChars="200"/>
        <w:rPr>
          <w:rFonts w:hint="eastAsia" w:ascii="宋体" w:hAnsi="宋体" w:eastAsia="宋体" w:cs="宋体"/>
          <w:sz w:val="24"/>
          <w:szCs w:val="24"/>
        </w:rPr>
        <w:sectPr>
          <w:footerReference r:id="rId10" w:type="first"/>
          <w:footerReference r:id="rId9" w:type="default"/>
          <w:pgSz w:w="11906" w:h="16838"/>
          <w:pgMar w:top="1701" w:right="1418" w:bottom="1134" w:left="1418" w:header="851" w:footer="992" w:gutter="0"/>
          <w:pgNumType w:fmt="numberInDash" w:start="1"/>
          <w:cols w:space="720" w:num="1"/>
          <w:titlePg/>
          <w:docGrid w:type="lines" w:linePitch="326" w:charSpace="0"/>
        </w:sectPr>
      </w:pPr>
    </w:p>
    <w:p>
      <w:pPr>
        <w:rPr>
          <w:rFonts w:hint="eastAsia" w:ascii="宋体" w:hAnsi="宋体" w:eastAsia="宋体" w:cs="宋体"/>
          <w:b/>
          <w:bCs/>
          <w:sz w:val="24"/>
          <w:szCs w:val="24"/>
          <w:lang w:val="en-US" w:eastAsia="zh-CN"/>
        </w:rPr>
      </w:pPr>
      <w:r>
        <w:rPr>
          <w:rFonts w:hint="eastAsia" w:ascii="宋体" w:hAnsi="宋体" w:eastAsia="宋体" w:cs="宋体"/>
          <w:b/>
          <w:bCs/>
          <w:sz w:val="24"/>
          <w:szCs w:val="24"/>
        </w:rPr>
        <w:t>附件</w:t>
      </w:r>
      <w:r>
        <w:rPr>
          <w:rFonts w:hint="eastAsia" w:ascii="宋体" w:hAnsi="宋体" w:eastAsia="宋体" w:cs="宋体"/>
          <w:b/>
          <w:bCs/>
          <w:sz w:val="24"/>
          <w:szCs w:val="24"/>
          <w:lang w:val="en-US" w:eastAsia="zh-CN"/>
        </w:rPr>
        <w:t>8</w:t>
      </w:r>
    </w:p>
    <w:p>
      <w:pPr>
        <w:jc w:val="center"/>
        <w:rPr>
          <w:rFonts w:hint="eastAsia" w:ascii="宋体" w:hAnsi="宋体" w:eastAsia="宋体" w:cs="宋体"/>
          <w:b/>
          <w:sz w:val="28"/>
          <w:szCs w:val="28"/>
          <w:highlight w:val="none"/>
        </w:rPr>
      </w:pPr>
      <w:r>
        <w:rPr>
          <w:rFonts w:hint="eastAsia" w:ascii="宋体" w:hAnsi="宋体" w:eastAsia="宋体" w:cs="宋体"/>
          <w:sz w:val="28"/>
          <w:szCs w:val="28"/>
          <w:highlight w:val="none"/>
        </w:rPr>
        <w:t>投标报价明细表</w:t>
      </w:r>
    </w:p>
    <w:p>
      <w:pPr>
        <w:pStyle w:val="79"/>
        <w:ind w:firstLine="48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项目名称：</w:t>
      </w:r>
      <w:r>
        <w:rPr>
          <w:rFonts w:hint="eastAsia" w:eastAsia="宋体" w:cs="宋体"/>
          <w:color w:val="000000"/>
          <w:sz w:val="24"/>
          <w:szCs w:val="24"/>
          <w:highlight w:val="none"/>
          <w:lang w:eastAsia="zh-CN"/>
        </w:rPr>
        <w:t>新能源产品试验检测中心加氢站运维管理项目</w:t>
      </w:r>
    </w:p>
    <w:tbl>
      <w:tblPr>
        <w:tblStyle w:val="33"/>
        <w:tblW w:w="10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852"/>
        <w:gridCol w:w="1850"/>
        <w:gridCol w:w="1159"/>
        <w:gridCol w:w="1218"/>
        <w:gridCol w:w="1295"/>
        <w:gridCol w:w="1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88" w:type="dxa"/>
            <w:noWrap w:val="0"/>
            <w:vAlign w:val="center"/>
          </w:tcPr>
          <w:p>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852" w:type="dxa"/>
            <w:noWrap w:val="0"/>
            <w:vAlign w:val="center"/>
          </w:tcPr>
          <w:p>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w:t>
            </w:r>
          </w:p>
        </w:tc>
        <w:tc>
          <w:tcPr>
            <w:tcW w:w="1850" w:type="dxa"/>
            <w:noWrap w:val="0"/>
            <w:vAlign w:val="center"/>
          </w:tcPr>
          <w:p>
            <w:pPr>
              <w:jc w:val="center"/>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职责</w:t>
            </w:r>
          </w:p>
        </w:tc>
        <w:tc>
          <w:tcPr>
            <w:tcW w:w="1159" w:type="dxa"/>
            <w:noWrap w:val="0"/>
            <w:vAlign w:val="center"/>
          </w:tcPr>
          <w:p>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单价</w:t>
            </w:r>
          </w:p>
        </w:tc>
        <w:tc>
          <w:tcPr>
            <w:tcW w:w="1218" w:type="dxa"/>
            <w:noWrap w:val="0"/>
            <w:vAlign w:val="center"/>
          </w:tcPr>
          <w:p>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1295" w:type="dxa"/>
            <w:noWrap w:val="0"/>
            <w:vAlign w:val="center"/>
          </w:tcPr>
          <w:p>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总价（含税））</w:t>
            </w:r>
          </w:p>
        </w:tc>
        <w:tc>
          <w:tcPr>
            <w:tcW w:w="1903" w:type="dxa"/>
            <w:noWrap w:val="0"/>
            <w:vAlign w:val="center"/>
          </w:tcPr>
          <w:p>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988" w:type="dxa"/>
            <w:noWrap w:val="0"/>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52" w:type="dxa"/>
            <w:noWrap w:val="0"/>
            <w:vAlign w:val="center"/>
          </w:tcPr>
          <w:p>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val="en-US" w:eastAsia="zh-CN" w:bidi="ar"/>
              </w:rPr>
              <w:t>站长</w:t>
            </w:r>
          </w:p>
        </w:tc>
        <w:tc>
          <w:tcPr>
            <w:tcW w:w="1850" w:type="dxa"/>
            <w:shd w:val="clear" w:color="auto" w:fill="auto"/>
            <w:noWrap w:val="0"/>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管理</w:t>
            </w:r>
            <w:r>
              <w:rPr>
                <w:rFonts w:hint="eastAsia" w:ascii="宋体" w:hAnsi="宋体" w:cs="宋体"/>
                <w:color w:val="auto"/>
                <w:kern w:val="0"/>
                <w:sz w:val="24"/>
                <w:szCs w:val="24"/>
                <w:highlight w:val="none"/>
                <w:lang w:val="en-US" w:eastAsia="zh-CN" w:bidi="ar"/>
              </w:rPr>
              <w:t>整个</w:t>
            </w:r>
            <w:r>
              <w:rPr>
                <w:rFonts w:hint="eastAsia" w:ascii="宋体" w:hAnsi="宋体" w:eastAsia="宋体" w:cs="宋体"/>
                <w:color w:val="auto"/>
                <w:kern w:val="0"/>
                <w:sz w:val="24"/>
                <w:szCs w:val="24"/>
                <w:highlight w:val="none"/>
                <w:lang w:bidi="ar"/>
              </w:rPr>
              <w:t>运维团队</w:t>
            </w:r>
          </w:p>
        </w:tc>
        <w:tc>
          <w:tcPr>
            <w:tcW w:w="1159" w:type="dxa"/>
            <w:noWrap w:val="0"/>
            <w:vAlign w:val="center"/>
          </w:tcPr>
          <w:p>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tc>
        <w:tc>
          <w:tcPr>
            <w:tcW w:w="1218" w:type="dxa"/>
            <w:noWrap w:val="0"/>
            <w:vAlign w:val="center"/>
          </w:tcPr>
          <w:p>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295" w:type="dxa"/>
            <w:noWrap w:val="0"/>
            <w:vAlign w:val="center"/>
          </w:tcPr>
          <w:p>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tc>
        <w:tc>
          <w:tcPr>
            <w:tcW w:w="1903" w:type="dxa"/>
            <w:noWrap w:val="0"/>
            <w:vAlign w:val="center"/>
          </w:tcPr>
          <w:p>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由招标方内部员工担任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88" w:type="dxa"/>
            <w:noWrap w:val="0"/>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52" w:type="dxa"/>
            <w:noWrap w:val="0"/>
            <w:vAlign w:val="center"/>
          </w:tcPr>
          <w:p>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技术负责人</w:t>
            </w:r>
          </w:p>
        </w:tc>
        <w:tc>
          <w:tcPr>
            <w:tcW w:w="1850" w:type="dxa"/>
            <w:shd w:val="clear" w:color="auto" w:fill="auto"/>
            <w:noWrap w:val="0"/>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负责现场所有设备日常操作、基本维修、日常巡检等指导培训及档案管理等工作</w:t>
            </w:r>
          </w:p>
        </w:tc>
        <w:tc>
          <w:tcPr>
            <w:tcW w:w="1159" w:type="dxa"/>
            <w:noWrap w:val="0"/>
            <w:vAlign w:val="center"/>
          </w:tcPr>
          <w:p>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p>
        </w:tc>
        <w:tc>
          <w:tcPr>
            <w:tcW w:w="1218" w:type="dxa"/>
            <w:noWrap w:val="0"/>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295" w:type="dxa"/>
            <w:noWrap w:val="0"/>
            <w:vAlign w:val="center"/>
          </w:tcPr>
          <w:p>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p>
        </w:tc>
        <w:tc>
          <w:tcPr>
            <w:tcW w:w="1903" w:type="dxa"/>
            <w:noWrap w:val="0"/>
            <w:vAlign w:val="center"/>
          </w:tcPr>
          <w:p>
            <w:pPr>
              <w:widowControl/>
              <w:jc w:val="center"/>
              <w:textAlignment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由招标方内部员工担任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88" w:type="dxa"/>
            <w:noWrap w:val="0"/>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52" w:type="dxa"/>
            <w:noWrap w:val="0"/>
            <w:vAlign w:val="center"/>
          </w:tcPr>
          <w:p>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专职安全管理员</w:t>
            </w:r>
          </w:p>
        </w:tc>
        <w:tc>
          <w:tcPr>
            <w:tcW w:w="1850" w:type="dxa"/>
            <w:shd w:val="clear" w:color="auto" w:fill="auto"/>
            <w:noWrap w:val="0"/>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负责现场安全管理</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安全培训等工作，需取得</w:t>
            </w:r>
            <w:r>
              <w:rPr>
                <w:rFonts w:hint="eastAsia" w:ascii="宋体" w:hAnsi="宋体" w:eastAsia="宋体" w:cs="宋体"/>
                <w:color w:val="auto"/>
                <w:sz w:val="24"/>
                <w:szCs w:val="24"/>
                <w:highlight w:val="none"/>
              </w:rPr>
              <w:t>特种设备安全管理人员资格（A证）</w:t>
            </w:r>
          </w:p>
        </w:tc>
        <w:tc>
          <w:tcPr>
            <w:tcW w:w="1159" w:type="dxa"/>
            <w:noWrap w:val="0"/>
            <w:vAlign w:val="center"/>
          </w:tcPr>
          <w:p>
            <w:pPr>
              <w:jc w:val="center"/>
              <w:rPr>
                <w:rFonts w:hint="eastAsia" w:ascii="宋体" w:hAnsi="宋体" w:eastAsia="宋体" w:cs="宋体"/>
                <w:color w:val="auto"/>
                <w:sz w:val="24"/>
                <w:szCs w:val="24"/>
                <w:highlight w:val="none"/>
              </w:rPr>
            </w:pPr>
          </w:p>
        </w:tc>
        <w:tc>
          <w:tcPr>
            <w:tcW w:w="1218" w:type="dxa"/>
            <w:noWrap w:val="0"/>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95" w:type="dxa"/>
            <w:noWrap w:val="0"/>
            <w:vAlign w:val="center"/>
          </w:tcPr>
          <w:p>
            <w:pPr>
              <w:jc w:val="center"/>
              <w:rPr>
                <w:rFonts w:hint="eastAsia" w:ascii="宋体" w:hAnsi="宋体" w:eastAsia="宋体" w:cs="宋体"/>
                <w:color w:val="auto"/>
                <w:sz w:val="24"/>
                <w:szCs w:val="24"/>
                <w:highlight w:val="none"/>
              </w:rPr>
            </w:pPr>
          </w:p>
        </w:tc>
        <w:tc>
          <w:tcPr>
            <w:tcW w:w="1903" w:type="dxa"/>
            <w:noWrap w:val="0"/>
            <w:vAlign w:val="center"/>
          </w:tcPr>
          <w:p>
            <w:pPr>
              <w:widowControl/>
              <w:jc w:val="center"/>
              <w:textAlignment w:val="center"/>
              <w:rPr>
                <w:rFonts w:hint="default" w:ascii="宋体" w:hAnsi="宋体" w:eastAsia="宋体" w:cs="宋体"/>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88" w:type="dxa"/>
            <w:noWrap w:val="0"/>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52" w:type="dxa"/>
            <w:noWrap w:val="0"/>
            <w:vAlign w:val="center"/>
          </w:tcPr>
          <w:p>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充装人员/检查人员</w:t>
            </w:r>
          </w:p>
        </w:tc>
        <w:tc>
          <w:tcPr>
            <w:tcW w:w="1850" w:type="dxa"/>
            <w:shd w:val="clear" w:color="auto" w:fill="auto"/>
            <w:noWrap w:val="0"/>
            <w:vAlign w:val="center"/>
          </w:tcPr>
          <w:p>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负责现场设备巡检、车辆加氢、托管车拆装等工作，需</w:t>
            </w:r>
            <w:r>
              <w:rPr>
                <w:rFonts w:hint="eastAsia" w:ascii="宋体" w:hAnsi="宋体" w:eastAsia="宋体" w:cs="宋体"/>
                <w:color w:val="auto"/>
                <w:kern w:val="0"/>
                <w:sz w:val="24"/>
                <w:szCs w:val="24"/>
                <w:highlight w:val="none"/>
                <w:lang w:bidi="ar"/>
              </w:rPr>
              <w:t>取得有气瓶充装作业人员资格（P证）</w:t>
            </w:r>
          </w:p>
        </w:tc>
        <w:tc>
          <w:tcPr>
            <w:tcW w:w="1159" w:type="dxa"/>
            <w:noWrap w:val="0"/>
            <w:vAlign w:val="center"/>
          </w:tcPr>
          <w:p>
            <w:pPr>
              <w:jc w:val="center"/>
              <w:rPr>
                <w:rFonts w:hint="eastAsia" w:ascii="宋体" w:hAnsi="宋体" w:eastAsia="宋体" w:cs="宋体"/>
                <w:color w:val="auto"/>
                <w:sz w:val="24"/>
                <w:szCs w:val="24"/>
                <w:highlight w:val="none"/>
              </w:rPr>
            </w:pPr>
          </w:p>
        </w:tc>
        <w:tc>
          <w:tcPr>
            <w:tcW w:w="1218" w:type="dxa"/>
            <w:noWrap w:val="0"/>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295" w:type="dxa"/>
            <w:noWrap w:val="0"/>
            <w:vAlign w:val="center"/>
          </w:tcPr>
          <w:p>
            <w:pPr>
              <w:jc w:val="center"/>
              <w:rPr>
                <w:rFonts w:hint="eastAsia" w:ascii="宋体" w:hAnsi="宋体" w:eastAsia="宋体" w:cs="宋体"/>
                <w:color w:val="auto"/>
                <w:sz w:val="24"/>
                <w:szCs w:val="24"/>
                <w:highlight w:val="none"/>
              </w:rPr>
            </w:pPr>
          </w:p>
        </w:tc>
        <w:tc>
          <w:tcPr>
            <w:tcW w:w="1903" w:type="dxa"/>
            <w:noWrap w:val="0"/>
            <w:vAlign w:val="center"/>
          </w:tcPr>
          <w:p>
            <w:pPr>
              <w:widowControl/>
              <w:jc w:val="center"/>
              <w:textAlignment w:val="center"/>
              <w:rPr>
                <w:rFonts w:hint="eastAsia" w:ascii="宋体" w:hAnsi="宋体" w:eastAsia="宋体" w:cs="宋体"/>
                <w:color w:val="auto"/>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88" w:type="dxa"/>
            <w:noWrap w:val="0"/>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52" w:type="dxa"/>
            <w:noWrap w:val="0"/>
            <w:vAlign w:val="center"/>
          </w:tcPr>
          <w:p>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化验员</w:t>
            </w:r>
          </w:p>
        </w:tc>
        <w:tc>
          <w:tcPr>
            <w:tcW w:w="1850" w:type="dxa"/>
            <w:shd w:val="clear" w:color="auto" w:fill="auto"/>
            <w:noWrap w:val="0"/>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负责氢气化验、出具检验报告等工作</w:t>
            </w:r>
          </w:p>
        </w:tc>
        <w:tc>
          <w:tcPr>
            <w:tcW w:w="1159" w:type="dxa"/>
            <w:noWrap w:val="0"/>
            <w:vAlign w:val="center"/>
          </w:tcPr>
          <w:p>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p>
        </w:tc>
        <w:tc>
          <w:tcPr>
            <w:tcW w:w="1218" w:type="dxa"/>
            <w:noWrap w:val="0"/>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295" w:type="dxa"/>
            <w:noWrap w:val="0"/>
            <w:vAlign w:val="center"/>
          </w:tcPr>
          <w:p>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p>
        </w:tc>
        <w:tc>
          <w:tcPr>
            <w:tcW w:w="1903" w:type="dxa"/>
            <w:noWrap w:val="0"/>
            <w:vAlign w:val="center"/>
          </w:tcPr>
          <w:p>
            <w:pPr>
              <w:widowControl/>
              <w:jc w:val="center"/>
              <w:textAlignment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由招标方内部员工担任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840" w:type="dxa"/>
            <w:gridSpan w:val="2"/>
            <w:noWrap w:val="0"/>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7425" w:type="dxa"/>
            <w:gridSpan w:val="5"/>
            <w:noWrap w:val="0"/>
            <w:vAlign w:val="center"/>
          </w:tcPr>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小写：</w:t>
            </w: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大写：</w:t>
            </w:r>
          </w:p>
        </w:tc>
      </w:tr>
    </w:tbl>
    <w:p>
      <w:pPr>
        <w:pStyle w:val="12"/>
        <w:spacing w:after="0"/>
        <w:ind w:left="0" w:leftChars="0"/>
        <w:rPr>
          <w:rFonts w:hint="eastAsia" w:ascii="宋体" w:hAnsi="宋体" w:eastAsia="宋体" w:cs="宋体"/>
          <w:bCs/>
          <w:sz w:val="24"/>
          <w:szCs w:val="24"/>
          <w:highlight w:val="none"/>
        </w:rPr>
      </w:pPr>
    </w:p>
    <w:p>
      <w:pPr>
        <w:pStyle w:val="12"/>
        <w:spacing w:after="0"/>
        <w:ind w:left="0" w:leftChars="0"/>
        <w:rPr>
          <w:rFonts w:hint="eastAsia" w:ascii="宋体" w:hAnsi="宋体" w:eastAsia="宋体" w:cs="宋体"/>
          <w:bCs/>
          <w:sz w:val="24"/>
          <w:szCs w:val="24"/>
          <w:highlight w:val="none"/>
        </w:rPr>
      </w:pPr>
    </w:p>
    <w:p>
      <w:pPr>
        <w:pStyle w:val="12"/>
        <w:spacing w:after="0"/>
        <w:ind w:left="0" w:left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投标人全称（盖章）：</w:t>
      </w:r>
    </w:p>
    <w:p>
      <w:pPr>
        <w:pStyle w:val="12"/>
        <w:spacing w:after="0"/>
        <w:ind w:left="0" w:leftChars="0"/>
        <w:rPr>
          <w:rFonts w:hint="eastAsia" w:ascii="宋体" w:hAnsi="宋体" w:eastAsia="宋体" w:cs="宋体"/>
          <w:bCs/>
          <w:sz w:val="24"/>
          <w:szCs w:val="24"/>
          <w:highlight w:val="none"/>
        </w:rPr>
      </w:pPr>
    </w:p>
    <w:p>
      <w:pPr>
        <w:pStyle w:val="12"/>
        <w:spacing w:after="0"/>
        <w:ind w:left="0" w:left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法定代表人或授权代理人签字：                  年   月  日</w:t>
      </w:r>
    </w:p>
    <w:p>
      <w:pPr>
        <w:pStyle w:val="12"/>
        <w:spacing w:after="0"/>
        <w:ind w:left="0" w:leftChars="0"/>
        <w:rPr>
          <w:rFonts w:hint="eastAsia" w:ascii="宋体" w:hAnsi="宋体" w:eastAsia="宋体" w:cs="宋体"/>
          <w:sz w:val="24"/>
          <w:szCs w:val="24"/>
          <w:highlight w:val="none"/>
        </w:rPr>
        <w:sectPr>
          <w:footerReference r:id="rId12" w:type="first"/>
          <w:footerReference r:id="rId11" w:type="default"/>
          <w:pgSz w:w="11906" w:h="16838"/>
          <w:pgMar w:top="1701" w:right="1418" w:bottom="1134" w:left="1418" w:header="851" w:footer="992" w:gutter="0"/>
          <w:pgNumType w:fmt="numberInDash" w:start="1"/>
          <w:cols w:space="720" w:num="1"/>
          <w:titlePg/>
          <w:docGrid w:type="lines" w:linePitch="326" w:charSpace="0"/>
        </w:sectPr>
      </w:pPr>
    </w:p>
    <w:p>
      <w:pPr>
        <w:pStyle w:val="85"/>
        <w:ind w:firstLine="480"/>
        <w:rPr>
          <w:rFonts w:hint="eastAsia" w:ascii="宋体" w:hAnsi="宋体" w:eastAsia="宋体" w:cs="宋体"/>
          <w:highlight w:val="none"/>
        </w:rPr>
      </w:pPr>
      <w:r>
        <w:rPr>
          <w:rFonts w:hint="eastAsia" w:ascii="宋体" w:hAnsi="宋体" w:eastAsia="宋体" w:cs="宋体"/>
          <w:highlight w:val="none"/>
        </w:rPr>
        <w:t>附件</w:t>
      </w:r>
      <w:r>
        <w:rPr>
          <w:rFonts w:hint="eastAsia" w:ascii="宋体" w:hAnsi="宋体" w:eastAsia="宋体" w:cs="宋体"/>
          <w:highlight w:val="none"/>
          <w:lang w:val="en-US" w:eastAsia="zh-CN"/>
        </w:rPr>
        <w:t>9</w:t>
      </w:r>
      <w:r>
        <w:rPr>
          <w:rFonts w:hint="eastAsia" w:ascii="宋体" w:hAnsi="宋体" w:eastAsia="宋体" w:cs="宋体"/>
          <w:highlight w:val="none"/>
        </w:rPr>
        <w:t xml:space="preserve"> 商务条款偏离表</w:t>
      </w:r>
    </w:p>
    <w:tbl>
      <w:tblPr>
        <w:tblStyle w:val="33"/>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r>
              <w:rPr>
                <w:rFonts w:hint="eastAsia" w:ascii="宋体" w:hAnsi="宋体" w:eastAsia="宋体" w:cs="宋体"/>
                <w:highlight w:val="none"/>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r>
              <w:rPr>
                <w:rFonts w:hint="eastAsia" w:ascii="宋体" w:hAnsi="宋体" w:eastAsia="宋体" w:cs="宋体"/>
                <w:highlight w:val="none"/>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r>
              <w:rPr>
                <w:rFonts w:hint="eastAsia" w:ascii="宋体" w:hAnsi="宋体" w:eastAsia="宋体" w:cs="宋体"/>
                <w:highlight w:val="none"/>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r>
              <w:rPr>
                <w:rFonts w:hint="eastAsia" w:ascii="宋体" w:hAnsi="宋体" w:eastAsia="宋体" w:cs="宋体"/>
                <w:highlight w:val="none"/>
              </w:rPr>
              <w:t>是否偏离</w:t>
            </w:r>
          </w:p>
          <w:p>
            <w:pPr>
              <w:pStyle w:val="83"/>
              <w:rPr>
                <w:rFonts w:hint="eastAsia" w:ascii="宋体" w:hAnsi="宋体" w:eastAsia="宋体" w:cs="宋体"/>
                <w:highlight w:val="none"/>
              </w:rPr>
            </w:pPr>
            <w:r>
              <w:rPr>
                <w:rFonts w:hint="eastAsia" w:ascii="宋体" w:hAnsi="宋体" w:eastAsia="宋体" w:cs="宋体"/>
                <w:highlight w:val="none"/>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r>
              <w:rPr>
                <w:rFonts w:hint="eastAsia" w:ascii="宋体" w:hAnsi="宋体" w:eastAsia="宋体" w:cs="宋体"/>
                <w:highlight w:val="none"/>
              </w:rPr>
              <w:t>付款条件</w:t>
            </w:r>
          </w:p>
        </w:tc>
        <w:tc>
          <w:tcPr>
            <w:tcW w:w="2947" w:type="dxa"/>
            <w:tcBorders>
              <w:top w:val="single" w:color="auto" w:sz="4" w:space="0"/>
              <w:left w:val="single" w:color="auto" w:sz="4" w:space="0"/>
              <w:bottom w:val="single" w:color="auto" w:sz="4" w:space="0"/>
              <w:right w:val="single" w:color="auto" w:sz="4" w:space="0"/>
            </w:tcBorders>
            <w:vAlign w:val="top"/>
          </w:tcPr>
          <w:p>
            <w:pPr>
              <w:pStyle w:val="83"/>
              <w:rPr>
                <w:rFonts w:hint="eastAsia" w:ascii="宋体" w:hAnsi="宋体" w:eastAsia="宋体" w:cs="宋体"/>
                <w:b w:val="0"/>
                <w:bCs/>
                <w:szCs w:val="21"/>
                <w:highlight w:val="none"/>
              </w:rPr>
            </w:pPr>
            <w:r>
              <w:rPr>
                <w:rFonts w:hint="eastAsia" w:ascii="宋体" w:hAnsi="宋体" w:eastAsia="宋体" w:cs="宋体"/>
                <w:b w:val="0"/>
                <w:bCs/>
                <w:szCs w:val="21"/>
                <w:highlight w:val="none"/>
              </w:rPr>
              <w:t>服务费用采取按</w:t>
            </w:r>
            <w:r>
              <w:rPr>
                <w:rFonts w:hint="eastAsia" w:ascii="宋体" w:hAnsi="宋体" w:eastAsia="宋体" w:cs="宋体"/>
                <w:b w:val="0"/>
                <w:bCs/>
                <w:szCs w:val="21"/>
                <w:highlight w:val="none"/>
                <w:lang w:val="en-US" w:eastAsia="zh-CN"/>
              </w:rPr>
              <w:t>季度</w:t>
            </w:r>
            <w:r>
              <w:rPr>
                <w:rFonts w:hint="eastAsia" w:ascii="宋体" w:hAnsi="宋体" w:eastAsia="宋体" w:cs="宋体"/>
                <w:b w:val="0"/>
                <w:bCs/>
                <w:szCs w:val="21"/>
                <w:highlight w:val="none"/>
              </w:rPr>
              <w:t>以商业承兑汇票方式支付，每季度第一个月的10日前，由乙方向甲方提供上一季度的服务费用和实际发生的材料费用发票，甲方收到发票后支付。</w:t>
            </w:r>
          </w:p>
        </w:tc>
        <w:tc>
          <w:tcPr>
            <w:tcW w:w="1593"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szCs w:val="21"/>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356"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r>
              <w:rPr>
                <w:rFonts w:hint="eastAsia" w:ascii="宋体" w:hAnsi="宋体" w:eastAsia="宋体" w:cs="宋体"/>
                <w:highlight w:val="none"/>
              </w:rPr>
              <w:t>服务要求</w:t>
            </w:r>
          </w:p>
        </w:tc>
        <w:tc>
          <w:tcPr>
            <w:tcW w:w="2947" w:type="dxa"/>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b w:val="0"/>
                <w:bCs/>
                <w:szCs w:val="21"/>
                <w:highlight w:val="none"/>
              </w:rPr>
            </w:pPr>
            <w:r>
              <w:rPr>
                <w:rFonts w:hint="eastAsia" w:ascii="宋体" w:hAnsi="宋体" w:eastAsia="宋体" w:cs="宋体"/>
                <w:b w:val="0"/>
                <w:bCs/>
                <w:szCs w:val="21"/>
                <w:highlight w:val="none"/>
              </w:rPr>
              <w:t>按照加氢站供方所提供的操作规程、作业指导书、点检规范、运维保养说明书等厂供资料针对性制定详细的运行及维护保养方案。</w:t>
            </w:r>
            <w:r>
              <w:rPr>
                <w:rFonts w:hint="eastAsia" w:ascii="宋体" w:hAnsi="宋体" w:eastAsia="宋体" w:cs="宋体"/>
                <w:b w:val="0"/>
                <w:bCs/>
                <w:szCs w:val="21"/>
                <w:highlight w:val="none"/>
                <w:lang w:val="en-US" w:eastAsia="zh-CN"/>
              </w:rPr>
              <w:t>负责</w:t>
            </w:r>
            <w:r>
              <w:rPr>
                <w:rFonts w:hint="eastAsia" w:ascii="宋体" w:hAnsi="宋体" w:eastAsia="宋体" w:cs="宋体"/>
                <w:b w:val="0"/>
                <w:bCs/>
                <w:szCs w:val="21"/>
                <w:highlight w:val="none"/>
              </w:rPr>
              <w:t>设备及管道的维护保养测试、仪表拆装</w:t>
            </w: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rPr>
              <w:t>风险排查、故障处理、故障抢修、应急演练、安全整改及招标人要求的相关维修类工作等。</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szCs w:val="21"/>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r>
              <w:rPr>
                <w:rFonts w:hint="eastAsia" w:ascii="宋体" w:hAnsi="宋体" w:eastAsia="宋体" w:cs="宋体"/>
                <w:highlight w:val="none"/>
              </w:rPr>
              <w:t>备品备件及耗材等要求</w:t>
            </w:r>
          </w:p>
        </w:tc>
        <w:tc>
          <w:tcPr>
            <w:tcW w:w="2947" w:type="dxa"/>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b w:val="0"/>
                <w:bCs/>
                <w:highlight w:val="none"/>
              </w:rPr>
            </w:pPr>
            <w:r>
              <w:rPr>
                <w:rFonts w:hint="eastAsia" w:ascii="宋体" w:hAnsi="宋体" w:eastAsia="宋体" w:cs="宋体"/>
                <w:b w:val="0"/>
                <w:bCs/>
                <w:color w:val="auto"/>
                <w:highlight w:val="none"/>
              </w:rPr>
              <w:t>负责所属设备设施的日常物料消耗，日常适当储备易损备件及所需物料，保证设备设施的正常运行。</w:t>
            </w:r>
            <w:r>
              <w:rPr>
                <w:rFonts w:hint="eastAsia" w:ascii="宋体" w:hAnsi="宋体" w:eastAsia="宋体" w:cs="宋体"/>
                <w:b w:val="0"/>
                <w:bCs/>
                <w:color w:val="auto"/>
                <w:highlight w:val="none"/>
                <w:lang w:val="en-US" w:eastAsia="zh-CN"/>
              </w:rPr>
              <w:t>在质保范围内的设备问题由质保责任方承担费用，质保范围外的维修辅料、易损件易耗品及日常维保所需耗材等由投标人免费提供。</w:t>
            </w:r>
            <w:r>
              <w:rPr>
                <w:rFonts w:hint="eastAsia" w:ascii="宋体" w:hAnsi="宋体" w:eastAsia="宋体" w:cs="宋体"/>
                <w:b w:val="0"/>
                <w:bCs/>
                <w:color w:val="auto"/>
                <w:highlight w:val="none"/>
              </w:rPr>
              <w:t>维修、备件更换、物料消耗等相关</w:t>
            </w:r>
            <w:r>
              <w:rPr>
                <w:rFonts w:hint="eastAsia" w:ascii="宋体" w:hAnsi="宋体" w:eastAsia="宋体" w:cs="宋体"/>
                <w:b w:val="0"/>
                <w:bCs/>
                <w:color w:val="auto"/>
                <w:highlight w:val="none"/>
                <w:lang w:val="en-US" w:eastAsia="zh-CN"/>
              </w:rPr>
              <w:t>工作</w:t>
            </w:r>
            <w:r>
              <w:rPr>
                <w:rFonts w:hint="eastAsia" w:ascii="宋体" w:hAnsi="宋体" w:eastAsia="宋体" w:cs="宋体"/>
                <w:b w:val="0"/>
                <w:bCs/>
                <w:color w:val="auto"/>
                <w:highlight w:val="none"/>
              </w:rPr>
              <w:t>均由运维单位负责</w:t>
            </w:r>
            <w:r>
              <w:rPr>
                <w:rFonts w:hint="eastAsia" w:ascii="宋体" w:hAnsi="宋体" w:eastAsia="宋体" w:cs="宋体"/>
                <w:b w:val="0"/>
                <w:bCs/>
                <w:color w:val="auto"/>
                <w:highlight w:val="none"/>
                <w:lang w:eastAsia="zh-CN"/>
              </w:rPr>
              <w:t>。</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highlight w:val="none"/>
              </w:rPr>
            </w:pPr>
          </w:p>
        </w:tc>
      </w:tr>
    </w:tbl>
    <w:p>
      <w:pPr>
        <w:pStyle w:val="79"/>
        <w:ind w:firstLine="480"/>
        <w:rPr>
          <w:rFonts w:hint="eastAsia" w:ascii="宋体" w:hAnsi="宋体" w:eastAsia="宋体" w:cs="宋体"/>
          <w:highlight w:val="none"/>
        </w:rPr>
      </w:pPr>
      <w:r>
        <w:rPr>
          <w:rFonts w:hint="eastAsia" w:ascii="宋体" w:hAnsi="宋体" w:eastAsia="宋体" w:cs="宋体"/>
          <w:highlight w:val="none"/>
        </w:rPr>
        <w:t>投标人名称：                   授权代表签字：            日期：</w:t>
      </w:r>
    </w:p>
    <w:p>
      <w:pPr>
        <w:pStyle w:val="79"/>
        <w:ind w:firstLine="480"/>
        <w:rPr>
          <w:rFonts w:hint="eastAsia" w:ascii="宋体" w:hAnsi="宋体" w:eastAsia="宋体" w:cs="宋体"/>
          <w:highlight w:val="none"/>
        </w:rPr>
      </w:pPr>
      <w:r>
        <w:rPr>
          <w:rFonts w:hint="eastAsia" w:ascii="宋体" w:hAnsi="宋体" w:eastAsia="宋体" w:cs="宋体"/>
          <w:highlight w:val="none"/>
        </w:rPr>
        <w:t>注：为避免歧义，无偏离也应要提报该表，并注明“无”字。如无该表则即使在其它部分已反映，将也被视为“无偏离”。</w:t>
      </w:r>
    </w:p>
    <w:p>
      <w:pPr>
        <w:rPr>
          <w:rFonts w:hint="eastAsia" w:ascii="宋体" w:hAnsi="宋体" w:eastAsia="宋体" w:cs="宋体"/>
          <w:highlight w:val="none"/>
        </w:rPr>
      </w:pPr>
    </w:p>
    <w:p>
      <w:pPr>
        <w:rPr>
          <w:rFonts w:hint="eastAsia" w:ascii="宋体" w:hAnsi="宋体" w:eastAsia="宋体" w:cs="宋体"/>
          <w:b/>
          <w:bCs/>
          <w:color w:val="000000"/>
          <w:sz w:val="28"/>
          <w:highlight w:val="none"/>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highlight w:val="none"/>
        </w:rPr>
      </w:pPr>
      <w:r>
        <w:rPr>
          <w:rFonts w:hint="eastAsia" w:ascii="宋体" w:hAnsi="宋体" w:eastAsia="宋体" w:cs="宋体"/>
          <w:highlight w:val="none"/>
        </w:rPr>
        <w:t>附件</w:t>
      </w:r>
      <w:r>
        <w:rPr>
          <w:rFonts w:hint="eastAsia" w:ascii="宋体" w:hAnsi="宋体" w:eastAsia="宋体" w:cs="宋体"/>
          <w:highlight w:val="none"/>
          <w:lang w:val="en-US" w:eastAsia="zh-CN"/>
        </w:rPr>
        <w:t>10</w:t>
      </w:r>
      <w:r>
        <w:rPr>
          <w:rFonts w:hint="eastAsia" w:ascii="宋体" w:hAnsi="宋体" w:eastAsia="宋体" w:cs="宋体"/>
          <w:highlight w:val="none"/>
        </w:rPr>
        <w:t xml:space="preserve"> 服务承诺函</w:t>
      </w:r>
    </w:p>
    <w:p>
      <w:pPr>
        <w:spacing w:line="240" w:lineRule="exact"/>
        <w:jc w:val="center"/>
        <w:rPr>
          <w:rFonts w:hint="eastAsia" w:ascii="宋体" w:hAnsi="宋体" w:eastAsia="宋体" w:cs="宋体"/>
          <w:b/>
          <w:bCs/>
          <w:sz w:val="36"/>
          <w:highlight w:val="none"/>
        </w:rPr>
      </w:pP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项目名称：</w:t>
      </w:r>
      <w:r>
        <w:rPr>
          <w:rFonts w:hint="eastAsia" w:ascii="宋体" w:hAnsi="宋体" w:eastAsia="宋体" w:cs="宋体"/>
          <w:sz w:val="24"/>
          <w:highlight w:val="none"/>
          <w:u w:val="single"/>
        </w:rPr>
        <w:t xml:space="preserve">               </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中国重汽集团济南动力有限公司：</w:t>
      </w:r>
    </w:p>
    <w:p>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我代表（投标单位名称）对中标合同产品的服务作如下承诺：</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pPr>
        <w:spacing w:line="360" w:lineRule="auto"/>
        <w:ind w:firstLine="480" w:firstLineChars="200"/>
        <w:rPr>
          <w:rFonts w:hint="eastAsia" w:ascii="宋体" w:hAnsi="宋体" w:eastAsia="宋体" w:cs="宋体"/>
          <w:sz w:val="24"/>
          <w:highlight w:val="none"/>
          <w:u w:val="single"/>
        </w:rPr>
      </w:pPr>
    </w:p>
    <w:p>
      <w:pPr>
        <w:pStyle w:val="79"/>
        <w:ind w:firstLine="480"/>
        <w:rPr>
          <w:rFonts w:hint="eastAsia" w:ascii="宋体" w:hAnsi="宋体" w:eastAsia="宋体" w:cs="宋体"/>
          <w:highlight w:val="none"/>
        </w:rPr>
      </w:pPr>
      <w:r>
        <w:rPr>
          <w:rFonts w:hint="eastAsia" w:ascii="宋体" w:hAnsi="宋体" w:eastAsia="宋体" w:cs="宋体"/>
          <w:highlight w:val="none"/>
        </w:rPr>
        <w:t>投标人：（盖章）</w:t>
      </w:r>
    </w:p>
    <w:p>
      <w:pPr>
        <w:pStyle w:val="79"/>
        <w:ind w:firstLine="480"/>
        <w:rPr>
          <w:rFonts w:hint="eastAsia" w:ascii="宋体" w:hAnsi="宋体" w:eastAsia="宋体" w:cs="宋体"/>
          <w:highlight w:val="none"/>
        </w:rPr>
      </w:pPr>
      <w:r>
        <w:rPr>
          <w:rFonts w:hint="eastAsia" w:ascii="宋体" w:hAnsi="宋体" w:eastAsia="宋体" w:cs="宋体"/>
          <w:highlight w:val="none"/>
        </w:rPr>
        <w:t>法定代表人（委托代理人）：（签字）</w:t>
      </w:r>
    </w:p>
    <w:p>
      <w:pPr>
        <w:pStyle w:val="79"/>
        <w:ind w:firstLine="480"/>
        <w:rPr>
          <w:rFonts w:hint="eastAsia" w:ascii="宋体" w:hAnsi="宋体" w:eastAsia="宋体" w:cs="宋体"/>
          <w:highlight w:val="none"/>
        </w:rPr>
      </w:pPr>
      <w:r>
        <w:rPr>
          <w:rFonts w:hint="eastAsia" w:ascii="宋体" w:hAnsi="宋体" w:eastAsia="宋体" w:cs="宋体"/>
          <w:highlight w:val="none"/>
        </w:rPr>
        <w:t>日  期：       年    月    日</w:t>
      </w:r>
    </w:p>
    <w:p>
      <w:pPr>
        <w:rPr>
          <w:rFonts w:hint="eastAsia" w:ascii="宋体" w:hAnsi="宋体" w:eastAsia="宋体" w:cs="宋体"/>
          <w:b/>
          <w:bCs/>
          <w:color w:val="000000"/>
          <w:sz w:val="28"/>
          <w:highlight w:val="none"/>
        </w:rPr>
      </w:pPr>
      <w:bookmarkStart w:id="10" w:name="_Toc639013"/>
      <w:bookmarkStart w:id="11" w:name="_Toc353881022"/>
      <w:bookmarkStart w:id="12" w:name="_Toc9193"/>
    </w:p>
    <w:p>
      <w:pPr>
        <w:rPr>
          <w:rFonts w:hint="eastAsia" w:ascii="宋体" w:hAnsi="宋体" w:eastAsia="宋体" w:cs="宋体"/>
          <w:b/>
          <w:bCs/>
          <w:color w:val="000000"/>
          <w:sz w:val="28"/>
          <w:highlight w:val="none"/>
        </w:rPr>
        <w:sectPr>
          <w:pgSz w:w="11906" w:h="16838"/>
          <w:pgMar w:top="1588" w:right="1418" w:bottom="1134" w:left="1418" w:header="851" w:footer="992" w:gutter="0"/>
          <w:pgNumType w:fmt="numberInDash"/>
          <w:cols w:space="720" w:num="1"/>
          <w:titlePg/>
          <w:docGrid w:type="lines" w:linePitch="312" w:charSpace="0"/>
        </w:sectPr>
      </w:pPr>
    </w:p>
    <w:bookmarkEnd w:id="10"/>
    <w:bookmarkEnd w:id="11"/>
    <w:bookmarkEnd w:id="12"/>
    <w:p>
      <w:pPr>
        <w:pStyle w:val="85"/>
        <w:ind w:firstLine="480"/>
        <w:rPr>
          <w:rFonts w:hint="eastAsia" w:ascii="宋体" w:hAnsi="宋体" w:eastAsia="宋体" w:cs="宋体"/>
          <w:highlight w:val="none"/>
        </w:rPr>
      </w:pPr>
      <w:r>
        <w:rPr>
          <w:rFonts w:hint="eastAsia" w:ascii="宋体" w:hAnsi="宋体" w:eastAsia="宋体" w:cs="宋体"/>
          <w:highlight w:val="none"/>
        </w:rPr>
        <w:t>附件1</w:t>
      </w:r>
      <w:bookmarkStart w:id="13" w:name="_Toc92678174"/>
      <w:bookmarkStart w:id="14" w:name="_Toc639014"/>
      <w:bookmarkStart w:id="15" w:name="_Toc15535"/>
      <w:bookmarkStart w:id="16" w:name="_Toc353881023"/>
      <w:bookmarkStart w:id="17" w:name="_Toc212369556"/>
      <w:r>
        <w:rPr>
          <w:rFonts w:hint="eastAsia" w:ascii="宋体" w:hAnsi="宋体" w:eastAsia="宋体" w:cs="宋体"/>
          <w:highlight w:val="none"/>
          <w:lang w:val="en-US" w:eastAsia="zh-CN"/>
        </w:rPr>
        <w:t>2</w:t>
      </w:r>
      <w:r>
        <w:rPr>
          <w:rFonts w:hint="eastAsia" w:ascii="宋体" w:hAnsi="宋体" w:eastAsia="宋体" w:cs="宋体"/>
          <w:highlight w:val="none"/>
        </w:rPr>
        <w:t>投标文件封面及封口</w:t>
      </w:r>
      <w:bookmarkEnd w:id="13"/>
      <w:r>
        <w:rPr>
          <w:rFonts w:hint="eastAsia" w:ascii="宋体" w:hAnsi="宋体" w:eastAsia="宋体" w:cs="宋体"/>
          <w:highlight w:val="none"/>
        </w:rPr>
        <w:t>格式</w:t>
      </w:r>
      <w:bookmarkEnd w:id="14"/>
      <w:bookmarkEnd w:id="15"/>
      <w:bookmarkEnd w:id="16"/>
      <w:bookmarkEnd w:id="17"/>
    </w:p>
    <w:p>
      <w:pPr>
        <w:pStyle w:val="79"/>
        <w:ind w:firstLine="480"/>
        <w:rPr>
          <w:rFonts w:hint="eastAsia" w:ascii="宋体" w:hAnsi="宋体" w:eastAsia="宋体" w:cs="宋体"/>
          <w:highlight w:val="none"/>
        </w:rPr>
      </w:pPr>
      <w:r>
        <w:rPr>
          <w:rFonts w:hint="eastAsia" w:ascii="宋体" w:hAnsi="宋体" w:eastAsia="宋体" w:cs="宋体"/>
          <w:highlight w:val="none"/>
        </w:rPr>
        <w:t>封面格式：</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3"/>
              <w:rPr>
                <w:rFonts w:hint="eastAsia" w:ascii="宋体" w:hAnsi="宋体" w:eastAsia="宋体" w:cs="宋体"/>
                <w:highlight w:val="none"/>
              </w:rPr>
            </w:pPr>
          </w:p>
          <w:p>
            <w:pPr>
              <w:pStyle w:val="83"/>
              <w:rPr>
                <w:rFonts w:hint="eastAsia" w:ascii="宋体" w:hAnsi="宋体" w:eastAsia="宋体" w:cs="宋体"/>
                <w:sz w:val="30"/>
                <w:szCs w:val="30"/>
                <w:highlight w:val="none"/>
              </w:rPr>
            </w:pPr>
            <w:r>
              <w:rPr>
                <w:rFonts w:hint="eastAsia" w:ascii="宋体" w:hAnsi="宋体" w:eastAsia="宋体" w:cs="宋体"/>
                <w:sz w:val="30"/>
                <w:szCs w:val="30"/>
                <w:highlight w:val="none"/>
              </w:rPr>
              <w:t>投标文件</w:t>
            </w:r>
          </w:p>
          <w:p>
            <w:pPr>
              <w:pStyle w:val="83"/>
              <w:jc w:val="both"/>
              <w:rPr>
                <w:rFonts w:hint="eastAsia" w:ascii="宋体" w:hAnsi="宋体" w:eastAsia="宋体" w:cs="宋体"/>
                <w:sz w:val="30"/>
                <w:szCs w:val="30"/>
                <w:highlight w:val="none"/>
              </w:rPr>
            </w:pPr>
          </w:p>
          <w:p>
            <w:pPr>
              <w:pStyle w:val="83"/>
              <w:rPr>
                <w:rFonts w:hint="eastAsia" w:ascii="宋体" w:hAnsi="宋体" w:eastAsia="宋体" w:cs="宋体"/>
                <w:sz w:val="30"/>
                <w:szCs w:val="30"/>
                <w:highlight w:val="none"/>
              </w:rPr>
            </w:pPr>
            <w:r>
              <w:rPr>
                <w:rFonts w:hint="eastAsia" w:ascii="宋体" w:hAnsi="宋体" w:eastAsia="宋体" w:cs="宋体"/>
                <w:sz w:val="30"/>
                <w:szCs w:val="30"/>
                <w:highlight w:val="none"/>
              </w:rPr>
              <w:t>（1正本/</w:t>
            </w:r>
            <w:r>
              <w:rPr>
                <w:rFonts w:hint="eastAsia" w:ascii="宋体" w:hAnsi="宋体" w:eastAsia="宋体" w:cs="宋体"/>
                <w:sz w:val="30"/>
                <w:szCs w:val="30"/>
                <w:highlight w:val="none"/>
                <w:u w:val="single"/>
              </w:rPr>
              <w:t xml:space="preserve">   </w:t>
            </w:r>
            <w:r>
              <w:rPr>
                <w:rFonts w:hint="eastAsia" w:ascii="宋体" w:hAnsi="宋体" w:eastAsia="宋体" w:cs="宋体"/>
                <w:sz w:val="30"/>
                <w:szCs w:val="30"/>
                <w:highlight w:val="none"/>
              </w:rPr>
              <w:t>副本）</w:t>
            </w:r>
          </w:p>
          <w:p>
            <w:pPr>
              <w:pStyle w:val="83"/>
              <w:rPr>
                <w:rFonts w:hint="eastAsia" w:ascii="宋体" w:hAnsi="宋体" w:eastAsia="宋体" w:cs="宋体"/>
                <w:highlight w:val="none"/>
              </w:rPr>
            </w:pPr>
          </w:p>
          <w:p>
            <w:pPr>
              <w:pStyle w:val="83"/>
              <w:rPr>
                <w:rFonts w:hint="eastAsia" w:ascii="宋体" w:hAnsi="宋体" w:eastAsia="宋体" w:cs="宋体"/>
                <w:highlight w:val="none"/>
              </w:rPr>
            </w:pPr>
          </w:p>
          <w:p>
            <w:pPr>
              <w:pStyle w:val="83"/>
              <w:rPr>
                <w:rFonts w:hint="eastAsia" w:ascii="宋体" w:hAnsi="宋体" w:eastAsia="宋体" w:cs="宋体"/>
                <w:highlight w:val="none"/>
              </w:rPr>
            </w:pPr>
            <w:r>
              <w:rPr>
                <w:rFonts w:hint="eastAsia" w:ascii="宋体" w:hAnsi="宋体" w:eastAsia="宋体" w:cs="宋体"/>
                <w:highlight w:val="none"/>
              </w:rPr>
              <w:t>项目名称：</w:t>
            </w:r>
          </w:p>
          <w:p>
            <w:pPr>
              <w:pStyle w:val="83"/>
              <w:rPr>
                <w:rFonts w:hint="eastAsia" w:ascii="宋体" w:hAnsi="宋体" w:eastAsia="宋体" w:cs="宋体"/>
                <w:highlight w:val="none"/>
              </w:rPr>
            </w:pPr>
            <w:r>
              <w:rPr>
                <w:rFonts w:hint="eastAsia" w:ascii="宋体" w:hAnsi="宋体" w:eastAsia="宋体" w:cs="宋体"/>
                <w:highlight w:val="none"/>
              </w:rPr>
              <w:t>投标人名称（公章）：</w:t>
            </w:r>
          </w:p>
          <w:p>
            <w:pPr>
              <w:pStyle w:val="83"/>
              <w:rPr>
                <w:rFonts w:hint="eastAsia" w:ascii="宋体" w:hAnsi="宋体" w:eastAsia="宋体" w:cs="宋体"/>
                <w:highlight w:val="none"/>
              </w:rPr>
            </w:pPr>
            <w:r>
              <w:rPr>
                <w:rFonts w:hint="eastAsia" w:ascii="宋体" w:hAnsi="宋体" w:eastAsia="宋体" w:cs="宋体"/>
                <w:highlight w:val="none"/>
              </w:rPr>
              <w:t>地址：</w:t>
            </w:r>
          </w:p>
          <w:p>
            <w:pPr>
              <w:pStyle w:val="83"/>
              <w:rPr>
                <w:rFonts w:hint="eastAsia" w:ascii="宋体" w:hAnsi="宋体" w:eastAsia="宋体" w:cs="宋体"/>
                <w:highlight w:val="none"/>
              </w:rPr>
            </w:pPr>
            <w:r>
              <w:rPr>
                <w:rFonts w:hint="eastAsia" w:ascii="宋体" w:hAnsi="宋体" w:eastAsia="宋体" w:cs="宋体"/>
                <w:highlight w:val="none"/>
              </w:rPr>
              <w:t>授权代表电话：</w:t>
            </w:r>
          </w:p>
          <w:p>
            <w:pPr>
              <w:pStyle w:val="83"/>
              <w:rPr>
                <w:rFonts w:hint="eastAsia" w:ascii="宋体" w:hAnsi="宋体" w:eastAsia="宋体" w:cs="宋体"/>
                <w:highlight w:val="none"/>
              </w:rPr>
            </w:pPr>
            <w:r>
              <w:rPr>
                <w:rFonts w:hint="eastAsia" w:ascii="宋体" w:hAnsi="宋体" w:eastAsia="宋体" w:cs="宋体"/>
                <w:highlight w:val="none"/>
              </w:rPr>
              <w:t>传真：</w:t>
            </w:r>
          </w:p>
          <w:p>
            <w:pPr>
              <w:pStyle w:val="83"/>
              <w:rPr>
                <w:rFonts w:hint="eastAsia" w:ascii="宋体" w:hAnsi="宋体" w:eastAsia="宋体" w:cs="宋体"/>
                <w:highlight w:val="none"/>
              </w:rPr>
            </w:pPr>
          </w:p>
          <w:p>
            <w:pPr>
              <w:pStyle w:val="83"/>
              <w:rPr>
                <w:rFonts w:hint="eastAsia" w:ascii="宋体" w:hAnsi="宋体" w:eastAsia="宋体" w:cs="宋体"/>
                <w:highlight w:val="none"/>
              </w:rPr>
            </w:pPr>
          </w:p>
        </w:tc>
      </w:tr>
    </w:tbl>
    <w:p>
      <w:pPr>
        <w:pStyle w:val="79"/>
        <w:ind w:firstLine="480"/>
        <w:rPr>
          <w:rFonts w:hint="eastAsia" w:ascii="宋体" w:hAnsi="宋体" w:eastAsia="宋体" w:cs="宋体"/>
          <w:highlight w:val="none"/>
        </w:rPr>
      </w:pPr>
      <w:r>
        <w:rPr>
          <w:rFonts w:hint="eastAsia" w:ascii="宋体" w:hAnsi="宋体" w:eastAsia="宋体" w:cs="宋体"/>
          <w:highlight w:val="none"/>
        </w:rPr>
        <w:t>投标人名称：                   授权代表签字：                  日期</w:t>
      </w:r>
    </w:p>
    <w:p>
      <w:pPr>
        <w:pStyle w:val="59"/>
        <w:rPr>
          <w:rFonts w:hint="eastAsia" w:ascii="宋体" w:hAnsi="宋体" w:eastAsia="宋体" w:cs="宋体"/>
          <w:highlight w:val="none"/>
        </w:rPr>
        <w:sectPr>
          <w:headerReference r:id="rId13" w:type="default"/>
          <w:footerReference r:id="rId14" w:type="default"/>
          <w:pgSz w:w="11907" w:h="16840"/>
          <w:pgMar w:top="1785" w:right="1418" w:bottom="1418" w:left="1418" w:header="724" w:footer="851" w:gutter="0"/>
          <w:cols w:space="720" w:num="1"/>
          <w:docGrid w:linePitch="290" w:charSpace="-3931"/>
        </w:sectPr>
      </w:pPr>
      <w:bookmarkStart w:id="18" w:name="_Toc465187638"/>
    </w:p>
    <w:p>
      <w:pPr>
        <w:pStyle w:val="15"/>
        <w:ind w:firstLine="480"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附件1</w:t>
      </w: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 xml:space="preserve"> SRM非生产供应商注册操作手册</w:t>
      </w:r>
    </w:p>
    <w:p>
      <w:pPr>
        <w:adjustRightInd w:val="0"/>
        <w:snapToGrid w:val="0"/>
        <w:jc w:val="left"/>
        <w:rPr>
          <w:rFonts w:hint="eastAsia" w:ascii="宋体" w:hAnsi="宋体" w:eastAsia="宋体" w:cs="宋体"/>
          <w:sz w:val="24"/>
          <w:szCs w:val="24"/>
          <w:highlight w:val="none"/>
        </w:rPr>
      </w:pPr>
    </w:p>
    <w:p>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浏览器中输入地址;</w:t>
      </w:r>
    </w:p>
    <w:p>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"http://ecaitong.sinotruk.com:8012/" \l "/login" \t "dlt" </w:instrText>
      </w:r>
      <w:r>
        <w:rPr>
          <w:rFonts w:hint="eastAsia" w:ascii="宋体" w:hAnsi="宋体" w:eastAsia="宋体" w:cs="宋体"/>
          <w:highlight w:val="none"/>
        </w:rPr>
        <w:fldChar w:fldCharType="separate"/>
      </w:r>
      <w:r>
        <w:rPr>
          <w:rFonts w:hint="eastAsia" w:ascii="宋体" w:hAnsi="宋体" w:cs="宋体"/>
          <w:sz w:val="24"/>
          <w:szCs w:val="24"/>
          <w:highlight w:val="none"/>
          <w:lang w:eastAsia="zh-CN"/>
        </w:rPr>
        <w:t>https</w:t>
      </w:r>
      <w:r>
        <w:rPr>
          <w:rFonts w:hint="eastAsia" w:ascii="宋体" w:hAnsi="宋体" w:eastAsia="宋体" w:cs="宋体"/>
          <w:sz w:val="24"/>
          <w:szCs w:val="24"/>
          <w:highlight w:val="none"/>
        </w:rPr>
        <w:t>://ecaitong.sinotruk.com:8012/#/login</w:t>
      </w:r>
      <w:r>
        <w:rPr>
          <w:rFonts w:hint="eastAsia" w:ascii="宋体" w:hAnsi="宋体" w:eastAsia="宋体" w:cs="宋体"/>
          <w:sz w:val="24"/>
          <w:szCs w:val="24"/>
          <w:highlight w:val="none"/>
        </w:rPr>
        <w:fldChar w:fldCharType="end"/>
      </w:r>
    </w:p>
    <w:p>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1.点击立即注册</w:t>
      </w:r>
    </w:p>
    <w:p>
      <w:pPr>
        <w:snapToGrid w:val="0"/>
        <w:spacing w:line="312" w:lineRule="auto"/>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8"/>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highlight w:val="none"/>
        </w:rPr>
      </w:pPr>
      <w:r>
        <w:rPr>
          <w:rFonts w:hint="eastAsia" w:ascii="宋体" w:hAnsi="宋体" w:eastAsia="宋体" w:cs="宋体"/>
          <w:color w:val="000000"/>
          <w:sz w:val="24"/>
          <w:szCs w:val="28"/>
          <w:highlight w:val="none"/>
        </w:rPr>
        <w:t>2.填写手机号码（没有注册过的）</w:t>
      </w:r>
    </w:p>
    <w:p>
      <w:pPr>
        <w:snapToGrid w:val="0"/>
        <w:spacing w:line="312" w:lineRule="auto"/>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9"/>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highlight w:val="none"/>
        </w:rPr>
      </w:pPr>
      <w:r>
        <w:rPr>
          <w:rFonts w:hint="eastAsia" w:ascii="宋体" w:hAnsi="宋体" w:eastAsia="宋体" w:cs="宋体"/>
          <w:color w:val="000000"/>
          <w:sz w:val="24"/>
          <w:szCs w:val="28"/>
          <w:highlight w:val="none"/>
        </w:rPr>
        <w:t>3.注册成功登录这个手机号码的账号进入系统，点击供应商注册</w:t>
      </w:r>
    </w:p>
    <w:p>
      <w:pPr>
        <w:snapToGrid w:val="0"/>
        <w:spacing w:line="312" w:lineRule="auto"/>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20"/>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highlight w:val="none"/>
        </w:rPr>
      </w:pPr>
      <w:r>
        <w:rPr>
          <w:rFonts w:hint="eastAsia" w:ascii="宋体" w:hAnsi="宋体" w:eastAsia="宋体" w:cs="宋体"/>
          <w:color w:val="000000"/>
          <w:sz w:val="24"/>
          <w:szCs w:val="28"/>
          <w:highlight w:val="none"/>
        </w:rPr>
        <w:t>4.点击新增</w:t>
      </w:r>
    </w:p>
    <w:p>
      <w:pPr>
        <w:snapToGrid w:val="0"/>
        <w:spacing w:line="312" w:lineRule="auto"/>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21"/>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.按要求填写所有信息，注意非生产类要填写合作单位，最后提交审批</w:t>
      </w:r>
      <w:r>
        <w:rPr>
          <w:rFonts w:hint="eastAsia" w:ascii="宋体" w:hAnsi="宋体" w:cs="宋体"/>
          <w:color w:val="000000"/>
          <w:sz w:val="24"/>
          <w:szCs w:val="28"/>
          <w:highlight w:val="none"/>
          <w:lang w:eastAsia="zh-CN"/>
        </w:rPr>
        <w:t>（</w:t>
      </w:r>
      <w:r>
        <w:rPr>
          <w:rFonts w:hint="eastAsia" w:ascii="宋体" w:hAnsi="宋体" w:cs="宋体"/>
          <w:color w:val="000000"/>
          <w:sz w:val="24"/>
          <w:szCs w:val="28"/>
          <w:highlight w:val="none"/>
          <w:lang w:val="en-US" w:eastAsia="zh-CN"/>
        </w:rPr>
        <w:t>具体注册流程详见登录页-供应商用户手册</w:t>
      </w:r>
      <w:r>
        <w:rPr>
          <w:rFonts w:hint="eastAsia" w:ascii="宋体" w:hAnsi="宋体" w:cs="宋体"/>
          <w:color w:val="000000"/>
          <w:sz w:val="24"/>
          <w:szCs w:val="28"/>
          <w:highlight w:val="none"/>
          <w:lang w:eastAsia="zh-CN"/>
        </w:rPr>
        <w:t>）</w:t>
      </w:r>
    </w:p>
    <w:p>
      <w:pPr>
        <w:rPr>
          <w:rFonts w:hint="eastAsia" w:ascii="宋体" w:hAnsi="宋体" w:eastAsia="宋体" w:cs="宋体"/>
          <w:color w:val="000000"/>
          <w:highlight w:val="none"/>
        </w:rPr>
      </w:pPr>
    </w:p>
    <w:p>
      <w:pPr>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2"/>
                    <a:stretch>
                      <a:fillRect/>
                    </a:stretch>
                  </pic:blipFill>
                  <pic:spPr>
                    <a:xfrm>
                      <a:off x="0" y="0"/>
                      <a:ext cx="5760085" cy="2810122"/>
                    </a:xfrm>
                    <a:prstGeom prst="rect">
                      <a:avLst/>
                    </a:prstGeom>
                  </pic:spPr>
                </pic:pic>
              </a:graphicData>
            </a:graphic>
          </wp:inline>
        </w:drawing>
      </w:r>
    </w:p>
    <w:p>
      <w:pPr>
        <w:pStyle w:val="15"/>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3"/>
                    <a:stretch>
                      <a:fillRect/>
                    </a:stretch>
                  </pic:blipFill>
                  <pic:spPr>
                    <a:xfrm>
                      <a:off x="0" y="0"/>
                      <a:ext cx="5760085" cy="2820042"/>
                    </a:xfrm>
                    <a:prstGeom prst="rect">
                      <a:avLst/>
                    </a:prstGeom>
                  </pic:spPr>
                </pic:pic>
              </a:graphicData>
            </a:graphic>
          </wp:inline>
        </w:drawing>
      </w:r>
    </w:p>
    <w:p>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供货类别请选择：试验检测类设备相关工装夹具、备件、辅料、检定校准、维保服务等</w:t>
      </w:r>
    </w:p>
    <w:p>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pPr>
        <w:pStyle w:val="15"/>
        <w:ind w:firstLine="480" w:firstLineChars="200"/>
        <w:outlineLvl w:val="2"/>
        <w:rPr>
          <w:rFonts w:hint="eastAsia" w:ascii="宋体" w:hAnsi="宋体" w:eastAsia="宋体" w:cs="宋体"/>
          <w:b/>
          <w:color w:val="000000"/>
          <w:sz w:val="24"/>
          <w:szCs w:val="24"/>
          <w:highlight w:val="none"/>
        </w:rPr>
      </w:pPr>
      <w:r>
        <w:rPr>
          <w:rFonts w:hint="eastAsia" w:ascii="宋体" w:hAnsi="宋体" w:eastAsia="宋体" w:cs="宋体"/>
          <w:b/>
          <w:bCs/>
          <w:color w:val="000000"/>
          <w:sz w:val="24"/>
          <w:szCs w:val="24"/>
          <w:highlight w:val="none"/>
        </w:rPr>
        <w:t>附件</w:t>
      </w:r>
      <w:r>
        <w:rPr>
          <w:rFonts w:hint="eastAsia" w:ascii="宋体" w:hAnsi="宋体" w:eastAsia="宋体" w:cs="宋体"/>
          <w:b/>
          <w:bCs/>
          <w:color w:val="000000"/>
          <w:sz w:val="24"/>
          <w:szCs w:val="24"/>
          <w:highlight w:val="none"/>
          <w:lang w:val="en-US" w:eastAsia="zh-CN"/>
        </w:rPr>
        <w:t>14</w:t>
      </w:r>
      <w:r>
        <w:rPr>
          <w:rFonts w:hint="eastAsia" w:ascii="宋体" w:hAnsi="宋体" w:eastAsia="宋体" w:cs="宋体"/>
          <w:b/>
          <w:bCs/>
          <w:color w:val="000000"/>
          <w:sz w:val="24"/>
          <w:szCs w:val="24"/>
          <w:highlight w:val="none"/>
        </w:rPr>
        <w:t xml:space="preserve"> </w:t>
      </w:r>
      <w:r>
        <w:rPr>
          <w:rFonts w:hint="eastAsia" w:ascii="宋体" w:hAnsi="宋体" w:eastAsia="宋体" w:cs="宋体"/>
          <w:b/>
          <w:color w:val="000000"/>
          <w:sz w:val="24"/>
          <w:szCs w:val="24"/>
          <w:highlight w:val="none"/>
        </w:rPr>
        <w:t>SRM系统供应商用户手册</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"http://ecaitong.sinotruk.com:8012/" \t "dlt" </w:instrText>
      </w:r>
      <w:r>
        <w:rPr>
          <w:rFonts w:hint="eastAsia" w:ascii="宋体" w:hAnsi="宋体" w:eastAsia="宋体" w:cs="宋体"/>
          <w:highlight w:val="none"/>
        </w:rPr>
        <w:fldChar w:fldCharType="separate"/>
      </w:r>
      <w:r>
        <w:rPr>
          <w:rStyle w:val="39"/>
          <w:rFonts w:hint="eastAsia" w:ascii="宋体" w:hAnsi="宋体" w:cs="宋体"/>
          <w:sz w:val="24"/>
          <w:szCs w:val="24"/>
          <w:highlight w:val="none"/>
          <w:lang w:eastAsia="zh-CN"/>
        </w:rPr>
        <w:t>https</w:t>
      </w:r>
      <w:r>
        <w:rPr>
          <w:rStyle w:val="39"/>
          <w:rFonts w:hint="eastAsia" w:ascii="宋体" w:hAnsi="宋体" w:eastAsia="宋体" w:cs="宋体"/>
          <w:sz w:val="24"/>
          <w:szCs w:val="24"/>
          <w:highlight w:val="none"/>
        </w:rPr>
        <w:t>://ecaitong.sinotruk.com:8012/</w:t>
      </w:r>
      <w:r>
        <w:rPr>
          <w:rStyle w:val="39"/>
          <w:rFonts w:hint="eastAsia" w:ascii="宋体" w:hAnsi="宋体" w:eastAsia="宋体" w:cs="宋体"/>
          <w:sz w:val="24"/>
          <w:szCs w:val="24"/>
          <w:highlight w:val="none"/>
        </w:rPr>
        <w:fldChar w:fldCharType="end"/>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p>
    <w:p>
      <w:pPr>
        <w:spacing w:line="360" w:lineRule="auto"/>
        <w:rPr>
          <w:rFonts w:hint="eastAsia" w:ascii="宋体" w:hAnsi="宋体" w:eastAsia="宋体" w:cs="宋体"/>
          <w:b/>
          <w:bCs/>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b/>
          <w:bCs/>
          <w:highlight w:val="none"/>
          <w:lang w:val="en-US" w:eastAsia="zh-CN"/>
        </w:rPr>
        <w:t>scm@2022</w:t>
      </w:r>
    </w:p>
    <w:p>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路径：招投标中心-非生产类招投标-供应商应标</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点击应标，上传文件之后点击提交。</w:t>
      </w:r>
    </w:p>
    <w:p>
      <w:pPr>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4"/>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highlight w:val="none"/>
        </w:rPr>
      </w:pPr>
    </w:p>
    <w:p>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路径：招投标中心-非生产类招投标-供应商投标</w:t>
      </w:r>
    </w:p>
    <w:p>
      <w:pPr>
        <w:rPr>
          <w:rFonts w:hint="eastAsia" w:ascii="宋体" w:hAnsi="宋体" w:eastAsia="宋体" w:cs="宋体"/>
          <w:color w:val="000000"/>
          <w:highlight w:val="none"/>
        </w:rPr>
      </w:pPr>
      <w:r>
        <w:rPr>
          <w:rFonts w:hint="eastAsia" w:ascii="宋体" w:hAnsi="宋体" w:eastAsia="宋体" w:cs="宋体"/>
          <w:color w:val="000000"/>
          <w:highlight w:val="none"/>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5"/>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highlight w:val="none"/>
        </w:rPr>
      </w:pPr>
      <w:r>
        <w:rPr>
          <w:rFonts w:hint="eastAsia" w:ascii="宋体" w:hAnsi="宋体" w:eastAsia="宋体" w:cs="宋体"/>
          <w:color w:val="000000"/>
          <w:sz w:val="24"/>
          <w:szCs w:val="28"/>
          <w:highlight w:val="none"/>
        </w:rPr>
        <w:t>点击投标按钮，进入详情页，输入投标报价并上传相应的附件。</w:t>
      </w:r>
    </w:p>
    <w:p>
      <w:pPr>
        <w:pStyle w:val="5"/>
        <w:ind w:left="425" w:hanging="425"/>
        <w:rPr>
          <w:rFonts w:hint="eastAsia" w:ascii="宋体" w:hAnsi="宋体" w:eastAsia="宋体" w:cs="宋体"/>
          <w:color w:val="000000"/>
          <w:highlight w:val="none"/>
        </w:rPr>
      </w:pPr>
      <w:r>
        <w:rPr>
          <w:rFonts w:hint="eastAsia" w:ascii="宋体" w:hAnsi="宋体" w:eastAsia="宋体" w:cs="宋体"/>
          <w:color w:val="000000"/>
          <w:highlight w:val="none"/>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6"/>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路径：招投标中心-非生产类招投标-供应商技术标澄清函</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点击编辑按钮进入系统，上传技术标澄清函。</w:t>
      </w:r>
    </w:p>
    <w:p>
      <w:pPr>
        <w:spacing w:line="360" w:lineRule="auto"/>
        <w:rPr>
          <w:rFonts w:hint="eastAsia" w:ascii="宋体" w:hAnsi="宋体" w:eastAsia="宋体" w:cs="宋体"/>
          <w:color w:val="000000"/>
          <w:sz w:val="28"/>
          <w:highlight w:val="none"/>
        </w:rPr>
      </w:pPr>
      <w:r>
        <w:rPr>
          <w:rFonts w:hint="eastAsia" w:ascii="宋体" w:hAnsi="宋体" w:eastAsia="宋体" w:cs="宋体"/>
          <w:color w:val="000000"/>
          <w:sz w:val="24"/>
          <w:szCs w:val="24"/>
          <w:highlight w:val="none"/>
        </w:rPr>
        <w:t>开标之后所有投标的供应商都可编辑提交，技术标入围之后 都不可编辑</w:t>
      </w:r>
      <w:r>
        <w:rPr>
          <w:rFonts w:hint="eastAsia" w:ascii="宋体" w:hAnsi="宋体" w:eastAsia="宋体" w:cs="宋体"/>
          <w:color w:val="000000"/>
          <w:sz w:val="28"/>
          <w:highlight w:val="none"/>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7"/>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路径：招投标中心-非生产类招投标-供应商报价</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路径：招投标中心-非生产类招投标-供应商澄清报价</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hint="eastAsia" w:ascii="宋体" w:hAnsi="宋体" w:eastAsia="宋体" w:cs="宋体"/>
          <w:color w:val="000000"/>
          <w:highlight w:val="none"/>
        </w:rPr>
      </w:pPr>
      <w:r>
        <w:rPr>
          <w:rFonts w:hint="eastAsia" w:ascii="宋体" w:hAnsi="宋体" w:eastAsia="宋体" w:cs="宋体"/>
          <w:color w:val="000000"/>
          <w:highlight w:val="none"/>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8"/>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路径：招投标中心-非生产类招投标-中标项目</w:t>
      </w:r>
    </w:p>
    <w:p>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点击查看进入查看中标项目详情</w:t>
      </w:r>
    </w:p>
    <w:p>
      <w:pPr>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9"/>
                    <a:stretch>
                      <a:fillRect/>
                    </a:stretch>
                  </pic:blipFill>
                  <pic:spPr>
                    <a:xfrm>
                      <a:off x="0" y="0"/>
                      <a:ext cx="5760085" cy="1956600"/>
                    </a:xfrm>
                    <a:prstGeom prst="rect">
                      <a:avLst/>
                    </a:prstGeom>
                  </pic:spPr>
                </pic:pic>
              </a:graphicData>
            </a:graphic>
          </wp:inline>
        </w:drawing>
      </w:r>
    </w:p>
    <w:p>
      <w:pPr>
        <w:pStyle w:val="15"/>
        <w:rPr>
          <w:rFonts w:hint="eastAsia" w:ascii="宋体" w:hAnsi="宋体" w:eastAsia="宋体" w:cs="宋体"/>
          <w:b/>
          <w:color w:val="000000"/>
          <w:sz w:val="24"/>
          <w:szCs w:val="24"/>
          <w:highlight w:val="none"/>
        </w:rPr>
      </w:pPr>
    </w:p>
    <w:p>
      <w:pPr>
        <w:pStyle w:val="59"/>
        <w:rPr>
          <w:rFonts w:hint="eastAsia" w:ascii="宋体" w:hAnsi="宋体" w:eastAsia="宋体" w:cs="宋体"/>
          <w:highlight w:val="none"/>
        </w:rPr>
        <w:sectPr>
          <w:pgSz w:w="11907" w:h="16840"/>
          <w:pgMar w:top="1785" w:right="1418" w:bottom="1418" w:left="1418" w:header="724" w:footer="851" w:gutter="0"/>
          <w:cols w:space="720" w:num="1"/>
          <w:docGrid w:linePitch="290" w:charSpace="-3931"/>
        </w:sectPr>
      </w:pPr>
    </w:p>
    <w:p>
      <w:pPr>
        <w:outlineLvl w:val="2"/>
        <w:rPr>
          <w:rFonts w:hint="eastAsia" w:eastAsia="黑体"/>
          <w:highlight w:val="none"/>
          <w:lang w:val="en-US" w:eastAsia="zh-CN"/>
        </w:rPr>
      </w:pPr>
      <w:r>
        <w:rPr>
          <w:rFonts w:hint="eastAsia" w:ascii="宋体" w:hAnsi="宋体" w:eastAsia="宋体" w:cs="宋体"/>
          <w:b/>
          <w:bCs/>
          <w:color w:val="000000"/>
          <w:sz w:val="24"/>
          <w:szCs w:val="24"/>
          <w:highlight w:val="none"/>
        </w:rPr>
        <w:t>附件1</w:t>
      </w:r>
      <w:r>
        <w:rPr>
          <w:rFonts w:hint="eastAsia" w:ascii="宋体" w:hAnsi="宋体" w:eastAsia="宋体" w:cs="宋体"/>
          <w:b/>
          <w:bCs/>
          <w:color w:val="000000"/>
          <w:sz w:val="24"/>
          <w:szCs w:val="24"/>
          <w:highlight w:val="none"/>
          <w:lang w:val="en-US" w:eastAsia="zh-CN"/>
        </w:rPr>
        <w:t>5</w:t>
      </w:r>
      <w:r>
        <w:rPr>
          <w:rFonts w:hint="eastAsia" w:ascii="宋体" w:hAnsi="宋体" w:eastAsia="宋体" w:cs="宋体"/>
          <w:b/>
          <w:bCs/>
          <w:color w:val="000000"/>
          <w:sz w:val="24"/>
          <w:szCs w:val="24"/>
          <w:highlight w:val="none"/>
        </w:rPr>
        <w:t>技术标评分标准</w:t>
      </w:r>
      <w:bookmarkEnd w:id="18"/>
      <w:bookmarkStart w:id="19" w:name="_Toc425801541"/>
    </w:p>
    <w:p>
      <w:pPr>
        <w:pStyle w:val="15"/>
        <w:spacing w:line="360" w:lineRule="auto"/>
        <w:jc w:val="center"/>
        <w:rPr>
          <w:rFonts w:hAnsi="宋体"/>
          <w:b/>
          <w:bCs/>
          <w:color w:val="000000"/>
          <w:szCs w:val="24"/>
          <w:highlight w:val="none"/>
        </w:rPr>
      </w:pPr>
      <w:r>
        <w:rPr>
          <w:rFonts w:hint="eastAsia" w:hAnsi="宋体"/>
          <w:b/>
          <w:bCs/>
          <w:color w:val="000000"/>
          <w:szCs w:val="24"/>
          <w:highlight w:val="none"/>
        </w:rPr>
        <w:t>技术标评分细则（满分10</w:t>
      </w:r>
      <w:r>
        <w:rPr>
          <w:rFonts w:hAnsi="宋体"/>
          <w:b/>
          <w:bCs/>
          <w:color w:val="000000"/>
          <w:szCs w:val="24"/>
          <w:highlight w:val="none"/>
        </w:rPr>
        <w:t>0</w:t>
      </w:r>
      <w:r>
        <w:rPr>
          <w:rFonts w:hint="eastAsia" w:hAnsi="宋体"/>
          <w:b/>
          <w:bCs/>
          <w:color w:val="000000"/>
          <w:szCs w:val="24"/>
          <w:highlight w:val="none"/>
        </w:rPr>
        <w:t>分）</w:t>
      </w:r>
    </w:p>
    <w:tbl>
      <w:tblPr>
        <w:tblStyle w:val="3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1"/>
        <w:gridCol w:w="850"/>
        <w:gridCol w:w="6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9" w:type="dxa"/>
            <w:noWrap w:val="0"/>
            <w:vAlign w:val="top"/>
          </w:tcPr>
          <w:p>
            <w:pPr>
              <w:autoSpaceDN w:val="0"/>
              <w:spacing w:line="360" w:lineRule="auto"/>
              <w:jc w:val="center"/>
              <w:textAlignment w:val="center"/>
              <w:rPr>
                <w:rFonts w:ascii="宋体" w:hAnsi="宋体"/>
                <w:b/>
                <w:bCs/>
                <w:szCs w:val="24"/>
                <w:highlight w:val="none"/>
              </w:rPr>
            </w:pPr>
            <w:r>
              <w:rPr>
                <w:rFonts w:hint="eastAsia" w:ascii="宋体" w:hAnsi="宋体"/>
                <w:b/>
                <w:bCs/>
                <w:szCs w:val="24"/>
                <w:highlight w:val="none"/>
              </w:rPr>
              <w:t>序号</w:t>
            </w:r>
          </w:p>
        </w:tc>
        <w:tc>
          <w:tcPr>
            <w:tcW w:w="1271" w:type="dxa"/>
            <w:noWrap w:val="0"/>
            <w:vAlign w:val="center"/>
          </w:tcPr>
          <w:p>
            <w:pPr>
              <w:autoSpaceDN w:val="0"/>
              <w:spacing w:line="360" w:lineRule="auto"/>
              <w:jc w:val="center"/>
              <w:textAlignment w:val="center"/>
              <w:rPr>
                <w:rFonts w:ascii="宋体" w:hAnsi="宋体"/>
                <w:b/>
                <w:bCs/>
                <w:szCs w:val="24"/>
                <w:highlight w:val="none"/>
              </w:rPr>
            </w:pPr>
            <w:r>
              <w:rPr>
                <w:rFonts w:hint="eastAsia" w:ascii="宋体" w:hAnsi="宋体"/>
                <w:b/>
                <w:bCs/>
                <w:szCs w:val="24"/>
                <w:highlight w:val="none"/>
              </w:rPr>
              <w:t>类别</w:t>
            </w:r>
          </w:p>
        </w:tc>
        <w:tc>
          <w:tcPr>
            <w:tcW w:w="850" w:type="dxa"/>
            <w:noWrap w:val="0"/>
            <w:vAlign w:val="top"/>
          </w:tcPr>
          <w:p>
            <w:pPr>
              <w:autoSpaceDN w:val="0"/>
              <w:spacing w:line="360" w:lineRule="auto"/>
              <w:jc w:val="center"/>
              <w:textAlignment w:val="center"/>
              <w:rPr>
                <w:rFonts w:ascii="宋体" w:hAnsi="宋体"/>
                <w:b/>
                <w:bCs/>
                <w:szCs w:val="24"/>
                <w:highlight w:val="none"/>
              </w:rPr>
            </w:pPr>
            <w:r>
              <w:rPr>
                <w:rFonts w:hint="eastAsia" w:ascii="宋体" w:hAnsi="宋体"/>
                <w:b/>
                <w:bCs/>
                <w:szCs w:val="24"/>
                <w:highlight w:val="none"/>
              </w:rPr>
              <w:t>满分</w:t>
            </w:r>
          </w:p>
        </w:tc>
        <w:tc>
          <w:tcPr>
            <w:tcW w:w="6521" w:type="dxa"/>
            <w:noWrap w:val="0"/>
            <w:vAlign w:val="center"/>
          </w:tcPr>
          <w:p>
            <w:pPr>
              <w:autoSpaceDN w:val="0"/>
              <w:spacing w:line="360" w:lineRule="auto"/>
              <w:jc w:val="center"/>
              <w:textAlignment w:val="center"/>
              <w:rPr>
                <w:rFonts w:ascii="宋体" w:hAnsi="宋体"/>
                <w:b/>
                <w:bCs/>
                <w:szCs w:val="24"/>
                <w:highlight w:val="none"/>
              </w:rPr>
            </w:pPr>
            <w:r>
              <w:rPr>
                <w:rFonts w:ascii="宋体" w:hAnsi="宋体"/>
                <w:b/>
                <w:bCs/>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9" w:type="dxa"/>
            <w:noWrap w:val="0"/>
            <w:vAlign w:val="center"/>
          </w:tcPr>
          <w:p>
            <w:pPr>
              <w:autoSpaceDN w:val="0"/>
              <w:jc w:val="center"/>
              <w:textAlignment w:val="center"/>
              <w:rPr>
                <w:rFonts w:ascii="宋体" w:hAnsi="宋体"/>
                <w:szCs w:val="24"/>
                <w:highlight w:val="none"/>
              </w:rPr>
            </w:pPr>
            <w:r>
              <w:rPr>
                <w:rFonts w:hint="eastAsia" w:ascii="宋体" w:hAnsi="宋体"/>
                <w:szCs w:val="24"/>
                <w:highlight w:val="none"/>
              </w:rPr>
              <w:t>1</w:t>
            </w:r>
          </w:p>
        </w:tc>
        <w:tc>
          <w:tcPr>
            <w:tcW w:w="1271" w:type="dxa"/>
            <w:noWrap w:val="0"/>
            <w:vAlign w:val="center"/>
          </w:tcPr>
          <w:p>
            <w:pPr>
              <w:autoSpaceDN w:val="0"/>
              <w:jc w:val="center"/>
              <w:textAlignment w:val="center"/>
              <w:rPr>
                <w:rFonts w:ascii="宋体" w:hAnsi="宋体"/>
                <w:bCs/>
                <w:szCs w:val="24"/>
                <w:highlight w:val="none"/>
              </w:rPr>
            </w:pPr>
            <w:r>
              <w:rPr>
                <w:rFonts w:ascii="宋体" w:hAnsi="宋体"/>
                <w:szCs w:val="24"/>
                <w:highlight w:val="none"/>
              </w:rPr>
              <w:t>运维服务方案</w:t>
            </w:r>
          </w:p>
        </w:tc>
        <w:tc>
          <w:tcPr>
            <w:tcW w:w="850" w:type="dxa"/>
            <w:noWrap w:val="0"/>
            <w:vAlign w:val="center"/>
          </w:tcPr>
          <w:p>
            <w:pPr>
              <w:jc w:val="center"/>
              <w:rPr>
                <w:rFonts w:ascii="宋体" w:hAnsi="宋体"/>
                <w:bCs/>
                <w:szCs w:val="24"/>
                <w:highlight w:val="none"/>
              </w:rPr>
            </w:pPr>
            <w:r>
              <w:rPr>
                <w:rFonts w:ascii="宋体" w:hAnsi="宋体"/>
                <w:bCs/>
                <w:szCs w:val="24"/>
                <w:highlight w:val="none"/>
              </w:rPr>
              <w:t>5</w:t>
            </w:r>
            <w:r>
              <w:rPr>
                <w:rFonts w:hint="eastAsia" w:ascii="宋体" w:hAnsi="宋体"/>
                <w:bCs/>
                <w:szCs w:val="24"/>
                <w:highlight w:val="none"/>
              </w:rPr>
              <w:t>0分</w:t>
            </w:r>
          </w:p>
        </w:tc>
        <w:tc>
          <w:tcPr>
            <w:tcW w:w="6521" w:type="dxa"/>
            <w:noWrap w:val="0"/>
            <w:vAlign w:val="center"/>
          </w:tcPr>
          <w:p>
            <w:pPr>
              <w:jc w:val="left"/>
              <w:rPr>
                <w:rFonts w:ascii="宋体" w:hAnsi="宋体"/>
                <w:bCs/>
                <w:szCs w:val="24"/>
                <w:highlight w:val="none"/>
              </w:rPr>
            </w:pPr>
            <w:r>
              <w:rPr>
                <w:rFonts w:ascii="宋体" w:hAnsi="宋体"/>
                <w:bCs/>
                <w:szCs w:val="24"/>
                <w:highlight w:val="none"/>
              </w:rPr>
              <w:t>1、投标人针对项目特点提出完善的运维服务解决方案，方案全面、可靠，制度体系完整，安全、质量及应急等保障措施到位，依据运维服务方案</w:t>
            </w:r>
            <w:r>
              <w:rPr>
                <w:rFonts w:hint="eastAsia" w:ascii="宋体" w:hAnsi="宋体"/>
                <w:bCs/>
                <w:szCs w:val="24"/>
                <w:highlight w:val="none"/>
              </w:rPr>
              <w:t>综合评价打分（40分）</w:t>
            </w:r>
            <w:r>
              <w:rPr>
                <w:rFonts w:ascii="宋体" w:hAnsi="宋体"/>
                <w:bCs/>
                <w:szCs w:val="24"/>
                <w:highlight w:val="none"/>
              </w:rPr>
              <w:t>。</w:t>
            </w:r>
          </w:p>
          <w:p>
            <w:pPr>
              <w:jc w:val="left"/>
              <w:rPr>
                <w:rFonts w:ascii="宋体" w:hAnsi="宋体"/>
                <w:bCs/>
                <w:color w:val="FF0000"/>
                <w:szCs w:val="24"/>
                <w:highlight w:val="none"/>
              </w:rPr>
            </w:pPr>
            <w:r>
              <w:rPr>
                <w:rFonts w:ascii="宋体" w:hAnsi="宋体"/>
                <w:bCs/>
                <w:szCs w:val="24"/>
                <w:highlight w:val="none"/>
              </w:rPr>
              <w:t>2、投标人需提供2份针对运维现场的EOP文件，评委根据EOP文件的针对性、可操作性、可执行性进行综合评价打分</w:t>
            </w:r>
            <w:r>
              <w:rPr>
                <w:rFonts w:hint="eastAsia" w:ascii="宋体" w:hAnsi="宋体"/>
                <w:bCs/>
                <w:szCs w:val="24"/>
                <w:highlight w:val="none"/>
              </w:rPr>
              <w:t>（10分）</w:t>
            </w:r>
            <w:r>
              <w:rPr>
                <w:rFonts w:ascii="宋体" w:hAnsi="宋体"/>
                <w:bCs/>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9" w:type="dxa"/>
            <w:noWrap w:val="0"/>
            <w:vAlign w:val="center"/>
          </w:tcPr>
          <w:p>
            <w:pPr>
              <w:autoSpaceDN w:val="0"/>
              <w:jc w:val="center"/>
              <w:textAlignment w:val="center"/>
              <w:rPr>
                <w:rFonts w:ascii="宋体" w:hAnsi="宋体"/>
                <w:szCs w:val="24"/>
                <w:highlight w:val="none"/>
              </w:rPr>
            </w:pPr>
            <w:r>
              <w:rPr>
                <w:rFonts w:hint="eastAsia" w:ascii="宋体" w:hAnsi="宋体"/>
                <w:szCs w:val="24"/>
                <w:highlight w:val="none"/>
              </w:rPr>
              <w:t>2</w:t>
            </w:r>
          </w:p>
        </w:tc>
        <w:tc>
          <w:tcPr>
            <w:tcW w:w="1271" w:type="dxa"/>
            <w:noWrap w:val="0"/>
            <w:vAlign w:val="center"/>
          </w:tcPr>
          <w:p>
            <w:pPr>
              <w:autoSpaceDN w:val="0"/>
              <w:jc w:val="center"/>
              <w:textAlignment w:val="center"/>
              <w:rPr>
                <w:rFonts w:ascii="宋体" w:hAnsi="宋体"/>
                <w:szCs w:val="24"/>
                <w:highlight w:val="none"/>
              </w:rPr>
            </w:pPr>
            <w:r>
              <w:rPr>
                <w:rFonts w:hint="eastAsia" w:ascii="宋体" w:hAnsi="宋体"/>
                <w:szCs w:val="24"/>
                <w:highlight w:val="none"/>
              </w:rPr>
              <w:t>综合实力</w:t>
            </w:r>
          </w:p>
        </w:tc>
        <w:tc>
          <w:tcPr>
            <w:tcW w:w="850" w:type="dxa"/>
            <w:noWrap w:val="0"/>
            <w:vAlign w:val="center"/>
          </w:tcPr>
          <w:p>
            <w:pPr>
              <w:jc w:val="center"/>
              <w:rPr>
                <w:rFonts w:ascii="宋体" w:hAnsi="宋体"/>
                <w:bCs/>
                <w:szCs w:val="24"/>
                <w:highlight w:val="none"/>
              </w:rPr>
            </w:pPr>
            <w:r>
              <w:rPr>
                <w:rFonts w:ascii="宋体" w:hAnsi="宋体"/>
                <w:bCs/>
                <w:szCs w:val="24"/>
                <w:highlight w:val="none"/>
              </w:rPr>
              <w:t>4</w:t>
            </w:r>
            <w:r>
              <w:rPr>
                <w:rFonts w:hint="eastAsia" w:ascii="宋体" w:hAnsi="宋体"/>
                <w:bCs/>
                <w:szCs w:val="24"/>
                <w:highlight w:val="none"/>
              </w:rPr>
              <w:t>分</w:t>
            </w:r>
          </w:p>
        </w:tc>
        <w:tc>
          <w:tcPr>
            <w:tcW w:w="6521" w:type="dxa"/>
            <w:noWrap w:val="0"/>
            <w:vAlign w:val="center"/>
          </w:tcPr>
          <w:p>
            <w:pPr>
              <w:adjustRightInd w:val="0"/>
              <w:snapToGrid w:val="0"/>
              <w:jc w:val="left"/>
              <w:rPr>
                <w:rFonts w:ascii="宋体" w:hAnsi="宋体"/>
                <w:color w:val="000000"/>
                <w:kern w:val="0"/>
                <w:szCs w:val="24"/>
                <w:highlight w:val="none"/>
                <w:lang w:bidi="ar"/>
              </w:rPr>
            </w:pPr>
            <w:r>
              <w:rPr>
                <w:rFonts w:ascii="宋体" w:hAnsi="宋体"/>
                <w:color w:val="000000"/>
                <w:kern w:val="0"/>
                <w:szCs w:val="24"/>
                <w:highlight w:val="none"/>
                <w:lang w:bidi="ar"/>
              </w:rPr>
              <w:t>投标人具有</w:t>
            </w:r>
            <w:r>
              <w:rPr>
                <w:rFonts w:hint="eastAsia" w:ascii="宋体" w:hAnsi="宋体"/>
                <w:color w:val="000000"/>
                <w:kern w:val="0"/>
                <w:szCs w:val="24"/>
                <w:highlight w:val="none"/>
                <w:lang w:val="en-US" w:eastAsia="zh-CN" w:bidi="ar"/>
              </w:rPr>
              <w:t>加氢站运维服务相关资质，独立获取加氢站充装证、充装许可证、营业执照</w:t>
            </w:r>
            <w:r>
              <w:rPr>
                <w:rFonts w:ascii="宋体" w:hAnsi="宋体"/>
                <w:color w:val="000000"/>
                <w:kern w:val="0"/>
                <w:szCs w:val="24"/>
                <w:highlight w:val="none"/>
                <w:lang w:bidi="ar"/>
              </w:rPr>
              <w:t>证书得</w:t>
            </w:r>
            <w:r>
              <w:rPr>
                <w:rFonts w:hint="eastAsia" w:ascii="宋体" w:hAnsi="宋体"/>
                <w:color w:val="000000"/>
                <w:kern w:val="0"/>
                <w:szCs w:val="24"/>
                <w:highlight w:val="none"/>
                <w:lang w:val="en-US" w:eastAsia="zh-CN" w:bidi="ar"/>
              </w:rPr>
              <w:t>4</w:t>
            </w:r>
            <w:r>
              <w:rPr>
                <w:rFonts w:ascii="宋体" w:hAnsi="宋体"/>
                <w:color w:val="000000"/>
                <w:kern w:val="0"/>
                <w:szCs w:val="24"/>
                <w:highlight w:val="none"/>
                <w:lang w:bidi="ar"/>
              </w:rPr>
              <w:t>分，</w:t>
            </w:r>
            <w:r>
              <w:rPr>
                <w:rFonts w:hint="eastAsia" w:ascii="宋体" w:hAnsi="宋体"/>
                <w:color w:val="000000"/>
                <w:kern w:val="0"/>
                <w:szCs w:val="24"/>
                <w:highlight w:val="none"/>
                <w:lang w:bidi="ar"/>
              </w:rPr>
              <w:t>没有</w:t>
            </w:r>
            <w:r>
              <w:rPr>
                <w:rFonts w:ascii="宋体" w:hAnsi="宋体"/>
                <w:color w:val="000000"/>
                <w:kern w:val="0"/>
                <w:szCs w:val="24"/>
                <w:highlight w:val="none"/>
                <w:lang w:bidi="ar"/>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noWrap w:val="0"/>
            <w:vAlign w:val="center"/>
          </w:tcPr>
          <w:p>
            <w:pPr>
              <w:autoSpaceDN w:val="0"/>
              <w:jc w:val="center"/>
              <w:textAlignment w:val="center"/>
              <w:rPr>
                <w:rFonts w:ascii="宋体" w:hAnsi="宋体"/>
                <w:color w:val="000000"/>
                <w:szCs w:val="24"/>
                <w:highlight w:val="none"/>
              </w:rPr>
            </w:pPr>
            <w:r>
              <w:rPr>
                <w:rFonts w:ascii="宋体" w:hAnsi="宋体"/>
                <w:color w:val="000000"/>
                <w:szCs w:val="24"/>
                <w:highlight w:val="none"/>
              </w:rPr>
              <w:t>3</w:t>
            </w:r>
          </w:p>
        </w:tc>
        <w:tc>
          <w:tcPr>
            <w:tcW w:w="1271" w:type="dxa"/>
            <w:noWrap w:val="0"/>
            <w:vAlign w:val="center"/>
          </w:tcPr>
          <w:p>
            <w:pPr>
              <w:autoSpaceDN w:val="0"/>
              <w:jc w:val="center"/>
              <w:textAlignment w:val="center"/>
              <w:rPr>
                <w:rFonts w:ascii="宋体" w:hAnsi="宋体"/>
                <w:color w:val="000000"/>
                <w:szCs w:val="24"/>
                <w:highlight w:val="none"/>
              </w:rPr>
            </w:pPr>
            <w:r>
              <w:rPr>
                <w:rFonts w:ascii="宋体" w:hAnsi="宋体"/>
                <w:color w:val="000000"/>
                <w:szCs w:val="24"/>
                <w:highlight w:val="none"/>
              </w:rPr>
              <w:t>运维工程师技术能力</w:t>
            </w:r>
          </w:p>
        </w:tc>
        <w:tc>
          <w:tcPr>
            <w:tcW w:w="850" w:type="dxa"/>
            <w:noWrap w:val="0"/>
            <w:vAlign w:val="center"/>
          </w:tcPr>
          <w:p>
            <w:pPr>
              <w:widowControl/>
              <w:jc w:val="center"/>
              <w:rPr>
                <w:rFonts w:ascii="宋体" w:hAnsi="宋体"/>
                <w:color w:val="000000"/>
                <w:szCs w:val="24"/>
                <w:highlight w:val="none"/>
              </w:rPr>
            </w:pPr>
            <w:r>
              <w:rPr>
                <w:rFonts w:hint="eastAsia" w:ascii="宋体" w:hAnsi="宋体"/>
                <w:color w:val="000000"/>
                <w:szCs w:val="24"/>
                <w:highlight w:val="none"/>
              </w:rPr>
              <w:t>30分</w:t>
            </w:r>
          </w:p>
        </w:tc>
        <w:tc>
          <w:tcPr>
            <w:tcW w:w="6521" w:type="dxa"/>
            <w:noWrap w:val="0"/>
            <w:vAlign w:val="center"/>
          </w:tcPr>
          <w:p>
            <w:pPr>
              <w:jc w:val="left"/>
              <w:rPr>
                <w:rFonts w:ascii="宋体" w:hAnsi="宋体"/>
                <w:color w:val="000000"/>
                <w:szCs w:val="24"/>
                <w:highlight w:val="none"/>
              </w:rPr>
            </w:pPr>
            <w:r>
              <w:rPr>
                <w:rFonts w:hint="eastAsia" w:ascii="宋体" w:hAnsi="宋体"/>
                <w:color w:val="000000"/>
                <w:szCs w:val="24"/>
                <w:highlight w:val="none"/>
              </w:rPr>
              <w:t>针对投标人对本项目的专业运维人员配置情况、综合素质进行综合评定，投标人可结合技术规范书工作量自行考量运维团队人员数量，要求配置人员资质必须符合招标技术要求（30分）。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09" w:type="dxa"/>
            <w:noWrap w:val="0"/>
            <w:vAlign w:val="center"/>
          </w:tcPr>
          <w:p>
            <w:pPr>
              <w:autoSpaceDN w:val="0"/>
              <w:jc w:val="center"/>
              <w:textAlignment w:val="center"/>
              <w:rPr>
                <w:rFonts w:ascii="宋体" w:hAnsi="宋体"/>
                <w:szCs w:val="24"/>
                <w:highlight w:val="none"/>
              </w:rPr>
            </w:pPr>
            <w:r>
              <w:rPr>
                <w:rFonts w:hint="eastAsia" w:ascii="宋体" w:hAnsi="宋体"/>
                <w:szCs w:val="24"/>
                <w:highlight w:val="none"/>
              </w:rPr>
              <w:t>4</w:t>
            </w:r>
          </w:p>
        </w:tc>
        <w:tc>
          <w:tcPr>
            <w:tcW w:w="1271" w:type="dxa"/>
            <w:noWrap w:val="0"/>
            <w:vAlign w:val="center"/>
          </w:tcPr>
          <w:p>
            <w:pPr>
              <w:autoSpaceDN w:val="0"/>
              <w:jc w:val="center"/>
              <w:textAlignment w:val="center"/>
              <w:rPr>
                <w:rFonts w:ascii="宋体" w:hAnsi="宋体"/>
                <w:szCs w:val="24"/>
                <w:highlight w:val="none"/>
              </w:rPr>
            </w:pPr>
            <w:r>
              <w:rPr>
                <w:rFonts w:hint="eastAsia" w:ascii="宋体" w:hAnsi="宋体"/>
                <w:szCs w:val="24"/>
                <w:highlight w:val="none"/>
              </w:rPr>
              <w:t>现场答疑</w:t>
            </w:r>
          </w:p>
        </w:tc>
        <w:tc>
          <w:tcPr>
            <w:tcW w:w="850" w:type="dxa"/>
            <w:noWrap w:val="0"/>
            <w:vAlign w:val="center"/>
          </w:tcPr>
          <w:p>
            <w:pPr>
              <w:widowControl/>
              <w:jc w:val="center"/>
              <w:rPr>
                <w:rFonts w:ascii="宋体" w:hAnsi="宋体"/>
                <w:szCs w:val="24"/>
                <w:highlight w:val="none"/>
              </w:rPr>
            </w:pPr>
            <w:r>
              <w:rPr>
                <w:rFonts w:hint="eastAsia" w:ascii="宋体" w:hAnsi="宋体"/>
                <w:szCs w:val="24"/>
                <w:highlight w:val="none"/>
              </w:rPr>
              <w:t>10分</w:t>
            </w:r>
          </w:p>
        </w:tc>
        <w:tc>
          <w:tcPr>
            <w:tcW w:w="6521" w:type="dxa"/>
            <w:noWrap w:val="0"/>
            <w:vAlign w:val="center"/>
          </w:tcPr>
          <w:p>
            <w:pPr>
              <w:widowControl/>
              <w:jc w:val="left"/>
              <w:rPr>
                <w:rFonts w:ascii="宋体" w:hAnsi="宋体"/>
                <w:color w:val="000000"/>
                <w:kern w:val="0"/>
                <w:szCs w:val="24"/>
                <w:highlight w:val="none"/>
              </w:rPr>
            </w:pPr>
            <w:r>
              <w:rPr>
                <w:rFonts w:ascii="宋体" w:hAnsi="宋体"/>
                <w:szCs w:val="24"/>
                <w:highlight w:val="none"/>
              </w:rPr>
              <w:t>投标人</w:t>
            </w:r>
            <w:r>
              <w:rPr>
                <w:rFonts w:hint="eastAsia" w:ascii="宋体" w:hAnsi="宋体"/>
                <w:szCs w:val="24"/>
                <w:highlight w:val="none"/>
              </w:rPr>
              <w:t>代表对运维服务方案及技术优势的介绍，回答评标专家现场提问（10分）</w:t>
            </w:r>
            <w:r>
              <w:rPr>
                <w:rFonts w:ascii="宋体" w:hAnsi="宋体"/>
                <w:color w:val="000000"/>
                <w:kern w:val="0"/>
                <w:szCs w:val="24"/>
                <w:highlight w:val="none"/>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709" w:type="dxa"/>
            <w:noWrap w:val="0"/>
            <w:vAlign w:val="center"/>
          </w:tcPr>
          <w:p>
            <w:pPr>
              <w:autoSpaceDN w:val="0"/>
              <w:jc w:val="center"/>
              <w:textAlignment w:val="center"/>
              <w:rPr>
                <w:rFonts w:ascii="宋体" w:hAnsi="宋体"/>
                <w:bCs/>
                <w:szCs w:val="24"/>
                <w:highlight w:val="none"/>
              </w:rPr>
            </w:pPr>
            <w:r>
              <w:rPr>
                <w:rFonts w:hint="eastAsia" w:ascii="宋体" w:hAnsi="宋体"/>
                <w:bCs/>
                <w:szCs w:val="24"/>
                <w:highlight w:val="none"/>
              </w:rPr>
              <w:t>5</w:t>
            </w:r>
          </w:p>
        </w:tc>
        <w:tc>
          <w:tcPr>
            <w:tcW w:w="1271" w:type="dxa"/>
            <w:noWrap w:val="0"/>
            <w:vAlign w:val="center"/>
          </w:tcPr>
          <w:p>
            <w:pPr>
              <w:autoSpaceDN w:val="0"/>
              <w:jc w:val="center"/>
              <w:textAlignment w:val="center"/>
              <w:rPr>
                <w:rFonts w:ascii="宋体" w:hAnsi="宋体"/>
                <w:szCs w:val="24"/>
                <w:highlight w:val="none"/>
              </w:rPr>
            </w:pPr>
            <w:r>
              <w:rPr>
                <w:rFonts w:ascii="宋体" w:hAnsi="宋体"/>
                <w:bCs/>
                <w:szCs w:val="24"/>
                <w:highlight w:val="none"/>
              </w:rPr>
              <w:t>企业类似业绩</w:t>
            </w:r>
          </w:p>
        </w:tc>
        <w:tc>
          <w:tcPr>
            <w:tcW w:w="850" w:type="dxa"/>
            <w:noWrap w:val="0"/>
            <w:vAlign w:val="center"/>
          </w:tcPr>
          <w:p>
            <w:pPr>
              <w:adjustRightInd w:val="0"/>
              <w:snapToGrid w:val="0"/>
              <w:jc w:val="center"/>
              <w:rPr>
                <w:rFonts w:ascii="宋体" w:hAnsi="宋体"/>
                <w:color w:val="000000"/>
                <w:kern w:val="0"/>
                <w:szCs w:val="24"/>
                <w:highlight w:val="none"/>
                <w:lang w:bidi="ar"/>
              </w:rPr>
            </w:pPr>
            <w:r>
              <w:rPr>
                <w:rFonts w:ascii="宋体" w:hAnsi="宋体"/>
                <w:color w:val="000000"/>
                <w:kern w:val="0"/>
                <w:szCs w:val="24"/>
                <w:highlight w:val="none"/>
                <w:lang w:bidi="ar"/>
              </w:rPr>
              <w:t>6</w:t>
            </w:r>
            <w:r>
              <w:rPr>
                <w:rFonts w:hint="eastAsia" w:ascii="宋体" w:hAnsi="宋体"/>
                <w:color w:val="000000"/>
                <w:kern w:val="0"/>
                <w:szCs w:val="24"/>
                <w:highlight w:val="none"/>
                <w:lang w:bidi="ar"/>
              </w:rPr>
              <w:t>分</w:t>
            </w:r>
          </w:p>
        </w:tc>
        <w:tc>
          <w:tcPr>
            <w:tcW w:w="6521" w:type="dxa"/>
            <w:noWrap w:val="0"/>
            <w:vAlign w:val="center"/>
          </w:tcPr>
          <w:p>
            <w:pPr>
              <w:adjustRightInd w:val="0"/>
              <w:snapToGrid w:val="0"/>
              <w:jc w:val="left"/>
              <w:rPr>
                <w:rFonts w:ascii="宋体" w:hAnsi="宋体"/>
                <w:color w:val="000000"/>
                <w:kern w:val="0"/>
                <w:szCs w:val="24"/>
                <w:highlight w:val="none"/>
                <w:lang w:bidi="ar"/>
              </w:rPr>
            </w:pPr>
            <w:r>
              <w:rPr>
                <w:rFonts w:ascii="宋体" w:hAnsi="宋体"/>
                <w:color w:val="000000"/>
                <w:kern w:val="0"/>
                <w:szCs w:val="24"/>
                <w:highlight w:val="none"/>
                <w:lang w:bidi="ar"/>
              </w:rPr>
              <w:t>投标人提供</w:t>
            </w:r>
            <w:r>
              <w:rPr>
                <w:rFonts w:hint="eastAsia" w:ascii="宋体" w:hAnsi="宋体"/>
                <w:color w:val="000000"/>
                <w:kern w:val="0"/>
                <w:szCs w:val="24"/>
                <w:highlight w:val="none"/>
                <w:lang w:bidi="ar"/>
              </w:rPr>
              <w:t>2</w:t>
            </w:r>
            <w:r>
              <w:rPr>
                <w:rFonts w:ascii="宋体" w:hAnsi="宋体"/>
                <w:color w:val="000000"/>
                <w:kern w:val="0"/>
                <w:szCs w:val="24"/>
                <w:highlight w:val="none"/>
                <w:lang w:bidi="ar"/>
              </w:rPr>
              <w:t>0</w:t>
            </w:r>
            <w:r>
              <w:rPr>
                <w:rFonts w:hint="eastAsia" w:ascii="宋体" w:hAnsi="宋体"/>
                <w:color w:val="000000"/>
                <w:kern w:val="0"/>
                <w:szCs w:val="24"/>
                <w:highlight w:val="none"/>
                <w:lang w:bidi="ar"/>
              </w:rPr>
              <w:t>2</w:t>
            </w:r>
            <w:r>
              <w:rPr>
                <w:rFonts w:hint="eastAsia" w:ascii="宋体" w:hAnsi="宋体"/>
                <w:color w:val="000000"/>
                <w:kern w:val="0"/>
                <w:szCs w:val="24"/>
                <w:highlight w:val="none"/>
                <w:lang w:val="en-US" w:eastAsia="zh-CN" w:bidi="ar"/>
              </w:rPr>
              <w:t>2</w:t>
            </w:r>
            <w:r>
              <w:rPr>
                <w:rFonts w:hint="eastAsia" w:ascii="宋体" w:hAnsi="宋体"/>
                <w:color w:val="000000"/>
                <w:kern w:val="0"/>
                <w:szCs w:val="24"/>
                <w:highlight w:val="none"/>
                <w:lang w:bidi="ar"/>
              </w:rPr>
              <w:t>年1月1日（以合同签订时间为准）至今已实施完毕的</w:t>
            </w:r>
            <w:r>
              <w:rPr>
                <w:rFonts w:hint="eastAsia" w:ascii="宋体" w:hAnsi="宋体"/>
                <w:color w:val="000000"/>
                <w:kern w:val="0"/>
                <w:szCs w:val="24"/>
                <w:highlight w:val="none"/>
                <w:lang w:val="en-US" w:eastAsia="zh-CN" w:bidi="ar"/>
              </w:rPr>
              <w:t>加氢站运维服务</w:t>
            </w:r>
            <w:r>
              <w:rPr>
                <w:rFonts w:ascii="宋体" w:hAnsi="宋体"/>
                <w:color w:val="000000"/>
                <w:kern w:val="0"/>
                <w:szCs w:val="24"/>
                <w:highlight w:val="none"/>
                <w:lang w:bidi="ar"/>
              </w:rPr>
              <w:t>类似案例业绩</w:t>
            </w:r>
            <w:r>
              <w:rPr>
                <w:rFonts w:hint="eastAsia" w:ascii="宋体" w:hAnsi="宋体"/>
                <w:color w:val="000000"/>
                <w:kern w:val="0"/>
                <w:szCs w:val="24"/>
                <w:highlight w:val="none"/>
                <w:lang w:bidi="ar"/>
              </w:rPr>
              <w:t>（代维框架合同以实际实施业绩金额为准）。</w:t>
            </w:r>
          </w:p>
          <w:p>
            <w:pPr>
              <w:widowControl/>
              <w:jc w:val="left"/>
              <w:rPr>
                <w:rFonts w:hint="eastAsia" w:ascii="宋体" w:hAnsi="宋体"/>
                <w:b w:val="0"/>
                <w:bCs/>
                <w:szCs w:val="24"/>
                <w:highlight w:val="none"/>
              </w:rPr>
            </w:pPr>
            <w:r>
              <w:rPr>
                <w:rFonts w:hint="eastAsia" w:ascii="宋体" w:hAnsi="宋体"/>
                <w:b w:val="0"/>
                <w:bCs/>
                <w:szCs w:val="24"/>
                <w:highlight w:val="none"/>
              </w:rPr>
              <w:t>≥</w:t>
            </w:r>
            <w:r>
              <w:rPr>
                <w:rFonts w:hint="eastAsia" w:ascii="宋体" w:hAnsi="宋体"/>
                <w:b w:val="0"/>
                <w:bCs/>
                <w:szCs w:val="24"/>
                <w:highlight w:val="none"/>
                <w:lang w:val="en-US" w:eastAsia="zh-CN"/>
              </w:rPr>
              <w:t>1</w:t>
            </w:r>
            <w:r>
              <w:rPr>
                <w:rFonts w:hint="eastAsia" w:ascii="宋体" w:hAnsi="宋体"/>
                <w:b w:val="0"/>
                <w:bCs/>
                <w:szCs w:val="24"/>
                <w:highlight w:val="none"/>
              </w:rPr>
              <w:t>00万业绩每份得3分，</w:t>
            </w:r>
          </w:p>
          <w:p>
            <w:pPr>
              <w:widowControl/>
              <w:jc w:val="left"/>
              <w:rPr>
                <w:rFonts w:hint="eastAsia" w:ascii="宋体" w:hAnsi="宋体"/>
                <w:b w:val="0"/>
                <w:bCs/>
                <w:szCs w:val="24"/>
                <w:highlight w:val="none"/>
              </w:rPr>
            </w:pPr>
            <w:r>
              <w:rPr>
                <w:rFonts w:hint="eastAsia" w:ascii="宋体" w:hAnsi="宋体"/>
                <w:b w:val="0"/>
                <w:bCs/>
                <w:szCs w:val="24"/>
                <w:highlight w:val="none"/>
              </w:rPr>
              <w:t>20万≤业绩＜</w:t>
            </w:r>
            <w:r>
              <w:rPr>
                <w:rFonts w:hint="eastAsia" w:ascii="宋体" w:hAnsi="宋体"/>
                <w:b w:val="0"/>
                <w:bCs/>
                <w:szCs w:val="24"/>
                <w:highlight w:val="none"/>
                <w:lang w:val="en-US" w:eastAsia="zh-CN"/>
              </w:rPr>
              <w:t>1</w:t>
            </w:r>
            <w:r>
              <w:rPr>
                <w:rFonts w:hint="eastAsia" w:ascii="宋体" w:hAnsi="宋体"/>
                <w:b w:val="0"/>
                <w:bCs/>
                <w:szCs w:val="24"/>
                <w:highlight w:val="none"/>
              </w:rPr>
              <w:t>00万业绩每份得2分，</w:t>
            </w:r>
          </w:p>
          <w:p>
            <w:pPr>
              <w:widowControl/>
              <w:jc w:val="left"/>
              <w:rPr>
                <w:rFonts w:hint="eastAsia" w:ascii="宋体" w:hAnsi="宋体"/>
                <w:b w:val="0"/>
                <w:bCs/>
                <w:szCs w:val="24"/>
                <w:highlight w:val="none"/>
              </w:rPr>
            </w:pPr>
            <w:r>
              <w:rPr>
                <w:rFonts w:hint="eastAsia" w:ascii="宋体" w:hAnsi="宋体"/>
                <w:b w:val="0"/>
                <w:bCs/>
                <w:szCs w:val="24"/>
                <w:highlight w:val="none"/>
              </w:rPr>
              <w:t>业绩＜20万不得分。</w:t>
            </w:r>
          </w:p>
          <w:p>
            <w:pPr>
              <w:widowControl/>
              <w:jc w:val="left"/>
              <w:rPr>
                <w:rFonts w:ascii="宋体" w:hAnsi="宋体"/>
                <w:szCs w:val="24"/>
                <w:highlight w:val="none"/>
              </w:rPr>
            </w:pPr>
            <w:r>
              <w:rPr>
                <w:rFonts w:hint="eastAsia" w:ascii="宋体" w:hAnsi="宋体"/>
                <w:b/>
                <w:szCs w:val="24"/>
                <w:highlight w:val="none"/>
              </w:rPr>
              <w:t>注：同一甲方业绩只计一次得分，</w:t>
            </w:r>
            <w:r>
              <w:rPr>
                <w:rFonts w:ascii="宋体" w:hAnsi="宋体"/>
                <w:b/>
                <w:szCs w:val="24"/>
                <w:highlight w:val="none"/>
              </w:rPr>
              <w:t>上述业绩需提供合同</w:t>
            </w:r>
            <w:r>
              <w:rPr>
                <w:rFonts w:hint="eastAsia" w:ascii="宋体" w:hAnsi="宋体"/>
                <w:b/>
                <w:szCs w:val="24"/>
                <w:highlight w:val="none"/>
              </w:rPr>
              <w:t>复印件</w:t>
            </w:r>
            <w:r>
              <w:rPr>
                <w:rFonts w:ascii="宋体" w:hAnsi="宋体"/>
                <w:b/>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09" w:type="dxa"/>
            <w:noWrap w:val="0"/>
            <w:vAlign w:val="center"/>
          </w:tcPr>
          <w:p>
            <w:pPr>
              <w:autoSpaceDN w:val="0"/>
              <w:jc w:val="center"/>
              <w:textAlignment w:val="center"/>
              <w:rPr>
                <w:rFonts w:ascii="宋体" w:hAnsi="宋体"/>
                <w:bCs/>
                <w:szCs w:val="24"/>
                <w:highlight w:val="none"/>
              </w:rPr>
            </w:pPr>
            <w:r>
              <w:rPr>
                <w:rFonts w:hint="eastAsia" w:ascii="宋体" w:hAnsi="宋体"/>
                <w:bCs/>
                <w:szCs w:val="24"/>
                <w:highlight w:val="none"/>
              </w:rPr>
              <w:t>6</w:t>
            </w:r>
          </w:p>
        </w:tc>
        <w:tc>
          <w:tcPr>
            <w:tcW w:w="1271" w:type="dxa"/>
            <w:noWrap w:val="0"/>
            <w:vAlign w:val="center"/>
          </w:tcPr>
          <w:p>
            <w:pPr>
              <w:autoSpaceDN w:val="0"/>
              <w:jc w:val="center"/>
              <w:textAlignment w:val="center"/>
              <w:rPr>
                <w:rFonts w:ascii="宋体" w:hAnsi="宋体"/>
                <w:bCs/>
                <w:szCs w:val="24"/>
                <w:highlight w:val="none"/>
              </w:rPr>
            </w:pPr>
            <w:r>
              <w:rPr>
                <w:rFonts w:hint="eastAsia" w:ascii="宋体" w:hAnsi="宋体"/>
                <w:bCs/>
                <w:szCs w:val="24"/>
                <w:highlight w:val="none"/>
              </w:rPr>
              <w:t>合计</w:t>
            </w:r>
          </w:p>
        </w:tc>
        <w:tc>
          <w:tcPr>
            <w:tcW w:w="850" w:type="dxa"/>
            <w:noWrap w:val="0"/>
            <w:vAlign w:val="center"/>
          </w:tcPr>
          <w:p>
            <w:pPr>
              <w:adjustRightInd w:val="0"/>
              <w:snapToGrid w:val="0"/>
              <w:jc w:val="left"/>
              <w:rPr>
                <w:rFonts w:ascii="宋体" w:hAnsi="宋体"/>
                <w:color w:val="000000"/>
                <w:kern w:val="0"/>
                <w:szCs w:val="24"/>
                <w:highlight w:val="none"/>
                <w:lang w:bidi="ar"/>
              </w:rPr>
            </w:pPr>
            <w:r>
              <w:rPr>
                <w:rFonts w:hint="eastAsia" w:ascii="宋体" w:hAnsi="宋体"/>
                <w:color w:val="000000"/>
                <w:kern w:val="0"/>
                <w:szCs w:val="24"/>
                <w:highlight w:val="none"/>
                <w:lang w:bidi="ar"/>
              </w:rPr>
              <w:t>10</w:t>
            </w:r>
            <w:r>
              <w:rPr>
                <w:rFonts w:ascii="宋体" w:hAnsi="宋体"/>
                <w:color w:val="000000"/>
                <w:kern w:val="0"/>
                <w:szCs w:val="24"/>
                <w:highlight w:val="none"/>
                <w:lang w:bidi="ar"/>
              </w:rPr>
              <w:t>0</w:t>
            </w:r>
            <w:r>
              <w:rPr>
                <w:rFonts w:hint="eastAsia" w:ascii="宋体" w:hAnsi="宋体"/>
                <w:color w:val="000000"/>
                <w:kern w:val="0"/>
                <w:szCs w:val="24"/>
                <w:highlight w:val="none"/>
                <w:lang w:bidi="ar"/>
              </w:rPr>
              <w:t>分</w:t>
            </w:r>
          </w:p>
        </w:tc>
        <w:tc>
          <w:tcPr>
            <w:tcW w:w="6521" w:type="dxa"/>
            <w:noWrap w:val="0"/>
            <w:vAlign w:val="center"/>
          </w:tcPr>
          <w:p>
            <w:pPr>
              <w:adjustRightInd w:val="0"/>
              <w:snapToGrid w:val="0"/>
              <w:jc w:val="left"/>
              <w:rPr>
                <w:rFonts w:ascii="宋体" w:hAnsi="宋体"/>
                <w:color w:val="000000"/>
                <w:kern w:val="0"/>
                <w:szCs w:val="24"/>
                <w:highlight w:val="none"/>
                <w:lang w:bidi="ar"/>
              </w:rPr>
            </w:pPr>
            <w:r>
              <w:rPr>
                <w:rFonts w:hint="eastAsia" w:ascii="宋体" w:hAnsi="宋体"/>
                <w:color w:val="000000"/>
                <w:kern w:val="0"/>
                <w:szCs w:val="24"/>
                <w:highlight w:val="none"/>
                <w:lang w:bidi="ar"/>
              </w:rPr>
              <w:t>=</w:t>
            </w:r>
            <w:r>
              <w:rPr>
                <w:rFonts w:ascii="宋体" w:hAnsi="宋体"/>
                <w:color w:val="000000"/>
                <w:kern w:val="0"/>
                <w:szCs w:val="24"/>
                <w:highlight w:val="none"/>
                <w:lang w:bidi="ar"/>
              </w:rPr>
              <w:t>1</w:t>
            </w:r>
            <w:r>
              <w:rPr>
                <w:rFonts w:hint="eastAsia" w:ascii="宋体" w:hAnsi="宋体"/>
                <w:color w:val="000000"/>
                <w:kern w:val="0"/>
                <w:szCs w:val="24"/>
                <w:highlight w:val="none"/>
                <w:lang w:bidi="ar"/>
              </w:rPr>
              <w:t>+</w:t>
            </w:r>
            <w:r>
              <w:rPr>
                <w:rFonts w:ascii="宋体" w:hAnsi="宋体"/>
                <w:color w:val="000000"/>
                <w:kern w:val="0"/>
                <w:szCs w:val="24"/>
                <w:highlight w:val="none"/>
                <w:lang w:bidi="ar"/>
              </w:rPr>
              <w:t>2</w:t>
            </w:r>
            <w:r>
              <w:rPr>
                <w:rFonts w:hint="eastAsia" w:ascii="宋体" w:hAnsi="宋体"/>
                <w:color w:val="000000"/>
                <w:kern w:val="0"/>
                <w:szCs w:val="24"/>
                <w:highlight w:val="none"/>
                <w:lang w:bidi="ar"/>
              </w:rPr>
              <w:t>+</w:t>
            </w:r>
            <w:r>
              <w:rPr>
                <w:rFonts w:ascii="宋体" w:hAnsi="宋体"/>
                <w:color w:val="000000"/>
                <w:kern w:val="0"/>
                <w:szCs w:val="24"/>
                <w:highlight w:val="none"/>
                <w:lang w:bidi="ar"/>
              </w:rPr>
              <w:t>3</w:t>
            </w:r>
            <w:r>
              <w:rPr>
                <w:rFonts w:hint="eastAsia" w:ascii="宋体" w:hAnsi="宋体"/>
                <w:color w:val="000000"/>
                <w:kern w:val="0"/>
                <w:szCs w:val="24"/>
                <w:highlight w:val="none"/>
                <w:lang w:bidi="ar"/>
              </w:rPr>
              <w:t>+</w:t>
            </w:r>
            <w:r>
              <w:rPr>
                <w:rFonts w:ascii="宋体" w:hAnsi="宋体"/>
                <w:color w:val="000000"/>
                <w:kern w:val="0"/>
                <w:szCs w:val="24"/>
                <w:highlight w:val="none"/>
                <w:lang w:bidi="ar"/>
              </w:rPr>
              <w:t>4</w:t>
            </w:r>
            <w:r>
              <w:rPr>
                <w:rFonts w:hint="eastAsia" w:ascii="宋体" w:hAnsi="宋体"/>
                <w:color w:val="000000"/>
                <w:kern w:val="0"/>
                <w:szCs w:val="24"/>
                <w:highlight w:val="none"/>
                <w:lang w:bidi="ar"/>
              </w:rPr>
              <w:t>+</w:t>
            </w:r>
            <w:r>
              <w:rPr>
                <w:rFonts w:ascii="宋体" w:hAnsi="宋体"/>
                <w:color w:val="000000"/>
                <w:kern w:val="0"/>
                <w:szCs w:val="24"/>
                <w:highlight w:val="none"/>
                <w:lang w:bidi="ar"/>
              </w:rPr>
              <w:t>5</w:t>
            </w:r>
          </w:p>
        </w:tc>
      </w:tr>
    </w:tbl>
    <w:p>
      <w:pPr>
        <w:pStyle w:val="2"/>
        <w:keepNext/>
        <w:keepLines/>
        <w:pageBreakBefore w:val="0"/>
        <w:widowControl w:val="0"/>
        <w:kinsoku/>
        <w:wordWrap/>
        <w:overflowPunct/>
        <w:topLinePunct w:val="0"/>
        <w:autoSpaceDE/>
        <w:autoSpaceDN/>
        <w:bidi w:val="0"/>
        <w:adjustRightInd/>
        <w:snapToGrid/>
        <w:spacing w:before="0" w:after="0" w:line="480" w:lineRule="auto"/>
        <w:jc w:val="left"/>
        <w:textAlignment w:val="auto"/>
        <w:rPr>
          <w:rFonts w:hint="eastAsia" w:ascii="Times New Roman" w:hAnsi="Times New Roman" w:cs="宋体"/>
          <w:sz w:val="24"/>
          <w:szCs w:val="24"/>
          <w:highlight w:val="none"/>
        </w:rPr>
      </w:pPr>
      <w:r>
        <w:rPr>
          <w:rFonts w:hint="eastAsia" w:ascii="Times New Roman" w:hAnsi="Times New Roman" w:cs="宋体"/>
          <w:sz w:val="24"/>
          <w:szCs w:val="24"/>
          <w:highlight w:val="none"/>
        </w:rPr>
        <w:t>注：</w:t>
      </w:r>
    </w:p>
    <w:p>
      <w:pPr>
        <w:pStyle w:val="2"/>
        <w:keepNext/>
        <w:keepLines/>
        <w:pageBreakBefore w:val="0"/>
        <w:widowControl w:val="0"/>
        <w:kinsoku/>
        <w:wordWrap/>
        <w:overflowPunct/>
        <w:topLinePunct w:val="0"/>
        <w:autoSpaceDE/>
        <w:autoSpaceDN/>
        <w:bidi w:val="0"/>
        <w:adjustRightInd/>
        <w:snapToGrid/>
        <w:spacing w:before="0" w:after="0" w:line="480" w:lineRule="auto"/>
        <w:jc w:val="left"/>
        <w:textAlignment w:val="auto"/>
        <w:rPr>
          <w:rFonts w:hint="eastAsia" w:ascii="Times New Roman" w:hAnsi="Times New Roman" w:cs="宋体"/>
          <w:sz w:val="24"/>
          <w:szCs w:val="24"/>
          <w:highlight w:val="none"/>
        </w:rPr>
      </w:pPr>
      <w:r>
        <w:rPr>
          <w:rFonts w:hint="eastAsia" w:ascii="Times New Roman" w:hAnsi="Times New Roman" w:cs="宋体"/>
          <w:sz w:val="24"/>
          <w:szCs w:val="24"/>
          <w:highlight w:val="none"/>
        </w:rPr>
        <w:t>1、投标人技术标的最终得分为所有评委打分汇总后的算术平均值。</w:t>
      </w:r>
    </w:p>
    <w:p>
      <w:pPr>
        <w:pStyle w:val="2"/>
        <w:keepNext/>
        <w:keepLines/>
        <w:pageBreakBefore w:val="0"/>
        <w:widowControl w:val="0"/>
        <w:kinsoku/>
        <w:wordWrap/>
        <w:overflowPunct/>
        <w:topLinePunct w:val="0"/>
        <w:autoSpaceDE/>
        <w:autoSpaceDN/>
        <w:bidi w:val="0"/>
        <w:adjustRightInd/>
        <w:snapToGrid/>
        <w:spacing w:before="0" w:after="0" w:line="480" w:lineRule="auto"/>
        <w:jc w:val="left"/>
        <w:textAlignment w:val="auto"/>
        <w:rPr>
          <w:rFonts w:hint="eastAsia" w:ascii="Times New Roman" w:hAnsi="Times New Roman" w:cs="宋体"/>
          <w:sz w:val="24"/>
          <w:szCs w:val="24"/>
          <w:highlight w:val="none"/>
        </w:rPr>
      </w:pPr>
      <w:r>
        <w:rPr>
          <w:rFonts w:hint="eastAsia" w:ascii="Times New Roman" w:hAnsi="Times New Roman" w:cs="宋体"/>
          <w:sz w:val="24"/>
          <w:szCs w:val="24"/>
          <w:highlight w:val="none"/>
        </w:rPr>
        <w:t>2、技术标根据评分办法进行打分，技术标评标小组推荐至少3家技术得分80分（含）以上的投标人入围。技术入围投标人不足三家时，本次按废标处理，招标人有权根据招标采购管理流程重新组织招标。</w:t>
      </w:r>
    </w:p>
    <w:p>
      <w:pPr>
        <w:rPr>
          <w:rFonts w:hint="eastAsia" w:ascii="Times New Roman" w:hAnsi="Times New Roman" w:cs="宋体"/>
          <w:sz w:val="24"/>
          <w:szCs w:val="24"/>
          <w:highlight w:val="none"/>
        </w:rPr>
      </w:pPr>
      <w:r>
        <w:rPr>
          <w:rFonts w:hint="eastAsia" w:ascii="Times New Roman" w:hAnsi="Times New Roman" w:cs="宋体"/>
          <w:sz w:val="24"/>
          <w:szCs w:val="24"/>
          <w:highlight w:val="none"/>
        </w:rPr>
        <w:br w:type="page"/>
      </w:r>
    </w:p>
    <w:bookmarkEnd w:id="19"/>
    <w:p>
      <w:pPr>
        <w:pStyle w:val="2"/>
        <w:keepNext/>
        <w:keepLines/>
        <w:pageBreakBefore w:val="0"/>
        <w:widowControl w:val="0"/>
        <w:kinsoku/>
        <w:wordWrap/>
        <w:overflowPunct/>
        <w:topLinePunct w:val="0"/>
        <w:autoSpaceDE/>
        <w:autoSpaceDN/>
        <w:bidi w:val="0"/>
        <w:adjustRightInd/>
        <w:snapToGrid/>
        <w:spacing w:before="0" w:after="0" w:line="480" w:lineRule="auto"/>
        <w:jc w:val="center"/>
        <w:textAlignment w:val="auto"/>
        <w:rPr>
          <w:rFonts w:ascii="Times New Roman" w:hAnsi="Times New Roman" w:cs="宋体"/>
          <w:sz w:val="36"/>
          <w:szCs w:val="36"/>
          <w:highlight w:val="none"/>
        </w:rPr>
      </w:pPr>
      <w:r>
        <w:rPr>
          <w:rFonts w:hint="eastAsia" w:ascii="Times New Roman" w:hAnsi="Times New Roman" w:cs="宋体"/>
          <w:sz w:val="36"/>
          <w:szCs w:val="36"/>
          <w:highlight w:val="none"/>
        </w:rPr>
        <w:t>第二章 技术协议书</w:t>
      </w:r>
    </w:p>
    <w:p>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一、项目背景</w:t>
      </w:r>
    </w:p>
    <w:p>
      <w:pPr>
        <w:spacing w:line="360" w:lineRule="auto"/>
        <w:ind w:firstLine="364" w:firstLineChars="152"/>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新能源产品试验检测中心加氢站位于济南市莱芜区</w:t>
      </w:r>
      <w:r>
        <w:rPr>
          <w:rFonts w:hint="eastAsia" w:ascii="宋体" w:hAnsi="宋体" w:eastAsia="宋体" w:cs="宋体"/>
          <w:sz w:val="24"/>
          <w:szCs w:val="24"/>
          <w:highlight w:val="none"/>
        </w:rPr>
        <w:t>莱城大道1188号，为保障加氢站日常安全运营，需对加氢站设备进行专业化运维管理，通过专业运维服务，专业维修工程师日常维护巡检及应急故障处理，保障加氢站的安全稳定运行，降低设备故障率，提升运行效率。</w:t>
      </w:r>
    </w:p>
    <w:p>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二、服务内容</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1、投标人需制定专业化的运维管理方案及运维工作计划，保障加氢站的安全稳定运行。</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、投标人需针对本运维项目制定切实可行、科学的运维管理方案，包括并不仅限于：</w:t>
      </w:r>
      <w:r>
        <w:rPr>
          <w:rFonts w:hint="eastAsia" w:ascii="宋体" w:hAnsi="宋体" w:eastAsia="宋体" w:cs="宋体"/>
          <w:b/>
          <w:bCs/>
          <w:sz w:val="24"/>
          <w:szCs w:val="24"/>
          <w:highlight w:val="none"/>
        </w:rPr>
        <w:t>运维管理制度、安全管理制度、运维管理值班基本要求、运维管理值班工作票、运维管理具体内容、运维管理方式</w:t>
      </w:r>
      <w:r>
        <w:rPr>
          <w:rFonts w:hint="eastAsia" w:ascii="宋体" w:hAnsi="宋体" w:eastAsia="宋体" w:cs="宋体"/>
          <w:sz w:val="24"/>
          <w:szCs w:val="24"/>
          <w:highlight w:val="none"/>
        </w:rPr>
        <w:t>。</w:t>
      </w:r>
    </w:p>
    <w:p>
      <w:pPr>
        <w:pStyle w:val="11"/>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、投标人在运维管理期间必须进行定期设备故障隐患排查、设备故障维修、设备安全问题处理、判断设备功能及建设是否合理、周边安全规划等相关工作。</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4、投标人负责加氢站 12 小时常规运维及安全管理工作（周一至周日每天早 8:00-晚 20:00）。其他时间（晚20:00-第二天早8:00）需安排</w:t>
      </w:r>
      <w:r>
        <w:rPr>
          <w:rFonts w:hint="eastAsia" w:ascii="宋体" w:hAnsi="宋体" w:cs="宋体"/>
          <w:kern w:val="2"/>
          <w:sz w:val="24"/>
          <w:szCs w:val="24"/>
          <w:highlight w:val="none"/>
          <w:lang w:val="en-US" w:eastAsia="zh-CN" w:bidi="ar-SA"/>
        </w:rPr>
        <w:t>1</w:t>
      </w:r>
      <w:r>
        <w:rPr>
          <w:rFonts w:hint="eastAsia" w:ascii="宋体" w:hAnsi="宋体" w:eastAsia="宋体" w:cs="宋体"/>
          <w:kern w:val="2"/>
          <w:sz w:val="24"/>
          <w:szCs w:val="24"/>
          <w:highlight w:val="none"/>
          <w:lang w:val="en-US" w:eastAsia="zh-CN" w:bidi="ar-SA"/>
        </w:rPr>
        <w:t>名加氢人员在站内值班，以满足可能的夜间用气需求，并且随时准备响应紧急情况。值班人员应做好值班记录，详细记录夜间设备运行情况及任何异常事件。</w:t>
      </w:r>
    </w:p>
    <w:p>
      <w:pPr>
        <w:spacing w:line="360" w:lineRule="auto"/>
        <w:ind w:firstLine="564"/>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5、</w:t>
      </w:r>
      <w:r>
        <w:rPr>
          <w:rFonts w:hint="eastAsia" w:ascii="宋体" w:hAnsi="宋体" w:eastAsia="宋体" w:cs="宋体"/>
          <w:kern w:val="2"/>
          <w:sz w:val="24"/>
          <w:szCs w:val="24"/>
          <w:highlight w:val="none"/>
          <w:lang w:val="en-US" w:eastAsia="zh-CN" w:bidi="ar-SA"/>
        </w:rPr>
        <w:t>投标人负责加氢站的运行操作、目视化管理、日常点巡检、卫生清理、设备及管道的维护保养测试、仪表拆装、风险排查、故障处理、故障抢修、应急演练、安全整改及招标人要求的相关维修类工作等日常运维工作。</w:t>
      </w:r>
    </w:p>
    <w:p>
      <w:pPr>
        <w:spacing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6</w:t>
      </w:r>
      <w:r>
        <w:rPr>
          <w:rFonts w:hint="eastAsia" w:ascii="宋体" w:hAnsi="宋体" w:eastAsia="宋体" w:cs="宋体"/>
          <w:kern w:val="2"/>
          <w:sz w:val="24"/>
          <w:szCs w:val="24"/>
          <w:highlight w:val="none"/>
          <w:lang w:val="en-US" w:eastAsia="zh-CN" w:bidi="ar-SA"/>
        </w:rPr>
        <w:t>、运维服务期间，投标人需对加氢站各类设备进行系统功能、性能及安全状况排查，对期间发现的问题隐患及时整改，对发现的可提升项目向招标人提供改造方案和优化建议。</w:t>
      </w:r>
    </w:p>
    <w:p>
      <w:pPr>
        <w:spacing w:line="360" w:lineRule="auto"/>
        <w:ind w:firstLine="561"/>
        <w:rPr>
          <w:rFonts w:hint="eastAsia" w:ascii="宋体" w:hAnsi="宋体" w:eastAsia="宋体" w:cs="宋体"/>
          <w:sz w:val="24"/>
          <w:szCs w:val="24"/>
          <w:highlight w:val="none"/>
        </w:rPr>
      </w:pPr>
      <w:r>
        <w:rPr>
          <w:rFonts w:hint="eastAsia" w:ascii="宋体" w:hAnsi="宋体" w:cs="宋体"/>
          <w:kern w:val="2"/>
          <w:sz w:val="24"/>
          <w:szCs w:val="24"/>
          <w:highlight w:val="none"/>
          <w:lang w:val="en-US" w:eastAsia="zh-CN" w:bidi="ar-SA"/>
        </w:rPr>
        <w:t>7</w:t>
      </w:r>
      <w:r>
        <w:rPr>
          <w:rFonts w:hint="eastAsia" w:ascii="宋体" w:hAnsi="宋体" w:eastAsia="宋体" w:cs="宋体"/>
          <w:kern w:val="2"/>
          <w:sz w:val="24"/>
          <w:szCs w:val="24"/>
          <w:highlight w:val="none"/>
          <w:lang w:val="en-US" w:eastAsia="zh-CN" w:bidi="ar-SA"/>
        </w:rPr>
        <w:t>、投标人需依据</w:t>
      </w:r>
      <w:r>
        <w:rPr>
          <w:rFonts w:hint="eastAsia" w:ascii="宋体" w:hAnsi="宋体" w:eastAsia="宋体" w:cs="宋体"/>
          <w:sz w:val="24"/>
          <w:szCs w:val="24"/>
          <w:highlight w:val="none"/>
        </w:rPr>
        <w:t>设备明细清单（包括但不仅限于），详细阐述对设备的运维管理内容及范围。</w:t>
      </w:r>
    </w:p>
    <w:p>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三、服务要求</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1、投标人必须独立参加投标，不得以任何形式授权他人或组织联合体形式参加投标。投标人中标后，不得以任何形式进行转包和分包。</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2、熟悉现场各系统、各类设备设施的工作原理、安全使用要求，遵守中国重汽集团各项安全管理制度和操作规程，认真做好各系统的运行操作、维护保养、巡视检查，及时有效的排除各类故障和安全隐患，确保各系统安全稳定运行。</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3、投标人应掌握《固定式压力容器安全技术监察规程》 TSG 21-2016、《加氢站技术规范》 GB 50516-2010、《加氢站安全技术规范》 GB/T 34584-2017 等标准规范，须达到国家现行氢站相关标准规范要求，按相关检修和运行规程标准进行运维，并对服务工作质量负责，确保加氢站系统安全运行。</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4、认真做</w:t>
      </w:r>
      <w:r>
        <w:rPr>
          <w:rFonts w:hint="eastAsia" w:ascii="宋体" w:hAnsi="宋体" w:eastAsia="宋体" w:cs="宋体"/>
          <w:b/>
          <w:bCs/>
          <w:sz w:val="24"/>
          <w:szCs w:val="24"/>
          <w:highlight w:val="none"/>
        </w:rPr>
        <w:t>好值班运行记录、设备巡查记录、设备维修记录、设备检修维护保养记录</w:t>
      </w:r>
      <w:r>
        <w:rPr>
          <w:rFonts w:hint="eastAsia" w:ascii="宋体" w:hAnsi="宋体" w:eastAsia="宋体" w:cs="宋体"/>
          <w:sz w:val="24"/>
          <w:szCs w:val="24"/>
          <w:highlight w:val="none"/>
        </w:rPr>
        <w:t>等文档的记录和存档工作，严格落实安全的各项技术措施，每月需提交</w:t>
      </w:r>
      <w:r>
        <w:rPr>
          <w:rFonts w:hint="eastAsia" w:ascii="宋体" w:hAnsi="宋体" w:eastAsia="宋体" w:cs="宋体"/>
          <w:b/>
          <w:bCs/>
          <w:sz w:val="24"/>
          <w:szCs w:val="24"/>
          <w:highlight w:val="none"/>
        </w:rPr>
        <w:t>运维服务报告</w:t>
      </w:r>
      <w:r>
        <w:rPr>
          <w:rFonts w:hint="eastAsia" w:ascii="宋体" w:hAnsi="宋体" w:eastAsia="宋体" w:cs="宋体"/>
          <w:sz w:val="24"/>
          <w:szCs w:val="24"/>
          <w:highlight w:val="none"/>
        </w:rPr>
        <w:t>，包含每月的系统运行状态、维修、维护情况及数据分析、运维建议等，运维服务期满，出具</w:t>
      </w:r>
      <w:r>
        <w:rPr>
          <w:rFonts w:hint="eastAsia" w:ascii="宋体" w:hAnsi="宋体" w:eastAsia="宋体" w:cs="宋体"/>
          <w:b/>
          <w:bCs/>
          <w:sz w:val="24"/>
          <w:szCs w:val="24"/>
          <w:highlight w:val="none"/>
        </w:rPr>
        <w:t>年度运维总结报告</w:t>
      </w:r>
      <w:r>
        <w:rPr>
          <w:rFonts w:hint="eastAsia" w:ascii="宋体" w:hAnsi="宋体" w:eastAsia="宋体" w:cs="宋体"/>
          <w:sz w:val="24"/>
          <w:szCs w:val="24"/>
          <w:highlight w:val="none"/>
        </w:rPr>
        <w:t>。</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5、严格执行现场安全操作规程和应急演练，编制各项应急预案，并进行应急演练；参与制定设备设施的检修保养计划和备品备件计划。</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6、做好系统运行分析，制定合理的设备运行方案，提高设备利用率，降低运行成本。</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7、需建立设备登记簿和设备档案；做好系统运行、设备维护检修、检验试验等资料的归档管理工作。</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8、需做好业务理论学习和专业技术培训，熟悉和掌握各系统工作原理、安全操作规程和各项管理制度，定期组织业务理论和专业技术培训，不断提高现场运维人员的技术水平。</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9、中标人需在收到中标通知书7日内组建运维团队进驻现场，熟悉现场环境和各系统现状，</w:t>
      </w:r>
      <w:r>
        <w:rPr>
          <w:rFonts w:hint="eastAsia" w:ascii="宋体" w:hAnsi="宋体" w:eastAsia="宋体" w:cs="宋体"/>
          <w:sz w:val="24"/>
          <w:szCs w:val="24"/>
          <w:highlight w:val="none"/>
          <w:lang w:val="en-US" w:eastAsia="zh-CN"/>
        </w:rPr>
        <w:t>参与加氢站的调试试运验收等工作。</w:t>
      </w:r>
      <w:r>
        <w:rPr>
          <w:rFonts w:hint="eastAsia" w:ascii="宋体" w:hAnsi="宋体" w:eastAsia="宋体" w:cs="宋体"/>
          <w:sz w:val="24"/>
          <w:szCs w:val="24"/>
          <w:highlight w:val="none"/>
        </w:rPr>
        <w:t>所有人员必须持证上岗且必须现场经培训、考核，培训考试合格后方可上岗，投标人须做好与加氢站供货及建设单位的交接工作。</w:t>
      </w:r>
    </w:p>
    <w:p>
      <w:pPr>
        <w:pStyle w:val="16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10、根据现场设备的综合运行信息，优化设备的节能运行管理策略，在满足工艺和功能需求基础上，最大限度的降低设备的运行能耗。如设备</w:t>
      </w:r>
      <w:r>
        <w:rPr>
          <w:rFonts w:hint="eastAsia" w:ascii="宋体" w:hAnsi="宋体" w:eastAsia="宋体" w:cs="宋体"/>
          <w:sz w:val="24"/>
          <w:szCs w:val="24"/>
          <w:highlight w:val="none"/>
          <w:lang w:val="en-US" w:eastAsia="zh-CN"/>
        </w:rPr>
        <w:t>故障（含压缩机、制冷机等主要设备在内）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接线错误、设备丢失配置、程序丢失等，提交招标人</w:t>
      </w:r>
      <w:r>
        <w:rPr>
          <w:rFonts w:hint="eastAsia" w:ascii="宋体" w:hAnsi="宋体" w:eastAsia="宋体" w:cs="宋体"/>
          <w:sz w:val="24"/>
          <w:szCs w:val="24"/>
          <w:highlight w:val="none"/>
          <w:lang w:val="en-US" w:eastAsia="zh-CN"/>
        </w:rPr>
        <w:t>物料</w:t>
      </w:r>
      <w:r>
        <w:rPr>
          <w:rFonts w:hint="eastAsia" w:ascii="宋体" w:hAnsi="宋体" w:eastAsia="宋体" w:cs="宋体"/>
          <w:sz w:val="24"/>
          <w:szCs w:val="24"/>
          <w:highlight w:val="none"/>
        </w:rPr>
        <w:t>清单，</w:t>
      </w:r>
      <w:r>
        <w:rPr>
          <w:rFonts w:hint="eastAsia" w:ascii="宋体" w:hAnsi="宋体" w:eastAsia="宋体" w:cs="宋体"/>
          <w:sz w:val="24"/>
          <w:szCs w:val="24"/>
          <w:highlight w:val="none"/>
          <w:lang w:val="en-US" w:eastAsia="zh-CN"/>
        </w:rPr>
        <w:t>由</w:t>
      </w:r>
      <w:r>
        <w:rPr>
          <w:rFonts w:hint="eastAsia" w:ascii="宋体" w:hAnsi="宋体" w:eastAsia="宋体" w:cs="宋体"/>
          <w:sz w:val="24"/>
          <w:szCs w:val="24"/>
          <w:highlight w:val="none"/>
        </w:rPr>
        <w:t>招标</w:t>
      </w:r>
      <w:r>
        <w:rPr>
          <w:rFonts w:hint="eastAsia" w:ascii="宋体" w:hAnsi="宋体" w:eastAsia="宋体" w:cs="宋体"/>
          <w:sz w:val="24"/>
          <w:szCs w:val="24"/>
          <w:highlight w:val="none"/>
          <w:lang w:val="en-US" w:eastAsia="zh-CN"/>
        </w:rPr>
        <w:t>方组织，质保责任方负责采购到位、进行现场维修并恢复正常工作</w:t>
      </w:r>
      <w:r>
        <w:rPr>
          <w:rFonts w:hint="eastAsia" w:ascii="宋体" w:hAnsi="宋体" w:eastAsia="宋体" w:cs="宋体"/>
          <w:sz w:val="24"/>
          <w:szCs w:val="24"/>
          <w:highlight w:val="none"/>
        </w:rPr>
        <w:t>。若需完善或者新增系统性功能，价格双方另行协商。</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11、投标人</w:t>
      </w:r>
      <w:r>
        <w:rPr>
          <w:rFonts w:hint="eastAsia" w:ascii="宋体" w:hAnsi="宋体" w:cs="宋体"/>
          <w:sz w:val="24"/>
          <w:szCs w:val="24"/>
          <w:highlight w:val="none"/>
          <w:lang w:val="en-US" w:eastAsia="zh-CN"/>
        </w:rPr>
        <w:t>需配合</w:t>
      </w:r>
      <w:r>
        <w:rPr>
          <w:rFonts w:hint="eastAsia" w:ascii="宋体" w:hAnsi="宋体" w:eastAsia="宋体" w:cs="宋体"/>
          <w:sz w:val="24"/>
          <w:szCs w:val="24"/>
          <w:highlight w:val="none"/>
        </w:rPr>
        <w:t>组建专业化驻场运维团队，现场提供基础</w:t>
      </w:r>
      <w:r>
        <w:rPr>
          <w:rFonts w:hint="eastAsia" w:ascii="宋体" w:hAnsi="宋体" w:eastAsia="宋体" w:cs="宋体"/>
          <w:b/>
          <w:bCs/>
          <w:sz w:val="24"/>
          <w:szCs w:val="24"/>
          <w:highlight w:val="none"/>
        </w:rPr>
        <w:t>设施7*12小时</w:t>
      </w:r>
      <w:r>
        <w:rPr>
          <w:rFonts w:hint="eastAsia" w:ascii="宋体" w:hAnsi="宋体" w:eastAsia="宋体" w:cs="宋体"/>
          <w:sz w:val="24"/>
          <w:szCs w:val="24"/>
          <w:highlight w:val="none"/>
        </w:rPr>
        <w:t>运行维护服务</w:t>
      </w:r>
      <w:r>
        <w:rPr>
          <w:rFonts w:hint="eastAsia" w:ascii="宋体" w:hAnsi="宋体" w:eastAsia="宋体" w:cs="宋体"/>
          <w:sz w:val="24"/>
          <w:szCs w:val="24"/>
          <w:highlight w:val="none"/>
          <w:lang w:val="en-US" w:eastAsia="zh-CN"/>
        </w:rPr>
        <w:t>及</w:t>
      </w:r>
      <w:r>
        <w:rPr>
          <w:rFonts w:hint="eastAsia" w:ascii="宋体" w:hAnsi="宋体" w:eastAsia="宋体" w:cs="宋体"/>
          <w:b/>
          <w:bCs/>
          <w:sz w:val="24"/>
          <w:szCs w:val="24"/>
          <w:highlight w:val="none"/>
          <w:lang w:val="en-US" w:eastAsia="zh-CN"/>
        </w:rPr>
        <w:t>24小时值班</w:t>
      </w:r>
      <w:r>
        <w:rPr>
          <w:rFonts w:hint="eastAsia" w:ascii="宋体" w:hAnsi="宋体" w:eastAsia="宋体" w:cs="宋体"/>
          <w:sz w:val="24"/>
          <w:szCs w:val="24"/>
          <w:highlight w:val="none"/>
          <w:lang w:val="en-US" w:eastAsia="zh-CN"/>
        </w:rPr>
        <w:t>服务</w:t>
      </w:r>
      <w:r>
        <w:rPr>
          <w:rFonts w:hint="eastAsia" w:ascii="宋体" w:hAnsi="宋体" w:eastAsia="宋体" w:cs="宋体"/>
          <w:sz w:val="24"/>
          <w:szCs w:val="24"/>
          <w:highlight w:val="none"/>
        </w:rPr>
        <w:t>，实时监控各系统运行状态，处理现场应急抢修，定期维护保养设备设施，驻场运维人员应在项目</w:t>
      </w:r>
      <w:r>
        <w:rPr>
          <w:rFonts w:hint="eastAsia" w:ascii="宋体" w:hAnsi="宋体" w:eastAsia="宋体" w:cs="宋体"/>
          <w:b/>
          <w:bCs/>
          <w:sz w:val="24"/>
          <w:szCs w:val="24"/>
          <w:highlight w:val="none"/>
        </w:rPr>
        <w:t>周边</w:t>
      </w:r>
      <w:r>
        <w:rPr>
          <w:rFonts w:hint="eastAsia" w:ascii="宋体" w:hAnsi="宋体" w:cs="宋体"/>
          <w:b/>
          <w:bCs/>
          <w:sz w:val="24"/>
          <w:szCs w:val="24"/>
          <w:highlight w:val="none"/>
          <w:lang w:val="en-US" w:eastAsia="zh-CN"/>
        </w:rPr>
        <w:t>3</w:t>
      </w:r>
      <w:r>
        <w:rPr>
          <w:rFonts w:hint="eastAsia" w:ascii="宋体" w:hAnsi="宋体" w:eastAsia="宋体" w:cs="宋体"/>
          <w:b/>
          <w:bCs/>
          <w:sz w:val="24"/>
          <w:szCs w:val="24"/>
          <w:highlight w:val="none"/>
        </w:rPr>
        <w:t>公里内设置员工宿舍</w:t>
      </w:r>
      <w:r>
        <w:rPr>
          <w:rFonts w:hint="eastAsia" w:ascii="宋体" w:hAnsi="宋体" w:eastAsia="宋体" w:cs="宋体"/>
          <w:sz w:val="24"/>
          <w:szCs w:val="24"/>
          <w:highlight w:val="none"/>
        </w:rPr>
        <w:t>，保证维修人员急修15分钟内到达现场。</w:t>
      </w:r>
    </w:p>
    <w:p>
      <w:pPr>
        <w:pStyle w:val="167"/>
        <w:spacing w:line="360" w:lineRule="auto"/>
        <w:ind w:firstLine="48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r>
        <w:rPr>
          <w:rFonts w:hint="eastAsia" w:ascii="宋体" w:hAnsi="宋体" w:cs="宋体"/>
          <w:kern w:val="2"/>
          <w:sz w:val="24"/>
          <w:szCs w:val="24"/>
          <w:highlight w:val="none"/>
          <w:lang w:val="en-US" w:eastAsia="zh-CN" w:bidi="ar-SA"/>
        </w:rPr>
        <w:t>2</w:t>
      </w:r>
      <w:r>
        <w:rPr>
          <w:rFonts w:hint="eastAsia" w:ascii="宋体" w:hAnsi="宋体" w:eastAsia="宋体" w:cs="宋体"/>
          <w:kern w:val="2"/>
          <w:sz w:val="24"/>
          <w:szCs w:val="24"/>
          <w:highlight w:val="none"/>
          <w:lang w:val="en-US" w:eastAsia="zh-CN" w:bidi="ar-SA"/>
        </w:rPr>
        <w:t>、投标人派驻的值守人员应</w:t>
      </w:r>
      <w:r>
        <w:rPr>
          <w:rFonts w:hint="eastAsia" w:ascii="宋体" w:hAnsi="宋体" w:cs="宋体"/>
          <w:b/>
          <w:bCs/>
          <w:kern w:val="2"/>
          <w:sz w:val="24"/>
          <w:szCs w:val="24"/>
          <w:highlight w:val="none"/>
          <w:lang w:val="en-US" w:eastAsia="zh-CN" w:bidi="ar-SA"/>
        </w:rPr>
        <w:t>24</w:t>
      </w:r>
      <w:r>
        <w:rPr>
          <w:rFonts w:hint="eastAsia" w:ascii="宋体" w:hAnsi="宋体" w:eastAsia="宋体" w:cs="宋体"/>
          <w:b/>
          <w:bCs/>
          <w:kern w:val="2"/>
          <w:sz w:val="24"/>
          <w:szCs w:val="24"/>
          <w:highlight w:val="none"/>
          <w:lang w:val="en-US" w:eastAsia="zh-CN" w:bidi="ar-SA"/>
        </w:rPr>
        <w:t>小时不间断</w:t>
      </w:r>
      <w:r>
        <w:rPr>
          <w:rFonts w:hint="eastAsia" w:ascii="宋体" w:hAnsi="宋体" w:eastAsia="宋体" w:cs="宋体"/>
          <w:kern w:val="2"/>
          <w:sz w:val="24"/>
          <w:szCs w:val="24"/>
          <w:highlight w:val="none"/>
          <w:lang w:val="en-US" w:eastAsia="zh-CN" w:bidi="ar-SA"/>
        </w:rPr>
        <w:t>监督氢站和周边环境，务必保证加氢站安全，保证加氢站内无违章作业、周边无隐藏危险源，发现安全隐患应及时消除并报告招标人。</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对突发故障，投标人应做到半小时之内响应，一般故障2小时内解决，复杂故障（需更换配件）8小时内解决，重大故障视现场设备故障具体情况，在最短时间内解决并提供重大故障处理报告，如故障复杂人手不够应在24小时内增派人手到现场及时维修，维修过程应由投标人记录于</w:t>
      </w:r>
      <w:r>
        <w:rPr>
          <w:rFonts w:hint="eastAsia" w:ascii="宋体" w:hAnsi="宋体" w:eastAsia="宋体" w:cs="宋体"/>
          <w:b/>
          <w:bCs/>
          <w:sz w:val="24"/>
          <w:szCs w:val="24"/>
          <w:highlight w:val="none"/>
        </w:rPr>
        <w:t>《加氢站维修记录》。</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、投标人运维管理团队每季度书面性向招标人汇报运维管理期间的工作内容、设备运行情况、故障处理</w:t>
      </w:r>
      <w:r>
        <w:rPr>
          <w:rFonts w:hint="eastAsia" w:ascii="宋体" w:hAnsi="宋体" w:eastAsia="宋体" w:cs="宋体"/>
          <w:sz w:val="24"/>
          <w:szCs w:val="24"/>
          <w:highlight w:val="none"/>
          <w:lang w:val="en-US" w:eastAsia="zh-CN"/>
        </w:rPr>
        <w:t>情况</w:t>
      </w:r>
      <w:r>
        <w:rPr>
          <w:rFonts w:hint="eastAsia" w:ascii="宋体" w:hAnsi="宋体" w:eastAsia="宋体" w:cs="宋体"/>
          <w:sz w:val="24"/>
          <w:szCs w:val="24"/>
          <w:highlight w:val="none"/>
        </w:rPr>
        <w:t>、巡检维护发现的隐患及解决措施，并形成</w:t>
      </w:r>
      <w:r>
        <w:rPr>
          <w:rFonts w:hint="eastAsia" w:ascii="宋体" w:hAnsi="宋体" w:eastAsia="宋体" w:cs="宋体"/>
          <w:b/>
          <w:bCs/>
          <w:sz w:val="24"/>
          <w:szCs w:val="24"/>
          <w:highlight w:val="none"/>
        </w:rPr>
        <w:t>报告存档。</w:t>
      </w:r>
    </w:p>
    <w:p>
      <w:pPr>
        <w:keepNext/>
        <w:keepLines/>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四、团队</w:t>
      </w:r>
      <w:r>
        <w:rPr>
          <w:rFonts w:hint="eastAsia" w:ascii="宋体" w:hAnsi="宋体" w:cs="宋体"/>
          <w:b/>
          <w:bCs/>
          <w:sz w:val="24"/>
          <w:szCs w:val="24"/>
          <w:highlight w:val="none"/>
          <w:lang w:val="en-US" w:eastAsia="zh-CN"/>
        </w:rPr>
        <w:t>人员配置</w:t>
      </w:r>
      <w:r>
        <w:rPr>
          <w:rFonts w:hint="eastAsia" w:ascii="宋体" w:hAnsi="宋体" w:eastAsia="宋体" w:cs="宋体"/>
          <w:b/>
          <w:bCs/>
          <w:sz w:val="24"/>
          <w:szCs w:val="24"/>
          <w:highlight w:val="none"/>
        </w:rPr>
        <w:t>要求</w:t>
      </w:r>
    </w:p>
    <w:p>
      <w:pPr>
        <w:pageBreakBefore w:val="0"/>
        <w:widowControl w:val="0"/>
        <w:kinsoku/>
        <w:wordWrap/>
        <w:overflowPunct/>
        <w:topLinePunct w:val="0"/>
        <w:autoSpaceDE/>
        <w:autoSpaceDN/>
        <w:bidi w:val="0"/>
        <w:adjustRightInd/>
        <w:snapToGrid/>
        <w:spacing w:line="360" w:lineRule="auto"/>
        <w:ind w:firstLine="564"/>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1、投标人需针对本项目派遣有经验、负责任的项目经理及专业工程师参与本项目工作，制定切实有效的运维管理方案。</w:t>
      </w:r>
    </w:p>
    <w:p>
      <w:pPr>
        <w:pageBreakBefore w:val="0"/>
        <w:widowControl w:val="0"/>
        <w:kinsoku/>
        <w:wordWrap/>
        <w:overflowPunct/>
        <w:topLinePunct w:val="0"/>
        <w:autoSpaceDE/>
        <w:autoSpaceDN/>
        <w:bidi w:val="0"/>
        <w:adjustRightInd/>
        <w:snapToGrid/>
        <w:spacing w:line="360" w:lineRule="auto"/>
        <w:ind w:firstLine="564"/>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运维服务团队人员</w:t>
      </w:r>
      <w:r>
        <w:rPr>
          <w:rFonts w:hint="eastAsia" w:ascii="宋体" w:hAnsi="宋体" w:eastAsia="宋体" w:cs="宋体"/>
          <w:sz w:val="24"/>
          <w:szCs w:val="24"/>
          <w:highlight w:val="none"/>
        </w:rPr>
        <w:t>数量要求：</w:t>
      </w:r>
    </w:p>
    <w:p>
      <w:pPr>
        <w:spacing w:line="360" w:lineRule="auto"/>
        <w:ind w:firstLine="564"/>
        <w:rPr>
          <w:rFonts w:hint="eastAsia" w:ascii="宋体" w:hAnsi="宋体" w:eastAsia="宋体" w:cs="宋体"/>
          <w:sz w:val="24"/>
          <w:szCs w:val="24"/>
          <w:highlight w:val="none"/>
        </w:rPr>
      </w:pPr>
      <w:bookmarkStart w:id="20" w:name="_Hlk129529760"/>
      <w:r>
        <w:rPr>
          <w:rFonts w:hint="eastAsia" w:ascii="宋体" w:hAnsi="宋体" w:eastAsia="宋体" w:cs="宋体"/>
          <w:sz w:val="24"/>
          <w:szCs w:val="24"/>
          <w:highlight w:val="none"/>
        </w:rPr>
        <w:t>投标人需按照项目当地市场监督管理部门办理加氢站充装许可要求的人员配置</w:t>
      </w:r>
      <w:r>
        <w:rPr>
          <w:rFonts w:hint="eastAsia" w:ascii="宋体" w:hAnsi="宋体" w:eastAsia="宋体" w:cs="宋体"/>
          <w:sz w:val="24"/>
          <w:szCs w:val="24"/>
          <w:highlight w:val="none"/>
          <w:lang w:val="en-US" w:eastAsia="zh-CN"/>
        </w:rPr>
        <w:t>组建运维团队</w:t>
      </w:r>
      <w:r>
        <w:rPr>
          <w:rFonts w:hint="eastAsia" w:ascii="宋体" w:hAnsi="宋体" w:eastAsia="宋体" w:cs="宋体"/>
          <w:sz w:val="24"/>
          <w:szCs w:val="24"/>
          <w:highlight w:val="none"/>
        </w:rPr>
        <w:t>，配合</w:t>
      </w:r>
      <w:r>
        <w:rPr>
          <w:rFonts w:hint="eastAsia" w:ascii="宋体" w:hAnsi="宋体" w:eastAsia="宋体" w:cs="宋体"/>
          <w:sz w:val="24"/>
          <w:szCs w:val="24"/>
          <w:highlight w:val="none"/>
          <w:lang w:val="en-US" w:eastAsia="zh-CN"/>
        </w:rPr>
        <w:t>加氢站建设方</w:t>
      </w:r>
      <w:r>
        <w:rPr>
          <w:rFonts w:hint="eastAsia" w:ascii="宋体" w:hAnsi="宋体" w:eastAsia="宋体" w:cs="宋体"/>
          <w:sz w:val="24"/>
          <w:szCs w:val="24"/>
          <w:highlight w:val="none"/>
        </w:rPr>
        <w:t>完成加氢站充装许可的办理。根据《特种设备生产和充装单位许可规则》规定，需配置具有资质的站长1人，技术负责人1人，专职安全管理员1人，充装/检查人员至少3人，化验人员1人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以政府部门最新要求为准</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其中站长、技术负责人和化验员由招标方内部员工担任，投标方提供</w:t>
      </w:r>
      <w:r>
        <w:rPr>
          <w:rFonts w:hint="eastAsia" w:ascii="宋体" w:hAnsi="宋体" w:eastAsia="宋体" w:cs="宋体"/>
          <w:sz w:val="24"/>
          <w:szCs w:val="24"/>
          <w:highlight w:val="none"/>
        </w:rPr>
        <w:t>专职安全管理员</w:t>
      </w:r>
      <w:r>
        <w:rPr>
          <w:rFonts w:hint="eastAsia" w:ascii="宋体" w:hAnsi="宋体" w:cs="宋体"/>
          <w:sz w:val="24"/>
          <w:szCs w:val="24"/>
          <w:highlight w:val="none"/>
          <w:lang w:val="en-US" w:eastAsia="zh-CN"/>
        </w:rPr>
        <w:t>和充装人员/检查人员，共同组成运维团队</w:t>
      </w:r>
      <w:r>
        <w:rPr>
          <w:rFonts w:hint="eastAsia" w:ascii="宋体" w:hAnsi="宋体" w:eastAsia="宋体" w:cs="宋体"/>
          <w:sz w:val="24"/>
          <w:szCs w:val="24"/>
          <w:highlight w:val="none"/>
        </w:rPr>
        <w:t>。</w:t>
      </w:r>
    </w:p>
    <w:bookmarkEnd w:id="20"/>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、运维管理团队人员资格要求表（</w:t>
      </w:r>
      <w:r>
        <w:rPr>
          <w:rFonts w:hint="eastAsia" w:ascii="宋体" w:hAnsi="宋体" w:eastAsia="宋体" w:cs="宋体"/>
          <w:b/>
          <w:bCs/>
          <w:sz w:val="24"/>
          <w:szCs w:val="24"/>
          <w:highlight w:val="none"/>
        </w:rPr>
        <w:t>*需满足加氢站充装许可资质要求</w:t>
      </w:r>
      <w:r>
        <w:rPr>
          <w:rFonts w:hint="eastAsia" w:ascii="宋体" w:hAnsi="宋体" w:eastAsia="宋体" w:cs="宋体"/>
          <w:sz w:val="24"/>
          <w:szCs w:val="24"/>
          <w:highlight w:val="none"/>
        </w:rPr>
        <w:t>）</w:t>
      </w:r>
    </w:p>
    <w:tbl>
      <w:tblPr>
        <w:tblStyle w:val="33"/>
        <w:tblW w:w="91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6"/>
        <w:gridCol w:w="1900"/>
        <w:gridCol w:w="1203"/>
        <w:gridCol w:w="4559"/>
        <w:gridCol w:w="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1900"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岗位名称</w:t>
            </w:r>
          </w:p>
        </w:tc>
        <w:tc>
          <w:tcPr>
            <w:tcW w:w="1203"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人员数量</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人员条件</w:t>
            </w:r>
          </w:p>
        </w:tc>
        <w:tc>
          <w:tcPr>
            <w:tcW w:w="75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900"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站长</w:t>
            </w:r>
          </w:p>
        </w:tc>
        <w:tc>
          <w:tcPr>
            <w:tcW w:w="1203" w:type="dxa"/>
            <w:noWrap w:val="0"/>
            <w:vAlign w:val="center"/>
          </w:tcPr>
          <w:p>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满足加氢站充装许可资质要求</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900" w:type="dxa"/>
            <w:noWrap w:val="0"/>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技术负责人</w:t>
            </w:r>
          </w:p>
        </w:tc>
        <w:tc>
          <w:tcPr>
            <w:tcW w:w="1203" w:type="dxa"/>
            <w:noWrap w:val="0"/>
            <w:vAlign w:val="center"/>
          </w:tcPr>
          <w:p>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专科及以上学历 </w:t>
            </w:r>
          </w:p>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工程类中级及以上职称</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900" w:type="dxa"/>
            <w:noWrap w:val="0"/>
            <w:vAlign w:val="center"/>
          </w:tcPr>
          <w:p>
            <w:pPr>
              <w:adjustRightInd w:val="0"/>
              <w:snapToGrid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专职安全管理员</w:t>
            </w:r>
          </w:p>
        </w:tc>
        <w:tc>
          <w:tcPr>
            <w:tcW w:w="1203" w:type="dxa"/>
            <w:noWrap w:val="0"/>
            <w:vAlign w:val="center"/>
          </w:tcPr>
          <w:p>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专科</w:t>
            </w:r>
            <w:r>
              <w:rPr>
                <w:rFonts w:hint="eastAsia" w:ascii="宋体" w:hAnsi="宋体" w:eastAsia="宋体" w:cs="宋体"/>
                <w:sz w:val="24"/>
                <w:szCs w:val="24"/>
                <w:highlight w:val="none"/>
              </w:rPr>
              <w:t>及以上学历</w:t>
            </w:r>
          </w:p>
          <w:p>
            <w:pPr>
              <w:pStyle w:val="32"/>
              <w:ind w:left="0" w:leftChars="0"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须取得特种设备安全管理人员资格（A证）</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900" w:type="dxa"/>
            <w:noWrap w:val="0"/>
            <w:vAlign w:val="center"/>
          </w:tcPr>
          <w:p>
            <w:pPr>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w:t>
            </w:r>
          </w:p>
        </w:tc>
        <w:tc>
          <w:tcPr>
            <w:tcW w:w="1203"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3人</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专科</w:t>
            </w:r>
            <w:r>
              <w:rPr>
                <w:rFonts w:hint="eastAsia" w:ascii="宋体" w:hAnsi="宋体" w:eastAsia="宋体" w:cs="宋体"/>
                <w:sz w:val="24"/>
                <w:szCs w:val="24"/>
                <w:highlight w:val="none"/>
              </w:rPr>
              <w:t>及以上学历</w:t>
            </w:r>
          </w:p>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须取得有气瓶充装作业人员资格（P证）</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900" w:type="dxa"/>
            <w:noWrap w:val="0"/>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化验人员</w:t>
            </w:r>
          </w:p>
        </w:tc>
        <w:tc>
          <w:tcPr>
            <w:tcW w:w="1203" w:type="dxa"/>
            <w:noWrap w:val="0"/>
            <w:vAlign w:val="center"/>
          </w:tcPr>
          <w:p>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化工类专科及以上学历</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bl>
    <w:p>
      <w:pPr>
        <w:spacing w:line="360" w:lineRule="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备注：以上项目团队人员数量为最低要求，且是专门针对本项目配备的，未经招标人允许，项目团队人员不得随意变动或参与其他项目工作。</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、投标人所提供运维管理团队必须为全日制专科以上学历</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专职安全管理员</w:t>
      </w:r>
      <w:r>
        <w:rPr>
          <w:rFonts w:hint="eastAsia" w:ascii="宋体" w:hAnsi="宋体" w:cs="宋体"/>
          <w:sz w:val="24"/>
          <w:szCs w:val="24"/>
          <w:highlight w:val="none"/>
          <w:lang w:val="en-US" w:eastAsia="zh-CN"/>
        </w:rPr>
        <w:t>和</w:t>
      </w: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人员等常驻运维人员年龄应在40周岁以下。</w:t>
      </w:r>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、投标人派遣的驻场人员（专职安全管理员</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w:t>
      </w:r>
      <w:r>
        <w:rPr>
          <w:rFonts w:hint="eastAsia" w:ascii="宋体" w:hAnsi="宋体" w:eastAsia="宋体" w:cs="宋体"/>
          <w:sz w:val="24"/>
          <w:szCs w:val="24"/>
          <w:highlight w:val="none"/>
        </w:rPr>
        <w:t>）必须为投标人正式员工，必须与投标人公司签订劳动合同，并保证固定的2-3人进行轮班，以防派驻不熟悉现场的运维人员影响加氢站安全及运维效率</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驻场人员需有</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名</w:t>
      </w:r>
      <w:r>
        <w:rPr>
          <w:rFonts w:hint="eastAsia" w:ascii="宋体" w:hAnsi="宋体" w:cs="宋体"/>
          <w:sz w:val="24"/>
          <w:szCs w:val="24"/>
          <w:highlight w:val="none"/>
          <w:lang w:val="en-US" w:eastAsia="zh-CN"/>
        </w:rPr>
        <w:t>现场</w:t>
      </w:r>
      <w:r>
        <w:rPr>
          <w:rFonts w:hint="eastAsia" w:ascii="宋体" w:hAnsi="宋体" w:eastAsia="宋体" w:cs="宋体"/>
          <w:sz w:val="24"/>
          <w:szCs w:val="24"/>
          <w:highlight w:val="none"/>
          <w:lang w:val="en-US" w:eastAsia="zh-CN"/>
        </w:rPr>
        <w:t>负责人，对接加氢站运维服务</w:t>
      </w:r>
      <w:r>
        <w:rPr>
          <w:rFonts w:hint="eastAsia" w:ascii="宋体" w:hAnsi="宋体" w:cs="宋体"/>
          <w:sz w:val="24"/>
          <w:szCs w:val="24"/>
          <w:highlight w:val="none"/>
          <w:lang w:val="en-US" w:eastAsia="zh-CN"/>
        </w:rPr>
        <w:t>管理</w:t>
      </w:r>
      <w:r>
        <w:rPr>
          <w:rFonts w:hint="eastAsia" w:ascii="宋体" w:hAnsi="宋体" w:eastAsia="宋体" w:cs="宋体"/>
          <w:sz w:val="24"/>
          <w:szCs w:val="24"/>
          <w:highlight w:val="none"/>
          <w:lang w:val="en-US" w:eastAsia="zh-CN"/>
        </w:rPr>
        <w:t>事项。</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、项目运维管理团队如发生人员变动，需提前两周书面性向招标人汇报，并需得到招标人的同意才可进行人员变动。</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、投标人需配置加氢站服务电话，保证现场值守期间必须至少有一人在加氢站且电话畅通。</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、现场运维人员必须穿戴统一，注重个人卫生。</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需配置电脑及打印机及其他办公物品，满足现场工作需要</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若有需求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p>
      <w:pPr>
        <w:keepNext/>
        <w:keepLines/>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五、服务工器具要求</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投标人需针对本项目加氢站以及日常运维工作需求，配置相应的工器具，以满足现场工作的需要，服务期间现场配置的工器具放置于本项目现场，以备项目随时应急抢修维护等使用，所有权归</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所有，服务期满后</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自行处置。</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b/>
          <w:bCs/>
          <w:sz w:val="24"/>
          <w:szCs w:val="24"/>
          <w:highlight w:val="none"/>
        </w:rPr>
        <w:t>项目现场需配置的工器具清单如下（包含但不限于）：</w:t>
      </w:r>
    </w:p>
    <w:tbl>
      <w:tblPr>
        <w:tblStyle w:val="33"/>
        <w:tblW w:w="8492" w:type="dxa"/>
        <w:jc w:val="center"/>
        <w:tblLayout w:type="fixed"/>
        <w:tblCellMar>
          <w:top w:w="0" w:type="dxa"/>
          <w:left w:w="108" w:type="dxa"/>
          <w:bottom w:w="0" w:type="dxa"/>
          <w:right w:w="108" w:type="dxa"/>
        </w:tblCellMar>
      </w:tblPr>
      <w:tblGrid>
        <w:gridCol w:w="771"/>
        <w:gridCol w:w="1619"/>
        <w:gridCol w:w="1220"/>
        <w:gridCol w:w="851"/>
        <w:gridCol w:w="2727"/>
        <w:gridCol w:w="1304"/>
      </w:tblGrid>
      <w:tr>
        <w:tblPrEx>
          <w:tblCellMar>
            <w:top w:w="0" w:type="dxa"/>
            <w:left w:w="108" w:type="dxa"/>
            <w:bottom w:w="0" w:type="dxa"/>
            <w:right w:w="108" w:type="dxa"/>
          </w:tblCellMar>
        </w:tblPrEx>
        <w:trPr>
          <w:trHeight w:val="437"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工具名称</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设备仪器用途</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现场应用</w:t>
            </w:r>
          </w:p>
        </w:tc>
      </w:tr>
      <w:tr>
        <w:tblPrEx>
          <w:tblCellMar>
            <w:top w:w="0" w:type="dxa"/>
            <w:left w:w="108" w:type="dxa"/>
            <w:bottom w:w="0" w:type="dxa"/>
            <w:right w:w="108" w:type="dxa"/>
          </w:tblCellMar>
        </w:tblPrEx>
        <w:trPr>
          <w:trHeight w:val="41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手持式氢气检测仪</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氢气泄露监测</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涉氢设备及管路</w:t>
            </w:r>
          </w:p>
        </w:tc>
      </w:tr>
      <w:tr>
        <w:tblPrEx>
          <w:tblCellMar>
            <w:top w:w="0" w:type="dxa"/>
            <w:left w:w="108" w:type="dxa"/>
            <w:bottom w:w="0" w:type="dxa"/>
            <w:right w:w="108" w:type="dxa"/>
          </w:tblCellMar>
        </w:tblPrEx>
        <w:trPr>
          <w:trHeight w:val="420"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压缩机拆装专用工具</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海德利森</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压缩机维修保养</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电气系统</w:t>
            </w:r>
          </w:p>
        </w:tc>
      </w:tr>
      <w:tr>
        <w:tblPrEx>
          <w:tblCellMar>
            <w:top w:w="0" w:type="dxa"/>
            <w:left w:w="108" w:type="dxa"/>
            <w:bottom w:w="0" w:type="dxa"/>
            <w:right w:w="108" w:type="dxa"/>
          </w:tblCellMar>
        </w:tblPrEx>
        <w:trPr>
          <w:trHeight w:val="502"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防静电工具</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管路维修</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w:t>
            </w:r>
          </w:p>
        </w:tc>
      </w:tr>
      <w:tr>
        <w:tblPrEx>
          <w:tblCellMar>
            <w:top w:w="0" w:type="dxa"/>
            <w:left w:w="108" w:type="dxa"/>
            <w:bottom w:w="0" w:type="dxa"/>
            <w:right w:w="108" w:type="dxa"/>
          </w:tblCellMar>
        </w:tblPrEx>
        <w:trPr>
          <w:trHeight w:val="44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检</w:t>
            </w:r>
            <w:r>
              <w:rPr>
                <w:rFonts w:hint="eastAsia" w:ascii="宋体" w:hAnsi="宋体" w:eastAsia="宋体" w:cs="宋体"/>
                <w:color w:val="auto"/>
                <w:sz w:val="21"/>
                <w:szCs w:val="21"/>
                <w:highlight w:val="none"/>
                <w:lang w:val="en-US" w:eastAsia="zh-CN"/>
              </w:rPr>
              <w:t>漏液</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管路维修</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w:t>
            </w:r>
          </w:p>
        </w:tc>
      </w:tr>
      <w:tr>
        <w:tblPrEx>
          <w:tblCellMar>
            <w:top w:w="0" w:type="dxa"/>
            <w:left w:w="108" w:type="dxa"/>
            <w:bottom w:w="0" w:type="dxa"/>
            <w:right w:w="108" w:type="dxa"/>
          </w:tblCellMar>
        </w:tblPrEx>
        <w:trPr>
          <w:trHeight w:val="44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空开</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启动柜</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电气系统</w:t>
            </w:r>
          </w:p>
        </w:tc>
      </w:tr>
    </w:tbl>
    <w:p>
      <w:pPr>
        <w:keepNext/>
        <w:keepLines/>
        <w:ind w:left="510" w:hanging="510"/>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六、项目设备清单</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加氢站主要包括卸气系统、压缩机系统、储运系统、冷却系统、顺序控制阀箱系统、加氢机系统、储氢罐、放散系统、供排水系统、控制系统和配电系统。站内主要设备有2套卸气柱，1套45MPa 1000kg/12h氢气压缩机，1套45MPa 9m³储氢瓶组，1台中压顺序控制盘，1套减压装置；1套90MPa 500kg/12h氢气压缩机，1套90MPa 1m³储氢瓶组，1台高压顺序控制盘；设备控制系统，燃气及火焰报警系统，视频监控系统；配套冷水机组，2套氮气系统(加氢设备及试验室用分开设置)，1套氦气系统及其他配套设施（公用工程）；1台加氢机，加氢机分别配置</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把35MPa加氢枪TK25，</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把70MPa加氢枪TK17，并集成有氢氮置换功能。</w:t>
      </w:r>
    </w:p>
    <w:p>
      <w:pPr>
        <w:pStyle w:val="11"/>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主要设备清单如下：</w:t>
      </w:r>
    </w:p>
    <w:tbl>
      <w:tblPr>
        <w:tblStyle w:val="33"/>
        <w:tblW w:w="85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
        <w:gridCol w:w="980"/>
        <w:gridCol w:w="3510"/>
        <w:gridCol w:w="931"/>
        <w:gridCol w:w="722"/>
        <w:gridCol w:w="705"/>
        <w:gridCol w:w="8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名称</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型号规格</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品牌</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837"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工作压力：30MPa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形式：柜式，双软管，含拉断阀</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流量：≥2000Nm³/h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流量计品牌为KEM,其中一台卸气柱其中一接口连接汇流排</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pPr>
              <w:jc w:val="center"/>
              <w:rPr>
                <w:rFonts w:hint="eastAsia" w:ascii="宋体" w:hAnsi="宋体" w:eastAsia="宋体" w:cs="宋体"/>
                <w:bCs/>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氢气汇流排</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工作压力：20MPa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流量：≥1100Nm³/h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连接18组氢气集装格，汇集后接入卸气柱</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45MPa氢气压缩机撬</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压缩机型式：液驱式</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进气压力：5-30MPa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最高排气压力：45MPa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排量：≥1000kg/12h @12.5MPa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氢气出口温度：≤40℃</w:t>
            </w:r>
          </w:p>
          <w:p>
            <w:pPr>
              <w:jc w:val="center"/>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压缩机品牌：HASKEL</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氢气安全阀品牌：HTG</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氢气过滤器品牌：HTG</w:t>
            </w:r>
          </w:p>
          <w:p>
            <w:pPr>
              <w:jc w:val="center"/>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bidi="ar"/>
              </w:rPr>
              <w:t>涉氢管阀件品牌：HTG、HSME</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45MPa储氢瓶组</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几何容积：9m³</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形式：卧式</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浙江蓝能</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组</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中压顺序控制盘</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最大工作压力：45MPa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形式：3路分级充装</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90MPa氢气压缩机撬</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压缩机型式：液驱式</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进气压力：25-45MPa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最高排气压力：90MPa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排量：≥500kg/12h @32.5MPa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氢气出口温度：≤40℃</w:t>
            </w:r>
          </w:p>
          <w:p>
            <w:pPr>
              <w:jc w:val="center"/>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压缩机品牌：HASKEL</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氢气安全阀品牌：HTG</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氢气过滤器品牌：HTG</w:t>
            </w:r>
          </w:p>
          <w:p>
            <w:pPr>
              <w:jc w:val="center"/>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bidi="ar"/>
              </w:rPr>
              <w:t>涉氢管阀件品牌：HTG、HSME</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90MPa储氢瓶组</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几何容积：1m³</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形式：卧式</w:t>
            </w:r>
          </w:p>
        </w:tc>
        <w:tc>
          <w:tcPr>
            <w:tcW w:w="931" w:type="dxa"/>
            <w:noWrap w:val="0"/>
            <w:vAlign w:val="center"/>
          </w:tcPr>
          <w:p>
            <w:pPr>
              <w:pStyle w:val="1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安瑞科</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组</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高压顺序控制盘</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最大工作压力：90MPa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形式：3路分级充装</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37"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气动阀控制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额定工作压力：35MPa/70MPa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形式：双枪双计量</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加注速度：0.5~3.6kg/min</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加氢枪1：TK25型号（35MPa）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加氢枪2：TK17型号（70MPa）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35MPa氢气出口温度≤-5℃</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70MPa氢气出口温度≤-40℃</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质量流量计品牌：Rheonik</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加氢枪、拉断阀品牌：WEH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加氢机具备氢氮置换功能</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配置车辆气瓶充装质量追溯系统</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站内减压装置：</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进口最高压力：20MPa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一级减压至4MPa，管道输送至试验室进行二级减压</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用气点1：1.4MPa（0.2~2.0MPa范围内可调）</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流量：270Nm³/h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用气点2：1.0MPa（0.2~2.0MPa范围内可调）</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流量：100Nm³/h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预留用气口：4MPa，740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各用气点配套紧急切断阀、压力变送器、减压阀、手阀、安全阀、压力表</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加氢设备用仪表风、吹扫汇流排</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减压前工作压力：≤15MPa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减压后最高工作压力：≤0.8MPa</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试验室用氮气系统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汇流排：</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每组集装格连接含有截止阀、配套金属软管，连接18组氮气集装格，工作压力：≤15MPa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供气口（试验室用气）： ≤15MPa，流量320 Nm³/h</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试验室用气阀组：</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用气点1：压力1.4~1.6MPa，流量12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用气点2：压力0.8MPa，流量12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用气点3：压力3-15MPa，流量270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预留用气点：压力4.0MPa，流量25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各用气点配套减压阀、手阀、安全阀、压力表</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氦气系统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汇流排：</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每组集装格连接含有截止阀、配套金属软管，连接8组氦气集装格，工作压力：≤15MPa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供气：≤15MPa，流量270 Nm³/h</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试验室用气阀组：</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压力3-15MPa，流量270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各用气点配套手阀、安全阀、压力表</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13</w:t>
            </w:r>
          </w:p>
        </w:tc>
        <w:tc>
          <w:tcPr>
            <w:tcW w:w="980" w:type="dxa"/>
            <w:vMerge w:val="restart"/>
            <w:tcBorders>
              <w:left w:val="single" w:color="auto" w:sz="4" w:space="0"/>
            </w:tcBorders>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满足压缩机制冷要求</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三河同飞</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restart"/>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tcBorders>
              <w:left w:val="single" w:color="auto" w:sz="4" w:space="0"/>
            </w:tcBorders>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满足加氢机制冷要求</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索创</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continue"/>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14</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冷水机组等用电设备的配电，压缩机电机启停控制</w:t>
            </w:r>
          </w:p>
        </w:tc>
        <w:tc>
          <w:tcPr>
            <w:tcW w:w="931"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restart"/>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全站工艺设备控制系统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vMerge w:val="continue"/>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2#新能源试验室管路监控系统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vMerge w:val="continue"/>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980"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3510" w:type="dxa"/>
            <w:tcBorders>
              <w:bottom w:val="single" w:color="auto" w:sz="4" w:space="0"/>
            </w:tcBorders>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过程监控系统</w:t>
            </w:r>
          </w:p>
        </w:tc>
        <w:tc>
          <w:tcPr>
            <w:tcW w:w="931"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722"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705"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837"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安全监控系统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燃气报警系统</w:t>
            </w:r>
          </w:p>
        </w:tc>
        <w:tc>
          <w:tcPr>
            <w:tcW w:w="931"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火焰报警系统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声光报警系统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视频监控系统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18</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站控室</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配置站控PLC系统、配电系统等、GDS FGS 视频监控、应急物资等，配置办公、空调设备</w:t>
            </w:r>
          </w:p>
        </w:tc>
        <w:tc>
          <w:tcPr>
            <w:tcW w:w="931" w:type="dxa"/>
            <w:noWrap w:val="0"/>
            <w:vAlign w:val="center"/>
          </w:tcPr>
          <w:p>
            <w:pPr>
              <w:jc w:val="center"/>
              <w:rPr>
                <w:rFonts w:hint="eastAsia" w:ascii="宋体" w:hAnsi="宋体" w:eastAsia="宋体" w:cs="宋体"/>
                <w:sz w:val="24"/>
                <w:szCs w:val="24"/>
                <w:highlight w:val="none"/>
              </w:rPr>
            </w:pP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507" w:type="dxa"/>
            <w:gridSpan w:val="7"/>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备注：本表所列设备为主要构成部分，服务范围还包含其配套设施。</w:t>
            </w:r>
          </w:p>
        </w:tc>
      </w:tr>
    </w:tbl>
    <w:p>
      <w:pPr>
        <w:spacing w:line="360" w:lineRule="auto"/>
        <w:ind w:firstLine="480" w:firstLineChars="200"/>
        <w:rPr>
          <w:rFonts w:hint="eastAsia" w:ascii="宋体" w:hAnsi="宋体" w:eastAsia="宋体" w:cs="宋体"/>
          <w:sz w:val="24"/>
          <w:szCs w:val="24"/>
          <w:highlight w:val="none"/>
        </w:rPr>
      </w:pPr>
    </w:p>
    <w:p>
      <w:pPr>
        <w:keepNext/>
        <w:keepLines/>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七、</w:t>
      </w:r>
      <w:r>
        <w:rPr>
          <w:rFonts w:hint="eastAsia" w:ascii="宋体" w:hAnsi="宋体" w:cs="宋体"/>
          <w:b/>
          <w:bCs/>
          <w:sz w:val="24"/>
          <w:szCs w:val="24"/>
          <w:highlight w:val="none"/>
          <w:lang w:val="en-US" w:eastAsia="zh-CN"/>
        </w:rPr>
        <w:t>具体</w:t>
      </w:r>
      <w:r>
        <w:rPr>
          <w:rFonts w:hint="eastAsia" w:ascii="宋体" w:hAnsi="宋体" w:eastAsia="宋体" w:cs="宋体"/>
          <w:b/>
          <w:bCs/>
          <w:sz w:val="24"/>
          <w:szCs w:val="24"/>
          <w:highlight w:val="none"/>
        </w:rPr>
        <w:t>运维工作内容</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投标人应严格按照加氢站供方所提供的操作规程、作业指导书、点检规范、运维保养说明书等厂供资料针对性制定详细的运行及维护保养方案。方案中日常点检内容及频次、维护保养内容及周期需严格按照厂供资料编制，并严格执行运行维保方案。</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2、按照加氢站运行维保方案，定期对加氢站范围内所有设备、设施、管道进行系统维护保养，并形成《维护保养报告》。</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投标人应对加氢站范围进行巡检并填写《加氢站巡检记录表》，对加氢站内的设备设施、管道每天按计划巡检，查看设备运行状态，确保甲方加氢站系统安全稳定运行，如点检出不合格项，需立即维修，并填写《加氢站维修记录表》。</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4、加氢站各部分点检及维保要求（包含但不限于以下内容，具体点检、维护保养内容及周期严格按照设备厂家要求执行）：</w:t>
      </w:r>
    </w:p>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w:t>
      </w:r>
      <w:r>
        <w:rPr>
          <w:rFonts w:hint="eastAsia" w:ascii="宋体" w:hAnsi="宋体" w:eastAsia="宋体" w:cs="宋体"/>
          <w:b/>
          <w:bCs/>
          <w:sz w:val="24"/>
          <w:szCs w:val="24"/>
          <w:highlight w:val="none"/>
        </w:rPr>
        <w:t>加氢机点检内容</w:t>
      </w:r>
    </w:p>
    <w:tbl>
      <w:tblPr>
        <w:tblStyle w:val="34"/>
        <w:tblW w:w="0" w:type="auto"/>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3578"/>
        <w:gridCol w:w="4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pPr>
              <w:spacing w:line="360" w:lineRule="auto"/>
              <w:jc w:val="center"/>
              <w:rPr>
                <w:rFonts w:hint="eastAsia" w:ascii="宋体" w:hAnsi="宋体" w:eastAsia="宋体" w:cs="宋体"/>
                <w:sz w:val="24"/>
                <w:szCs w:val="24"/>
                <w:highlight w:val="none"/>
                <w:lang w:val="en-US" w:eastAsia="zh-CN"/>
              </w:rPr>
            </w:pPr>
          </w:p>
        </w:tc>
        <w:tc>
          <w:tcPr>
            <w:tcW w:w="3916"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03"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restart"/>
            <w:noWrap w:val="0"/>
            <w:textDirection w:val="tbRlV"/>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w:t>
            </w:r>
          </w:p>
        </w:tc>
        <w:tc>
          <w:tcPr>
            <w:tcW w:w="3916"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加氢机电脑板显示器（性能）</w:t>
            </w:r>
          </w:p>
        </w:tc>
        <w:tc>
          <w:tcPr>
            <w:tcW w:w="4803" w:type="dxa"/>
            <w:noWrap w:val="0"/>
            <w:vAlign w:val="center"/>
          </w:tcPr>
          <w:p>
            <w:pPr>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显示清晰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加氢软管（性能、外表）</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无漏气，无管路开裂破损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加氢枪（性能、外表）</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无漏气，无脏污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加氢机排污</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排放至无液体流出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加氢机静电接地</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防爆接线盒</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静电接地报警器</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查看是否有报警，弹簧夹力正常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静电消除报警器</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查看是否有报警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过滤调压阀</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80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4.2</w:t>
      </w:r>
      <w:r>
        <w:rPr>
          <w:rFonts w:hint="eastAsia" w:ascii="宋体" w:hAnsi="宋体" w:eastAsia="宋体" w:cs="宋体"/>
          <w:b/>
          <w:bCs/>
          <w:sz w:val="24"/>
          <w:szCs w:val="24"/>
          <w:highlight w:val="none"/>
        </w:rPr>
        <w:t>加氢机检修保养内容</w:t>
      </w:r>
    </w:p>
    <w:tbl>
      <w:tblPr>
        <w:tblStyle w:val="3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9"/>
        <w:gridCol w:w="1827"/>
        <w:gridCol w:w="3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1827"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482"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加氢枪气密性检查</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密封良好，无泄漏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加氢机排污</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排放至无液体流出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电磁阀阀芯有无卡堵、磨损</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电磁阀动作顺畅，无卡赌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过滤器滤芯清洗（更换）</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滤芯无杂质（或完成更换）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拉断阀快装接头擦拭、更换密封圈</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彻底清洁无污渍，完成密封圈更换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压力变送器、显示屏擦拭除污</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保养</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彻底清洁，确保无污渍</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4.3</w:t>
      </w:r>
      <w:r>
        <w:rPr>
          <w:rFonts w:hint="eastAsia" w:ascii="宋体" w:hAnsi="宋体" w:eastAsia="宋体" w:cs="宋体"/>
          <w:b/>
          <w:bCs/>
          <w:sz w:val="24"/>
          <w:szCs w:val="24"/>
          <w:highlight w:val="none"/>
        </w:rPr>
        <w:t>压缩机点检内容</w:t>
      </w:r>
    </w:p>
    <w:tbl>
      <w:tblPr>
        <w:tblStyle w:val="34"/>
        <w:tblW w:w="8939" w:type="dxa"/>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3020"/>
        <w:gridCol w:w="4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22" w:type="dxa"/>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97"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restart"/>
            <w:noWrap w:val="0"/>
            <w:textDirection w:val="tbRlV"/>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w:t>
            </w: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压缩机（外表、噪声）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无滴油、无松动、无异响，加压顺畅,无报警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压缩机进气压力表示数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压缩机排气压力表示数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润滑油压力表示数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润滑油液位表示数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压缩机排污</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排至无油污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压缩机静电接地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管线保温</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无破损，无霉变，如有更换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过滤调压阀</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89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4.4</w:t>
      </w:r>
      <w:r>
        <w:rPr>
          <w:rFonts w:hint="eastAsia" w:ascii="宋体" w:hAnsi="宋体" w:eastAsia="宋体" w:cs="宋体"/>
          <w:b/>
          <w:bCs/>
          <w:sz w:val="24"/>
          <w:szCs w:val="24"/>
          <w:highlight w:val="none"/>
        </w:rPr>
        <w:t>压缩机检修保养内容</w:t>
      </w:r>
    </w:p>
    <w:tbl>
      <w:tblPr>
        <w:tblStyle w:val="3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2779"/>
        <w:gridCol w:w="3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779"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099"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润滑油油位</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满量程的1/2-2/3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润滑油油压</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不启动0MPa，启动0.4MPa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冷却水流量、温度、压力</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非正常噪声与振动</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无噪音及振动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电机负荷</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控制系统运行情况</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仪表运行情况</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检漏系统</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检修并记录，排除异常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初始进气过滤器</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彻底清洁，确保无污渍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润滑油及油路过滤器检查</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完成润滑油和油路过滤器检查或更换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压缩机密封件</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压缩机密封件</w:t>
            </w:r>
            <w:r>
              <w:rPr>
                <w:rFonts w:hint="eastAsia" w:ascii="宋体" w:hAnsi="宋体" w:eastAsia="宋体" w:cs="宋体"/>
                <w:color w:val="000000" w:themeColor="text1"/>
                <w:sz w:val="24"/>
                <w:szCs w:val="24"/>
                <w:highlight w:val="none"/>
                <w14:textFill>
                  <w14:solidFill>
                    <w14:schemeClr w14:val="tx1"/>
                  </w14:solidFill>
                </w14:textFill>
              </w:rPr>
              <w:t>检查或更换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气路单向阀</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杂质清除，气路通畅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油路进口单向阀</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杂质清除，油路通畅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油路泄压阀</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杂质清除，气路通畅，开关无卡顿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进气过滤器</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清理杂质，气路通畅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压缩机漏油口</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输出油压正常，无渗漏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气滤芯 Process filter</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检查或更换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油滤芯 Oil filter element</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检查或更换</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4.5</w:t>
      </w:r>
      <w:r>
        <w:rPr>
          <w:rFonts w:hint="eastAsia" w:ascii="宋体" w:hAnsi="宋体" w:eastAsia="宋体" w:cs="宋体"/>
          <w:b/>
          <w:bCs/>
          <w:sz w:val="24"/>
          <w:szCs w:val="24"/>
          <w:highlight w:val="none"/>
        </w:rPr>
        <w:t>冷水机点检内容</w:t>
      </w:r>
    </w:p>
    <w:tbl>
      <w:tblPr>
        <w:tblStyle w:val="34"/>
        <w:tblpPr w:leftFromText="180" w:rightFromText="180" w:vertAnchor="text" w:horzAnchor="page" w:tblpXSpec="center" w:tblpY="3"/>
        <w:tblOverlap w:val="never"/>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3137"/>
        <w:gridCol w:w="4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951" w:type="dxa"/>
            <w:noWrap w:val="0"/>
            <w:vAlign w:val="center"/>
          </w:tcPr>
          <w:p>
            <w:pPr>
              <w:spacing w:line="278" w:lineRule="exact"/>
              <w:jc w:val="center"/>
              <w:rPr>
                <w:rFonts w:hint="eastAsia" w:ascii="宋体" w:hAnsi="宋体" w:eastAsia="宋体" w:cs="宋体"/>
                <w:sz w:val="24"/>
                <w:szCs w:val="24"/>
                <w:highlight w:val="none"/>
              </w:rPr>
            </w:pPr>
          </w:p>
        </w:tc>
        <w:tc>
          <w:tcPr>
            <w:tcW w:w="3137" w:type="dxa"/>
            <w:noWrap w:val="0"/>
            <w:vAlign w:val="center"/>
          </w:tcPr>
          <w:p>
            <w:pPr>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71" w:type="dxa"/>
            <w:noWrap w:val="0"/>
            <w:vAlign w:val="center"/>
          </w:tcPr>
          <w:p>
            <w:pPr>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51" w:type="dxa"/>
            <w:vMerge w:val="restart"/>
            <w:noWrap w:val="0"/>
            <w:textDirection w:val="tbRlV"/>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w:t>
            </w:r>
          </w:p>
        </w:tc>
        <w:tc>
          <w:tcPr>
            <w:tcW w:w="3137" w:type="dxa"/>
            <w:noWrap w:val="0"/>
            <w:vAlign w:val="center"/>
          </w:tcPr>
          <w:p>
            <w:pPr>
              <w:pStyle w:val="168"/>
              <w:spacing w:before="93"/>
              <w:ind w:left="102" w:right="-1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w:t>
            </w:r>
            <w:r>
              <w:rPr>
                <w:rFonts w:hint="eastAsia" w:ascii="宋体" w:hAnsi="宋体" w:eastAsia="宋体" w:cs="宋体"/>
                <w:spacing w:val="-34"/>
                <w:sz w:val="24"/>
                <w:szCs w:val="24"/>
                <w:highlight w:val="none"/>
              </w:rPr>
              <w:t>组</w:t>
            </w:r>
            <w:r>
              <w:rPr>
                <w:rFonts w:hint="eastAsia" w:ascii="宋体" w:hAnsi="宋体" w:eastAsia="宋体" w:cs="宋体"/>
                <w:sz w:val="24"/>
                <w:szCs w:val="24"/>
                <w:highlight w:val="none"/>
              </w:rPr>
              <w:t>（外表</w:t>
            </w:r>
            <w:r>
              <w:rPr>
                <w:rFonts w:hint="eastAsia" w:ascii="宋体" w:hAnsi="宋体" w:eastAsia="宋体" w:cs="宋体"/>
                <w:spacing w:val="-33"/>
                <w:sz w:val="24"/>
                <w:szCs w:val="24"/>
                <w:highlight w:val="none"/>
              </w:rPr>
              <w:t>、</w:t>
            </w:r>
            <w:r>
              <w:rPr>
                <w:rFonts w:hint="eastAsia" w:ascii="宋体" w:hAnsi="宋体" w:eastAsia="宋体" w:cs="宋体"/>
                <w:sz w:val="24"/>
                <w:szCs w:val="24"/>
                <w:highlight w:val="none"/>
              </w:rPr>
              <w:t>噪声）</w:t>
            </w:r>
          </w:p>
        </w:tc>
        <w:tc>
          <w:tcPr>
            <w:tcW w:w="4871" w:type="dxa"/>
            <w:noWrap w:val="0"/>
            <w:vAlign w:val="center"/>
          </w:tcPr>
          <w:p>
            <w:pPr>
              <w:pStyle w:val="168"/>
              <w:spacing w:before="93"/>
              <w:ind w:left="102"/>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无漏液、无管路开裂破损，无异响,异常报警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pPr>
              <w:jc w:val="center"/>
              <w:rPr>
                <w:rFonts w:hint="eastAsia" w:ascii="宋体" w:hAnsi="宋体" w:eastAsia="宋体" w:cs="宋体"/>
                <w:sz w:val="24"/>
                <w:szCs w:val="24"/>
                <w:highlight w:val="none"/>
              </w:rPr>
            </w:pPr>
          </w:p>
        </w:tc>
        <w:tc>
          <w:tcPr>
            <w:tcW w:w="3137"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风扇、散热器</w:t>
            </w:r>
          </w:p>
        </w:tc>
        <w:tc>
          <w:tcPr>
            <w:tcW w:w="487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pPr>
              <w:jc w:val="center"/>
              <w:rPr>
                <w:rFonts w:hint="eastAsia" w:ascii="宋体" w:hAnsi="宋体" w:eastAsia="宋体" w:cs="宋体"/>
                <w:sz w:val="24"/>
                <w:szCs w:val="24"/>
                <w:highlight w:val="none"/>
              </w:rPr>
            </w:pPr>
          </w:p>
        </w:tc>
        <w:tc>
          <w:tcPr>
            <w:tcW w:w="3137"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制冷剂</w:t>
            </w:r>
          </w:p>
        </w:tc>
        <w:tc>
          <w:tcPr>
            <w:tcW w:w="487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静态压力表不低于</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5bar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pPr>
              <w:jc w:val="center"/>
              <w:rPr>
                <w:rFonts w:hint="eastAsia" w:ascii="宋体" w:hAnsi="宋体" w:eastAsia="宋体" w:cs="宋体"/>
                <w:sz w:val="24"/>
                <w:szCs w:val="24"/>
                <w:highlight w:val="none"/>
              </w:rPr>
            </w:pPr>
          </w:p>
        </w:tc>
        <w:tc>
          <w:tcPr>
            <w:tcW w:w="3137"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冷却水出水温度</w:t>
            </w:r>
          </w:p>
        </w:tc>
        <w:tc>
          <w:tcPr>
            <w:tcW w:w="487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运行时记录数值/℃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951" w:type="dxa"/>
            <w:vMerge w:val="continue"/>
            <w:noWrap w:val="0"/>
            <w:vAlign w:val="center"/>
          </w:tcPr>
          <w:p>
            <w:pPr>
              <w:jc w:val="center"/>
              <w:rPr>
                <w:rFonts w:hint="eastAsia" w:ascii="宋体" w:hAnsi="宋体" w:eastAsia="宋体" w:cs="宋体"/>
                <w:sz w:val="24"/>
                <w:szCs w:val="24"/>
                <w:highlight w:val="none"/>
              </w:rPr>
            </w:pPr>
          </w:p>
        </w:tc>
        <w:tc>
          <w:tcPr>
            <w:tcW w:w="3137"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冷却水回水温度</w:t>
            </w:r>
          </w:p>
        </w:tc>
        <w:tc>
          <w:tcPr>
            <w:tcW w:w="487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运行时记录数值/℃</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4.6</w:t>
      </w:r>
      <w:r>
        <w:rPr>
          <w:rFonts w:hint="eastAsia" w:ascii="宋体" w:hAnsi="宋体" w:eastAsia="宋体" w:cs="宋体"/>
          <w:b/>
          <w:bCs/>
          <w:sz w:val="24"/>
          <w:szCs w:val="24"/>
          <w:highlight w:val="none"/>
        </w:rPr>
        <w:t>冷水机检修保养内容</w:t>
      </w:r>
    </w:p>
    <w:tbl>
      <w:tblPr>
        <w:tblStyle w:val="34"/>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9"/>
        <w:gridCol w:w="2637"/>
        <w:gridCol w:w="3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429" w:type="dxa"/>
            <w:noWrap w:val="0"/>
            <w:vAlign w:val="center"/>
          </w:tcPr>
          <w:p>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637" w:type="dxa"/>
            <w:noWrap w:val="0"/>
            <w:vAlign w:val="center"/>
          </w:tcPr>
          <w:p>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693" w:type="dxa"/>
            <w:noWrap w:val="0"/>
            <w:vAlign w:val="center"/>
          </w:tcPr>
          <w:p>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42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风扇</w:t>
            </w:r>
          </w:p>
        </w:tc>
        <w:tc>
          <w:tcPr>
            <w:tcW w:w="263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w:t>
            </w:r>
          </w:p>
        </w:tc>
        <w:tc>
          <w:tcPr>
            <w:tcW w:w="369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操作测试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42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冷水机散热器</w:t>
            </w:r>
          </w:p>
        </w:tc>
        <w:tc>
          <w:tcPr>
            <w:tcW w:w="263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保养</w:t>
            </w:r>
          </w:p>
        </w:tc>
        <w:tc>
          <w:tcPr>
            <w:tcW w:w="369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42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冷却液</w:t>
            </w:r>
          </w:p>
        </w:tc>
        <w:tc>
          <w:tcPr>
            <w:tcW w:w="263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检查，目测</w:t>
            </w:r>
          </w:p>
        </w:tc>
        <w:tc>
          <w:tcPr>
            <w:tcW w:w="369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有无杂质，有无报警记录，更换或补充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42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制冷剂</w:t>
            </w:r>
          </w:p>
        </w:tc>
        <w:tc>
          <w:tcPr>
            <w:tcW w:w="263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检查，目测</w:t>
            </w:r>
          </w:p>
        </w:tc>
        <w:tc>
          <w:tcPr>
            <w:tcW w:w="369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静态压力表不低于 5bar,补充</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4.7</w:t>
      </w:r>
      <w:r>
        <w:rPr>
          <w:rFonts w:hint="eastAsia" w:ascii="宋体" w:hAnsi="宋体" w:eastAsia="宋体" w:cs="宋体"/>
          <w:b/>
          <w:bCs/>
          <w:sz w:val="24"/>
          <w:szCs w:val="24"/>
          <w:highlight w:val="none"/>
        </w:rPr>
        <w:t>电控点检内容</w:t>
      </w:r>
    </w:p>
    <w:tbl>
      <w:tblPr>
        <w:tblStyle w:val="34"/>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3332"/>
        <w:gridCol w:w="4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6" w:type="dxa"/>
            <w:noWrap w:val="0"/>
            <w:vAlign w:val="center"/>
          </w:tcPr>
          <w:p>
            <w:pPr>
              <w:spacing w:line="360" w:lineRule="auto"/>
              <w:jc w:val="center"/>
              <w:rPr>
                <w:rFonts w:hint="eastAsia" w:ascii="宋体" w:hAnsi="宋体" w:eastAsia="宋体" w:cs="宋体"/>
                <w:sz w:val="24"/>
                <w:szCs w:val="24"/>
                <w:highlight w:val="none"/>
              </w:rPr>
            </w:pPr>
          </w:p>
        </w:tc>
        <w:tc>
          <w:tcPr>
            <w:tcW w:w="3332"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791"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956"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电控</w:t>
            </w:r>
          </w:p>
        </w:tc>
        <w:tc>
          <w:tcPr>
            <w:tcW w:w="3332" w:type="dxa"/>
            <w:noWrap w:val="0"/>
            <w:vAlign w:val="center"/>
          </w:tcPr>
          <w:p>
            <w:pPr>
              <w:pStyle w:val="168"/>
              <w:spacing w:before="93"/>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加氢站站控系统</w:t>
            </w:r>
          </w:p>
        </w:tc>
        <w:tc>
          <w:tcPr>
            <w:tcW w:w="4791" w:type="dxa"/>
            <w:noWrap w:val="0"/>
            <w:vAlign w:val="center"/>
          </w:tcPr>
          <w:p>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系统显示正常、清晰、数据准确、无报警信息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可燃气体/火焰报警系统</w:t>
            </w:r>
          </w:p>
        </w:tc>
        <w:tc>
          <w:tcPr>
            <w:tcW w:w="4791" w:type="dxa"/>
            <w:noWrap w:val="0"/>
            <w:vAlign w:val="center"/>
          </w:tcPr>
          <w:p>
            <w:pPr>
              <w:pStyle w:val="168"/>
              <w:spacing w:before="120"/>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通电且显示正常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配电柜</w:t>
            </w:r>
          </w:p>
        </w:tc>
        <w:tc>
          <w:tcPr>
            <w:tcW w:w="479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控制柜</w:t>
            </w:r>
          </w:p>
        </w:tc>
        <w:tc>
          <w:tcPr>
            <w:tcW w:w="479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79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spacing w:before="120"/>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UPS</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状态</w:t>
            </w:r>
          </w:p>
        </w:tc>
        <w:tc>
          <w:tcPr>
            <w:tcW w:w="4791" w:type="dxa"/>
            <w:noWrap w:val="0"/>
            <w:vAlign w:val="center"/>
          </w:tcPr>
          <w:p>
            <w:pPr>
              <w:pStyle w:val="168"/>
              <w:ind w:left="103" w:right="-1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UPS</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指示灯正常</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除尘</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除湿</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清洁表面,无异味，无发热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急停按钮</w:t>
            </w:r>
          </w:p>
        </w:tc>
        <w:tc>
          <w:tcPr>
            <w:tcW w:w="479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手动触发急停按钮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排风扇</w:t>
            </w:r>
          </w:p>
        </w:tc>
        <w:tc>
          <w:tcPr>
            <w:tcW w:w="479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手动开启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监控界面</w:t>
            </w:r>
          </w:p>
        </w:tc>
        <w:tc>
          <w:tcPr>
            <w:tcW w:w="479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电脑运行正常，监控软件通讯正常。</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4.8</w:t>
      </w:r>
      <w:r>
        <w:rPr>
          <w:rFonts w:hint="eastAsia" w:ascii="宋体" w:hAnsi="宋体" w:eastAsia="宋体" w:cs="宋体"/>
          <w:b/>
          <w:bCs/>
          <w:sz w:val="24"/>
          <w:szCs w:val="24"/>
          <w:highlight w:val="none"/>
        </w:rPr>
        <w:t>电控检修保养内容</w:t>
      </w:r>
    </w:p>
    <w:tbl>
      <w:tblPr>
        <w:tblStyle w:val="34"/>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8"/>
        <w:gridCol w:w="2609"/>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609"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2891"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低压电器动、静触头</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无磨损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658"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接地与接零装置连接处</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接地电阻小于4Ω</w:t>
            </w:r>
          </w:p>
        </w:tc>
        <w:tc>
          <w:tcPr>
            <w:tcW w:w="289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无松落、断线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658"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仪表、综合保护装置、信号指示灯工作正常</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仪表显示正常，指示灯正常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电缆、目排终端接头</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无异常、裂纹、变色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用电设备运行电流无过载</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完成检修并记录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3658"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电机运行有无振动、异响、高温</w:t>
            </w:r>
          </w:p>
        </w:tc>
        <w:tc>
          <w:tcPr>
            <w:tcW w:w="260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紧固地脚螺栓、</w:t>
            </w:r>
          </w:p>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加黄油、更换轴承</w:t>
            </w:r>
          </w:p>
        </w:tc>
        <w:tc>
          <w:tcPr>
            <w:tcW w:w="2891"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紧固螺栓至无松动并点标，按 需加注黄油，轴承更换。</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4.9</w:t>
      </w:r>
      <w:r>
        <w:rPr>
          <w:rFonts w:hint="eastAsia" w:ascii="宋体" w:hAnsi="宋体" w:eastAsia="宋体" w:cs="宋体"/>
          <w:b/>
          <w:bCs/>
          <w:sz w:val="24"/>
          <w:szCs w:val="24"/>
          <w:highlight w:val="none"/>
        </w:rPr>
        <w:t>管道点检内容</w:t>
      </w:r>
    </w:p>
    <w:tbl>
      <w:tblPr>
        <w:tblStyle w:val="34"/>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2399"/>
        <w:gridCol w:w="5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461" w:type="dxa"/>
            <w:noWrap w:val="0"/>
            <w:vAlign w:val="center"/>
          </w:tcPr>
          <w:p>
            <w:pPr>
              <w:spacing w:line="360" w:lineRule="auto"/>
              <w:jc w:val="center"/>
              <w:rPr>
                <w:rFonts w:hint="eastAsia" w:ascii="宋体" w:hAnsi="宋体" w:eastAsia="宋体" w:cs="宋体"/>
                <w:sz w:val="24"/>
                <w:szCs w:val="24"/>
                <w:highlight w:val="none"/>
              </w:rPr>
            </w:pPr>
          </w:p>
        </w:tc>
        <w:tc>
          <w:tcPr>
            <w:tcW w:w="2399"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5319"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461" w:type="dxa"/>
            <w:vMerge w:val="restart"/>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供气管道、阀门</w:t>
            </w:r>
          </w:p>
        </w:tc>
        <w:tc>
          <w:tcPr>
            <w:tcW w:w="2399" w:type="dxa"/>
            <w:noWrap w:val="0"/>
            <w:vAlign w:val="center"/>
          </w:tcPr>
          <w:p>
            <w:pPr>
              <w:pStyle w:val="168"/>
              <w:spacing w:before="14"/>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紧急切断阀门</w:t>
            </w:r>
          </w:p>
        </w:tc>
        <w:tc>
          <w:tcPr>
            <w:tcW w:w="5319" w:type="dxa"/>
            <w:noWrap w:val="0"/>
            <w:vAlign w:val="center"/>
          </w:tcPr>
          <w:p>
            <w:pPr>
              <w:pStyle w:val="168"/>
              <w:spacing w:before="14"/>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电源供给正常，阀门手动正常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461" w:type="dxa"/>
            <w:vMerge w:val="continue"/>
            <w:noWrap w:val="0"/>
            <w:vAlign w:val="center"/>
          </w:tcPr>
          <w:p>
            <w:pPr>
              <w:jc w:val="center"/>
              <w:rPr>
                <w:rFonts w:hint="eastAsia" w:ascii="宋体" w:hAnsi="宋体" w:eastAsia="宋体" w:cs="宋体"/>
                <w:sz w:val="24"/>
                <w:szCs w:val="24"/>
                <w:highlight w:val="none"/>
              </w:rPr>
            </w:pPr>
          </w:p>
        </w:tc>
        <w:tc>
          <w:tcPr>
            <w:tcW w:w="2399"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N2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压力表</w:t>
            </w:r>
          </w:p>
        </w:tc>
        <w:tc>
          <w:tcPr>
            <w:tcW w:w="5319"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记录数值/Mpa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1" w:type="dxa"/>
            <w:vMerge w:val="continue"/>
            <w:noWrap w:val="0"/>
            <w:vAlign w:val="center"/>
          </w:tcPr>
          <w:p>
            <w:pPr>
              <w:jc w:val="center"/>
              <w:rPr>
                <w:rFonts w:hint="eastAsia" w:ascii="宋体" w:hAnsi="宋体" w:eastAsia="宋体" w:cs="宋体"/>
                <w:sz w:val="24"/>
                <w:szCs w:val="24"/>
                <w:highlight w:val="none"/>
              </w:rPr>
            </w:pPr>
          </w:p>
        </w:tc>
        <w:tc>
          <w:tcPr>
            <w:tcW w:w="2399" w:type="dxa"/>
            <w:noWrap w:val="0"/>
            <w:vAlign w:val="center"/>
          </w:tcPr>
          <w:p>
            <w:pPr>
              <w:pStyle w:val="168"/>
              <w:spacing w:before="59"/>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管路（含涉氢间）</w:t>
            </w:r>
          </w:p>
        </w:tc>
        <w:tc>
          <w:tcPr>
            <w:tcW w:w="5319" w:type="dxa"/>
            <w:noWrap w:val="0"/>
            <w:vAlign w:val="center"/>
          </w:tcPr>
          <w:p>
            <w:pPr>
              <w:pStyle w:val="168"/>
              <w:spacing w:before="59"/>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4.10</w:t>
      </w:r>
      <w:r>
        <w:rPr>
          <w:rFonts w:hint="eastAsia" w:ascii="宋体" w:hAnsi="宋体" w:eastAsia="宋体" w:cs="宋体"/>
          <w:b/>
          <w:bCs/>
          <w:sz w:val="24"/>
          <w:szCs w:val="24"/>
          <w:highlight w:val="none"/>
        </w:rPr>
        <w:t>管道检修保养内容</w:t>
      </w:r>
    </w:p>
    <w:tbl>
      <w:tblPr>
        <w:tblStyle w:val="34"/>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5"/>
        <w:gridCol w:w="2421"/>
        <w:gridCol w:w="3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785"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421"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733"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785"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连接法兰螺栓无松动、泄漏</w:t>
            </w:r>
          </w:p>
        </w:tc>
        <w:tc>
          <w:tcPr>
            <w:tcW w:w="242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373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螺栓无松动、无泄漏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785"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放散阀、排污阀无泄漏</w:t>
            </w:r>
          </w:p>
        </w:tc>
        <w:tc>
          <w:tcPr>
            <w:tcW w:w="242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373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完成阀门检漏无泄漏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785"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安全阀、压力表等安全附件安全可靠</w:t>
            </w:r>
          </w:p>
        </w:tc>
        <w:tc>
          <w:tcPr>
            <w:tcW w:w="242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定期送检</w:t>
            </w:r>
          </w:p>
        </w:tc>
        <w:tc>
          <w:tcPr>
            <w:tcW w:w="3733" w:type="dxa"/>
            <w:noWrap w:val="0"/>
            <w:vAlign w:val="center"/>
          </w:tcPr>
          <w:p>
            <w:pPr>
              <w:pStyle w:val="168"/>
              <w:jc w:val="center"/>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协助</w:t>
            </w:r>
            <w:r>
              <w:rPr>
                <w:rFonts w:hint="eastAsia" w:ascii="宋体" w:hAnsi="宋体" w:eastAsia="宋体" w:cs="宋体"/>
                <w:sz w:val="24"/>
                <w:szCs w:val="24"/>
                <w:highlight w:val="none"/>
              </w:rPr>
              <w:t>完成检定及拆装复位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85"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排污</w:t>
            </w:r>
          </w:p>
        </w:tc>
        <w:tc>
          <w:tcPr>
            <w:tcW w:w="242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维护</w:t>
            </w:r>
          </w:p>
        </w:tc>
        <w:tc>
          <w:tcPr>
            <w:tcW w:w="373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排至无油污</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4.11</w:t>
      </w:r>
      <w:r>
        <w:rPr>
          <w:rFonts w:hint="eastAsia" w:ascii="宋体" w:hAnsi="宋体" w:eastAsia="宋体" w:cs="宋体"/>
          <w:b/>
          <w:bCs/>
          <w:sz w:val="24"/>
          <w:szCs w:val="24"/>
          <w:highlight w:val="none"/>
        </w:rPr>
        <w:t>其它部分点检内容</w:t>
      </w:r>
    </w:p>
    <w:tbl>
      <w:tblPr>
        <w:tblStyle w:val="33"/>
        <w:tblW w:w="8899" w:type="dxa"/>
        <w:jc w:val="center"/>
        <w:tblLayout w:type="fixed"/>
        <w:tblCellMar>
          <w:top w:w="0" w:type="dxa"/>
          <w:left w:w="0" w:type="dxa"/>
          <w:bottom w:w="0" w:type="dxa"/>
          <w:right w:w="0" w:type="dxa"/>
        </w:tblCellMar>
      </w:tblPr>
      <w:tblGrid>
        <w:gridCol w:w="1014"/>
        <w:gridCol w:w="3141"/>
        <w:gridCol w:w="4744"/>
      </w:tblGrid>
      <w:tr>
        <w:tblPrEx>
          <w:tblCellMar>
            <w:top w:w="0" w:type="dxa"/>
            <w:left w:w="0" w:type="dxa"/>
            <w:bottom w:w="0" w:type="dxa"/>
            <w:right w:w="0" w:type="dxa"/>
          </w:tblCellMar>
        </w:tblPrEx>
        <w:trPr>
          <w:trHeight w:val="315" w:hRule="exac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p>
            <w:pPr>
              <w:pStyle w:val="5"/>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CellMar>
            <w:top w:w="0" w:type="dxa"/>
            <w:left w:w="0" w:type="dxa"/>
            <w:bottom w:w="0" w:type="dxa"/>
            <w:right w:w="0" w:type="dxa"/>
          </w:tblCellMar>
        </w:tblPrEx>
        <w:trPr>
          <w:trHeight w:val="455" w:hRule="atLeast"/>
          <w:jc w:val="center"/>
        </w:trPr>
        <w:tc>
          <w:tcPr>
            <w:tcW w:w="1014" w:type="dxa"/>
            <w:vMerge w:val="restart"/>
            <w:tcBorders>
              <w:top w:val="single" w:color="000000" w:sz="4" w:space="0"/>
              <w:left w:val="single" w:color="000000" w:sz="4" w:space="0"/>
              <w:right w:val="single" w:color="000000" w:sz="4" w:space="0"/>
            </w:tcBorders>
            <w:noWrap w:val="0"/>
            <w:vAlign w:val="center"/>
          </w:tcPr>
          <w:p>
            <w:pPr>
              <w:pStyle w:val="168"/>
              <w:jc w:val="center"/>
              <w:rPr>
                <w:rFonts w:hint="eastAsia" w:ascii="宋体" w:hAnsi="宋体" w:eastAsia="宋体" w:cs="宋体"/>
                <w:sz w:val="24"/>
                <w:szCs w:val="24"/>
                <w:highlight w:val="none"/>
              </w:rPr>
            </w:pPr>
          </w:p>
          <w:p>
            <w:pPr>
              <w:pStyle w:val="168"/>
              <w:spacing w:before="12"/>
              <w:jc w:val="center"/>
              <w:rPr>
                <w:rFonts w:hint="eastAsia" w:ascii="宋体" w:hAnsi="宋体" w:eastAsia="宋体" w:cs="宋体"/>
                <w:sz w:val="24"/>
                <w:szCs w:val="24"/>
                <w:highlight w:val="none"/>
              </w:rPr>
            </w:pPr>
          </w:p>
          <w:p>
            <w:pPr>
              <w:pStyle w:val="168"/>
              <w:ind w:left="340" w:right="220" w:hanging="12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w:t>
            </w: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管束车静电接地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管束车压力表示数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记录数值/MPa（正常值≥7MPa）</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管束车温度</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实测，记录数值/℃</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管束车阀门</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使用时总阀门开启，氢气探测器无报警</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管路</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检测无漏气</w:t>
            </w:r>
          </w:p>
        </w:tc>
      </w:tr>
      <w:tr>
        <w:tblPrEx>
          <w:tblCellMar>
            <w:top w:w="0" w:type="dxa"/>
            <w:left w:w="0" w:type="dxa"/>
            <w:bottom w:w="0" w:type="dxa"/>
            <w:right w:w="0" w:type="dxa"/>
          </w:tblCellMar>
        </w:tblPrEx>
        <w:trPr>
          <w:trHeight w:val="630" w:hRule="atLeast"/>
          <w:jc w:val="center"/>
        </w:trPr>
        <w:tc>
          <w:tcPr>
            <w:tcW w:w="1014" w:type="dxa"/>
            <w:vMerge w:val="restart"/>
            <w:tcBorders>
              <w:top w:val="single" w:color="auto" w:sz="4" w:space="0"/>
              <w:left w:val="single" w:color="auto" w:sz="4" w:space="0"/>
              <w:bottom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rPr>
            </w:pPr>
          </w:p>
          <w:p>
            <w:pPr>
              <w:pStyle w:val="168"/>
              <w:jc w:val="center"/>
              <w:rPr>
                <w:rFonts w:hint="eastAsia" w:ascii="宋体" w:hAnsi="宋体" w:eastAsia="宋体" w:cs="宋体"/>
                <w:sz w:val="24"/>
                <w:szCs w:val="24"/>
                <w:highlight w:val="none"/>
              </w:rPr>
            </w:pPr>
          </w:p>
          <w:p>
            <w:pPr>
              <w:pStyle w:val="168"/>
              <w:jc w:val="center"/>
              <w:rPr>
                <w:rFonts w:hint="eastAsia" w:ascii="宋体" w:hAnsi="宋体" w:eastAsia="宋体" w:cs="宋体"/>
                <w:sz w:val="24"/>
                <w:szCs w:val="24"/>
                <w:highlight w:val="none"/>
              </w:rPr>
            </w:pPr>
          </w:p>
          <w:p>
            <w:pPr>
              <w:pStyle w:val="168"/>
              <w:spacing w:before="1"/>
              <w:jc w:val="center"/>
              <w:rPr>
                <w:rFonts w:hint="eastAsia" w:ascii="宋体" w:hAnsi="宋体" w:eastAsia="宋体" w:cs="宋体"/>
                <w:sz w:val="24"/>
                <w:szCs w:val="24"/>
                <w:highlight w:val="none"/>
              </w:rPr>
            </w:pPr>
          </w:p>
          <w:p>
            <w:pPr>
              <w:pStyle w:val="168"/>
              <w:ind w:left="340" w:right="220" w:hanging="12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H2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压力变送器示数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记录数值/MPa，与压力表示数对比，无明显压差</w:t>
            </w:r>
          </w:p>
        </w:tc>
      </w:tr>
      <w:tr>
        <w:tblPrEx>
          <w:tblCellMar>
            <w:top w:w="0" w:type="dxa"/>
            <w:left w:w="0" w:type="dxa"/>
            <w:bottom w:w="0" w:type="dxa"/>
            <w:right w:w="0" w:type="dxa"/>
          </w:tblCellMar>
        </w:tblPrEx>
        <w:trPr>
          <w:trHeight w:val="630"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spacing w:before="120"/>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H2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记录数值/MPa，与压力变送器示数对比，无明显压差</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卸气柱氢气气动阀</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1#</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运行时开启</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卸气柱氮气气动阀</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2#</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常闭，置换时开启</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卸气柱管路</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无漏气，无管路开裂破损</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防爆接线盒</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卸气柱静电接地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auto"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管路</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检测无漏气</w:t>
            </w:r>
          </w:p>
        </w:tc>
      </w:tr>
      <w:tr>
        <w:tblPrEx>
          <w:tblCellMar>
            <w:top w:w="0" w:type="dxa"/>
            <w:left w:w="0" w:type="dxa"/>
            <w:bottom w:w="0" w:type="dxa"/>
            <w:right w:w="0" w:type="dxa"/>
          </w:tblCellMar>
        </w:tblPrEx>
        <w:trPr>
          <w:trHeight w:val="455" w:hRule="atLeast"/>
          <w:jc w:val="center"/>
        </w:trPr>
        <w:tc>
          <w:tcPr>
            <w:tcW w:w="1014" w:type="dxa"/>
            <w:vMerge w:val="restart"/>
            <w:tcBorders>
              <w:top w:val="single" w:color="auto" w:sz="4" w:space="0"/>
              <w:left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w:t>
            </w:r>
          </w:p>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w:t>
            </w:r>
          </w:p>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阀箱</w:t>
            </w:r>
          </w:p>
        </w:tc>
        <w:tc>
          <w:tcPr>
            <w:tcW w:w="3141" w:type="dxa"/>
            <w:tcBorders>
              <w:top w:val="single" w:color="000000" w:sz="4" w:space="0"/>
              <w:left w:val="single" w:color="auto" w:sz="4" w:space="0"/>
              <w:bottom w:val="single" w:color="auto" w:sz="4" w:space="0"/>
              <w:right w:val="single" w:color="000000" w:sz="4" w:space="0"/>
            </w:tcBorders>
            <w:noWrap w:val="0"/>
            <w:vAlign w:val="center"/>
          </w:tcPr>
          <w:p>
            <w:pPr>
              <w:widowControl/>
              <w:ind w:firstLine="120" w:firstLineChars="50"/>
              <w:jc w:val="cente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顺序控制阀箱减压表示数</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实测数值/MPa（正常值≤10MPa）</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auto" w:sz="4" w:space="0"/>
              <w:right w:val="single" w:color="000000" w:sz="4" w:space="0"/>
            </w:tcBorders>
            <w:noWrap w:val="0"/>
            <w:vAlign w:val="center"/>
          </w:tcPr>
          <w:p>
            <w:pPr>
              <w:widowControl/>
              <w:ind w:firstLine="120" w:firstLineChars="50"/>
              <w:jc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顺序控制阀箱减压阀</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pPr>
              <w:widowControl/>
              <w:ind w:firstLine="120" w:firstLineChars="50"/>
              <w:jc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使用时开启</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lang w:eastAsia="en-US"/>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顺序控制阀箱实验室阀门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使用时开启</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顺序控制阀箱进气气动阀</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运行开启</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顺序控制阀箱卸气阀门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运行关闭</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顺序控制阀箱静电接地</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接地电缆连接良好</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CellMar>
            <w:top w:w="0" w:type="dxa"/>
            <w:left w:w="0" w:type="dxa"/>
            <w:bottom w:w="0" w:type="dxa"/>
            <w:right w:w="0" w:type="dxa"/>
          </w:tblCellMar>
        </w:tblPrEx>
        <w:trPr>
          <w:trHeight w:val="630"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过滤调压阀</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r>
        <w:tblPrEx>
          <w:tblCellMar>
            <w:top w:w="0" w:type="dxa"/>
            <w:left w:w="0" w:type="dxa"/>
            <w:bottom w:w="0" w:type="dxa"/>
            <w:right w:w="0" w:type="dxa"/>
          </w:tblCellMar>
        </w:tblPrEx>
        <w:trPr>
          <w:trHeight w:val="455" w:hRule="atLeast"/>
          <w:jc w:val="center"/>
        </w:trPr>
        <w:tc>
          <w:tcPr>
            <w:tcW w:w="1014" w:type="dxa"/>
            <w:vMerge w:val="restart"/>
            <w:tcBorders>
              <w:top w:val="single" w:color="auto" w:sz="4" w:space="0"/>
              <w:left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rPr>
            </w:pPr>
          </w:p>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储罐</w:t>
            </w: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储氢罐静电接地</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接地电缆连接良好</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集中排放管</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积水排放、外观良好，稳定</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储氢罐进/出气手动阀门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使用时开启，氢气探测器无报警</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r>
        <w:tblPrEx>
          <w:tblCellMar>
            <w:top w:w="0" w:type="dxa"/>
            <w:left w:w="0" w:type="dxa"/>
            <w:bottom w:w="0" w:type="dxa"/>
            <w:right w:w="0" w:type="dxa"/>
          </w:tblCellMar>
        </w:tblPrEx>
        <w:trPr>
          <w:trHeight w:val="939" w:hRule="atLeast"/>
          <w:jc w:val="center"/>
        </w:trPr>
        <w:tc>
          <w:tcPr>
            <w:tcW w:w="1014" w:type="dxa"/>
            <w:vMerge w:val="restart"/>
            <w:tcBorders>
              <w:top w:val="single" w:color="auto" w:sz="4" w:space="0"/>
              <w:left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其他</w:t>
            </w: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加氢站内务（地面、卫生、 物品摆放）</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无油污，泵池无积水，无杂草树叶垃圾，物品摆放整齐，备件按照检定备件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消耗备件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维修备件整理清单并分区存放</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地沟盖板</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地沟盖板是否有开裂，开孔是否堵塞</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排水系统</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排水正常，无堵塞</w:t>
            </w:r>
          </w:p>
        </w:tc>
      </w:tr>
      <w:tr>
        <w:tblPrEx>
          <w:tblCellMar>
            <w:top w:w="0" w:type="dxa"/>
            <w:left w:w="0" w:type="dxa"/>
            <w:bottom w:w="0" w:type="dxa"/>
            <w:right w:w="0" w:type="dxa"/>
          </w:tblCellMar>
        </w:tblPrEx>
        <w:trPr>
          <w:trHeight w:val="630"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加氢站照明灯具（夜班及阴雨天气）</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表面无污渍，亮度正常</w:t>
            </w:r>
          </w:p>
        </w:tc>
      </w:tr>
      <w:tr>
        <w:tblPrEx>
          <w:tblCellMar>
            <w:top w:w="0" w:type="dxa"/>
            <w:left w:w="0" w:type="dxa"/>
            <w:bottom w:w="0" w:type="dxa"/>
            <w:right w:w="0" w:type="dxa"/>
          </w:tblCellMar>
        </w:tblPrEx>
        <w:trPr>
          <w:trHeight w:val="47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其余管路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pPr>
        <w:keepNext/>
        <w:keepLines/>
        <w:outlineLvl w:val="1"/>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八</w:t>
      </w:r>
      <w:r>
        <w:rPr>
          <w:rFonts w:hint="eastAsia" w:ascii="宋体" w:hAnsi="宋体" w:eastAsia="宋体" w:cs="宋体"/>
          <w:b/>
          <w:bCs/>
          <w:sz w:val="24"/>
          <w:szCs w:val="24"/>
          <w:highlight w:val="none"/>
        </w:rPr>
        <w:t>、备品备件清单</w:t>
      </w:r>
    </w:p>
    <w:p>
      <w:pPr>
        <w:widowControl/>
        <w:spacing w:line="360" w:lineRule="auto"/>
        <w:ind w:firstLine="480" w:firstLineChars="200"/>
        <w:jc w:val="left"/>
        <w:rPr>
          <w:rFonts w:hint="eastAsia" w:ascii="宋体" w:hAnsi="宋体" w:eastAsia="宋体" w:cs="宋体"/>
          <w:highlight w:val="none"/>
        </w:rPr>
      </w:pPr>
      <w:r>
        <w:rPr>
          <w:rFonts w:hint="eastAsia" w:ascii="宋体" w:hAnsi="宋体" w:eastAsia="宋体" w:cs="宋体"/>
          <w:b w:val="0"/>
          <w:bCs w:val="0"/>
          <w:color w:val="000000" w:themeColor="text1"/>
          <w:sz w:val="24"/>
          <w:szCs w:val="24"/>
          <w:highlight w:val="none"/>
          <w14:textFill>
            <w14:solidFill>
              <w14:schemeClr w14:val="tx1"/>
            </w14:solidFill>
          </w14:textFill>
        </w:rPr>
        <w:t>投标方负责所承包加氢站的设备维修、备件更换工作，负责所属设备设施的日常物料消耗，日常适当储备易损备件及所需物料，保证设备设施的正常运行。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在质保范围内的设备问题由质保责任方承担费用，质保范围外的维修辅料、易损件易耗品及日常维保所需耗材等由投标人免费提供。</w:t>
      </w:r>
      <w:r>
        <w:rPr>
          <w:rFonts w:hint="eastAsia" w:ascii="宋体" w:hAnsi="宋体" w:eastAsia="宋体" w:cs="宋体"/>
          <w:b w:val="0"/>
          <w:bCs w:val="0"/>
          <w:color w:val="000000" w:themeColor="text1"/>
          <w:sz w:val="24"/>
          <w:szCs w:val="24"/>
          <w:highlight w:val="none"/>
          <w14:textFill>
            <w14:solidFill>
              <w14:schemeClr w14:val="tx1"/>
            </w14:solidFill>
          </w14:textFill>
        </w:rPr>
        <w:t>维修、备件更换、物料消耗等相关</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工作</w:t>
      </w:r>
      <w:r>
        <w:rPr>
          <w:rFonts w:hint="eastAsia" w:ascii="宋体" w:hAnsi="宋体" w:eastAsia="宋体" w:cs="宋体"/>
          <w:b w:val="0"/>
          <w:bCs w:val="0"/>
          <w:color w:val="000000" w:themeColor="text1"/>
          <w:sz w:val="24"/>
          <w:szCs w:val="24"/>
          <w:highlight w:val="none"/>
          <w14:textFill>
            <w14:solidFill>
              <w14:schemeClr w14:val="tx1"/>
            </w14:solidFill>
          </w14:textFill>
        </w:rPr>
        <w:t>均由运维单位负责</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sectPr>
      <w:headerReference r:id="rId15" w:type="default"/>
      <w:footerReference r:id="rId16"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52"/>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微软雅黑">
    <w:altName w:val="汉仪旗黑KW 55S"/>
    <w:panose1 w:val="020B0503020204020204"/>
    <w:charset w:val="86"/>
    <w:family w:val="auto"/>
    <w:pitch w:val="default"/>
    <w:sig w:usb0="00000000" w:usb1="00000000" w:usb2="00000016" w:usb3="00000000" w:csb0="0004001F"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君黑KW 55J">
    <w:panose1 w:val="00020600040101010101"/>
    <w:charset w:val="86"/>
    <w:family w:val="auto"/>
    <w:pitch w:val="default"/>
    <w:sig w:usb0="A00002BF" w:usb1="0ACF7CFA" w:usb2="00000016" w:usb3="00000000" w:csb0="0004000F"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2 -</w:t>
    </w:r>
    <w:r>
      <w:fldChar w:fldCharType="end"/>
    </w:r>
  </w:p>
  <w:p>
    <w:pPr>
      <w:pStyle w:val="20"/>
    </w:pPr>
  </w:p>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1 -</w:t>
    </w:r>
    <w:r>
      <w:fldChar w:fldCharType="end"/>
    </w:r>
  </w:p>
  <w:p>
    <w:pPr>
      <w:pStyle w:val="20"/>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JWO4KAQAABQEAAA8AAAAAAAAAAQAgAAAAIgAAAGRycy9kb3ducmV2LnhtbFBLAQIUABQAAAAI&#10;AIdO4kCnQ817LQIAAFkEAAAOAAAAAAAAAAEAIAAAAFkBAABkcnMvZTJvRG9jLnhtbFBLBQYAAAAA&#10;BgAGAFkBAAD4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705" cy="139700"/>
              <wp:effectExtent l="0" t="0" r="0" b="0"/>
              <wp:wrapNone/>
              <wp:docPr id="2" name="矩形 2"/>
              <wp:cNvGraphicFramePr/>
              <a:graphic xmlns:a="http://schemas.openxmlformats.org/drawingml/2006/main">
                <a:graphicData uri="http://schemas.microsoft.com/office/word/2010/wordprocessingShape">
                  <wps:wsp>
                    <wps:cNvSpPr/>
                    <wps:spPr>
                      <a:xfrm>
                        <a:off x="0" y="0"/>
                        <a:ext cx="179565" cy="139674"/>
                      </a:xfrm>
                      <a:prstGeom prst="rect">
                        <a:avLst/>
                      </a:prstGeom>
                      <a:noFill/>
                      <a:ln w="9525" cap="flat" cmpd="sng">
                        <a:noFill/>
                        <a:prstDash val="solid"/>
                        <a:round/>
                      </a:ln>
                      <a:effectLst/>
                    </wps:spPr>
                    <wps:txbx>
                      <w:txbxContent>
                        <w:p>
                          <w:pPr>
                            <w:pStyle w:val="20"/>
                            <w:rPr>
                              <w:rStyle w:val="37"/>
                            </w:rPr>
                          </w:pPr>
                          <w:r>
                            <w:rPr>
                              <w:rStyle w:val="37"/>
                            </w:rPr>
                            <w:fldChar w:fldCharType="begin"/>
                          </w:r>
                          <w:r>
                            <w:rPr>
                              <w:rStyle w:val="37"/>
                            </w:rPr>
                            <w:instrText xml:space="preserve">PAGE  </w:instrText>
                          </w:r>
                          <w:r>
                            <w:fldChar w:fldCharType="separate"/>
                          </w:r>
                          <w:r>
                            <w:rPr>
                              <w:rStyle w:val="37"/>
                            </w:rPr>
                            <w:t>- 2 -</w:t>
                          </w:r>
                          <w:r>
                            <w:fldChar w:fldCharType="end"/>
                          </w: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1pt;width:14.15pt;mso-position-horizontal:center;mso-position-horizontal-relative:margin;mso-wrap-style:none;z-index:251659264;mso-width-relative:page;mso-height-relative:page;" filled="f" stroked="f" coordsize="21600,21600" o:gfxdata="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0fMjoIAQAAAwEAAA8AAAAAAAAAAQAgAAAAIgAAAGRycy9kb3ducmV2&#10;LnhtbFBLAQIUABQAAAAIAIdO4kDzwFH9BQIAAP8DAAAOAAAAAAAAAAEAIAAAAFcBAABkcnMvZTJv&#10;RG9jLnhtbFBLBQYAAAAABgAGAFkBAADOBQAAAAA=&#10;">
              <v:fill on="f" focussize="0,0"/>
              <v:stroke on="f" joinstyle="round"/>
              <v:imagedata o:title=""/>
              <o:lock v:ext="edit" aspectratio="f"/>
              <v:textbox inset="0mm,0mm,0mm,0mm" style="mso-fit-shape-to-text:t;">
                <w:txbxContent>
                  <w:p>
                    <w:pPr>
                      <w:pStyle w:val="20"/>
                      <w:rPr>
                        <w:rStyle w:val="37"/>
                      </w:rPr>
                    </w:pPr>
                    <w:r>
                      <w:rPr>
                        <w:rStyle w:val="37"/>
                      </w:rPr>
                      <w:fldChar w:fldCharType="begin"/>
                    </w:r>
                    <w:r>
                      <w:rPr>
                        <w:rStyle w:val="37"/>
                      </w:rPr>
                      <w:instrText xml:space="preserve">PAGE  </w:instrText>
                    </w:r>
                    <w:r>
                      <w:fldChar w:fldCharType="separate"/>
                    </w:r>
                    <w:r>
                      <w:rPr>
                        <w:rStyle w:val="37"/>
                      </w:rPr>
                      <w:t>- 2 -</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9705" cy="139700"/>
              <wp:effectExtent l="0" t="0" r="0" b="0"/>
              <wp:wrapNone/>
              <wp:docPr id="3" name="矩形 3"/>
              <wp:cNvGraphicFramePr/>
              <a:graphic xmlns:a="http://schemas.openxmlformats.org/drawingml/2006/main">
                <a:graphicData uri="http://schemas.microsoft.com/office/word/2010/wordprocessingShape">
                  <wps:wsp>
                    <wps:cNvSpPr/>
                    <wps:spPr>
                      <a:xfrm>
                        <a:off x="0" y="0"/>
                        <a:ext cx="179565" cy="139674"/>
                      </a:xfrm>
                      <a:prstGeom prst="rect">
                        <a:avLst/>
                      </a:prstGeom>
                      <a:noFill/>
                      <a:ln w="9525" cap="flat" cmpd="sng">
                        <a:noFill/>
                        <a:prstDash val="solid"/>
                        <a:round/>
                      </a:ln>
                      <a:effectLst/>
                    </wps:spPr>
                    <wps:txbx>
                      <w:txbxContent>
                        <w:p>
                          <w:pPr>
                            <w:pStyle w:val="20"/>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1pt;width:14.15pt;mso-position-horizontal:center;mso-position-horizontal-relative:margin;mso-wrap-style:none;z-index:251661312;mso-width-relative:page;mso-height-relative:page;" filled="f" stroked="f" coordsize="21600,21600" o:gfxdata="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0fMjoIAQAAAwEAAA8AAAAAAAAAAQAgAAAAIgAAAGRycy9kb3ducmV2&#10;LnhtbFBLAQIUABQAAAAIAIdO4kBTM4K+BQIAAP8DAAAOAAAAAAAAAAEAIAAAAFcBAABkcnMvZTJv&#10;RG9jLnhtbFBLBQYAAAAABgAGAFkBAADOBQAAAAA=&#10;">
              <v:fill on="f" focussize="0,0"/>
              <v:stroke on="f" joinstyle="round"/>
              <v:imagedata o:title=""/>
              <o:lock v:ext="edit" aspectratio="f"/>
              <v:textbox inset="0mm,0mm,0mm,0mm" style="mso-fit-shape-to-text:t;">
                <w:txbxContent>
                  <w:p>
                    <w:pPr>
                      <w:pStyle w:val="20"/>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rect>
          </w:pict>
        </mc:Fallback>
      </mc:AlternateContent>
    </w:r>
  </w:p>
  <w:p>
    <w:pPr>
      <w:pStyle w:val="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3F0357"/>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34D0622"/>
    <w:rsid w:val="040D4A4B"/>
    <w:rsid w:val="047E2524"/>
    <w:rsid w:val="122F092F"/>
    <w:rsid w:val="14A15C19"/>
    <w:rsid w:val="14C20F18"/>
    <w:rsid w:val="15665A09"/>
    <w:rsid w:val="172507B5"/>
    <w:rsid w:val="17EC378B"/>
    <w:rsid w:val="190949D1"/>
    <w:rsid w:val="1CE41EDC"/>
    <w:rsid w:val="207872A1"/>
    <w:rsid w:val="218A19EB"/>
    <w:rsid w:val="22BD492A"/>
    <w:rsid w:val="292D775B"/>
    <w:rsid w:val="2E421E4D"/>
    <w:rsid w:val="2EB771D0"/>
    <w:rsid w:val="2F1160D1"/>
    <w:rsid w:val="34F7633C"/>
    <w:rsid w:val="3A1B4DE1"/>
    <w:rsid w:val="3E37559F"/>
    <w:rsid w:val="42960709"/>
    <w:rsid w:val="495B575C"/>
    <w:rsid w:val="4C3A530E"/>
    <w:rsid w:val="4F2066D0"/>
    <w:rsid w:val="50996399"/>
    <w:rsid w:val="52D25DD9"/>
    <w:rsid w:val="5368490F"/>
    <w:rsid w:val="536F0708"/>
    <w:rsid w:val="56DE5BF6"/>
    <w:rsid w:val="57F91FFA"/>
    <w:rsid w:val="5DFF9CA2"/>
    <w:rsid w:val="60AE53F2"/>
    <w:rsid w:val="634E45AF"/>
    <w:rsid w:val="636F4F70"/>
    <w:rsid w:val="63F357F2"/>
    <w:rsid w:val="64FF6896"/>
    <w:rsid w:val="650236C7"/>
    <w:rsid w:val="65A925DE"/>
    <w:rsid w:val="65AD6236"/>
    <w:rsid w:val="67202BA4"/>
    <w:rsid w:val="6DC54152"/>
    <w:rsid w:val="702B443B"/>
    <w:rsid w:val="720E4873"/>
    <w:rsid w:val="73724F92"/>
    <w:rsid w:val="770716F8"/>
    <w:rsid w:val="77EF6C01"/>
    <w:rsid w:val="78FD18FF"/>
    <w:rsid w:val="7D4635F6"/>
    <w:rsid w:val="7E5B225A"/>
    <w:rsid w:val="7E7C5D2A"/>
    <w:rsid w:val="7F1C272E"/>
    <w:rsid w:val="BD36497C"/>
    <w:rsid w:val="FBF704B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1"/>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2"/>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3"/>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5"/>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60"/>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8"/>
    <w:unhideWhenUsed/>
    <w:qFormat/>
    <w:uiPriority w:val="0"/>
    <w:pPr>
      <w:jc w:val="left"/>
    </w:pPr>
  </w:style>
  <w:style w:type="paragraph" w:styleId="11">
    <w:name w:val="Body Text"/>
    <w:basedOn w:val="1"/>
    <w:link w:val="99"/>
    <w:qFormat/>
    <w:uiPriority w:val="0"/>
    <w:rPr>
      <w:rFonts w:ascii="仿宋_GB2312" w:eastAsia="仿宋_GB2312"/>
      <w:sz w:val="32"/>
      <w:lang w:val="zh-CN" w:eastAsia="zh-CN"/>
    </w:rPr>
  </w:style>
  <w:style w:type="paragraph" w:styleId="12">
    <w:name w:val="Body Text Indent"/>
    <w:basedOn w:val="1"/>
    <w:link w:val="91"/>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2"/>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7"/>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3"/>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70"/>
    <w:qFormat/>
    <w:uiPriority w:val="0"/>
    <w:rPr>
      <w:rFonts w:asciiTheme="minorHAnsi" w:hAnsiTheme="minorHAnsi" w:eastAsiaTheme="minorEastAsia" w:cstheme="minorBidi"/>
      <w:sz w:val="18"/>
      <w:szCs w:val="18"/>
    </w:rPr>
  </w:style>
  <w:style w:type="paragraph" w:styleId="20">
    <w:name w:val="footer"/>
    <w:basedOn w:val="1"/>
    <w:link w:val="56"/>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4"/>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1"/>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2"/>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7"/>
    <w:qFormat/>
    <w:uiPriority w:val="0"/>
    <w:rPr>
      <w:rFonts w:asciiTheme="minorHAnsi" w:hAnsiTheme="minorHAnsi" w:eastAsiaTheme="minorEastAsia" w:cstheme="minorBidi"/>
      <w:b/>
      <w:bCs/>
      <w:szCs w:val="22"/>
    </w:rPr>
  </w:style>
  <w:style w:type="paragraph" w:styleId="32">
    <w:name w:val="Body Text First Indent 2"/>
    <w:basedOn w:val="12"/>
    <w:next w:val="1"/>
    <w:qFormat/>
    <w:uiPriority w:val="0"/>
    <w:pPr>
      <w:ind w:left="420" w:firstLine="420"/>
    </w:pPr>
    <w:rPr>
      <w:sz w:val="21"/>
    </w:rPr>
  </w:style>
  <w:style w:type="table" w:styleId="34">
    <w:name w:val="Table Grid"/>
    <w:basedOn w:val="33"/>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basedOn w:val="35"/>
    <w:qFormat/>
    <w:uiPriority w:val="0"/>
    <w:rPr>
      <w:rFonts w:cs="Times New Roman"/>
      <w:color w:val="1F4F88"/>
      <w:u w:val="none"/>
    </w:rPr>
  </w:style>
  <w:style w:type="character" w:styleId="40">
    <w:name w:val="annotation reference"/>
    <w:qFormat/>
    <w:uiPriority w:val="0"/>
    <w:rPr>
      <w:sz w:val="21"/>
      <w:szCs w:val="21"/>
    </w:rPr>
  </w:style>
  <w:style w:type="character" w:customStyle="1" w:styleId="41">
    <w:name w:val="标题 1 字符"/>
    <w:basedOn w:val="35"/>
    <w:link w:val="2"/>
    <w:qFormat/>
    <w:uiPriority w:val="0"/>
    <w:rPr>
      <w:rFonts w:ascii="Times New Roman" w:hAnsi="Times New Roman" w:eastAsia="宋体" w:cs="Times New Roman"/>
      <w:b/>
      <w:bCs/>
      <w:kern w:val="44"/>
      <w:sz w:val="44"/>
      <w:szCs w:val="44"/>
      <w:lang w:val="zh-CN" w:eastAsia="zh-CN"/>
    </w:rPr>
  </w:style>
  <w:style w:type="character" w:customStyle="1" w:styleId="42">
    <w:name w:val="标题 2 字符"/>
    <w:basedOn w:val="35"/>
    <w:link w:val="3"/>
    <w:qFormat/>
    <w:uiPriority w:val="0"/>
    <w:rPr>
      <w:rFonts w:ascii="Arial" w:hAnsi="Arial" w:eastAsia="黑体" w:cs="Times New Roman"/>
      <w:b/>
      <w:bCs/>
      <w:sz w:val="32"/>
      <w:szCs w:val="32"/>
      <w:lang w:val="zh-CN" w:eastAsia="zh-CN"/>
    </w:rPr>
  </w:style>
  <w:style w:type="character" w:customStyle="1" w:styleId="43">
    <w:name w:val="标题 3 字符"/>
    <w:basedOn w:val="35"/>
    <w:link w:val="4"/>
    <w:qFormat/>
    <w:uiPriority w:val="0"/>
    <w:rPr>
      <w:rFonts w:ascii="Times New Roman" w:hAnsi="Times New Roman" w:eastAsia="宋体" w:cs="Times New Roman"/>
      <w:b/>
      <w:bCs/>
      <w:sz w:val="32"/>
      <w:szCs w:val="32"/>
      <w:lang w:val="zh-CN" w:eastAsia="zh-CN"/>
    </w:rPr>
  </w:style>
  <w:style w:type="character" w:customStyle="1" w:styleId="44">
    <w:name w:val="标题 4 字符"/>
    <w:basedOn w:val="35"/>
    <w:semiHidden/>
    <w:qFormat/>
    <w:uiPriority w:val="9"/>
    <w:rPr>
      <w:rFonts w:asciiTheme="majorHAnsi" w:hAnsiTheme="majorHAnsi" w:eastAsiaTheme="majorEastAsia" w:cstheme="majorBidi"/>
      <w:b/>
      <w:bCs/>
      <w:sz w:val="28"/>
      <w:szCs w:val="28"/>
    </w:rPr>
  </w:style>
  <w:style w:type="character" w:customStyle="1" w:styleId="45">
    <w:name w:val="标题 4 字符1"/>
    <w:link w:val="5"/>
    <w:semiHidden/>
    <w:qFormat/>
    <w:uiPriority w:val="0"/>
    <w:rPr>
      <w:rFonts w:ascii="Cambria" w:hAnsi="Cambria" w:eastAsia="宋体" w:cs="Times New Roman"/>
      <w:b/>
      <w:bCs/>
      <w:sz w:val="28"/>
      <w:szCs w:val="28"/>
      <w:lang w:val="zh-CN" w:eastAsia="zh-CN"/>
    </w:rPr>
  </w:style>
  <w:style w:type="character" w:customStyle="1" w:styleId="46">
    <w:name w:val="纯文本 Char"/>
    <w:qFormat/>
    <w:uiPriority w:val="0"/>
    <w:rPr>
      <w:rFonts w:ascii="宋体" w:hAnsi="Courier New" w:eastAsia="宋体"/>
      <w:kern w:val="2"/>
      <w:sz w:val="21"/>
      <w:lang w:val="en-US" w:eastAsia="zh-CN" w:bidi="ar-SA"/>
    </w:rPr>
  </w:style>
  <w:style w:type="character" w:customStyle="1" w:styleId="47">
    <w:name w:val="批注主题 字符"/>
    <w:link w:val="31"/>
    <w:qFormat/>
    <w:uiPriority w:val="0"/>
    <w:rPr>
      <w:b/>
      <w:bCs/>
    </w:rPr>
  </w:style>
  <w:style w:type="character" w:customStyle="1" w:styleId="48">
    <w:name w:val="批注文字 字符"/>
    <w:basedOn w:val="35"/>
    <w:link w:val="10"/>
    <w:qFormat/>
    <w:uiPriority w:val="0"/>
    <w:rPr>
      <w:rFonts w:ascii="Times New Roman" w:hAnsi="Times New Roman" w:eastAsia="宋体" w:cs="Times New Roman"/>
      <w:szCs w:val="20"/>
    </w:rPr>
  </w:style>
  <w:style w:type="character" w:customStyle="1" w:styleId="49">
    <w:name w:val="批注主题 字符1"/>
    <w:basedOn w:val="48"/>
    <w:semiHidden/>
    <w:qFormat/>
    <w:uiPriority w:val="99"/>
    <w:rPr>
      <w:rFonts w:ascii="Times New Roman" w:hAnsi="Times New Roman" w:eastAsia="宋体" w:cs="Times New Roman"/>
      <w:b/>
      <w:bCs/>
      <w:szCs w:val="20"/>
    </w:rPr>
  </w:style>
  <w:style w:type="character" w:customStyle="1" w:styleId="50">
    <w:name w:val="批注文字 字符1"/>
    <w:qFormat/>
    <w:uiPriority w:val="0"/>
    <w:rPr>
      <w:kern w:val="2"/>
      <w:sz w:val="21"/>
    </w:rPr>
  </w:style>
  <w:style w:type="character" w:customStyle="1" w:styleId="51">
    <w:name w:val="正文文本缩进 3 字符"/>
    <w:link w:val="26"/>
    <w:qFormat/>
    <w:uiPriority w:val="0"/>
    <w:rPr>
      <w:sz w:val="16"/>
      <w:szCs w:val="16"/>
    </w:rPr>
  </w:style>
  <w:style w:type="character" w:customStyle="1" w:styleId="52">
    <w:name w:val="正文文本缩进 3 字符1"/>
    <w:basedOn w:val="35"/>
    <w:semiHidden/>
    <w:qFormat/>
    <w:uiPriority w:val="99"/>
    <w:rPr>
      <w:rFonts w:ascii="Times New Roman" w:hAnsi="Times New Roman" w:eastAsia="宋体" w:cs="Times New Roman"/>
      <w:sz w:val="16"/>
      <w:szCs w:val="16"/>
    </w:rPr>
  </w:style>
  <w:style w:type="character" w:customStyle="1" w:styleId="53">
    <w:name w:val="正文文本缩进 2 字符"/>
    <w:link w:val="18"/>
    <w:qFormat/>
    <w:uiPriority w:val="0"/>
  </w:style>
  <w:style w:type="character" w:customStyle="1" w:styleId="54">
    <w:name w:val="正文文本缩进 2 字符1"/>
    <w:basedOn w:val="35"/>
    <w:semiHidden/>
    <w:qFormat/>
    <w:uiPriority w:val="99"/>
    <w:rPr>
      <w:rFonts w:ascii="Times New Roman" w:hAnsi="Times New Roman" w:eastAsia="宋体" w:cs="Times New Roman"/>
      <w:szCs w:val="20"/>
    </w:rPr>
  </w:style>
  <w:style w:type="character" w:customStyle="1" w:styleId="55">
    <w:name w:val="Char Char3"/>
    <w:qFormat/>
    <w:uiPriority w:val="0"/>
    <w:rPr>
      <w:rFonts w:ascii="宋体" w:hAnsi="Courier New" w:eastAsia="宋体"/>
      <w:kern w:val="2"/>
      <w:sz w:val="21"/>
      <w:lang w:val="en-US" w:eastAsia="zh-CN" w:bidi="ar-SA"/>
    </w:rPr>
  </w:style>
  <w:style w:type="character" w:customStyle="1" w:styleId="56">
    <w:name w:val="页脚 字符"/>
    <w:link w:val="20"/>
    <w:qFormat/>
    <w:uiPriority w:val="0"/>
    <w:rPr>
      <w:sz w:val="18"/>
      <w:szCs w:val="18"/>
    </w:rPr>
  </w:style>
  <w:style w:type="character" w:customStyle="1" w:styleId="57">
    <w:name w:val="页脚 字符1"/>
    <w:basedOn w:val="35"/>
    <w:semiHidden/>
    <w:qFormat/>
    <w:uiPriority w:val="99"/>
    <w:rPr>
      <w:rFonts w:ascii="Times New Roman" w:hAnsi="Times New Roman" w:eastAsia="宋体" w:cs="Times New Roman"/>
      <w:sz w:val="18"/>
      <w:szCs w:val="18"/>
    </w:rPr>
  </w:style>
  <w:style w:type="character" w:customStyle="1" w:styleId="58">
    <w:name w:val="标书一级标题 字符"/>
    <w:link w:val="59"/>
    <w:qFormat/>
    <w:uiPriority w:val="0"/>
    <w:rPr>
      <w:rFonts w:eastAsia="黑体"/>
      <w:bCs/>
      <w:color w:val="000000"/>
      <w:kern w:val="44"/>
      <w:sz w:val="30"/>
      <w:szCs w:val="24"/>
    </w:rPr>
  </w:style>
  <w:style w:type="paragraph" w:customStyle="1" w:styleId="59">
    <w:name w:val="标书一级标题"/>
    <w:basedOn w:val="2"/>
    <w:link w:val="58"/>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60">
    <w:name w:val="文档结构图 字符"/>
    <w:link w:val="8"/>
    <w:qFormat/>
    <w:uiPriority w:val="0"/>
    <w:rPr>
      <w:sz w:val="24"/>
      <w:szCs w:val="24"/>
      <w:shd w:val="clear" w:color="auto" w:fill="000080"/>
    </w:rPr>
  </w:style>
  <w:style w:type="character" w:customStyle="1" w:styleId="61">
    <w:name w:val="文档结构图 字符1"/>
    <w:basedOn w:val="35"/>
    <w:semiHidden/>
    <w:qFormat/>
    <w:uiPriority w:val="99"/>
    <w:rPr>
      <w:rFonts w:ascii="Microsoft YaHei UI" w:hAnsi="Times New Roman" w:eastAsia="Microsoft YaHei UI" w:cs="Times New Roman"/>
      <w:sz w:val="18"/>
      <w:szCs w:val="18"/>
    </w:rPr>
  </w:style>
  <w:style w:type="character" w:customStyle="1" w:styleId="62">
    <w:name w:val="纯文本 字符1"/>
    <w:link w:val="15"/>
    <w:qFormat/>
    <w:uiPriority w:val="0"/>
    <w:rPr>
      <w:rFonts w:ascii="宋体" w:hAnsi="Courier New" w:eastAsia="宋体"/>
    </w:rPr>
  </w:style>
  <w:style w:type="character" w:customStyle="1" w:styleId="63">
    <w:name w:val="纯文本 字符"/>
    <w:basedOn w:val="35"/>
    <w:qFormat/>
    <w:uiPriority w:val="0"/>
    <w:rPr>
      <w:rFonts w:hAnsi="Courier New" w:cs="Courier New" w:asciiTheme="minorEastAsia"/>
      <w:szCs w:val="20"/>
    </w:rPr>
  </w:style>
  <w:style w:type="character" w:customStyle="1" w:styleId="64">
    <w:name w:val="页眉 字符"/>
    <w:link w:val="21"/>
    <w:qFormat/>
    <w:uiPriority w:val="0"/>
    <w:rPr>
      <w:rFonts w:eastAsia="宋体"/>
      <w:sz w:val="18"/>
      <w:szCs w:val="18"/>
    </w:rPr>
  </w:style>
  <w:style w:type="character" w:customStyle="1" w:styleId="65">
    <w:name w:val="页眉 字符1"/>
    <w:basedOn w:val="35"/>
    <w:semiHidden/>
    <w:qFormat/>
    <w:uiPriority w:val="99"/>
    <w:rPr>
      <w:rFonts w:ascii="Times New Roman" w:hAnsi="Times New Roman" w:eastAsia="宋体" w:cs="Times New Roman"/>
      <w:sz w:val="18"/>
      <w:szCs w:val="18"/>
    </w:rPr>
  </w:style>
  <w:style w:type="character" w:customStyle="1" w:styleId="66">
    <w:name w:val="apple-converted-space"/>
    <w:basedOn w:val="35"/>
    <w:qFormat/>
    <w:uiPriority w:val="0"/>
  </w:style>
  <w:style w:type="character" w:customStyle="1" w:styleId="67">
    <w:name w:val="日期 字符"/>
    <w:link w:val="17"/>
    <w:qFormat/>
    <w:uiPriority w:val="0"/>
    <w:rPr>
      <w:sz w:val="24"/>
      <w:szCs w:val="24"/>
    </w:rPr>
  </w:style>
  <w:style w:type="character" w:customStyle="1" w:styleId="68">
    <w:name w:val="日期 字符1"/>
    <w:basedOn w:val="35"/>
    <w:semiHidden/>
    <w:qFormat/>
    <w:uiPriority w:val="99"/>
    <w:rPr>
      <w:rFonts w:ascii="Times New Roman" w:hAnsi="Times New Roman" w:eastAsia="宋体" w:cs="Times New Roman"/>
      <w:szCs w:val="20"/>
    </w:rPr>
  </w:style>
  <w:style w:type="character" w:customStyle="1" w:styleId="69">
    <w:name w:val="Char Char2"/>
    <w:qFormat/>
    <w:uiPriority w:val="0"/>
    <w:rPr>
      <w:rFonts w:ascii="宋体" w:hAnsi="Courier New" w:cs="宋体"/>
      <w:kern w:val="2"/>
      <w:sz w:val="21"/>
      <w:szCs w:val="21"/>
    </w:rPr>
  </w:style>
  <w:style w:type="character" w:customStyle="1" w:styleId="70">
    <w:name w:val="批注框文本 字符"/>
    <w:link w:val="19"/>
    <w:qFormat/>
    <w:uiPriority w:val="0"/>
    <w:rPr>
      <w:sz w:val="18"/>
      <w:szCs w:val="18"/>
    </w:rPr>
  </w:style>
  <w:style w:type="character" w:customStyle="1" w:styleId="71">
    <w:name w:val="批注框文本 字符1"/>
    <w:basedOn w:val="35"/>
    <w:semiHidden/>
    <w:qFormat/>
    <w:uiPriority w:val="99"/>
    <w:rPr>
      <w:rFonts w:ascii="Times New Roman" w:hAnsi="Times New Roman" w:eastAsia="宋体" w:cs="Times New Roman"/>
      <w:sz w:val="18"/>
      <w:szCs w:val="18"/>
    </w:rPr>
  </w:style>
  <w:style w:type="character" w:customStyle="1" w:styleId="72">
    <w:name w:val="标题 字符"/>
    <w:link w:val="30"/>
    <w:qFormat/>
    <w:uiPriority w:val="0"/>
    <w:rPr>
      <w:rFonts w:ascii="Arial" w:hAnsi="Arial" w:cs="Arial"/>
      <w:b/>
      <w:bCs/>
      <w:sz w:val="32"/>
      <w:szCs w:val="32"/>
    </w:rPr>
  </w:style>
  <w:style w:type="character" w:customStyle="1" w:styleId="73">
    <w:name w:val="标题 字符1"/>
    <w:basedOn w:val="35"/>
    <w:qFormat/>
    <w:uiPriority w:val="10"/>
    <w:rPr>
      <w:rFonts w:asciiTheme="majorHAnsi" w:hAnsiTheme="majorHAnsi" w:eastAsiaTheme="majorEastAsia" w:cstheme="majorBidi"/>
      <w:b/>
      <w:bCs/>
      <w:sz w:val="32"/>
      <w:szCs w:val="32"/>
    </w:rPr>
  </w:style>
  <w:style w:type="character" w:customStyle="1" w:styleId="74">
    <w:name w:val="BODY TEXT Char"/>
    <w:link w:val="75"/>
    <w:qFormat/>
    <w:uiPriority w:val="0"/>
    <w:rPr>
      <w:rFonts w:eastAsia="新宋体"/>
      <w:szCs w:val="21"/>
    </w:rPr>
  </w:style>
  <w:style w:type="paragraph" w:customStyle="1" w:styleId="75">
    <w:name w:val="正文文本1"/>
    <w:basedOn w:val="1"/>
    <w:link w:val="74"/>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6">
    <w:name w:val="HTML Markup"/>
    <w:qFormat/>
    <w:uiPriority w:val="0"/>
    <w:rPr>
      <w:vanish/>
      <w:color w:val="FF0000"/>
    </w:rPr>
  </w:style>
  <w:style w:type="character" w:customStyle="1" w:styleId="77">
    <w:name w:val="Char Char5"/>
    <w:qFormat/>
    <w:uiPriority w:val="0"/>
    <w:rPr>
      <w:rFonts w:ascii="宋体" w:hAnsi="Courier New" w:eastAsia="宋体"/>
      <w:kern w:val="2"/>
      <w:sz w:val="21"/>
      <w:lang w:val="en-US" w:eastAsia="zh-CN" w:bidi="ar-SA"/>
    </w:rPr>
  </w:style>
  <w:style w:type="character" w:customStyle="1" w:styleId="78">
    <w:name w:val="标书正文格式 字符"/>
    <w:link w:val="79"/>
    <w:qFormat/>
    <w:uiPriority w:val="0"/>
    <w:rPr>
      <w:rFonts w:ascii="宋体" w:hAnsi="宋体"/>
      <w:color w:val="000000"/>
      <w:sz w:val="24"/>
      <w:szCs w:val="24"/>
    </w:rPr>
  </w:style>
  <w:style w:type="paragraph" w:customStyle="1" w:styleId="79">
    <w:name w:val="标书正文格式"/>
    <w:basedOn w:val="15"/>
    <w:link w:val="78"/>
    <w:qFormat/>
    <w:uiPriority w:val="0"/>
    <w:pPr>
      <w:spacing w:line="360" w:lineRule="auto"/>
      <w:ind w:firstLine="200" w:firstLineChars="200"/>
    </w:pPr>
    <w:rPr>
      <w:rFonts w:hAnsi="宋体" w:eastAsiaTheme="minorEastAsia"/>
      <w:color w:val="000000"/>
      <w:sz w:val="24"/>
      <w:szCs w:val="24"/>
    </w:rPr>
  </w:style>
  <w:style w:type="character" w:customStyle="1" w:styleId="80">
    <w:name w:val="标书二级标题 字符"/>
    <w:link w:val="81"/>
    <w:qFormat/>
    <w:uiPriority w:val="0"/>
    <w:rPr>
      <w:rFonts w:ascii="宋体" w:hAnsi="宋体" w:eastAsia="黑体"/>
      <w:bCs/>
      <w:sz w:val="28"/>
      <w:szCs w:val="30"/>
    </w:rPr>
  </w:style>
  <w:style w:type="paragraph" w:customStyle="1" w:styleId="81">
    <w:name w:val="标书二级标题"/>
    <w:basedOn w:val="3"/>
    <w:link w:val="80"/>
    <w:qFormat/>
    <w:uiPriority w:val="0"/>
    <w:pPr>
      <w:spacing w:before="0" w:after="0" w:line="240" w:lineRule="auto"/>
      <w:jc w:val="left"/>
    </w:pPr>
    <w:rPr>
      <w:rFonts w:ascii="宋体" w:hAnsi="宋体" w:cstheme="minorBidi"/>
      <w:b w:val="0"/>
      <w:sz w:val="28"/>
      <w:szCs w:val="30"/>
      <w:lang w:val="en-US" w:eastAsia="zh-CN"/>
    </w:rPr>
  </w:style>
  <w:style w:type="character" w:customStyle="1" w:styleId="82">
    <w:name w:val="标书表格 字符"/>
    <w:link w:val="83"/>
    <w:qFormat/>
    <w:uiPriority w:val="0"/>
    <w:rPr>
      <w:b/>
    </w:rPr>
  </w:style>
  <w:style w:type="paragraph" w:customStyle="1" w:styleId="83">
    <w:name w:val="标书表格"/>
    <w:basedOn w:val="1"/>
    <w:link w:val="82"/>
    <w:qFormat/>
    <w:uiPriority w:val="0"/>
    <w:pPr>
      <w:jc w:val="center"/>
    </w:pPr>
    <w:rPr>
      <w:rFonts w:asciiTheme="minorHAnsi" w:hAnsiTheme="minorHAnsi" w:eastAsiaTheme="minorEastAsia" w:cstheme="minorBidi"/>
      <w:b/>
      <w:szCs w:val="22"/>
    </w:rPr>
  </w:style>
  <w:style w:type="character" w:customStyle="1" w:styleId="84">
    <w:name w:val="标书三级标题 字符"/>
    <w:link w:val="85"/>
    <w:qFormat/>
    <w:uiPriority w:val="0"/>
    <w:rPr>
      <w:b/>
      <w:bCs/>
      <w:color w:val="000000"/>
      <w:sz w:val="24"/>
      <w:szCs w:val="24"/>
    </w:rPr>
  </w:style>
  <w:style w:type="paragraph" w:customStyle="1" w:styleId="85">
    <w:name w:val="标书三级标题"/>
    <w:basedOn w:val="4"/>
    <w:next w:val="79"/>
    <w:link w:val="84"/>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6">
    <w:name w:val="标正文 字符"/>
    <w:link w:val="87"/>
    <w:qFormat/>
    <w:uiPriority w:val="0"/>
    <w:rPr>
      <w:rFonts w:ascii="宋体" w:hAnsi="宋体"/>
      <w:color w:val="000000"/>
      <w:sz w:val="24"/>
      <w:szCs w:val="24"/>
    </w:rPr>
  </w:style>
  <w:style w:type="paragraph" w:customStyle="1" w:styleId="87">
    <w:name w:val="标正文"/>
    <w:basedOn w:val="79"/>
    <w:link w:val="86"/>
    <w:qFormat/>
    <w:uiPriority w:val="0"/>
  </w:style>
  <w:style w:type="character" w:customStyle="1" w:styleId="88">
    <w:name w:val="标三级标题 字符"/>
    <w:link w:val="89"/>
    <w:qFormat/>
    <w:uiPriority w:val="0"/>
    <w:rPr>
      <w:b/>
      <w:bCs/>
      <w:color w:val="000000"/>
      <w:sz w:val="24"/>
      <w:szCs w:val="24"/>
    </w:rPr>
  </w:style>
  <w:style w:type="paragraph" w:customStyle="1" w:styleId="89">
    <w:name w:val="标三级标题"/>
    <w:basedOn w:val="85"/>
    <w:link w:val="88"/>
    <w:qFormat/>
    <w:uiPriority w:val="0"/>
  </w:style>
  <w:style w:type="character" w:customStyle="1" w:styleId="90">
    <w:name w:val="正文文本缩进 字符"/>
    <w:basedOn w:val="35"/>
    <w:semiHidden/>
    <w:qFormat/>
    <w:uiPriority w:val="99"/>
    <w:rPr>
      <w:rFonts w:ascii="Times New Roman" w:hAnsi="Times New Roman" w:eastAsia="宋体" w:cs="Times New Roman"/>
      <w:szCs w:val="20"/>
    </w:rPr>
  </w:style>
  <w:style w:type="character" w:customStyle="1" w:styleId="91">
    <w:name w:val="正文文本缩进 字符1"/>
    <w:link w:val="12"/>
    <w:qFormat/>
    <w:uiPriority w:val="0"/>
    <w:rPr>
      <w:rFonts w:ascii="Times New Roman" w:hAnsi="Times New Roman" w:eastAsia="宋体" w:cs="Times New Roman"/>
      <w:szCs w:val="20"/>
      <w:lang w:val="zh-CN" w:eastAsia="zh-CN"/>
    </w:rPr>
  </w:style>
  <w:style w:type="paragraph" w:customStyle="1" w:styleId="9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列表段落1"/>
    <w:basedOn w:val="1"/>
    <w:qFormat/>
    <w:uiPriority w:val="0"/>
    <w:pPr>
      <w:ind w:firstLine="420" w:firstLineChars="200"/>
    </w:pPr>
    <w:rPr>
      <w:rFonts w:ascii="Calibri" w:hAnsi="Calibri"/>
      <w:szCs w:val="22"/>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7">
    <w:name w:val="1列"/>
    <w:basedOn w:val="1"/>
    <w:qFormat/>
    <w:uiPriority w:val="0"/>
    <w:pPr>
      <w:spacing w:line="360" w:lineRule="auto"/>
      <w:ind w:left="401" w:hanging="401" w:hangingChars="191"/>
    </w:pPr>
    <w:rPr>
      <w:szCs w:val="24"/>
    </w:rPr>
  </w:style>
  <w:style w:type="character" w:customStyle="1" w:styleId="98">
    <w:name w:val="正文文本 字符"/>
    <w:basedOn w:val="35"/>
    <w:semiHidden/>
    <w:qFormat/>
    <w:uiPriority w:val="99"/>
    <w:rPr>
      <w:rFonts w:ascii="Times New Roman" w:hAnsi="Times New Roman" w:eastAsia="宋体" w:cs="Times New Roman"/>
      <w:szCs w:val="20"/>
    </w:rPr>
  </w:style>
  <w:style w:type="character" w:customStyle="1" w:styleId="99">
    <w:name w:val="正文文本 字符1"/>
    <w:link w:val="11"/>
    <w:qFormat/>
    <w:uiPriority w:val="0"/>
    <w:rPr>
      <w:rFonts w:ascii="仿宋_GB2312" w:hAnsi="Times New Roman" w:eastAsia="仿宋_GB2312" w:cs="Times New Roman"/>
      <w:sz w:val="32"/>
      <w:szCs w:val="20"/>
      <w:lang w:val="zh-CN" w:eastAsia="zh-CN"/>
    </w:rPr>
  </w:style>
  <w:style w:type="paragraph" w:customStyle="1" w:styleId="100">
    <w:name w:val="Char Char Char Char Char Char Char"/>
    <w:basedOn w:val="1"/>
    <w:qFormat/>
    <w:uiPriority w:val="0"/>
    <w:rPr>
      <w:rFonts w:ascii="Verdana" w:hAnsi="Verdana"/>
      <w:kern w:val="0"/>
      <w:sz w:val="20"/>
      <w:lang w:eastAsia="en-US"/>
    </w:rPr>
  </w:style>
  <w:style w:type="paragraph" w:customStyle="1" w:styleId="10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4">
    <w:name w:val="二级列表 Char"/>
    <w:basedOn w:val="1"/>
    <w:qFormat/>
    <w:uiPriority w:val="0"/>
    <w:rPr>
      <w:rFonts w:ascii="Calibri" w:hAnsi="Calibri"/>
    </w:rPr>
  </w:style>
  <w:style w:type="paragraph" w:customStyle="1" w:styleId="105">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6">
    <w:name w:val="纯文本 Char2"/>
    <w:qFormat/>
    <w:uiPriority w:val="0"/>
    <w:rPr>
      <w:rFonts w:ascii="宋体" w:hAnsi="Courier New" w:eastAsia="宋体"/>
      <w:kern w:val="2"/>
      <w:sz w:val="21"/>
      <w:lang w:val="en-US" w:eastAsia="zh-CN" w:bidi="ar-SA"/>
    </w:rPr>
  </w:style>
  <w:style w:type="character" w:customStyle="1" w:styleId="107">
    <w:name w:val="HR正文 Char1"/>
    <w:link w:val="108"/>
    <w:qFormat/>
    <w:uiPriority w:val="0"/>
    <w:rPr>
      <w:sz w:val="24"/>
      <w:szCs w:val="24"/>
    </w:rPr>
  </w:style>
  <w:style w:type="paragraph" w:customStyle="1" w:styleId="108">
    <w:name w:val="HR正文"/>
    <w:basedOn w:val="1"/>
    <w:link w:val="107"/>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9">
    <w:name w:val="纯文本 Char1"/>
    <w:qFormat/>
    <w:uiPriority w:val="0"/>
    <w:rPr>
      <w:rFonts w:ascii="宋体" w:hAnsi="Courier New"/>
      <w:kern w:val="2"/>
      <w:sz w:val="21"/>
    </w:rPr>
  </w:style>
  <w:style w:type="paragraph" w:customStyle="1" w:styleId="110">
    <w:name w:val="标题4"/>
    <w:basedOn w:val="5"/>
    <w:qFormat/>
    <w:uiPriority w:val="0"/>
    <w:pPr>
      <w:keepLines w:val="0"/>
      <w:spacing w:before="240" w:after="60" w:line="240" w:lineRule="auto"/>
    </w:pPr>
    <w:rPr>
      <w:rFonts w:ascii="Times New Roman" w:hAnsi="Times New Roman"/>
    </w:rPr>
  </w:style>
  <w:style w:type="character" w:customStyle="1" w:styleId="111">
    <w:name w:val="页脚 Char1"/>
    <w:qFormat/>
    <w:uiPriority w:val="0"/>
    <w:rPr>
      <w:rFonts w:hint="default" w:ascii="Times New Roman" w:hAnsi="Times New Roman" w:eastAsia="宋体" w:cs="Times New Roman"/>
      <w:sz w:val="18"/>
      <w:szCs w:val="18"/>
    </w:rPr>
  </w:style>
  <w:style w:type="character" w:customStyle="1" w:styleId="112">
    <w:name w:val="页眉 Char1"/>
    <w:qFormat/>
    <w:uiPriority w:val="0"/>
    <w:rPr>
      <w:rFonts w:hint="default" w:ascii="Times New Roman" w:hAnsi="Times New Roman" w:eastAsia="宋体" w:cs="Times New Roman"/>
      <w:sz w:val="18"/>
      <w:szCs w:val="18"/>
    </w:rPr>
  </w:style>
  <w:style w:type="paragraph" w:customStyle="1" w:styleId="113">
    <w:name w:val="列出段落1"/>
    <w:basedOn w:val="1"/>
    <w:qFormat/>
    <w:uiPriority w:val="99"/>
    <w:pPr>
      <w:ind w:firstLine="420" w:firstLineChars="200"/>
    </w:pPr>
    <w:rPr>
      <w:rFonts w:ascii="Calibri" w:hAnsi="Calibri"/>
      <w:szCs w:val="22"/>
    </w:rPr>
  </w:style>
  <w:style w:type="paragraph" w:customStyle="1" w:styleId="114">
    <w:name w:val="List Paragraph1"/>
    <w:basedOn w:val="1"/>
    <w:qFormat/>
    <w:uiPriority w:val="99"/>
    <w:pPr>
      <w:ind w:firstLine="420" w:firstLineChars="200"/>
    </w:pPr>
    <w:rPr>
      <w:szCs w:val="24"/>
    </w:rPr>
  </w:style>
  <w:style w:type="character" w:customStyle="1" w:styleId="115">
    <w:name w:val="font51"/>
    <w:qFormat/>
    <w:uiPriority w:val="0"/>
    <w:rPr>
      <w:rFonts w:hint="eastAsia" w:ascii="宋体" w:hAnsi="宋体" w:eastAsia="宋体"/>
      <w:color w:val="000000"/>
      <w:sz w:val="18"/>
      <w:szCs w:val="18"/>
      <w:u w:val="none"/>
    </w:rPr>
  </w:style>
  <w:style w:type="character" w:customStyle="1" w:styleId="116">
    <w:name w:val="font111"/>
    <w:qFormat/>
    <w:uiPriority w:val="0"/>
    <w:rPr>
      <w:rFonts w:hint="default" w:ascii="Times New Roman" w:hAnsi="Times New Roman" w:cs="Times New Roman"/>
      <w:color w:val="000000"/>
      <w:sz w:val="18"/>
      <w:szCs w:val="18"/>
      <w:u w:val="none"/>
    </w:rPr>
  </w:style>
  <w:style w:type="character" w:customStyle="1" w:styleId="117">
    <w:name w:val="font101"/>
    <w:basedOn w:val="35"/>
    <w:qFormat/>
    <w:uiPriority w:val="0"/>
    <w:rPr>
      <w:rFonts w:hint="eastAsia" w:ascii="宋体" w:hAnsi="宋体" w:eastAsia="宋体"/>
      <w:color w:val="000000"/>
      <w:sz w:val="18"/>
      <w:szCs w:val="18"/>
      <w:u w:val="none"/>
    </w:rPr>
  </w:style>
  <w:style w:type="character" w:customStyle="1" w:styleId="118">
    <w:name w:val="font61"/>
    <w:qFormat/>
    <w:uiPriority w:val="0"/>
    <w:rPr>
      <w:rFonts w:hint="eastAsia" w:ascii="宋体" w:hAnsi="宋体" w:eastAsia="宋体"/>
      <w:color w:val="000000"/>
      <w:sz w:val="18"/>
      <w:szCs w:val="18"/>
      <w:u w:val="none"/>
    </w:rPr>
  </w:style>
  <w:style w:type="character" w:customStyle="1" w:styleId="119">
    <w:name w:val="font121"/>
    <w:qFormat/>
    <w:uiPriority w:val="0"/>
    <w:rPr>
      <w:rFonts w:hint="default" w:ascii="Times New Roman" w:hAnsi="Times New Roman" w:cs="Times New Roman"/>
      <w:color w:val="000000"/>
      <w:sz w:val="18"/>
      <w:szCs w:val="18"/>
      <w:u w:val="none"/>
    </w:rPr>
  </w:style>
  <w:style w:type="character" w:customStyle="1" w:styleId="120">
    <w:name w:val="标题 1 Char"/>
    <w:qFormat/>
    <w:uiPriority w:val="9"/>
    <w:rPr>
      <w:b/>
      <w:bCs/>
      <w:kern w:val="44"/>
      <w:sz w:val="44"/>
      <w:szCs w:val="44"/>
    </w:rPr>
  </w:style>
  <w:style w:type="character" w:customStyle="1" w:styleId="121">
    <w:name w:val="标题 Char"/>
    <w:qFormat/>
    <w:uiPriority w:val="10"/>
    <w:rPr>
      <w:rFonts w:ascii="Cambria" w:hAnsi="Cambria" w:cs="Times New Roman"/>
      <w:b/>
      <w:bCs/>
      <w:kern w:val="2"/>
      <w:sz w:val="32"/>
      <w:szCs w:val="32"/>
    </w:rPr>
  </w:style>
  <w:style w:type="character" w:customStyle="1" w:styleId="122">
    <w:name w:val="font81"/>
    <w:basedOn w:val="35"/>
    <w:qFormat/>
    <w:uiPriority w:val="0"/>
    <w:rPr>
      <w:rFonts w:hint="eastAsia" w:ascii="宋体" w:hAnsi="宋体" w:eastAsia="宋体"/>
      <w:color w:val="000000"/>
      <w:sz w:val="18"/>
      <w:szCs w:val="18"/>
      <w:u w:val="none"/>
    </w:rPr>
  </w:style>
  <w:style w:type="character" w:customStyle="1" w:styleId="123">
    <w:name w:val="font21"/>
    <w:qFormat/>
    <w:uiPriority w:val="0"/>
    <w:rPr>
      <w:rFonts w:hint="default" w:ascii="Times New Roman" w:hAnsi="Times New Roman" w:cs="Times New Roman"/>
      <w:color w:val="000000"/>
      <w:sz w:val="18"/>
      <w:szCs w:val="18"/>
      <w:u w:val="none"/>
    </w:rPr>
  </w:style>
  <w:style w:type="character" w:customStyle="1" w:styleId="124">
    <w:name w:val="font11"/>
    <w:qFormat/>
    <w:uiPriority w:val="0"/>
    <w:rPr>
      <w:rFonts w:hint="eastAsia" w:ascii="宋体" w:hAnsi="宋体" w:eastAsia="宋体"/>
      <w:color w:val="000000"/>
      <w:sz w:val="18"/>
      <w:szCs w:val="18"/>
      <w:u w:val="none"/>
    </w:rPr>
  </w:style>
  <w:style w:type="character" w:customStyle="1" w:styleId="125">
    <w:name w:val="font91"/>
    <w:basedOn w:val="35"/>
    <w:qFormat/>
    <w:uiPriority w:val="0"/>
    <w:rPr>
      <w:rFonts w:hint="eastAsia" w:ascii="宋体" w:hAnsi="宋体" w:eastAsia="宋体"/>
      <w:color w:val="000000"/>
      <w:sz w:val="18"/>
      <w:szCs w:val="18"/>
      <w:u w:val="none"/>
    </w:rPr>
  </w:style>
  <w:style w:type="character" w:customStyle="1" w:styleId="126">
    <w:name w:val="font71"/>
    <w:basedOn w:val="35"/>
    <w:qFormat/>
    <w:uiPriority w:val="0"/>
    <w:rPr>
      <w:rFonts w:hint="eastAsia" w:ascii="宋体" w:hAnsi="宋体" w:eastAsia="宋体"/>
      <w:color w:val="000000"/>
      <w:sz w:val="18"/>
      <w:szCs w:val="18"/>
      <w:u w:val="none"/>
    </w:rPr>
  </w:style>
  <w:style w:type="paragraph" w:customStyle="1" w:styleId="12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9">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0">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2">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4">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5">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6">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8">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4">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7">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8">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9">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4">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5">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9">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1">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3">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4">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7">
    <w:name w:val="列出段落11"/>
    <w:basedOn w:val="1"/>
    <w:qFormat/>
    <w:uiPriority w:val="34"/>
    <w:pPr>
      <w:ind w:firstLine="420" w:firstLineChars="200"/>
    </w:pPr>
    <w:rPr>
      <w:rFonts w:ascii="Times New Roman" w:hAnsi="Times New Roman" w:cs="Times New Roman"/>
      <w:sz w:val="21"/>
      <w:szCs w:val="20"/>
    </w:rPr>
  </w:style>
  <w:style w:type="paragraph" w:customStyle="1" w:styleId="168">
    <w:name w:val="Table Paragraph"/>
    <w:basedOn w:val="1"/>
    <w:qFormat/>
    <w:uiPriority w:val="1"/>
  </w:style>
  <w:style w:type="character" w:customStyle="1" w:styleId="169">
    <w:name w:val="font31"/>
    <w:basedOn w:val="35"/>
    <w:qFormat/>
    <w:uiPriority w:val="0"/>
    <w:rPr>
      <w:rFonts w:hint="eastAsia" w:ascii="微软雅黑" w:hAnsi="微软雅黑" w:eastAsia="微软雅黑" w:cs="微软雅黑"/>
      <w:b/>
      <w:bCs/>
      <w:color w:val="000000"/>
      <w:sz w:val="32"/>
      <w:szCs w:val="32"/>
      <w:u w:val="none"/>
    </w:rPr>
  </w:style>
  <w:style w:type="character" w:customStyle="1" w:styleId="170">
    <w:name w:val="font41"/>
    <w:basedOn w:val="35"/>
    <w:qFormat/>
    <w:uiPriority w:val="0"/>
    <w:rPr>
      <w:rFonts w:hint="eastAsia" w:ascii="微软雅黑" w:hAnsi="微软雅黑" w:eastAsia="微软雅黑" w:cs="微软雅黑"/>
      <w:color w:val="000000"/>
      <w:sz w:val="18"/>
      <w:szCs w:val="18"/>
      <w:u w:val="none"/>
    </w:rPr>
  </w:style>
  <w:style w:type="character" w:customStyle="1" w:styleId="171">
    <w:name w:val="font112"/>
    <w:basedOn w:val="3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8863</Words>
  <Characters>9243</Characters>
  <Lines>247</Lines>
  <Paragraphs>69</Paragraphs>
  <TotalTime>0</TotalTime>
  <ScaleCrop>false</ScaleCrop>
  <LinksUpToDate>false</LinksUpToDate>
  <CharactersWithSpaces>13472</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2021-12-10T15:38:00Z</dcterms:created>
  <dc:creator>JonMMx 2000</dc:creator>
  <cp:lastModifiedBy>JonMMx 2000</cp:lastModifiedBy>
  <dcterms:modified xsi:type="dcterms:W3CDTF">2026-07-27T17:47:32Z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