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20A4C">
      <w:pPr>
        <w:ind w:right="280"/>
        <w:jc w:val="both"/>
        <w:rPr>
          <w:rFonts w:hint="eastAsia" w:ascii="楷体_GB2312" w:hAnsi="宋体" w:eastAsia="楷体_GB2312"/>
          <w:sz w:val="52"/>
          <w:szCs w:val="52"/>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10C6BC4">
      <w:pPr>
        <w:ind w:right="280"/>
        <w:jc w:val="center"/>
        <w:rPr>
          <w:rFonts w:hint="eastAsia" w:ascii="楷体_GB2312" w:hAnsi="宋体" w:eastAsia="楷体_GB2312"/>
          <w:sz w:val="52"/>
          <w:szCs w:val="52"/>
        </w:rPr>
      </w:pPr>
    </w:p>
    <w:p w14:paraId="1211DD16">
      <w:pPr>
        <w:ind w:right="280"/>
        <w:jc w:val="center"/>
        <w:rPr>
          <w:rFonts w:hint="eastAsia" w:ascii="楷体_GB2312" w:hAnsi="宋体" w:eastAsia="楷体_GB2312"/>
          <w:sz w:val="52"/>
          <w:szCs w:val="52"/>
        </w:rPr>
      </w:pPr>
    </w:p>
    <w:p w14:paraId="65CCF810">
      <w:pPr>
        <w:ind w:right="280"/>
        <w:jc w:val="center"/>
        <w:rPr>
          <w:rFonts w:ascii="楷体_GB2312" w:hAnsi="宋体" w:eastAsia="楷体_GB2312"/>
          <w:sz w:val="52"/>
          <w:szCs w:val="52"/>
        </w:rPr>
      </w:pPr>
      <w:r>
        <w:rPr>
          <w:rFonts w:hint="eastAsia" w:ascii="楷体_GB2312" w:hAnsi="宋体" w:eastAsia="楷体_GB2312"/>
          <w:sz w:val="52"/>
          <w:szCs w:val="52"/>
        </w:rPr>
        <w:t>中国重汽集团杭州发动机有限公司</w:t>
      </w:r>
    </w:p>
    <w:p w14:paraId="05A5996E">
      <w:pPr>
        <w:ind w:right="280"/>
        <w:jc w:val="center"/>
        <w:rPr>
          <w:rFonts w:ascii="楷体_GB2312" w:hAnsi="宋体" w:eastAsia="楷体_GB2312"/>
          <w:sz w:val="52"/>
          <w:szCs w:val="52"/>
        </w:rPr>
      </w:pPr>
      <w:r>
        <w:rPr>
          <w:rFonts w:hint="eastAsia" w:ascii="楷体_GB2312" w:hAnsi="宋体" w:eastAsia="楷体_GB2312"/>
          <w:sz w:val="52"/>
          <w:szCs w:val="52"/>
          <w:u w:val="single"/>
        </w:rPr>
        <w:t>BMD造型线砂箱更新招标项目</w:t>
      </w:r>
    </w:p>
    <w:p w14:paraId="4CFF9D60">
      <w:pPr>
        <w:ind w:right="280"/>
        <w:jc w:val="center"/>
        <w:rPr>
          <w:sz w:val="28"/>
          <w:szCs w:val="28"/>
        </w:rPr>
      </w:pPr>
    </w:p>
    <w:p w14:paraId="24AF1B09">
      <w:pPr>
        <w:ind w:right="280"/>
        <w:jc w:val="center"/>
        <w:rPr>
          <w:sz w:val="28"/>
          <w:szCs w:val="28"/>
        </w:rPr>
      </w:pPr>
    </w:p>
    <w:p w14:paraId="3AB5D1DC">
      <w:pPr>
        <w:jc w:val="center"/>
        <w:rPr>
          <w:rFonts w:ascii="宋体" w:hAnsi="宋体" w:cs="宋体"/>
          <w:sz w:val="72"/>
          <w:szCs w:val="72"/>
        </w:rPr>
      </w:pPr>
      <w:r>
        <w:rPr>
          <w:rFonts w:hint="eastAsia" w:ascii="宋体" w:hAnsi="宋体" w:cs="宋体"/>
          <w:sz w:val="72"/>
          <w:szCs w:val="72"/>
        </w:rPr>
        <w:t>招标公告</w:t>
      </w:r>
    </w:p>
    <w:p w14:paraId="0F17E33E">
      <w:pPr>
        <w:jc w:val="center"/>
        <w:rPr>
          <w:rFonts w:ascii="宋体" w:hAnsi="宋体"/>
          <w:sz w:val="48"/>
          <w:szCs w:val="48"/>
        </w:rPr>
      </w:pPr>
    </w:p>
    <w:p w14:paraId="199440FF">
      <w:pPr>
        <w:jc w:val="center"/>
        <w:rPr>
          <w:rFonts w:ascii="宋体" w:hAnsi="宋体"/>
          <w:sz w:val="48"/>
          <w:szCs w:val="48"/>
        </w:rPr>
      </w:pPr>
    </w:p>
    <w:p w14:paraId="046407F3">
      <w:pPr>
        <w:jc w:val="center"/>
        <w:rPr>
          <w:rFonts w:ascii="宋体" w:hAnsi="宋体"/>
          <w:color w:val="000000" w:themeColor="text1"/>
          <w:sz w:val="48"/>
          <w:szCs w:val="48"/>
          <w14:textFill>
            <w14:solidFill>
              <w14:schemeClr w14:val="tx1"/>
            </w14:solidFill>
          </w14:textFill>
        </w:rPr>
      </w:pPr>
      <w:r>
        <w:rPr>
          <w:rFonts w:hint="eastAsia" w:ascii="宋体" w:hAnsi="宋体" w:cs="宋体"/>
          <w:b/>
          <w:bCs/>
          <w:color w:val="000000" w:themeColor="text1"/>
          <w:kern w:val="0"/>
          <w:sz w:val="32"/>
          <w:szCs w:val="32"/>
          <w14:textFill>
            <w14:solidFill>
              <w14:schemeClr w14:val="tx1"/>
            </w14:solidFill>
          </w14:textFill>
        </w:rPr>
        <w:t>项目编号：</w:t>
      </w:r>
      <w:r>
        <w:rPr>
          <w:rFonts w:ascii="宋体" w:hAnsi="宋体" w:cs="宋体"/>
          <w:b/>
          <w:bCs/>
          <w:color w:val="000000" w:themeColor="text1"/>
          <w:kern w:val="0"/>
          <w:sz w:val="32"/>
          <w:szCs w:val="32"/>
          <w14:textFill>
            <w14:solidFill>
              <w14:schemeClr w14:val="tx1"/>
            </w14:solidFill>
          </w14:textFill>
        </w:rPr>
        <w:t xml:space="preserve"> </w:t>
      </w:r>
      <w:r>
        <w:rPr>
          <w:rFonts w:hint="eastAsia" w:ascii="宋体" w:hAnsi="宋体" w:cs="宋体"/>
          <w:b/>
          <w:bCs/>
          <w:color w:val="000000" w:themeColor="text1"/>
          <w:kern w:val="0"/>
          <w:sz w:val="32"/>
          <w:szCs w:val="32"/>
          <w14:textFill>
            <w14:solidFill>
              <w14:schemeClr w14:val="tx1"/>
            </w14:solidFill>
          </w14:textFill>
        </w:rPr>
        <w:t>ZBGL2026070342</w:t>
      </w:r>
    </w:p>
    <w:p w14:paraId="0ACDEB30">
      <w:pPr>
        <w:widowControl/>
        <w:spacing w:line="360" w:lineRule="auto"/>
        <w:jc w:val="center"/>
        <w:rPr>
          <w:rFonts w:ascii="宋体" w:hAnsi="宋体" w:cs="宋体"/>
          <w:b/>
          <w:bCs/>
          <w:kern w:val="0"/>
          <w:sz w:val="32"/>
          <w:szCs w:val="32"/>
          <w:u w:val="single"/>
        </w:rPr>
      </w:pPr>
    </w:p>
    <w:p w14:paraId="7F943E32">
      <w:pPr>
        <w:jc w:val="center"/>
        <w:rPr>
          <w:rFonts w:ascii="宋体" w:hAnsi="宋体"/>
          <w:sz w:val="48"/>
          <w:szCs w:val="48"/>
        </w:rPr>
      </w:pPr>
    </w:p>
    <w:p w14:paraId="5340BE05">
      <w:pPr>
        <w:jc w:val="center"/>
        <w:rPr>
          <w:rFonts w:ascii="宋体" w:hAnsi="宋体"/>
          <w:sz w:val="48"/>
          <w:szCs w:val="48"/>
        </w:rPr>
      </w:pPr>
    </w:p>
    <w:p w14:paraId="2FF3EB47">
      <w:pPr>
        <w:jc w:val="center"/>
        <w:rPr>
          <w:rFonts w:ascii="宋体" w:hAnsi="宋体"/>
          <w:sz w:val="28"/>
          <w:szCs w:val="28"/>
        </w:rPr>
      </w:pPr>
    </w:p>
    <w:p w14:paraId="13B6D4A9">
      <w:pPr>
        <w:rPr>
          <w:rFonts w:ascii="宋体" w:hAnsi="宋体"/>
          <w:sz w:val="28"/>
          <w:szCs w:val="28"/>
        </w:rPr>
      </w:pPr>
    </w:p>
    <w:p w14:paraId="194E1E47">
      <w:pPr>
        <w:jc w:val="center"/>
        <w:rPr>
          <w:rFonts w:ascii="宋体" w:hAnsi="宋体"/>
          <w:sz w:val="28"/>
          <w:szCs w:val="28"/>
        </w:rPr>
      </w:pPr>
      <w:r>
        <w:rPr>
          <w:rFonts w:hint="eastAsia" w:ascii="宋体" w:hAnsi="宋体"/>
          <w:sz w:val="28"/>
          <w:szCs w:val="28"/>
        </w:rPr>
        <w:t>招 标 人：中国重汽集团杭州发动机有限公司</w:t>
      </w:r>
    </w:p>
    <w:p w14:paraId="7E827EC3">
      <w:pPr>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3A821BD3">
      <w:pPr>
        <w:sectPr>
          <w:footerReference r:id="rId3" w:type="default"/>
          <w:pgSz w:w="11906" w:h="16838"/>
          <w:pgMar w:top="1134" w:right="1134" w:bottom="1134" w:left="1134" w:header="851" w:footer="992" w:gutter="0"/>
          <w:cols w:space="425" w:num="1"/>
          <w:docGrid w:type="lines" w:linePitch="312" w:charSpace="0"/>
        </w:sectPr>
      </w:pPr>
    </w:p>
    <w:p w14:paraId="27814960">
      <w:pPr>
        <w:pStyle w:val="11"/>
      </w:pPr>
      <w:bookmarkStart w:id="0" w:name="_Toc7104"/>
      <w:bookmarkStart w:id="1" w:name="_Toc19692"/>
      <w:bookmarkStart w:id="2" w:name="_Toc47976587"/>
      <w:r>
        <w:rPr>
          <w:rFonts w:hint="eastAsia"/>
        </w:rPr>
        <w:t>招标公告</w:t>
      </w:r>
      <w:bookmarkEnd w:id="0"/>
      <w:bookmarkEnd w:id="1"/>
      <w:bookmarkEnd w:id="2"/>
    </w:p>
    <w:p w14:paraId="62072804">
      <w:pPr>
        <w:jc w:val="center"/>
        <w:rPr>
          <w:rFonts w:ascii="黑体" w:hAnsi="黑体" w:eastAsia="黑体"/>
          <w:sz w:val="30"/>
          <w:szCs w:val="30"/>
          <w:u w:val="single"/>
        </w:rPr>
      </w:pPr>
      <w:bookmarkStart w:id="3" w:name="_Toc32474"/>
      <w:r>
        <w:rPr>
          <w:rFonts w:hint="eastAsia" w:ascii="黑体" w:hAnsi="黑体" w:eastAsia="黑体"/>
          <w:sz w:val="30"/>
          <w:szCs w:val="30"/>
          <w:u w:val="single"/>
        </w:rPr>
        <w:t xml:space="preserve"> BMD造型线砂箱更新招标项目招标公告</w:t>
      </w:r>
      <w:bookmarkEnd w:id="3"/>
    </w:p>
    <w:p w14:paraId="452A852F">
      <w:pPr>
        <w:pStyle w:val="12"/>
        <w:tabs>
          <w:tab w:val="clear" w:pos="360"/>
        </w:tabs>
        <w:ind w:hanging="420"/>
      </w:pPr>
      <w:bookmarkStart w:id="4" w:name="_Toc17827"/>
      <w:bookmarkStart w:id="5" w:name="_Toc47976588"/>
      <w:r>
        <w:rPr>
          <w:rFonts w:hint="eastAsia"/>
        </w:rPr>
        <w:t>项目名称及项目编号</w:t>
      </w:r>
      <w:bookmarkEnd w:id="4"/>
      <w:bookmarkEnd w:id="5"/>
    </w:p>
    <w:p w14:paraId="5C3C82C8">
      <w:pPr>
        <w:spacing w:line="360" w:lineRule="auto"/>
        <w:ind w:firstLine="482" w:firstLineChars="200"/>
        <w:rPr>
          <w:sz w:val="24"/>
          <w:szCs w:val="24"/>
          <w:u w:val="single"/>
        </w:rPr>
      </w:pPr>
      <w:r>
        <w:rPr>
          <w:rFonts w:hint="eastAsia" w:ascii="宋体" w:hAnsi="Courier New"/>
          <w:b/>
          <w:sz w:val="24"/>
          <w:szCs w:val="24"/>
        </w:rPr>
        <w:t>（一）项目名称：</w:t>
      </w:r>
      <w:r>
        <w:rPr>
          <w:sz w:val="24"/>
          <w:szCs w:val="24"/>
          <w:u w:val="single"/>
        </w:rPr>
        <w:t xml:space="preserve"> BMD造型线砂箱更新项目</w:t>
      </w:r>
    </w:p>
    <w:p w14:paraId="12380938">
      <w:pPr>
        <w:spacing w:line="360" w:lineRule="auto"/>
        <w:ind w:firstLine="482" w:firstLineChars="200"/>
        <w:rPr>
          <w:rFonts w:ascii="宋体" w:hAnsi="Courier New"/>
          <w:b/>
          <w:color w:val="000000" w:themeColor="text1"/>
          <w:sz w:val="24"/>
          <w:szCs w:val="24"/>
          <w:u w:val="single"/>
          <w14:textFill>
            <w14:solidFill>
              <w14:schemeClr w14:val="tx1"/>
            </w14:solidFill>
          </w14:textFill>
        </w:rPr>
      </w:pPr>
      <w:r>
        <w:rPr>
          <w:rFonts w:hint="eastAsia" w:ascii="宋体" w:hAnsi="Courier New"/>
          <w:b/>
          <w:color w:val="000000" w:themeColor="text1"/>
          <w:sz w:val="24"/>
          <w:szCs w:val="24"/>
          <w14:textFill>
            <w14:solidFill>
              <w14:schemeClr w14:val="tx1"/>
            </w14:solidFill>
          </w14:textFill>
        </w:rPr>
        <w:t>（二）项目编号：</w:t>
      </w:r>
      <w:r>
        <w:rPr>
          <w:rFonts w:ascii="宋体" w:hAnsi="宋体" w:cs="宋体"/>
          <w:b/>
          <w:bCs/>
          <w:color w:val="000000" w:themeColor="text1"/>
          <w:kern w:val="0"/>
          <w:sz w:val="24"/>
          <w:szCs w:val="24"/>
          <w14:textFill>
            <w14:solidFill>
              <w14:schemeClr w14:val="tx1"/>
            </w14:solidFill>
          </w14:textFill>
        </w:rPr>
        <w:t xml:space="preserve"> </w:t>
      </w:r>
      <w:r>
        <w:rPr>
          <w:rFonts w:hint="eastAsia" w:ascii="宋体" w:hAnsi="宋体" w:cs="宋体"/>
          <w:b/>
          <w:bCs/>
          <w:color w:val="000000" w:themeColor="text1"/>
          <w:kern w:val="0"/>
          <w:sz w:val="24"/>
          <w:szCs w:val="24"/>
          <w14:textFill>
            <w14:solidFill>
              <w14:schemeClr w14:val="tx1"/>
            </w14:solidFill>
          </w14:textFill>
        </w:rPr>
        <w:t>ZBGL2026070342</w:t>
      </w:r>
    </w:p>
    <w:p w14:paraId="431807CA">
      <w:pPr>
        <w:pStyle w:val="12"/>
        <w:tabs>
          <w:tab w:val="clear" w:pos="360"/>
        </w:tabs>
        <w:ind w:hanging="420"/>
      </w:pPr>
      <w:bookmarkStart w:id="6" w:name="_Toc47976589"/>
      <w:bookmarkStart w:id="7" w:name="_Toc29403"/>
      <w:r>
        <w:rPr>
          <w:rFonts w:hint="eastAsia"/>
        </w:rPr>
        <w:t>项目概况及招标形式</w:t>
      </w:r>
      <w:bookmarkEnd w:id="6"/>
      <w:bookmarkEnd w:id="7"/>
    </w:p>
    <w:p w14:paraId="7DF5B2B6">
      <w:pPr>
        <w:spacing w:line="360" w:lineRule="auto"/>
        <w:ind w:firstLine="482" w:firstLineChars="200"/>
        <w:rPr>
          <w:rFonts w:ascii="宋体" w:hAnsi="Courier New"/>
          <w:b/>
          <w:sz w:val="24"/>
          <w:szCs w:val="24"/>
        </w:rPr>
      </w:pPr>
      <w:r>
        <w:rPr>
          <w:rFonts w:hint="eastAsia" w:ascii="宋体" w:hAnsi="Courier New"/>
          <w:b/>
          <w:sz w:val="24"/>
          <w:szCs w:val="24"/>
        </w:rPr>
        <w:t>（一）招标内容：更新22副</w:t>
      </w:r>
      <w:r>
        <w:rPr>
          <w:b/>
          <w:sz w:val="24"/>
          <w:szCs w:val="24"/>
        </w:rPr>
        <w:t>BMD</w:t>
      </w:r>
      <w:r>
        <w:rPr>
          <w:rFonts w:hint="eastAsia" w:ascii="宋体" w:hAnsi="Courier New"/>
          <w:b/>
          <w:sz w:val="24"/>
          <w:szCs w:val="24"/>
        </w:rPr>
        <w:t xml:space="preserve">造型线砂箱及相应配套件 </w:t>
      </w:r>
    </w:p>
    <w:p w14:paraId="188250E7">
      <w:pPr>
        <w:spacing w:line="360" w:lineRule="auto"/>
        <w:ind w:firstLine="482" w:firstLineChars="200"/>
        <w:rPr>
          <w:rFonts w:ascii="宋体" w:hAnsi="Courier New"/>
          <w:b/>
          <w:sz w:val="24"/>
          <w:szCs w:val="24"/>
        </w:rPr>
      </w:pPr>
      <w:r>
        <w:rPr>
          <w:rFonts w:hint="eastAsia" w:ascii="宋体" w:hAnsi="Courier New"/>
          <w:b/>
          <w:sz w:val="24"/>
          <w:szCs w:val="24"/>
        </w:rPr>
        <w:t>（二）招标形式：公开招标</w:t>
      </w:r>
    </w:p>
    <w:p w14:paraId="07D08664">
      <w:pPr>
        <w:pStyle w:val="12"/>
        <w:tabs>
          <w:tab w:val="clear" w:pos="360"/>
        </w:tabs>
        <w:ind w:hanging="420"/>
      </w:pPr>
      <w:bookmarkStart w:id="8" w:name="_Toc47976590"/>
      <w:bookmarkStart w:id="9" w:name="_Toc10121"/>
      <w:r>
        <w:rPr>
          <w:rFonts w:hint="eastAsia"/>
        </w:rPr>
        <w:t>投标人资格要求</w:t>
      </w:r>
      <w:bookmarkEnd w:id="8"/>
      <w:bookmarkEnd w:id="9"/>
    </w:p>
    <w:p w14:paraId="6C9DD699">
      <w:pPr>
        <w:ind w:firstLine="422" w:firstLineChars="200"/>
        <w:rPr>
          <w:b/>
        </w:rPr>
      </w:pPr>
      <w:r>
        <w:rPr>
          <w:rFonts w:hint="eastAsia"/>
          <w:b/>
        </w:rPr>
        <w:t>（一）投标人条件</w:t>
      </w:r>
    </w:p>
    <w:p w14:paraId="213BC24D">
      <w:pPr>
        <w:spacing w:line="360" w:lineRule="auto"/>
        <w:ind w:left="709"/>
      </w:pPr>
      <w:r>
        <w:rPr>
          <w:rFonts w:hint="eastAsia"/>
        </w:rPr>
        <w:t>1.1拟投标人必须是在中华人民共和国境内注册的独立法人机构，具有独立承担民事责任能力；注册资金不少于</w:t>
      </w:r>
      <w:r>
        <w:rPr>
          <w:b/>
          <w:bCs/>
          <w:u w:val="single"/>
        </w:rPr>
        <w:t>500</w:t>
      </w:r>
      <w:r>
        <w:rPr>
          <w:rFonts w:hint="eastAsia"/>
          <w:b/>
          <w:bCs/>
          <w:u w:val="single"/>
        </w:rPr>
        <w:t>万人民币</w:t>
      </w:r>
      <w:r>
        <w:rPr>
          <w:rFonts w:hint="eastAsia"/>
        </w:rPr>
        <w:t>(或等值其他货币);公司成立三年以上(以营业执照成立日期到开标当日满三年为准),且经营范围 满足招标人需求；并在人员、设备、资金等方面具有承担本项目的能力；</w:t>
      </w:r>
    </w:p>
    <w:p w14:paraId="3A507341">
      <w:pPr>
        <w:spacing w:line="360" w:lineRule="auto"/>
        <w:ind w:left="709"/>
      </w:pPr>
      <w:r>
        <w:rPr>
          <w:rFonts w:hint="eastAsia"/>
        </w:rPr>
        <w:t>1.2拟投标人应提供三证合一的营业执照副本原件和扫描件(需盖章);</w:t>
      </w:r>
    </w:p>
    <w:p w14:paraId="61B2C7F9">
      <w:pPr>
        <w:spacing w:line="360" w:lineRule="auto"/>
        <w:ind w:left="709"/>
      </w:pPr>
      <w:r>
        <w:rPr>
          <w:rFonts w:hint="eastAsia"/>
        </w:rPr>
        <w:t>1.3拟投标人应提供法定代表人资格证明文件；</w:t>
      </w:r>
    </w:p>
    <w:p w14:paraId="78A7798D">
      <w:pPr>
        <w:spacing w:line="360" w:lineRule="auto"/>
        <w:ind w:left="709"/>
      </w:pPr>
      <w:r>
        <w:rPr>
          <w:rFonts w:hint="eastAsia"/>
        </w:rPr>
        <w:t>1.4拟投标人在工商行政管理局的《国家企业信用信息公示系统》中查询不存在不良记录；</w:t>
      </w:r>
    </w:p>
    <w:p w14:paraId="176F0BBB">
      <w:pPr>
        <w:spacing w:line="360" w:lineRule="auto"/>
        <w:ind w:left="709"/>
      </w:pPr>
      <w:r>
        <w:rPr>
          <w:rFonts w:hint="eastAsia"/>
        </w:rPr>
        <w:t>1.5拟投标人不存在严重违规或被列入招标人“黑名单”的声明；</w:t>
      </w:r>
    </w:p>
    <w:p w14:paraId="39558AB9">
      <w:pPr>
        <w:spacing w:line="360" w:lineRule="auto"/>
        <w:ind w:left="709"/>
      </w:pPr>
      <w:r>
        <w:rPr>
          <w:rFonts w:hint="eastAsia"/>
        </w:rPr>
        <w:t>1.6拟投标人</w:t>
      </w:r>
      <w:r>
        <w:rPr>
          <w:rFonts w:hint="eastAsia"/>
          <w:b/>
          <w:bCs/>
          <w:u w:val="single"/>
        </w:rPr>
        <w:t>202</w:t>
      </w:r>
      <w:r>
        <w:rPr>
          <w:b/>
          <w:bCs/>
          <w:u w:val="single"/>
        </w:rPr>
        <w:t>3</w:t>
      </w:r>
      <w:r>
        <w:rPr>
          <w:rFonts w:hint="eastAsia"/>
          <w:b/>
          <w:bCs/>
          <w:u w:val="single"/>
        </w:rPr>
        <w:t>年1月1日</w:t>
      </w:r>
      <w:r>
        <w:rPr>
          <w:rFonts w:hint="eastAsia"/>
        </w:rPr>
        <w:t>至今经第三方审计的公司财务报表(资产负债表、损益表、现金流量表)未显示异常。如拟投标人公司没有经审计的财务报告，可提供加盖公章的近三年财务报表，包括但不限于资产负债表、利润表、现金流表；</w:t>
      </w:r>
    </w:p>
    <w:p w14:paraId="182EDD20">
      <w:pPr>
        <w:spacing w:line="360" w:lineRule="auto"/>
        <w:ind w:left="709"/>
        <w:rPr>
          <w:color w:val="FF0000"/>
        </w:rPr>
      </w:pPr>
      <w:r>
        <w:rPr>
          <w:rFonts w:hint="eastAsia"/>
        </w:rPr>
        <w:t>1.7</w:t>
      </w:r>
      <w:r>
        <w:rPr>
          <w:rFonts w:hint="eastAsia"/>
          <w:color w:val="auto"/>
        </w:rPr>
        <w:t>拟投标人有与本次招标内容相同或类似项目业绩，且近3年内无因服务不当而造成重大事故；</w:t>
      </w:r>
    </w:p>
    <w:p w14:paraId="2A498D17">
      <w:pPr>
        <w:spacing w:line="360" w:lineRule="auto"/>
        <w:ind w:left="709"/>
      </w:pPr>
      <w:r>
        <w:rPr>
          <w:rFonts w:hint="eastAsia"/>
        </w:rPr>
        <w:t>1.8拟投标人三年内无违法及重大违规情况；</w:t>
      </w:r>
    </w:p>
    <w:p w14:paraId="45B058FD">
      <w:pPr>
        <w:spacing w:line="360" w:lineRule="auto"/>
        <w:ind w:left="709"/>
      </w:pPr>
      <w:r>
        <w:rPr>
          <w:rFonts w:hint="eastAsia"/>
        </w:rPr>
        <w:t>1.9拟投标人须认可招标人的工作指令，包括节、假日能正常开展工作的要求；</w:t>
      </w:r>
    </w:p>
    <w:p w14:paraId="04A3F5E8">
      <w:pPr>
        <w:spacing w:line="360" w:lineRule="auto"/>
        <w:ind w:left="709"/>
      </w:pPr>
      <w:r>
        <w:rPr>
          <w:rFonts w:hint="eastAsia"/>
        </w:rPr>
        <w:t>1.10拟投标人最近半年纳税正常；</w:t>
      </w:r>
    </w:p>
    <w:p w14:paraId="69992412">
      <w:pPr>
        <w:spacing w:line="360" w:lineRule="auto"/>
        <w:ind w:left="709"/>
      </w:pPr>
      <w:r>
        <w:rPr>
          <w:rFonts w:hint="eastAsia"/>
        </w:rPr>
        <w:t>1.11拟投标人信用证明材料(征信报告)未显示异常；</w:t>
      </w:r>
    </w:p>
    <w:p w14:paraId="174B9A80">
      <w:pPr>
        <w:spacing w:line="360" w:lineRule="auto"/>
        <w:ind w:left="709"/>
      </w:pPr>
      <w:r>
        <w:rPr>
          <w:rFonts w:hint="eastAsia"/>
        </w:rPr>
        <w:t>1.12拟投标人的直接或间接股东、法定代表人、董事、监事、高管非重汽员工及其亲属；</w:t>
      </w:r>
    </w:p>
    <w:p w14:paraId="3E71D657">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14:paraId="5D1B19FA">
      <w:pPr>
        <w:ind w:firstLine="422" w:firstLineChars="200"/>
        <w:rPr>
          <w:b/>
        </w:rPr>
      </w:pPr>
      <w:r>
        <w:rPr>
          <w:rFonts w:hint="eastAsia"/>
          <w:b/>
        </w:rPr>
        <w:t>（二）资质文件组成</w:t>
      </w:r>
    </w:p>
    <w:p w14:paraId="22960176">
      <w:pPr>
        <w:spacing w:line="360" w:lineRule="auto"/>
        <w:ind w:left="709"/>
      </w:pPr>
      <w:r>
        <w:rPr>
          <w:rFonts w:hint="eastAsia"/>
        </w:rPr>
        <w:t>2.1法定代表人身份证明；</w:t>
      </w:r>
    </w:p>
    <w:p w14:paraId="615F19F9">
      <w:pPr>
        <w:spacing w:line="360" w:lineRule="auto"/>
        <w:ind w:left="709"/>
      </w:pPr>
      <w:r>
        <w:rPr>
          <w:rFonts w:hint="eastAsia"/>
        </w:rPr>
        <w:t>2.2法定代表人授权委托书（授权人需带身份证原件）；</w:t>
      </w:r>
    </w:p>
    <w:p w14:paraId="7CB10EE2">
      <w:pPr>
        <w:spacing w:line="360" w:lineRule="auto"/>
        <w:ind w:left="709"/>
      </w:pPr>
      <w:r>
        <w:rPr>
          <w:rFonts w:hint="eastAsia"/>
        </w:rPr>
        <w:t>2.3营业执照副本原件或复印件并加盖公章；</w:t>
      </w:r>
    </w:p>
    <w:p w14:paraId="6379FD5D">
      <w:pPr>
        <w:spacing w:line="360" w:lineRule="auto"/>
        <w:ind w:left="709"/>
      </w:pPr>
      <w:r>
        <w:rPr>
          <w:rFonts w:hint="eastAsia"/>
        </w:rPr>
        <w:t>2.4投标人应具有相应生产证明；</w:t>
      </w:r>
    </w:p>
    <w:p w14:paraId="08D19343">
      <w:pPr>
        <w:spacing w:line="360" w:lineRule="auto"/>
        <w:ind w:left="709"/>
      </w:pPr>
      <w:r>
        <w:rPr>
          <w:rFonts w:hint="eastAsia"/>
        </w:rPr>
        <w:t>2.5证明投标人满足投标资料表中列出的业绩要求的文件；</w:t>
      </w:r>
    </w:p>
    <w:p w14:paraId="34784A64">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78CC4E2">
      <w:pPr>
        <w:spacing w:line="360" w:lineRule="auto"/>
        <w:ind w:left="709"/>
      </w:pPr>
      <w:r>
        <w:rPr>
          <w:rFonts w:hint="eastAsia"/>
        </w:rPr>
        <w:t>2.7企业最近半年完税证明、信用证明材料（征信报告）；</w:t>
      </w:r>
    </w:p>
    <w:p w14:paraId="0DDB1F60">
      <w:pPr>
        <w:spacing w:line="360" w:lineRule="auto"/>
        <w:ind w:left="709"/>
      </w:pPr>
      <w:r>
        <w:rPr>
          <w:rFonts w:hint="eastAsia"/>
        </w:rPr>
        <w:t>2.8年度纳税信用评价信息（可从电子税务局查询截图，需加盖公章）；</w:t>
      </w:r>
    </w:p>
    <w:p w14:paraId="5411058E">
      <w:pPr>
        <w:spacing w:line="360" w:lineRule="auto"/>
        <w:ind w:left="709"/>
      </w:pPr>
      <w:r>
        <w:rPr>
          <w:rFonts w:hint="eastAsia"/>
        </w:rPr>
        <w:t>2.9企业对外担保说明（写明贵单位对外有无对外担保和质押业务，需加盖公章）。</w:t>
      </w:r>
    </w:p>
    <w:p w14:paraId="21A2A4C2">
      <w:pPr>
        <w:spacing w:line="360" w:lineRule="auto"/>
        <w:ind w:left="709"/>
      </w:pPr>
      <w:r>
        <w:rPr>
          <w:rFonts w:hint="eastAsia"/>
        </w:rPr>
        <w:t>2.10信用中国截图或国家企业信用信息公示系统截图；</w:t>
      </w:r>
    </w:p>
    <w:p w14:paraId="7CD15B57">
      <w:pPr>
        <w:spacing w:line="360" w:lineRule="auto"/>
        <w:ind w:left="709"/>
        <w:rPr>
          <w:rFonts w:hint="default" w:eastAsia="宋体"/>
          <w:highlight w:val="yellow"/>
          <w:lang w:val="en-US" w:eastAsia="zh-CN"/>
        </w:rPr>
      </w:pPr>
      <w:r>
        <w:rPr>
          <w:rFonts w:hint="eastAsia"/>
        </w:rPr>
        <w:t>2.11投标保证金缴纳凭证，同时正文描述付款账号、户名、开户行名称、开户行行号、保证金金额。</w:t>
      </w:r>
      <w:r>
        <w:rPr>
          <w:rFonts w:hint="eastAsia"/>
          <w:lang w:eastAsia="zh-CN"/>
        </w:rPr>
        <w:t>（</w:t>
      </w:r>
      <w:r>
        <w:rPr>
          <w:rFonts w:hint="eastAsia"/>
          <w:lang w:val="en-US" w:eastAsia="zh-CN"/>
        </w:rPr>
        <w:t>应标阶段不作要求）</w:t>
      </w:r>
    </w:p>
    <w:p w14:paraId="0FA6B2ED">
      <w:pPr>
        <w:pStyle w:val="12"/>
        <w:tabs>
          <w:tab w:val="clear" w:pos="360"/>
        </w:tabs>
        <w:ind w:hanging="420"/>
      </w:pPr>
      <w:bookmarkStart w:id="10" w:name="_Toc3374"/>
      <w:bookmarkStart w:id="11" w:name="_Toc47976591"/>
      <w:r>
        <w:rPr>
          <w:rFonts w:hint="eastAsia"/>
        </w:rPr>
        <w:t>报名及招标文件的获取</w:t>
      </w:r>
      <w:bookmarkEnd w:id="10"/>
      <w:bookmarkEnd w:id="11"/>
    </w:p>
    <w:p w14:paraId="39855EC8">
      <w:pPr>
        <w:spacing w:line="360" w:lineRule="auto"/>
        <w:ind w:firstLine="422" w:firstLineChars="200"/>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b/>
          <w:highlight w:val="cyan"/>
        </w:rPr>
        <w:t xml:space="preserve"> </w:t>
      </w:r>
      <w:r>
        <w:rPr>
          <w:rFonts w:hint="eastAsia"/>
          <w:b/>
          <w:highlight w:val="cyan"/>
          <w:lang w:val="en-US" w:eastAsia="zh-CN"/>
        </w:rPr>
        <w:t>8</w:t>
      </w:r>
      <w:r>
        <w:rPr>
          <w:b/>
          <w:highlight w:val="cyan"/>
        </w:rPr>
        <w:t xml:space="preserve"> </w:t>
      </w:r>
      <w:r>
        <w:rPr>
          <w:rFonts w:hint="eastAsia"/>
          <w:b/>
          <w:highlight w:val="cyan"/>
        </w:rPr>
        <w:t>月</w:t>
      </w:r>
      <w:r>
        <w:rPr>
          <w:b/>
          <w:highlight w:val="cyan"/>
        </w:rPr>
        <w:t xml:space="preserve"> </w:t>
      </w:r>
      <w:r>
        <w:rPr>
          <w:rFonts w:hint="eastAsia"/>
          <w:b/>
          <w:highlight w:val="cyan"/>
          <w:lang w:val="en-US" w:eastAsia="zh-CN"/>
        </w:rPr>
        <w:t xml:space="preserve">3 </w:t>
      </w:r>
      <w:r>
        <w:rPr>
          <w:rFonts w:hint="eastAsia"/>
          <w:b/>
          <w:highlight w:val="cyan"/>
        </w:rPr>
        <w:t>日 17:00</w:t>
      </w:r>
    </w:p>
    <w:p w14:paraId="3199E9BB">
      <w:pPr>
        <w:spacing w:line="360" w:lineRule="auto"/>
        <w:ind w:firstLine="422" w:firstLineChars="200"/>
        <w:rPr>
          <w:b/>
        </w:rPr>
      </w:pPr>
      <w:r>
        <w:rPr>
          <w:rFonts w:hint="eastAsia"/>
          <w:b/>
        </w:rPr>
        <w:t>（二）招标文件获取方式：投标人应标报名成功后，在中国重汽e采通平台上获取招标文件。</w:t>
      </w:r>
    </w:p>
    <w:p w14:paraId="5D3ED878">
      <w:pPr>
        <w:spacing w:line="360" w:lineRule="auto"/>
        <w:ind w:firstLine="422" w:firstLineChars="200"/>
        <w:rPr>
          <w:b/>
        </w:rPr>
      </w:pPr>
      <w:r>
        <w:rPr>
          <w:rFonts w:hint="eastAsia"/>
          <w:b/>
        </w:rPr>
        <w:t>（三）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2.1-2.10准备资料并上传，资质审查通过即为报名成功；公示期间请尽快报名。</w:t>
      </w:r>
    </w:p>
    <w:p w14:paraId="11021191">
      <w:pPr>
        <w:spacing w:line="360" w:lineRule="auto"/>
        <w:ind w:firstLine="422" w:firstLineChars="200"/>
        <w:rPr>
          <w:b/>
          <w:bCs/>
        </w:rPr>
      </w:pPr>
      <w:r>
        <w:rPr>
          <w:rFonts w:hint="eastAsia"/>
          <w:b/>
          <w:bCs/>
        </w:rPr>
        <w:t>*注：请务必在应标截止时间前完成注册、</w:t>
      </w:r>
      <w:r>
        <w:rPr>
          <w:rFonts w:hint="eastAsia"/>
          <w:b/>
        </w:rPr>
        <w:t>重汽E采通系统近三年财务数据更新</w:t>
      </w:r>
      <w:r>
        <w:rPr>
          <w:rFonts w:hint="eastAsia"/>
          <w:b/>
          <w:bCs/>
        </w:rPr>
        <w:t>及应标操作，注册审核需2-4日，应标截止时间精确到秒，逾期将无法应标。请自行掌握时间，避免无法应标。</w:t>
      </w:r>
    </w:p>
    <w:p w14:paraId="3B21A451">
      <w:pPr>
        <w:pStyle w:val="12"/>
        <w:tabs>
          <w:tab w:val="clear" w:pos="360"/>
        </w:tabs>
        <w:ind w:hanging="420"/>
      </w:pPr>
      <w:bookmarkStart w:id="12" w:name="_Toc47976592"/>
      <w:bookmarkStart w:id="13" w:name="_Toc26408"/>
      <w:r>
        <w:rPr>
          <w:rFonts w:hint="eastAsia"/>
        </w:rPr>
        <w:t>投标文件的递交</w:t>
      </w:r>
      <w:bookmarkEnd w:id="12"/>
      <w:bookmarkEnd w:id="13"/>
    </w:p>
    <w:p w14:paraId="3287F8B8">
      <w:pPr>
        <w:spacing w:line="360" w:lineRule="auto"/>
        <w:ind w:firstLine="422" w:firstLineChars="200"/>
        <w:rPr>
          <w:b/>
        </w:rPr>
      </w:pPr>
      <w:r>
        <w:rPr>
          <w:rFonts w:hint="eastAsia"/>
          <w:b/>
        </w:rPr>
        <w:t>（一）投标截止时间：</w:t>
      </w:r>
      <w:r>
        <w:rPr>
          <w:rFonts w:hint="eastAsia"/>
          <w:b/>
          <w:highlight w:val="cyan"/>
        </w:rPr>
        <w:t>202</w:t>
      </w:r>
      <w:r>
        <w:rPr>
          <w:b/>
          <w:highlight w:val="cyan"/>
        </w:rPr>
        <w:t>6</w:t>
      </w:r>
      <w:r>
        <w:rPr>
          <w:rFonts w:hint="eastAsia"/>
          <w:b/>
          <w:highlight w:val="cyan"/>
        </w:rPr>
        <w:t>年</w:t>
      </w:r>
      <w:r>
        <w:rPr>
          <w:b/>
          <w:highlight w:val="cyan"/>
        </w:rPr>
        <w:t xml:space="preserve"> </w:t>
      </w:r>
      <w:r>
        <w:rPr>
          <w:rFonts w:hint="eastAsia"/>
          <w:b/>
          <w:highlight w:val="cyan"/>
          <w:lang w:val="en-US" w:eastAsia="zh-CN"/>
        </w:rPr>
        <w:t>8</w:t>
      </w:r>
      <w:r>
        <w:rPr>
          <w:b/>
          <w:highlight w:val="cyan"/>
        </w:rPr>
        <w:t xml:space="preserve"> </w:t>
      </w:r>
      <w:r>
        <w:rPr>
          <w:rFonts w:hint="eastAsia"/>
          <w:b/>
          <w:highlight w:val="cyan"/>
        </w:rPr>
        <w:t>月</w:t>
      </w:r>
      <w:r>
        <w:rPr>
          <w:b/>
          <w:highlight w:val="cyan"/>
        </w:rPr>
        <w:t xml:space="preserve"> </w:t>
      </w:r>
      <w:r>
        <w:rPr>
          <w:rFonts w:hint="eastAsia"/>
          <w:b/>
          <w:highlight w:val="cyan"/>
          <w:lang w:val="en-US" w:eastAsia="zh-CN"/>
        </w:rPr>
        <w:t>12</w:t>
      </w:r>
      <w:r>
        <w:rPr>
          <w:b/>
          <w:highlight w:val="cyan"/>
        </w:rPr>
        <w:t xml:space="preserve"> </w:t>
      </w:r>
      <w:r>
        <w:rPr>
          <w:rFonts w:hint="eastAsia"/>
          <w:b/>
          <w:highlight w:val="cyan"/>
        </w:rPr>
        <w:t>日9:00（北京时间）</w:t>
      </w:r>
    </w:p>
    <w:p w14:paraId="33C69804">
      <w:pPr>
        <w:spacing w:line="360" w:lineRule="auto"/>
        <w:ind w:firstLine="422" w:firstLineChars="200"/>
        <w:rPr>
          <w:b/>
          <w:bCs/>
        </w:rPr>
      </w:pPr>
      <w:r>
        <w:rPr>
          <w:b/>
          <w:bCs/>
        </w:rPr>
        <w:t>注：请务必在投标文件递交截止时间前完成投标操作，截止时间精确到秒，逾期将无法投标。请自行掌握时间，避免无法投标。</w:t>
      </w:r>
    </w:p>
    <w:p w14:paraId="7E9ACCE1">
      <w:pPr>
        <w:spacing w:line="360" w:lineRule="auto"/>
        <w:ind w:firstLine="422" w:firstLineChars="200"/>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3个文件。</w:t>
      </w:r>
    </w:p>
    <w:p w14:paraId="525AE7E4">
      <w:pPr>
        <w:spacing w:line="360" w:lineRule="auto"/>
        <w:ind w:firstLine="422" w:firstLineChars="200"/>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3F1AD9CD">
      <w:pPr>
        <w:spacing w:line="360" w:lineRule="auto"/>
        <w:ind w:firstLine="422" w:firstLineChars="200"/>
        <w:rPr>
          <w:b/>
          <w:bCs/>
        </w:rPr>
      </w:pPr>
      <w:r>
        <w:rPr>
          <w:b/>
          <w:bCs/>
        </w:rPr>
        <w:t>注意不按此要求提供投标文件的，投标文件做无效标处理。以中国重汽e采通系统提交的材料为准。</w:t>
      </w:r>
    </w:p>
    <w:p w14:paraId="7C9F3768">
      <w:pPr>
        <w:spacing w:line="360" w:lineRule="auto"/>
        <w:ind w:firstLine="422" w:firstLineChars="200"/>
        <w:rPr>
          <w:b/>
        </w:rPr>
      </w:pPr>
      <w:r>
        <w:rPr>
          <w:rFonts w:hint="eastAsia"/>
          <w:b/>
        </w:rPr>
        <w:t>（三）投标方式：在中国重汽e采通平台应标成功后，进入“供应商投标”环节，投递盖章扫描版电子标书（包含资质标书、技术标书、商务标书），若逾期未在中国重汽e采通平台上传电子标书，一律视为无效投标。</w:t>
      </w:r>
    </w:p>
    <w:p w14:paraId="537847A4">
      <w:pPr>
        <w:pStyle w:val="12"/>
        <w:tabs>
          <w:tab w:val="clear" w:pos="360"/>
        </w:tabs>
        <w:ind w:hanging="420"/>
      </w:pPr>
      <w:bookmarkStart w:id="14" w:name="_Toc13996"/>
      <w:r>
        <w:rPr>
          <w:rFonts w:hint="eastAsia"/>
        </w:rPr>
        <w:t>开标时间和地点</w:t>
      </w:r>
      <w:bookmarkEnd w:id="14"/>
    </w:p>
    <w:p w14:paraId="19A1E6F3">
      <w:pPr>
        <w:spacing w:line="360" w:lineRule="auto"/>
        <w:ind w:firstLine="422" w:firstLineChars="200"/>
        <w:rPr>
          <w:b/>
          <w:highlight w:val="cyan"/>
        </w:rPr>
      </w:pPr>
      <w:r>
        <w:rPr>
          <w:rFonts w:hint="eastAsia"/>
          <w:b/>
        </w:rPr>
        <w:t>（一）开标时间：</w:t>
      </w:r>
      <w:r>
        <w:rPr>
          <w:rFonts w:hint="eastAsia"/>
          <w:b/>
          <w:highlight w:val="cyan"/>
        </w:rPr>
        <w:t>2026年</w:t>
      </w:r>
      <w:r>
        <w:rPr>
          <w:rFonts w:hint="eastAsia"/>
          <w:b/>
          <w:highlight w:val="cyan"/>
          <w:lang w:val="en-US" w:eastAsia="zh-CN"/>
        </w:rPr>
        <w:t>8</w:t>
      </w:r>
      <w:r>
        <w:rPr>
          <w:b/>
          <w:highlight w:val="cyan"/>
        </w:rPr>
        <w:t xml:space="preserve"> </w:t>
      </w:r>
      <w:r>
        <w:rPr>
          <w:rFonts w:hint="eastAsia"/>
          <w:b/>
          <w:highlight w:val="cyan"/>
        </w:rPr>
        <w:t>月</w:t>
      </w:r>
      <w:r>
        <w:rPr>
          <w:b/>
          <w:highlight w:val="cyan"/>
        </w:rPr>
        <w:t xml:space="preserve"> </w:t>
      </w:r>
      <w:r>
        <w:rPr>
          <w:rFonts w:hint="eastAsia"/>
          <w:b/>
          <w:highlight w:val="cyan"/>
          <w:lang w:val="en-US" w:eastAsia="zh-CN"/>
        </w:rPr>
        <w:t xml:space="preserve">12 </w:t>
      </w:r>
      <w:r>
        <w:rPr>
          <w:rFonts w:hint="eastAsia"/>
          <w:b/>
          <w:highlight w:val="cyan"/>
        </w:rPr>
        <w:t>日9:00（投标完成后联系商务联系人，发送投标保证金缴纳凭证获取会议链接号）</w:t>
      </w:r>
    </w:p>
    <w:p w14:paraId="5CC3CBA9">
      <w:pPr>
        <w:spacing w:line="360" w:lineRule="auto"/>
        <w:ind w:firstLine="422" w:firstLineChars="200"/>
        <w:rPr>
          <w:b/>
        </w:rPr>
      </w:pPr>
      <w:r>
        <w:rPr>
          <w:rFonts w:hint="eastAsia"/>
          <w:b/>
        </w:rPr>
        <w:t>（二）开标地点：</w:t>
      </w:r>
      <w:r>
        <w:rPr>
          <w:rFonts w:hint="eastAsia"/>
          <w:b/>
          <w:highlight w:val="cyan"/>
        </w:rPr>
        <w:t>线上会议</w:t>
      </w:r>
    </w:p>
    <w:p w14:paraId="58345DB4">
      <w:pPr>
        <w:pStyle w:val="12"/>
        <w:tabs>
          <w:tab w:val="clear" w:pos="360"/>
        </w:tabs>
        <w:ind w:hanging="420"/>
      </w:pPr>
      <w:bookmarkStart w:id="15" w:name="_Toc47976593"/>
      <w:bookmarkStart w:id="16" w:name="_Toc30008"/>
      <w:r>
        <w:rPr>
          <w:rFonts w:hint="eastAsia"/>
        </w:rPr>
        <w:t>招标公告发布媒介</w:t>
      </w:r>
      <w:bookmarkEnd w:id="15"/>
      <w:bookmarkEnd w:id="16"/>
    </w:p>
    <w:p w14:paraId="407FC233">
      <w:pPr>
        <w:spacing w:line="360" w:lineRule="auto"/>
        <w:ind w:left="709"/>
        <w:rPr>
          <w:b/>
          <w:bCs/>
        </w:rPr>
      </w:pPr>
      <w:bookmarkStart w:id="22" w:name="_GoBack"/>
      <w:r>
        <w:rPr>
          <w:rFonts w:hint="eastAsia"/>
          <w:b/>
          <w:bCs/>
        </w:rPr>
        <w:t>本次招标公告在中国重汽官网上发布。</w:t>
      </w:r>
    </w:p>
    <w:bookmarkEnd w:id="22"/>
    <w:p w14:paraId="6F7A90B9">
      <w:pPr>
        <w:pStyle w:val="12"/>
        <w:tabs>
          <w:tab w:val="clear" w:pos="360"/>
        </w:tabs>
        <w:ind w:hanging="420"/>
      </w:pPr>
      <w:bookmarkStart w:id="17" w:name="_Toc8700"/>
      <w:bookmarkStart w:id="18" w:name="_Toc47976594"/>
      <w:r>
        <w:rPr>
          <w:rFonts w:hint="eastAsia"/>
        </w:rPr>
        <w:t>联系方式</w:t>
      </w:r>
      <w:bookmarkEnd w:id="17"/>
      <w:bookmarkEnd w:id="18"/>
    </w:p>
    <w:p w14:paraId="6B90C8E2">
      <w:pPr>
        <w:numPr>
          <w:ilvl w:val="0"/>
          <w:numId w:val="2"/>
        </w:numPr>
        <w:spacing w:line="360" w:lineRule="auto"/>
        <w:ind w:firstLine="422" w:firstLineChars="200"/>
      </w:pPr>
      <w:r>
        <w:rPr>
          <w:rFonts w:hint="eastAsia"/>
          <w:b/>
        </w:rPr>
        <w:t>招标人名称：中国重汽集团杭州发动机有限公司</w:t>
      </w:r>
    </w:p>
    <w:p w14:paraId="0B2F6A9C">
      <w:pPr>
        <w:spacing w:line="360" w:lineRule="auto"/>
        <w:ind w:firstLine="422" w:firstLineChars="200"/>
        <w:rPr>
          <w:b/>
        </w:rPr>
      </w:pPr>
      <w:r>
        <w:rPr>
          <w:rFonts w:hint="eastAsia"/>
          <w:b/>
        </w:rPr>
        <w:t>（二）商务联系人：吴长国；13588891716;  邮箱：13588891716@126.com</w:t>
      </w:r>
    </w:p>
    <w:p w14:paraId="70BDFA28">
      <w:pPr>
        <w:spacing w:line="360" w:lineRule="auto"/>
        <w:ind w:firstLine="422" w:firstLineChars="200"/>
        <w:rPr>
          <w:b/>
        </w:rPr>
      </w:pPr>
      <w:r>
        <w:rPr>
          <w:rFonts w:hint="eastAsia"/>
          <w:b/>
        </w:rPr>
        <w:t xml:space="preserve">（三）技术联系人：王锋：15164518381 </w:t>
      </w:r>
    </w:p>
    <w:p w14:paraId="295F4EDA">
      <w:pPr>
        <w:pStyle w:val="2"/>
        <w:ind w:firstLine="422" w:firstLineChars="200"/>
        <w:rPr>
          <w:rFonts w:ascii="Times New Roman" w:hAnsi="Times New Roman" w:eastAsia="宋体" w:cs="Times New Roman"/>
          <w:b/>
        </w:rPr>
        <w:sectPr>
          <w:pgSz w:w="11906" w:h="16838"/>
          <w:pgMar w:top="1134" w:right="1134" w:bottom="1134" w:left="1134" w:header="851" w:footer="992" w:gutter="0"/>
          <w:cols w:space="425" w:num="1"/>
          <w:docGrid w:type="lines" w:linePitch="312" w:charSpace="0"/>
        </w:sectPr>
      </w:pPr>
      <w:r>
        <w:rPr>
          <w:rFonts w:hint="eastAsia" w:ascii="Times New Roman" w:hAnsi="Times New Roman" w:eastAsia="宋体" w:cs="Times New Roman"/>
          <w:b/>
        </w:rPr>
        <w:t>（四）报名及招投标事宜联系人：</w:t>
      </w:r>
      <w:r>
        <w:rPr>
          <w:rFonts w:hint="eastAsia" w:ascii="Times New Roman" w:hAnsi="Times New Roman" w:eastAsia="宋体" w:cs="Times New Roman"/>
          <w:b/>
          <w:lang w:val="en-US" w:eastAsia="zh-CN"/>
        </w:rPr>
        <w:t>郭朝琛</w:t>
      </w:r>
      <w:r>
        <w:rPr>
          <w:rFonts w:hint="eastAsia" w:ascii="Times New Roman" w:hAnsi="Times New Roman" w:eastAsia="宋体" w:cs="Times New Roman"/>
          <w:b/>
        </w:rPr>
        <w:t>；17860606311； 邮箱：guochaochen@sinotruk.com</w:t>
      </w:r>
    </w:p>
    <w:p w14:paraId="617AD48D">
      <w:pPr>
        <w:pStyle w:val="3"/>
        <w:spacing w:before="0" w:after="0"/>
        <w:rPr>
          <w:rFonts w:ascii="宋体" w:hAnsi="宋体"/>
          <w:sz w:val="28"/>
          <w:szCs w:val="28"/>
        </w:rPr>
      </w:pPr>
      <w:bookmarkStart w:id="19" w:name="_Toc14635"/>
      <w:r>
        <w:rPr>
          <w:rFonts w:hint="eastAsia" w:ascii="宋体" w:hAnsi="宋体"/>
          <w:sz w:val="28"/>
          <w:szCs w:val="28"/>
        </w:rPr>
        <w:t>附件</w:t>
      </w:r>
      <w:r>
        <w:rPr>
          <w:rFonts w:ascii="宋体" w:hAnsi="宋体"/>
          <w:sz w:val="28"/>
          <w:szCs w:val="28"/>
        </w:rPr>
        <w:t xml:space="preserve">2 </w:t>
      </w:r>
      <w:r>
        <w:rPr>
          <w:rFonts w:hint="eastAsia" w:ascii="宋体" w:hAnsi="宋体"/>
          <w:sz w:val="28"/>
          <w:szCs w:val="28"/>
        </w:rPr>
        <w:t>法定代表人授权委托书</w:t>
      </w:r>
      <w:bookmarkEnd w:id="19"/>
    </w:p>
    <w:p w14:paraId="38C4199E">
      <w:pPr>
        <w:adjustRightInd w:val="0"/>
        <w:snapToGrid w:val="0"/>
        <w:spacing w:before="93" w:beforeLines="30" w:line="240" w:lineRule="exact"/>
        <w:jc w:val="center"/>
        <w:rPr>
          <w:rFonts w:ascii="宋体" w:hAnsi="Calibri"/>
          <w:sz w:val="24"/>
        </w:rPr>
      </w:pPr>
    </w:p>
    <w:p w14:paraId="16778302">
      <w:pPr>
        <w:spacing w:line="360" w:lineRule="auto"/>
        <w:ind w:firstLine="480" w:firstLineChars="200"/>
        <w:rPr>
          <w:rFonts w:ascii="宋体" w:hAnsi="宋体"/>
          <w:color w:val="000000"/>
          <w:sz w:val="24"/>
          <w:szCs w:val="24"/>
        </w:rPr>
      </w:pPr>
      <w:r>
        <w:rPr>
          <w:rFonts w:hint="eastAsia" w:ascii="宋体" w:hAnsi="宋体"/>
          <w:color w:val="000000"/>
          <w:sz w:val="24"/>
          <w:szCs w:val="24"/>
        </w:rPr>
        <w:t xml:space="preserve">本授权委托书声明：我＿＿＿＿＿＿＿（姓名）系＿＿＿＿＿＿＿＿＿＿＿＿＿＿＿＿＿＿＿＿＿＿＿＿＿＿＿＿（投标人全称）的法定代表人，就 </w:t>
      </w:r>
      <w:r>
        <w:rPr>
          <w:b/>
          <w:sz w:val="24"/>
          <w:szCs w:val="24"/>
          <w:u w:val="single"/>
        </w:rPr>
        <w:t>BMD造型线砂箱更新项目</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DA4AAE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046E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2E583B8">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14:paraId="4F0A7F48">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82D2252">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4D00CED4">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25DF9CA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6A394638">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1CE840C8">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E6A43A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EF64943">
      <w:pPr>
        <w:spacing w:line="460" w:lineRule="exact"/>
        <w:ind w:firstLine="5520" w:firstLineChars="2300"/>
        <w:rPr>
          <w:rFonts w:ascii="宋体" w:hAnsi="宋体"/>
          <w:sz w:val="24"/>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4BB2B51">
      <w:pPr>
        <w:spacing w:line="460" w:lineRule="exact"/>
        <w:rPr>
          <w:rFonts w:ascii="宋体" w:hAnsi="宋体"/>
          <w:sz w:val="24"/>
        </w:rPr>
      </w:pPr>
    </w:p>
    <w:p w14:paraId="4A593AB4">
      <w:pPr>
        <w:spacing w:line="460" w:lineRule="exact"/>
        <w:rPr>
          <w:rFonts w:ascii="宋体" w:hAnsi="宋体"/>
          <w:sz w:val="24"/>
        </w:rPr>
      </w:pPr>
    </w:p>
    <w:p w14:paraId="2B6CED7D">
      <w:r>
        <w:br w:type="page"/>
      </w:r>
    </w:p>
    <w:p w14:paraId="7EF26544">
      <w:pPr>
        <w:pStyle w:val="3"/>
        <w:spacing w:before="0" w:after="0"/>
        <w:rPr>
          <w:rFonts w:ascii="宋体" w:hAnsi="宋体"/>
          <w:sz w:val="28"/>
          <w:szCs w:val="28"/>
        </w:rPr>
      </w:pPr>
      <w:bookmarkStart w:id="20" w:name="_Toc26875"/>
      <w:r>
        <w:rPr>
          <w:rFonts w:hint="eastAsia" w:ascii="宋体" w:hAnsi="宋体"/>
          <w:sz w:val="28"/>
          <w:szCs w:val="28"/>
        </w:rPr>
        <w:t>附件13 SRM非生产供应商注册操作手册</w:t>
      </w:r>
      <w:bookmarkEnd w:id="20"/>
    </w:p>
    <w:p w14:paraId="130D3A69">
      <w:pPr>
        <w:adjustRightInd w:val="0"/>
        <w:snapToGrid w:val="0"/>
        <w:jc w:val="left"/>
        <w:rPr>
          <w:rFonts w:ascii="宋体" w:hAnsi="宋体" w:cs="宋体"/>
          <w:sz w:val="24"/>
          <w:szCs w:val="24"/>
        </w:rPr>
      </w:pPr>
    </w:p>
    <w:p w14:paraId="7A696CC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16647A2">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F51476C">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700BC0FD">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6" cstate="print"/>
                    <a:srcRect/>
                    <a:stretch>
                      <a:fillRect/>
                    </a:stretch>
                  </pic:blipFill>
                  <pic:spPr>
                    <a:xfrm>
                      <a:off x="0" y="0"/>
                      <a:ext cx="5760085" cy="2933065"/>
                    </a:xfrm>
                    <a:prstGeom prst="rect">
                      <a:avLst/>
                    </a:prstGeom>
                  </pic:spPr>
                </pic:pic>
              </a:graphicData>
            </a:graphic>
          </wp:inline>
        </w:drawing>
      </w:r>
    </w:p>
    <w:p w14:paraId="4D88F715">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D64E199">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7" cstate="print"/>
                    <a:srcRect/>
                    <a:stretch>
                      <a:fillRect/>
                    </a:stretch>
                  </pic:blipFill>
                  <pic:spPr>
                    <a:xfrm>
                      <a:off x="0" y="0"/>
                      <a:ext cx="5760085" cy="2766695"/>
                    </a:xfrm>
                    <a:prstGeom prst="rect">
                      <a:avLst/>
                    </a:prstGeom>
                  </pic:spPr>
                </pic:pic>
              </a:graphicData>
            </a:graphic>
          </wp:inline>
        </w:drawing>
      </w:r>
    </w:p>
    <w:p w14:paraId="2CA3B707">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5EE778D">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8" cstate="print"/>
                    <a:srcRect/>
                    <a:stretch>
                      <a:fillRect/>
                    </a:stretch>
                  </pic:blipFill>
                  <pic:spPr>
                    <a:xfrm>
                      <a:off x="0" y="0"/>
                      <a:ext cx="5760085" cy="2869565"/>
                    </a:xfrm>
                    <a:prstGeom prst="rect">
                      <a:avLst/>
                    </a:prstGeom>
                  </pic:spPr>
                </pic:pic>
              </a:graphicData>
            </a:graphic>
          </wp:inline>
        </w:drawing>
      </w:r>
    </w:p>
    <w:p w14:paraId="68D0332B">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B7D011C">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9" cstate="print"/>
                    <a:srcRect/>
                    <a:stretch>
                      <a:fillRect/>
                    </a:stretch>
                  </pic:blipFill>
                  <pic:spPr>
                    <a:xfrm>
                      <a:off x="0" y="0"/>
                      <a:ext cx="5760085" cy="2853055"/>
                    </a:xfrm>
                    <a:prstGeom prst="rect">
                      <a:avLst/>
                    </a:prstGeom>
                  </pic:spPr>
                </pic:pic>
              </a:graphicData>
            </a:graphic>
          </wp:inline>
        </w:drawing>
      </w:r>
    </w:p>
    <w:p w14:paraId="1ADE3DAC">
      <w:pPr>
        <w:numPr>
          <w:ilvl w:val="0"/>
          <w:numId w:val="3"/>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2FC0596D">
      <w:pPr>
        <w:pStyle w:val="2"/>
      </w:pPr>
    </w:p>
    <w:p w14:paraId="4FDB6C3C">
      <w:pPr>
        <w:rPr>
          <w:rFonts w:ascii="宋体" w:hAnsi="宋体" w:cs="宋体"/>
          <w:color w:val="000000"/>
        </w:rPr>
      </w:pPr>
    </w:p>
    <w:p w14:paraId="64135829">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0" cstate="print"/>
                    <a:srcRect/>
                    <a:stretch>
                      <a:fillRect/>
                    </a:stretch>
                  </pic:blipFill>
                  <pic:spPr>
                    <a:xfrm>
                      <a:off x="0" y="0"/>
                      <a:ext cx="5760085" cy="2809875"/>
                    </a:xfrm>
                    <a:prstGeom prst="rect">
                      <a:avLst/>
                    </a:prstGeom>
                  </pic:spPr>
                </pic:pic>
              </a:graphicData>
            </a:graphic>
          </wp:inline>
        </w:drawing>
      </w:r>
    </w:p>
    <w:p w14:paraId="7C54D4DA">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1" cstate="print"/>
                    <a:srcRect/>
                    <a:stretch>
                      <a:fillRect/>
                    </a:stretch>
                  </pic:blipFill>
                  <pic:spPr>
                    <a:xfrm>
                      <a:off x="0" y="0"/>
                      <a:ext cx="5760085" cy="2820035"/>
                    </a:xfrm>
                    <a:prstGeom prst="rect">
                      <a:avLst/>
                    </a:prstGeom>
                  </pic:spPr>
                </pic:pic>
              </a:graphicData>
            </a:graphic>
          </wp:inline>
        </w:drawing>
      </w:r>
    </w:p>
    <w:p w14:paraId="77F92DCD">
      <w:pPr>
        <w:pStyle w:val="2"/>
      </w:pPr>
    </w:p>
    <w:p w14:paraId="4A591168">
      <w:pPr>
        <w:pStyle w:val="2"/>
      </w:pPr>
    </w:p>
    <w:p w14:paraId="4F8E500C">
      <w:pPr>
        <w:rPr>
          <w:rFonts w:ascii="宋体" w:hAnsi="宋体" w:cs="宋体"/>
          <w:b/>
          <w:bCs/>
          <w:color w:val="000000"/>
          <w:sz w:val="24"/>
          <w:szCs w:val="28"/>
        </w:rPr>
      </w:pPr>
      <w:r>
        <w:rPr>
          <w:rFonts w:hint="eastAsia" w:ascii="宋体" w:hAnsi="宋体" w:cs="宋体"/>
          <w:b/>
          <w:bCs/>
          <w:color w:val="000000"/>
          <w:sz w:val="24"/>
          <w:szCs w:val="28"/>
        </w:rPr>
        <w:t>注：</w:t>
      </w:r>
    </w:p>
    <w:p w14:paraId="150F3D24">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AE3C3A2">
      <w:pPr>
        <w:pStyle w:val="2"/>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cyan"/>
        </w:rPr>
        <w:t>工艺研究院</w:t>
      </w:r>
      <w:r>
        <w:rPr>
          <w:rFonts w:hint="eastAsia" w:hAnsi="宋体" w:cs="宋体"/>
          <w:b/>
          <w:bCs/>
          <w:color w:val="000000"/>
          <w:sz w:val="24"/>
          <w:szCs w:val="28"/>
        </w:rPr>
        <w:t>”。</w:t>
      </w:r>
    </w:p>
    <w:p w14:paraId="03FB1BE3">
      <w:pPr>
        <w:pStyle w:val="2"/>
        <w:sectPr>
          <w:pgSz w:w="11906" w:h="16838"/>
          <w:pgMar w:top="1134" w:right="1134" w:bottom="1134" w:left="1134" w:header="851" w:footer="992" w:gutter="0"/>
          <w:cols w:space="720" w:num="1"/>
          <w:titlePg/>
          <w:docGrid w:type="lines" w:linePitch="312" w:charSpace="0"/>
        </w:sectPr>
      </w:pPr>
    </w:p>
    <w:p w14:paraId="2EB55952">
      <w:pPr>
        <w:pStyle w:val="3"/>
        <w:spacing w:before="0" w:after="0"/>
        <w:rPr>
          <w:rFonts w:ascii="宋体" w:hAnsi="宋体"/>
          <w:sz w:val="28"/>
          <w:szCs w:val="28"/>
        </w:rPr>
      </w:pPr>
      <w:bookmarkStart w:id="21" w:name="_Toc32107"/>
      <w:r>
        <w:rPr>
          <w:rFonts w:hint="eastAsia" w:ascii="宋体" w:hAnsi="宋体" w:cs="宋体"/>
          <w:sz w:val="28"/>
          <w:szCs w:val="28"/>
        </w:rPr>
        <w:t xml:space="preserve">附件14 </w:t>
      </w:r>
      <w:r>
        <w:rPr>
          <w:rFonts w:hint="eastAsia" w:ascii="宋体" w:hAnsi="宋体"/>
          <w:sz w:val="28"/>
          <w:szCs w:val="28"/>
        </w:rPr>
        <w:t>SRM系统供应商用户手册</w:t>
      </w:r>
      <w:bookmarkEnd w:id="21"/>
    </w:p>
    <w:p w14:paraId="59BC3808">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10"/>
          <w:rFonts w:hint="eastAsia" w:ascii="宋体" w:hAnsi="宋体" w:cs="宋体"/>
          <w:sz w:val="24"/>
          <w:szCs w:val="24"/>
        </w:rPr>
        <w:t>https://ecaitong.sinotruk.com:8012/</w:t>
      </w:r>
      <w:r>
        <w:rPr>
          <w:rStyle w:val="10"/>
          <w:rFonts w:hint="eastAsia" w:ascii="宋体" w:hAnsi="宋体" w:cs="宋体"/>
          <w:sz w:val="24"/>
          <w:szCs w:val="24"/>
        </w:rPr>
        <w:fldChar w:fldCharType="end"/>
      </w:r>
    </w:p>
    <w:p w14:paraId="4DCB350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5BB440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61DB0694">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1CBEBDC">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7F1A4B1">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2" cstate="print"/>
                    <a:srcRect/>
                    <a:stretch>
                      <a:fillRect/>
                    </a:stretch>
                  </pic:blipFill>
                  <pic:spPr>
                    <a:xfrm>
                      <a:off x="0" y="0"/>
                      <a:ext cx="5760085" cy="2269490"/>
                    </a:xfrm>
                    <a:prstGeom prst="rect">
                      <a:avLst/>
                    </a:prstGeom>
                  </pic:spPr>
                </pic:pic>
              </a:graphicData>
            </a:graphic>
          </wp:inline>
        </w:drawing>
      </w:r>
    </w:p>
    <w:p w14:paraId="6FF9FEA6"/>
    <w:p w14:paraId="3E3D34A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09C41FA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23BF148">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3" cstate="print"/>
                    <a:srcRect/>
                    <a:stretch>
                      <a:fillRect/>
                    </a:stretch>
                  </pic:blipFill>
                  <pic:spPr>
                    <a:xfrm>
                      <a:off x="0" y="0"/>
                      <a:ext cx="5760085" cy="2125345"/>
                    </a:xfrm>
                    <a:prstGeom prst="rect">
                      <a:avLst/>
                    </a:prstGeom>
                  </pic:spPr>
                </pic:pic>
              </a:graphicData>
            </a:graphic>
          </wp:inline>
        </w:drawing>
      </w:r>
    </w:p>
    <w:p w14:paraId="5E097CB1">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A21EFD7">
      <w:pPr>
        <w:pStyle w:val="2"/>
      </w:pPr>
      <w:r>
        <w:rPr>
          <w:rFonts w:hint="eastAsia" w:hAnsi="宋体" w:cs="宋体"/>
          <w:b/>
          <w:bCs/>
          <w:color w:val="000000"/>
          <w:sz w:val="24"/>
          <w:szCs w:val="28"/>
          <w:highlight w:val="yellow"/>
        </w:rPr>
        <w:t>注意：系统内的投标报价单位为“万元”，如开标现场发现填错报价，即直接淘汰。</w:t>
      </w:r>
    </w:p>
    <w:p w14:paraId="20B2393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4" cstate="print"/>
                    <a:srcRect/>
                    <a:stretch>
                      <a:fillRect/>
                    </a:stretch>
                  </pic:blipFill>
                  <pic:spPr>
                    <a:xfrm>
                      <a:off x="0" y="0"/>
                      <a:ext cx="5490210" cy="2668905"/>
                    </a:xfrm>
                    <a:prstGeom prst="rect">
                      <a:avLst/>
                    </a:prstGeom>
                  </pic:spPr>
                </pic:pic>
              </a:graphicData>
            </a:graphic>
          </wp:inline>
        </w:drawing>
      </w:r>
    </w:p>
    <w:p w14:paraId="2B79A54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9951EF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109949C8">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206B495">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5" cstate="print"/>
                    <a:srcRect/>
                    <a:stretch>
                      <a:fillRect/>
                    </a:stretch>
                  </pic:blipFill>
                  <pic:spPr>
                    <a:xfrm>
                      <a:off x="0" y="0"/>
                      <a:ext cx="5490210" cy="1992629"/>
                    </a:xfrm>
                    <a:prstGeom prst="rect">
                      <a:avLst/>
                    </a:prstGeom>
                  </pic:spPr>
                </pic:pic>
              </a:graphicData>
            </a:graphic>
          </wp:inline>
        </w:drawing>
      </w:r>
    </w:p>
    <w:p w14:paraId="41CDDB58">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EBFCC6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CD7D0BF">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D02723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375B27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ED83DC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2F7B0B6">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6" cstate="print"/>
                    <a:srcRect/>
                    <a:stretch>
                      <a:fillRect/>
                    </a:stretch>
                  </pic:blipFill>
                  <pic:spPr>
                    <a:xfrm>
                      <a:off x="0" y="0"/>
                      <a:ext cx="5490210" cy="2544445"/>
                    </a:xfrm>
                    <a:prstGeom prst="rect">
                      <a:avLst/>
                    </a:prstGeom>
                  </pic:spPr>
                </pic:pic>
              </a:graphicData>
            </a:graphic>
          </wp:inline>
        </w:drawing>
      </w:r>
    </w:p>
    <w:p w14:paraId="37F3A12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0A240C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AD6576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BE0307A">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7" cstate="print"/>
                    <a:srcRect/>
                    <a:stretch>
                      <a:fillRect/>
                    </a:stretch>
                  </pic:blipFill>
                  <pic:spPr>
                    <a:xfrm>
                      <a:off x="0" y="0"/>
                      <a:ext cx="5760085" cy="1956435"/>
                    </a:xfrm>
                    <a:prstGeom prst="rect">
                      <a:avLst/>
                    </a:prstGeom>
                  </pic:spPr>
                </pic:pic>
              </a:graphicData>
            </a:graphic>
          </wp:inline>
        </w:drawing>
      </w:r>
    </w:p>
    <w:p w14:paraId="230A830D">
      <w:pPr>
        <w:pStyle w:val="2"/>
        <w:rPr>
          <w:rFonts w:hAnsi="宋体"/>
          <w:b/>
          <w:color w:val="000000"/>
          <w:sz w:val="24"/>
          <w:szCs w:val="24"/>
        </w:rPr>
      </w:pPr>
    </w:p>
    <w:p w14:paraId="1C2930CC">
      <w:pPr>
        <w:pStyle w:val="2"/>
        <w:rPr>
          <w:rFonts w:hAnsi="宋体"/>
          <w:b/>
          <w:color w:val="000000"/>
          <w:sz w:val="24"/>
          <w:szCs w:val="24"/>
        </w:rPr>
      </w:pPr>
    </w:p>
    <w:p w14:paraId="7F486299">
      <w:pPr>
        <w:pStyle w:val="13"/>
        <w:rPr>
          <w:rFonts w:hAnsi="宋体"/>
          <w:sz w:val="24"/>
        </w:rPr>
      </w:pPr>
    </w:p>
    <w:p w14:paraId="25C74B5D">
      <w:pPr>
        <w:pStyle w:val="13"/>
        <w:rPr>
          <w:rFonts w:hAnsi="宋体"/>
          <w:sz w:val="24"/>
        </w:rPr>
      </w:pPr>
    </w:p>
    <w:p w14:paraId="06CC83E1">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3128997"/>
    </w:sdtPr>
    <w:sdtContent>
      <w:p w14:paraId="6481855C">
        <w:pPr>
          <w:pStyle w:val="5"/>
          <w:jc w:val="center"/>
        </w:pPr>
        <w:r>
          <w:fldChar w:fldCharType="begin"/>
        </w:r>
        <w:r>
          <w:instrText xml:space="preserve">PAGE   \* MERGEFORMAT</w:instrText>
        </w:r>
        <w:r>
          <w:fldChar w:fldCharType="separate"/>
        </w:r>
        <w:r>
          <w:rPr>
            <w:lang w:val="zh-CN"/>
          </w:rPr>
          <w:t>18</w:t>
        </w:r>
        <w:r>
          <w:fldChar w:fldCharType="end"/>
        </w:r>
      </w:p>
    </w:sdtContent>
  </w:sdt>
  <w:p w14:paraId="3031357D">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5"/>
      <w:numFmt w:val="decimal"/>
      <w:lvlText w:val="%1."/>
      <w:lvlJc w:val="left"/>
      <w:pPr>
        <w:tabs>
          <w:tab w:val="left" w:pos="312"/>
        </w:tabs>
      </w:pPr>
    </w:lvl>
  </w:abstractNum>
  <w:abstractNum w:abstractNumId="1">
    <w:nsid w:val="656A6EAE"/>
    <w:multiLevelType w:val="multilevel"/>
    <w:tmpl w:val="656A6EAE"/>
    <w:lvl w:ilvl="0" w:tentative="0">
      <w:start w:val="1"/>
      <w:numFmt w:val="chineseCountingThousand"/>
      <w:pStyle w:val="1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773EF852"/>
    <w:multiLevelType w:val="singleLevel"/>
    <w:tmpl w:val="773EF852"/>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D4A8B"/>
    <w:rsid w:val="0FBB21B3"/>
    <w:rsid w:val="27A72E58"/>
    <w:rsid w:val="2B43368C"/>
    <w:rsid w:val="742B4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0"/>
    <w:rPr>
      <w:rFonts w:hAnsi="Courier New" w:cs="Courier New" w:asciiTheme="minorEastAsia" w:eastAsiaTheme="minorEastAsia"/>
    </w:rPr>
  </w:style>
  <w:style w:type="paragraph" w:styleId="4">
    <w:name w:val="toc 3"/>
    <w:basedOn w:val="1"/>
    <w:next w:val="1"/>
    <w:unhideWhenUsed/>
    <w:qFormat/>
    <w:uiPriority w:val="39"/>
    <w:pPr>
      <w:ind w:left="840" w:leftChars="400"/>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tabs>
        <w:tab w:val="right" w:leader="dot" w:pos="9628"/>
      </w:tabs>
      <w:ind w:left="420" w:leftChars="200"/>
    </w:pPr>
  </w:style>
  <w:style w:type="character" w:styleId="10">
    <w:name w:val="Hyperlink"/>
    <w:basedOn w:val="9"/>
    <w:unhideWhenUsed/>
    <w:qFormat/>
    <w:uiPriority w:val="99"/>
    <w:rPr>
      <w:color w:val="0026E5" w:themeColor="hyperlink"/>
      <w:u w:val="single"/>
      <w14:textFill>
        <w14:solidFill>
          <w14:schemeClr w14:val="hlink"/>
        </w14:solidFill>
      </w14:textFill>
    </w:rPr>
  </w:style>
  <w:style w:type="paragraph" w:customStyle="1" w:styleId="11">
    <w:name w:val="章节"/>
    <w:basedOn w:val="2"/>
    <w:qFormat/>
    <w:uiPriority w:val="0"/>
    <w:pPr>
      <w:spacing w:line="360" w:lineRule="auto"/>
      <w:jc w:val="center"/>
      <w:outlineLvl w:val="0"/>
    </w:pPr>
    <w:rPr>
      <w:rFonts w:ascii="黑体" w:eastAsia="黑体" w:cs="Times New Roman"/>
      <w:b/>
      <w:bCs/>
      <w:sz w:val="36"/>
      <w:szCs w:val="36"/>
    </w:rPr>
  </w:style>
  <w:style w:type="paragraph" w:customStyle="1" w:styleId="12">
    <w:name w:val="一级标题"/>
    <w:basedOn w:val="2"/>
    <w:qFormat/>
    <w:uiPriority w:val="1"/>
    <w:pPr>
      <w:numPr>
        <w:ilvl w:val="0"/>
        <w:numId w:val="1"/>
      </w:numPr>
      <w:tabs>
        <w:tab w:val="left" w:pos="360"/>
      </w:tabs>
      <w:spacing w:line="360" w:lineRule="auto"/>
      <w:ind w:left="420" w:firstLine="0"/>
      <w:outlineLvl w:val="1"/>
    </w:pPr>
    <w:rPr>
      <w:rFonts w:ascii="黑体" w:eastAsia="黑体" w:cs="Times New Roman"/>
      <w:b/>
      <w:bCs/>
      <w:sz w:val="28"/>
    </w:rPr>
  </w:style>
  <w:style w:type="paragraph" w:customStyle="1" w:styleId="13">
    <w:name w:val="标书正文"/>
    <w:basedOn w:val="2"/>
    <w:qFormat/>
    <w:uiPriority w:val="9"/>
    <w:pPr>
      <w:spacing w:line="360" w:lineRule="auto"/>
      <w:jc w:val="left"/>
    </w:pPr>
    <w:rPr>
      <w:rFonts w:ascii="宋体"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3160</Words>
  <Characters>3464</Characters>
  <Lines>0</Lines>
  <Paragraphs>0</Paragraphs>
  <TotalTime>2</TotalTime>
  <ScaleCrop>false</ScaleCrop>
  <LinksUpToDate>false</LinksUpToDate>
  <CharactersWithSpaces>3641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2026-07-24T03:13:00Z</dcterms:created>
  <dc:creator>Lenovo</dc:creator>
  <cp:lastModifiedBy>晓寒轻</cp:lastModifiedBy>
  <dcterms:modified xsi:type="dcterms:W3CDTF">2026-07-24T03:28:06Z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3E9ADE4668C8445AA38D9B4CE1C50009_12</vt:lpwstr>
  </property>
</Properties>
</file>