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6"/>
      </w:pP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009EA4D6">
      <w:pPr>
        <w:ind w:right="280" w:firstLine="522" w:firstLineChars="100"/>
        <w:jc w:val="both"/>
        <w:rPr>
          <w:rFonts w:hint="eastAsia" w:ascii="仿宋" w:hAnsi="仿宋" w:eastAsia="仿宋" w:cs="仿宋"/>
          <w:b/>
          <w:bCs/>
          <w:sz w:val="52"/>
          <w:szCs w:val="52"/>
          <w:highlight w:val="none"/>
          <w:lang w:val="en-US" w:eastAsia="zh-CN"/>
        </w:rPr>
      </w:pPr>
      <w:r>
        <w:rPr>
          <w:rFonts w:hint="eastAsia" w:ascii="宋体" w:hAnsi="宋体" w:cs="宋体"/>
          <w:b/>
          <w:bCs/>
          <w:sz w:val="52"/>
          <w:szCs w:val="52"/>
          <w:highlight w:val="none"/>
          <w:lang w:val="en-US" w:eastAsia="zh-CN"/>
        </w:rPr>
        <w:t>集团</w:t>
      </w:r>
      <w:r>
        <w:rPr>
          <w:rFonts w:hint="eastAsia" w:ascii="宋体" w:hAnsi="宋体" w:eastAsia="宋体" w:cs="宋体"/>
          <w:b/>
          <w:bCs/>
          <w:sz w:val="52"/>
          <w:szCs w:val="52"/>
          <w:highlight w:val="none"/>
          <w:lang w:val="en-US" w:eastAsia="zh-CN"/>
        </w:rPr>
        <w:t>办公室LED屏幕年度维保项目</w:t>
      </w:r>
    </w:p>
    <w:p w14:paraId="612663B5">
      <w:pPr>
        <w:ind w:right="280"/>
        <w:jc w:val="center"/>
        <w:rPr>
          <w:b/>
          <w:bCs/>
          <w:sz w:val="28"/>
          <w:szCs w:val="28"/>
          <w:highlight w:val="none"/>
        </w:rPr>
      </w:pPr>
    </w:p>
    <w:p w14:paraId="18CBF8EA">
      <w:pPr>
        <w:ind w:right="280"/>
        <w:jc w:val="center"/>
        <w:rPr>
          <w:sz w:val="28"/>
          <w:szCs w:val="28"/>
          <w:highlight w:val="none"/>
        </w:rPr>
      </w:pPr>
    </w:p>
    <w:p w14:paraId="0B5D6B25">
      <w:pPr>
        <w:jc w:val="center"/>
        <w:rPr>
          <w:rFonts w:hint="eastAsia" w:ascii="宋体" w:hAnsi="宋体" w:cs="宋体"/>
          <w:b/>
          <w:bCs/>
          <w:sz w:val="72"/>
          <w:szCs w:val="72"/>
          <w:highlight w:val="none"/>
        </w:rPr>
      </w:pPr>
      <w:r>
        <w:rPr>
          <w:rFonts w:hint="eastAsia" w:ascii="宋体" w:hAnsi="宋体" w:cs="宋体"/>
          <w:b/>
          <w:bCs/>
          <w:sz w:val="72"/>
          <w:szCs w:val="72"/>
          <w:highlight w:val="none"/>
        </w:rPr>
        <w:t>招</w:t>
      </w:r>
    </w:p>
    <w:p w14:paraId="69DCC889">
      <w:pPr>
        <w:jc w:val="center"/>
        <w:rPr>
          <w:rFonts w:hint="eastAsia" w:ascii="宋体" w:hAnsi="宋体" w:cs="宋体"/>
          <w:b/>
          <w:bCs/>
          <w:sz w:val="72"/>
          <w:szCs w:val="72"/>
          <w:highlight w:val="none"/>
        </w:rPr>
      </w:pPr>
      <w:r>
        <w:rPr>
          <w:rFonts w:hint="eastAsia" w:ascii="宋体" w:hAnsi="宋体" w:cs="宋体"/>
          <w:b/>
          <w:bCs/>
          <w:sz w:val="72"/>
          <w:szCs w:val="72"/>
          <w:highlight w:val="none"/>
        </w:rPr>
        <w:t>标</w:t>
      </w:r>
    </w:p>
    <w:p w14:paraId="47F121E6">
      <w:pPr>
        <w:jc w:val="center"/>
        <w:rPr>
          <w:rFonts w:hint="eastAsia" w:ascii="宋体" w:hAnsi="宋体" w:cs="宋体"/>
          <w:b/>
          <w:bCs/>
          <w:sz w:val="72"/>
          <w:szCs w:val="72"/>
          <w:highlight w:val="none"/>
        </w:rPr>
      </w:pPr>
      <w:r>
        <w:rPr>
          <w:rFonts w:hint="eastAsia" w:ascii="宋体" w:hAnsi="宋体" w:cs="宋体"/>
          <w:b/>
          <w:bCs/>
          <w:sz w:val="72"/>
          <w:szCs w:val="72"/>
          <w:highlight w:val="none"/>
        </w:rPr>
        <w:t>文</w:t>
      </w:r>
    </w:p>
    <w:p w14:paraId="6418E5FF">
      <w:pPr>
        <w:jc w:val="center"/>
        <w:rPr>
          <w:rFonts w:ascii="宋体" w:hAnsi="宋体" w:cs="宋体"/>
          <w:b/>
          <w:bCs/>
          <w:sz w:val="72"/>
          <w:szCs w:val="72"/>
          <w:highlight w:val="none"/>
        </w:rPr>
      </w:pPr>
      <w:r>
        <w:rPr>
          <w:rFonts w:hint="eastAsia" w:ascii="宋体" w:hAnsi="宋体" w:cs="宋体"/>
          <w:b/>
          <w:bCs/>
          <w:sz w:val="72"/>
          <w:szCs w:val="72"/>
          <w:highlight w:val="none"/>
        </w:rPr>
        <w:t>件</w:t>
      </w:r>
    </w:p>
    <w:p w14:paraId="2A3C624C">
      <w:pPr>
        <w:jc w:val="both"/>
        <w:rPr>
          <w:rFonts w:ascii="宋体" w:hAnsi="宋体"/>
          <w:sz w:val="48"/>
          <w:szCs w:val="48"/>
          <w:highlight w:val="none"/>
        </w:rPr>
      </w:pPr>
    </w:p>
    <w:p w14:paraId="28FA803A">
      <w:pPr>
        <w:jc w:val="center"/>
        <w:rPr>
          <w:rFonts w:ascii="宋体" w:hAnsi="宋体"/>
          <w:sz w:val="48"/>
          <w:szCs w:val="48"/>
          <w:highlight w:val="none"/>
        </w:rPr>
      </w:pPr>
    </w:p>
    <w:p w14:paraId="6993BE58">
      <w:pPr>
        <w:jc w:val="center"/>
        <w:rPr>
          <w:rFonts w:ascii="宋体" w:hAnsi="宋体"/>
          <w:sz w:val="48"/>
          <w:szCs w:val="48"/>
          <w:highlight w:val="none"/>
        </w:rPr>
      </w:pPr>
    </w:p>
    <w:p w14:paraId="7A3AA5EC">
      <w:pPr>
        <w:widowControl/>
        <w:tabs>
          <w:tab w:val="center" w:pos="4594"/>
          <w:tab w:val="right" w:pos="9070"/>
        </w:tabs>
        <w:spacing w:line="360" w:lineRule="auto"/>
        <w:jc w:val="left"/>
        <w:rPr>
          <w:rFonts w:hint="default" w:ascii="宋体" w:hAnsi="宋体" w:eastAsia="宋体" w:cs="宋体"/>
          <w:b/>
          <w:bCs/>
          <w:kern w:val="0"/>
          <w:sz w:val="32"/>
          <w:szCs w:val="32"/>
          <w:highlight w:val="none"/>
          <w:lang w:val="en-US" w:eastAsia="zh-CN"/>
        </w:rPr>
      </w:pPr>
      <w:r>
        <w:rPr>
          <w:rFonts w:hint="eastAsia" w:ascii="宋体" w:hAnsi="宋体" w:cs="宋体"/>
          <w:b/>
          <w:bCs/>
          <w:kern w:val="0"/>
          <w:sz w:val="32"/>
          <w:szCs w:val="32"/>
          <w:highlight w:val="none"/>
          <w:lang w:eastAsia="zh-CN"/>
        </w:rPr>
        <w:tab/>
      </w: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lang w:val="en-US" w:eastAsia="zh-CN"/>
        </w:rPr>
        <w:t>ZBGL2026070387</w:t>
      </w:r>
    </w:p>
    <w:p w14:paraId="63FA33C5">
      <w:pPr>
        <w:widowControl/>
        <w:tabs>
          <w:tab w:val="center" w:pos="4594"/>
          <w:tab w:val="right" w:pos="9070"/>
        </w:tabs>
        <w:spacing w:line="360" w:lineRule="auto"/>
        <w:jc w:val="left"/>
        <w:rPr>
          <w:rFonts w:hint="default" w:ascii="宋体" w:hAnsi="宋体" w:eastAsia="宋体" w:cs="宋体"/>
          <w:b/>
          <w:bCs/>
          <w:kern w:val="0"/>
          <w:sz w:val="32"/>
          <w:szCs w:val="32"/>
          <w:highlight w:val="none"/>
          <w:u w:val="single"/>
          <w:lang w:val="en-US" w:eastAsia="zh-CN"/>
        </w:rPr>
      </w:pPr>
    </w:p>
    <w:p w14:paraId="10A10BCC">
      <w:pPr>
        <w:jc w:val="center"/>
        <w:rPr>
          <w:rFonts w:ascii="宋体" w:hAnsi="宋体"/>
          <w:sz w:val="48"/>
          <w:szCs w:val="48"/>
          <w:highlight w:val="none"/>
        </w:rPr>
      </w:pPr>
    </w:p>
    <w:p w14:paraId="0D4E54EC">
      <w:pPr>
        <w:jc w:val="center"/>
        <w:rPr>
          <w:rFonts w:ascii="宋体" w:hAnsi="宋体"/>
          <w:sz w:val="48"/>
          <w:szCs w:val="48"/>
          <w:highlight w:val="none"/>
        </w:rPr>
      </w:pPr>
    </w:p>
    <w:p w14:paraId="1CE80EBC">
      <w:pPr>
        <w:jc w:val="center"/>
        <w:rPr>
          <w:rFonts w:hint="eastAsia" w:ascii="宋体" w:hAnsi="宋体" w:eastAsia="宋体"/>
          <w:sz w:val="28"/>
          <w:szCs w:val="28"/>
          <w:highlight w:val="none"/>
          <w:lang w:eastAsia="zh-CN"/>
        </w:rPr>
      </w:pPr>
      <w:r>
        <w:rPr>
          <w:rFonts w:hint="eastAsia" w:ascii="宋体" w:hAnsi="宋体"/>
          <w:sz w:val="28"/>
          <w:szCs w:val="28"/>
          <w:highlight w:val="none"/>
        </w:rPr>
        <w:t>招 标 人：中国重汽集团</w:t>
      </w:r>
      <w:r>
        <w:rPr>
          <w:rFonts w:hint="eastAsia" w:ascii="宋体" w:hAnsi="宋体"/>
          <w:sz w:val="28"/>
          <w:szCs w:val="28"/>
          <w:highlight w:val="none"/>
          <w:u w:val="none"/>
          <w:lang w:val="en-US" w:eastAsia="zh-CN"/>
        </w:rPr>
        <w:t>济南动力</w:t>
      </w:r>
      <w:r>
        <w:rPr>
          <w:rFonts w:hint="eastAsia" w:ascii="宋体" w:hAnsi="宋体"/>
          <w:sz w:val="28"/>
          <w:szCs w:val="28"/>
          <w:highlight w:val="none"/>
        </w:rPr>
        <w:t>有限公司</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highlight w:val="non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7月</w:t>
      </w:r>
    </w:p>
    <w:p w14:paraId="7F48F057">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1"/>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70"/>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35A69E4D">
          <w:pPr>
            <w:pStyle w:val="2"/>
            <w:tabs>
              <w:tab w:val="right" w:leader="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_Toc23927 </w:instrText>
          </w:r>
          <w:r>
            <w:rPr>
              <w:rFonts w:hint="eastAsia" w:ascii="Calibri" w:hAnsi="Calibri"/>
              <w:bCs/>
              <w:kern w:val="44"/>
              <w:szCs w:val="44"/>
            </w:rPr>
            <w:fldChar w:fldCharType="separate"/>
          </w:r>
          <w:r>
            <w:rPr>
              <w:rFonts w:hint="eastAsia"/>
            </w:rPr>
            <w:t>第一部分  投标人须知</w:t>
          </w:r>
          <w:r>
            <w:tab/>
          </w:r>
          <w:r>
            <w:fldChar w:fldCharType="begin"/>
          </w:r>
          <w:r>
            <w:instrText xml:space="preserve"> PAGEREF _Toc23927 \h </w:instrText>
          </w:r>
          <w:r>
            <w:fldChar w:fldCharType="separate"/>
          </w:r>
          <w:r>
            <w:t>2</w:t>
          </w:r>
          <w:r>
            <w:fldChar w:fldCharType="end"/>
          </w:r>
          <w:r>
            <w:rPr>
              <w:rFonts w:hint="eastAsia" w:ascii="Calibri" w:hAnsi="Calibri"/>
              <w:bCs/>
              <w:kern w:val="44"/>
              <w:szCs w:val="44"/>
            </w:rPr>
            <w:fldChar w:fldCharType="end"/>
          </w:r>
        </w:p>
        <w:p w14:paraId="39051F0A">
          <w:pPr>
            <w:pStyle w:val="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_Toc16839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_Toc16839 \h </w:instrText>
          </w:r>
          <w:r>
            <w:fldChar w:fldCharType="separate"/>
          </w:r>
          <w:r>
            <w:t>12</w:t>
          </w:r>
          <w:r>
            <w:fldChar w:fldCharType="end"/>
          </w:r>
          <w:r>
            <w:rPr>
              <w:rFonts w:hint="eastAsia" w:ascii="Calibri" w:hAnsi="Calibri" w:eastAsia="宋体" w:cs="Times New Roman"/>
              <w:bCs/>
              <w:kern w:val="44"/>
              <w:szCs w:val="44"/>
            </w:rPr>
            <w:fldChar w:fldCharType="end"/>
          </w:r>
        </w:p>
        <w:p w14:paraId="012CB70F">
          <w:pPr>
            <w:pStyle w:val="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_Toc8030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_Toc8030 \h </w:instrText>
          </w:r>
          <w:r>
            <w:fldChar w:fldCharType="separate"/>
          </w:r>
          <w:r>
            <w:t>20</w:t>
          </w:r>
          <w:r>
            <w:fldChar w:fldCharType="end"/>
          </w:r>
          <w:r>
            <w:rPr>
              <w:rFonts w:hint="eastAsia" w:ascii="Calibri" w:hAnsi="Calibri" w:eastAsia="宋体" w:cs="Times New Roman"/>
              <w:bCs/>
              <w:kern w:val="44"/>
              <w:szCs w:val="44"/>
            </w:rPr>
            <w:fldChar w:fldCharType="end"/>
          </w:r>
        </w:p>
        <w:p w14:paraId="4C8160F4">
          <w:pPr>
            <w:pStyle w:val="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_Toc16500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_Toc16500 \h </w:instrText>
          </w:r>
          <w:r>
            <w:fldChar w:fldCharType="separate"/>
          </w:r>
          <w:r>
            <w:t>21</w:t>
          </w:r>
          <w:r>
            <w:fldChar w:fldCharType="end"/>
          </w:r>
          <w:r>
            <w:rPr>
              <w:rFonts w:hint="eastAsia" w:ascii="Calibri" w:hAnsi="Calibri" w:eastAsia="宋体" w:cs="Times New Roman"/>
              <w:bCs/>
              <w:kern w:val="44"/>
              <w:szCs w:val="44"/>
            </w:rPr>
            <w:fldChar w:fldCharType="end"/>
          </w:r>
        </w:p>
        <w:p w14:paraId="6617A57C">
          <w:pPr>
            <w:pStyle w:val="2"/>
          </w:pPr>
          <w:r>
            <w:rPr>
              <w:rFonts w:hint="eastAsia" w:ascii="Calibri" w:hAnsi="Calibri" w:eastAsia="宋体" w:cs="Times New Roman"/>
              <w:bCs/>
              <w:kern w:val="44"/>
              <w:szCs w:val="44"/>
            </w:rPr>
            <w:fldChar w:fldCharType="end"/>
          </w:r>
        </w:p>
      </w:sdtContent>
    </w:sdt>
    <w:p w14:paraId="582BF911">
      <w:pPr>
        <w:pStyle w:val="17"/>
        <w:tabs>
          <w:tab w:val="left" w:pos="2940"/>
        </w:tabs>
        <w:spacing w:line="360" w:lineRule="auto"/>
      </w:pPr>
      <w:r>
        <w:tab/>
      </w:r>
    </w:p>
    <w:p w14:paraId="29FEE1FC">
      <w:pPr>
        <w:pStyle w:val="17"/>
        <w:spacing w:line="360" w:lineRule="auto"/>
        <w:jc w:val="center"/>
      </w:pPr>
    </w:p>
    <w:p w14:paraId="1E3DA111">
      <w:pPr>
        <w:pStyle w:val="17"/>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3D820EEC">
      <w:pPr>
        <w:pStyle w:val="73"/>
      </w:pPr>
      <w:bookmarkStart w:id="0" w:name="_Toc47976595"/>
      <w:bookmarkStart w:id="1" w:name="_Toc23927"/>
      <w:r>
        <w:rPr>
          <w:rFonts w:hint="eastAsia"/>
        </w:rPr>
        <w:t>第一部分  投标人须知</w:t>
      </w:r>
      <w:bookmarkEnd w:id="0"/>
      <w:bookmarkEnd w:id="1"/>
    </w:p>
    <w:p w14:paraId="418340FC">
      <w:pPr>
        <w:pStyle w:val="74"/>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pPr>
      <w:bookmarkStart w:id="2" w:name="_Toc47976596"/>
      <w:r>
        <w:rPr>
          <w:rFonts w:hint="eastAsia" w:cs="Times New Roman"/>
        </w:rPr>
        <w:t>项目</w:t>
      </w:r>
      <w:r>
        <w:rPr>
          <w:rFonts w:hint="eastAsia"/>
        </w:rPr>
        <w:t>介绍</w:t>
      </w:r>
      <w:bookmarkEnd w:id="2"/>
    </w:p>
    <w:p w14:paraId="6360E7CD">
      <w:pPr>
        <w:pStyle w:val="78"/>
        <w:keepNext w:val="0"/>
        <w:keepLines w:val="0"/>
        <w:pageBreakBefore w:val="0"/>
        <w:widowControl w:val="0"/>
        <w:numPr>
          <w:ilvl w:val="0"/>
          <w:numId w:val="9"/>
        </w:numPr>
        <w:kinsoku/>
        <w:wordWrap/>
        <w:overflowPunct/>
        <w:topLinePunct w:val="0"/>
        <w:autoSpaceDE/>
        <w:autoSpaceDN/>
        <w:bidi w:val="0"/>
        <w:adjustRightInd/>
        <w:snapToGrid/>
        <w:spacing w:line="440" w:lineRule="exact"/>
        <w:ind w:left="454" w:leftChars="0" w:hanging="454" w:firstLineChars="0"/>
        <w:textAlignment w:val="auto"/>
        <w:rPr>
          <w:sz w:val="21"/>
          <w:szCs w:val="21"/>
          <w:highlight w:val="none"/>
        </w:rPr>
      </w:pPr>
      <w:r>
        <w:rPr>
          <w:rFonts w:hint="eastAsia"/>
          <w:sz w:val="21"/>
          <w:szCs w:val="21"/>
        </w:rPr>
        <w:t>项目名称：</w:t>
      </w:r>
      <w:r>
        <w:rPr>
          <w:rFonts w:hint="eastAsia"/>
          <w:sz w:val="21"/>
          <w:szCs w:val="21"/>
          <w:lang w:val="en-US" w:eastAsia="zh-CN"/>
        </w:rPr>
        <w:t>集团</w:t>
      </w:r>
      <w:r>
        <w:rPr>
          <w:rFonts w:hint="eastAsia"/>
          <w:sz w:val="21"/>
          <w:szCs w:val="21"/>
          <w:highlight w:val="none"/>
          <w:lang w:val="en-US" w:eastAsia="zh-CN"/>
        </w:rPr>
        <w:t>办公室LED屏幕年度维保项目</w:t>
      </w:r>
    </w:p>
    <w:p w14:paraId="17A97EAA">
      <w:pPr>
        <w:pStyle w:val="78"/>
        <w:keepNext w:val="0"/>
        <w:keepLines w:val="0"/>
        <w:pageBreakBefore w:val="0"/>
        <w:widowControl w:val="0"/>
        <w:numPr>
          <w:ilvl w:val="0"/>
          <w:numId w:val="9"/>
        </w:numPr>
        <w:kinsoku/>
        <w:wordWrap/>
        <w:overflowPunct/>
        <w:topLinePunct w:val="0"/>
        <w:autoSpaceDE/>
        <w:autoSpaceDN/>
        <w:bidi w:val="0"/>
        <w:adjustRightInd/>
        <w:snapToGrid/>
        <w:spacing w:line="440" w:lineRule="exact"/>
        <w:ind w:left="454" w:leftChars="0" w:hanging="454" w:firstLineChars="0"/>
        <w:textAlignment w:val="auto"/>
        <w:rPr>
          <w:sz w:val="21"/>
          <w:szCs w:val="21"/>
          <w:highlight w:val="none"/>
        </w:rPr>
      </w:pPr>
      <w:r>
        <w:rPr>
          <w:rFonts w:hint="eastAsia"/>
          <w:sz w:val="21"/>
          <w:szCs w:val="21"/>
          <w:highlight w:val="none"/>
        </w:rPr>
        <w:t>项目编号：</w:t>
      </w:r>
      <w:r>
        <w:rPr>
          <w:rFonts w:hint="eastAsia" w:ascii="宋体" w:hAnsi="宋体" w:eastAsia="宋体" w:cs="宋体"/>
          <w:b/>
          <w:bCs/>
          <w:kern w:val="0"/>
          <w:sz w:val="21"/>
          <w:szCs w:val="21"/>
          <w:highlight w:val="none"/>
          <w:lang w:val="en-US" w:eastAsia="zh-CN"/>
        </w:rPr>
        <w:t>ZBGL2026070387</w:t>
      </w:r>
    </w:p>
    <w:p w14:paraId="5C6CF568">
      <w:pPr>
        <w:pStyle w:val="78"/>
        <w:keepNext w:val="0"/>
        <w:keepLines w:val="0"/>
        <w:pageBreakBefore w:val="0"/>
        <w:widowControl w:val="0"/>
        <w:numPr>
          <w:ilvl w:val="0"/>
          <w:numId w:val="9"/>
        </w:numPr>
        <w:kinsoku/>
        <w:wordWrap/>
        <w:overflowPunct/>
        <w:topLinePunct w:val="0"/>
        <w:autoSpaceDE/>
        <w:autoSpaceDN/>
        <w:bidi w:val="0"/>
        <w:adjustRightInd/>
        <w:snapToGrid/>
        <w:spacing w:line="440" w:lineRule="exact"/>
        <w:ind w:left="454" w:leftChars="0" w:hanging="454" w:firstLineChars="0"/>
        <w:textAlignment w:val="auto"/>
        <w:rPr>
          <w:sz w:val="21"/>
          <w:szCs w:val="21"/>
          <w:highlight w:val="none"/>
        </w:rPr>
      </w:pPr>
      <w:r>
        <w:rPr>
          <w:rFonts w:hint="eastAsia"/>
          <w:sz w:val="21"/>
          <w:szCs w:val="21"/>
          <w:highlight w:val="none"/>
        </w:rPr>
        <w:t>招标形式：</w:t>
      </w:r>
      <w:bookmarkStart w:id="3" w:name="_Toc47112482"/>
      <w:r>
        <w:rPr>
          <w:rFonts w:hint="eastAsia"/>
          <w:sz w:val="21"/>
          <w:szCs w:val="21"/>
          <w:highlight w:val="none"/>
          <w:lang w:val="en-US" w:eastAsia="zh-CN"/>
        </w:rPr>
        <w:t>公开招标</w:t>
      </w:r>
    </w:p>
    <w:p w14:paraId="42F1DD38">
      <w:pPr>
        <w:pStyle w:val="28"/>
        <w:keepNext w:val="0"/>
        <w:keepLines w:val="0"/>
        <w:widowControl/>
        <w:numPr>
          <w:ilvl w:val="0"/>
          <w:numId w:val="9"/>
        </w:numPr>
        <w:suppressLineNumbers w:val="0"/>
        <w:ind w:left="454" w:leftChars="0" w:hanging="454" w:firstLineChars="0"/>
        <w:jc w:val="left"/>
        <w:rPr>
          <w:rFonts w:hint="eastAsia"/>
          <w:sz w:val="21"/>
          <w:szCs w:val="21"/>
          <w:highlight w:val="none"/>
          <w:lang w:eastAsia="zh-CN"/>
        </w:rPr>
      </w:pPr>
      <w:r>
        <w:rPr>
          <w:rFonts w:hint="eastAsia"/>
          <w:sz w:val="21"/>
          <w:szCs w:val="21"/>
          <w:lang w:val="en-US" w:eastAsia="zh-CN"/>
        </w:rPr>
        <w:t>项目</w:t>
      </w:r>
      <w:r>
        <w:rPr>
          <w:rFonts w:hint="eastAsia"/>
          <w:sz w:val="21"/>
          <w:szCs w:val="21"/>
          <w:highlight w:val="none"/>
          <w:lang w:val="en-US" w:eastAsia="zh-CN"/>
        </w:rPr>
        <w:t>概况：对中国重汽集团的各会议室、礼堂的LED显示设备的备品备件以及人员服务进行招标，</w:t>
      </w:r>
      <w:r>
        <w:rPr>
          <w:sz w:val="21"/>
          <w:szCs w:val="21"/>
          <w:highlight w:val="none"/>
        </w:rPr>
        <w:t>旨在确保屏幕稳定运行、画面质量优良、延长使用寿命，降低故障率</w:t>
      </w:r>
      <w:r>
        <w:rPr>
          <w:rFonts w:hint="eastAsia"/>
          <w:sz w:val="21"/>
          <w:szCs w:val="21"/>
          <w:highlight w:val="none"/>
          <w:lang w:eastAsia="zh-CN"/>
        </w:rPr>
        <w:t>。</w:t>
      </w:r>
    </w:p>
    <w:p w14:paraId="151561C8">
      <w:pPr>
        <w:pStyle w:val="28"/>
        <w:keepNext w:val="0"/>
        <w:keepLines w:val="0"/>
        <w:widowControl/>
        <w:numPr>
          <w:ilvl w:val="0"/>
          <w:numId w:val="9"/>
        </w:numPr>
        <w:suppressLineNumbers w:val="0"/>
        <w:ind w:left="454" w:leftChars="0" w:hanging="454" w:firstLineChars="0"/>
        <w:rPr>
          <w:rFonts w:hint="default" w:ascii="宋体" w:hAnsi="Courier New" w:eastAsia="宋体" w:cs="Times New Roman"/>
          <w:sz w:val="21"/>
          <w:szCs w:val="21"/>
          <w:highlight w:val="none"/>
          <w:lang w:val="en-US" w:eastAsia="zh-CN"/>
        </w:rPr>
      </w:pPr>
      <w:r>
        <w:rPr>
          <w:rFonts w:hint="eastAsia" w:cs="Times New Roman"/>
          <w:sz w:val="21"/>
          <w:szCs w:val="21"/>
          <w:highlight w:val="none"/>
          <w:lang w:val="en-US" w:eastAsia="zh-CN"/>
        </w:rPr>
        <w:t>招标内容</w:t>
      </w:r>
      <w:r>
        <w:rPr>
          <w:rFonts w:hint="eastAsia" w:ascii="宋体" w:hAnsi="Courier New" w:eastAsia="宋体" w:cs="Times New Roman"/>
          <w:sz w:val="21"/>
          <w:szCs w:val="21"/>
          <w:highlight w:val="none"/>
          <w:lang w:val="en-US" w:eastAsia="zh-CN"/>
        </w:rPr>
        <w:t>具体要求详见《技术标书》。</w:t>
      </w:r>
    </w:p>
    <w:p w14:paraId="10BC6F77">
      <w:pPr>
        <w:pStyle w:val="78"/>
        <w:keepNext w:val="0"/>
        <w:keepLines w:val="0"/>
        <w:pageBreakBefore w:val="0"/>
        <w:widowControl w:val="0"/>
        <w:numPr>
          <w:ilvl w:val="0"/>
          <w:numId w:val="9"/>
        </w:numPr>
        <w:kinsoku/>
        <w:wordWrap/>
        <w:overflowPunct/>
        <w:topLinePunct w:val="0"/>
        <w:autoSpaceDE/>
        <w:autoSpaceDN/>
        <w:bidi w:val="0"/>
        <w:adjustRightInd/>
        <w:snapToGrid/>
        <w:spacing w:line="440" w:lineRule="exact"/>
        <w:ind w:left="454" w:leftChars="0" w:hanging="454" w:firstLineChars="0"/>
        <w:textAlignment w:val="auto"/>
        <w:rPr>
          <w:rFonts w:hint="default" w:cs="Times New Roman"/>
          <w:sz w:val="21"/>
          <w:szCs w:val="21"/>
          <w:u w:val="none"/>
          <w:lang w:val="en-US" w:eastAsia="zh-CN"/>
        </w:rPr>
      </w:pPr>
      <w:r>
        <w:rPr>
          <w:rFonts w:hint="eastAsia"/>
          <w:sz w:val="21"/>
          <w:szCs w:val="21"/>
          <w:lang w:val="en-US" w:eastAsia="zh-CN"/>
        </w:rPr>
        <w:t>报价：</w:t>
      </w:r>
    </w:p>
    <w:p w14:paraId="40FB1354">
      <w:pPr>
        <w:pStyle w:val="78"/>
        <w:keepNext w:val="0"/>
        <w:keepLines w:val="0"/>
        <w:pageBreakBefore w:val="0"/>
        <w:widowControl w:val="0"/>
        <w:numPr>
          <w:ilvl w:val="1"/>
          <w:numId w:val="10"/>
        </w:numPr>
        <w:kinsoku/>
        <w:wordWrap/>
        <w:overflowPunct/>
        <w:topLinePunct w:val="0"/>
        <w:autoSpaceDE/>
        <w:autoSpaceDN/>
        <w:bidi w:val="0"/>
        <w:adjustRightInd/>
        <w:snapToGrid/>
        <w:spacing w:line="440" w:lineRule="exact"/>
        <w:ind w:left="0" w:leftChars="0" w:firstLine="420" w:firstLineChars="200"/>
        <w:textAlignment w:val="auto"/>
        <w:rPr>
          <w:rFonts w:hint="eastAsia" w:ascii="宋体" w:hAnsi="宋体" w:eastAsia="宋体" w:cs="宋体"/>
          <w:b/>
          <w:bCs/>
          <w:color w:val="FF0000"/>
          <w:sz w:val="21"/>
          <w:szCs w:val="21"/>
          <w:highlight w:val="yellow"/>
          <w:u w:val="none"/>
          <w:lang w:val="en-US" w:eastAsia="zh-CN"/>
        </w:rPr>
      </w:pPr>
      <w:r>
        <w:rPr>
          <w:rFonts w:hint="eastAsia" w:ascii="宋体" w:hAnsi="宋体" w:eastAsia="宋体" w:cs="宋体"/>
          <w:i w:val="0"/>
          <w:iCs w:val="0"/>
          <w:caps w:val="0"/>
          <w:color w:val="0F1115"/>
          <w:spacing w:val="0"/>
          <w:sz w:val="21"/>
          <w:szCs w:val="21"/>
          <w:shd w:val="clear" w:fill="FFFFFF"/>
          <w:lang w:val="en-US" w:eastAsia="zh-CN"/>
        </w:rPr>
        <w:t>本</w:t>
      </w:r>
      <w:r>
        <w:rPr>
          <w:rFonts w:hint="eastAsia" w:ascii="宋体" w:hAnsi="宋体" w:eastAsia="宋体" w:cs="宋体"/>
          <w:i w:val="0"/>
          <w:iCs w:val="0"/>
          <w:caps w:val="0"/>
          <w:color w:val="0F1115"/>
          <w:spacing w:val="0"/>
          <w:sz w:val="21"/>
          <w:szCs w:val="21"/>
          <w:shd w:val="clear" w:fill="FFFFFF"/>
        </w:rPr>
        <w:t>项目的所有报价均以人民币填报。投标人应分别报出不含税金额、税率和</w:t>
      </w:r>
      <w:r>
        <w:rPr>
          <w:rFonts w:hint="eastAsia" w:cs="Times New Roman"/>
          <w:b/>
          <w:bCs/>
          <w:color w:val="auto"/>
          <w:sz w:val="21"/>
          <w:szCs w:val="21"/>
          <w:highlight w:val="none"/>
          <w:u w:val="none"/>
          <w:lang w:val="en-US" w:eastAsia="zh-CN"/>
        </w:rPr>
        <w:t>价税合计金额</w:t>
      </w:r>
      <w:r>
        <w:rPr>
          <w:rFonts w:hint="eastAsia" w:ascii="宋体" w:hAnsi="宋体" w:eastAsia="宋体" w:cs="宋体"/>
          <w:i w:val="0"/>
          <w:iCs w:val="0"/>
          <w:caps w:val="0"/>
          <w:color w:val="0F1115"/>
          <w:spacing w:val="0"/>
          <w:sz w:val="21"/>
          <w:szCs w:val="21"/>
          <w:shd w:val="clear" w:fill="FFFFFF"/>
        </w:rPr>
        <w:t>。</w:t>
      </w:r>
    </w:p>
    <w:p w14:paraId="5BC2517E">
      <w:pPr>
        <w:pStyle w:val="78"/>
        <w:keepNext w:val="0"/>
        <w:keepLines w:val="0"/>
        <w:pageBreakBefore w:val="0"/>
        <w:widowControl w:val="0"/>
        <w:numPr>
          <w:ilvl w:val="1"/>
          <w:numId w:val="10"/>
        </w:numPr>
        <w:kinsoku/>
        <w:wordWrap/>
        <w:overflowPunct/>
        <w:topLinePunct w:val="0"/>
        <w:autoSpaceDE/>
        <w:autoSpaceDN/>
        <w:bidi w:val="0"/>
        <w:adjustRightInd/>
        <w:snapToGrid/>
        <w:spacing w:line="440" w:lineRule="exact"/>
        <w:ind w:left="0" w:leftChars="0" w:firstLine="420" w:firstLineChars="200"/>
        <w:textAlignment w:val="auto"/>
        <w:rPr>
          <w:rFonts w:hint="eastAsia" w:eastAsia="宋体" w:cs="Times New Roman"/>
          <w:highlight w:val="none"/>
          <w:u w:val="none"/>
          <w:lang w:val="en-US" w:eastAsia="zh-CN"/>
        </w:rPr>
      </w:pPr>
      <w:r>
        <w:rPr>
          <w:rFonts w:hint="eastAsia" w:ascii="宋体" w:hAnsi="宋体" w:eastAsia="宋体" w:cs="宋体"/>
          <w:i w:val="0"/>
          <w:iCs w:val="0"/>
          <w:caps w:val="0"/>
          <w:color w:val="0F1115"/>
          <w:spacing w:val="0"/>
          <w:sz w:val="21"/>
          <w:szCs w:val="21"/>
          <w:shd w:val="clear" w:fill="FFFFFF"/>
        </w:rPr>
        <w:t>投标限价为人民币</w:t>
      </w:r>
      <w:r>
        <w:rPr>
          <w:rFonts w:hint="eastAsia" w:hAnsi="宋体" w:cs="宋体"/>
          <w:i w:val="0"/>
          <w:iCs w:val="0"/>
          <w:caps w:val="0"/>
          <w:color w:val="0F1115"/>
          <w:spacing w:val="0"/>
          <w:sz w:val="21"/>
          <w:szCs w:val="21"/>
          <w:highlight w:val="none"/>
          <w:shd w:val="clear" w:fill="FFFFFF"/>
          <w:lang w:val="en-US" w:eastAsia="zh-CN"/>
        </w:rPr>
        <w:t>8</w:t>
      </w:r>
      <w:r>
        <w:rPr>
          <w:rFonts w:hint="eastAsia" w:ascii="宋体" w:hAnsi="宋体" w:eastAsia="宋体" w:cs="宋体"/>
          <w:i w:val="0"/>
          <w:iCs w:val="0"/>
          <w:caps w:val="0"/>
          <w:color w:val="0F1115"/>
          <w:spacing w:val="0"/>
          <w:sz w:val="21"/>
          <w:szCs w:val="21"/>
          <w:shd w:val="clear" w:fill="FFFFFF"/>
          <w:lang w:val="en-US" w:eastAsia="zh-CN"/>
        </w:rPr>
        <w:t>万元</w:t>
      </w:r>
      <w:r>
        <w:rPr>
          <w:rFonts w:hint="eastAsia" w:ascii="宋体" w:hAnsi="宋体" w:eastAsia="宋体" w:cs="宋体"/>
          <w:i w:val="0"/>
          <w:iCs w:val="0"/>
          <w:caps w:val="0"/>
          <w:color w:val="0F1115"/>
          <w:spacing w:val="0"/>
          <w:sz w:val="21"/>
          <w:szCs w:val="21"/>
          <w:shd w:val="clear" w:fill="FFFFFF"/>
        </w:rPr>
        <w:t>（含税），超过投标限价无法投标。</w:t>
      </w:r>
    </w:p>
    <w:p w14:paraId="4FF8F32C">
      <w:pPr>
        <w:pStyle w:val="78"/>
        <w:keepNext w:val="0"/>
        <w:keepLines w:val="0"/>
        <w:pageBreakBefore w:val="0"/>
        <w:widowControl w:val="0"/>
        <w:numPr>
          <w:ilvl w:val="0"/>
          <w:numId w:val="9"/>
        </w:numPr>
        <w:kinsoku/>
        <w:wordWrap/>
        <w:overflowPunct/>
        <w:topLinePunct w:val="0"/>
        <w:autoSpaceDE/>
        <w:autoSpaceDN/>
        <w:bidi w:val="0"/>
        <w:adjustRightInd/>
        <w:snapToGrid/>
        <w:spacing w:line="440" w:lineRule="exact"/>
        <w:ind w:left="454" w:leftChars="0" w:hanging="454" w:firstLineChars="0"/>
        <w:textAlignment w:val="auto"/>
        <w:rPr>
          <w:rFonts w:hint="default" w:cs="Times New Roman"/>
          <w:lang w:val="en-US" w:eastAsia="zh-CN"/>
        </w:rPr>
      </w:pPr>
      <w:r>
        <w:rPr>
          <w:rFonts w:hint="default" w:cs="Times New Roman"/>
          <w:lang w:val="en-US" w:eastAsia="zh-CN"/>
        </w:rPr>
        <w:t>资金来源：企业自筹，已落实。</w:t>
      </w:r>
    </w:p>
    <w:p w14:paraId="2A2F2260">
      <w:pPr>
        <w:pStyle w:val="78"/>
        <w:keepNext w:val="0"/>
        <w:keepLines w:val="0"/>
        <w:pageBreakBefore w:val="0"/>
        <w:widowControl w:val="0"/>
        <w:numPr>
          <w:ilvl w:val="0"/>
          <w:numId w:val="9"/>
        </w:numPr>
        <w:kinsoku/>
        <w:wordWrap/>
        <w:overflowPunct/>
        <w:topLinePunct w:val="0"/>
        <w:autoSpaceDE/>
        <w:autoSpaceDN/>
        <w:bidi w:val="0"/>
        <w:adjustRightInd/>
        <w:snapToGrid/>
        <w:spacing w:line="440" w:lineRule="exact"/>
        <w:ind w:left="454" w:leftChars="0" w:hanging="454" w:firstLineChars="0"/>
        <w:textAlignment w:val="auto"/>
        <w:rPr>
          <w:rFonts w:hint="eastAsia" w:cs="Times New Roman"/>
          <w:highlight w:val="none"/>
          <w:lang w:val="en-US" w:eastAsia="zh-CN"/>
        </w:rPr>
      </w:pPr>
      <w:r>
        <w:rPr>
          <w:rFonts w:hint="eastAsia" w:ascii="宋体" w:hAnsi="Courier New" w:eastAsia="宋体" w:cs="Times New Roman"/>
          <w:highlight w:val="none"/>
          <w:lang w:val="en-US" w:eastAsia="zh-CN"/>
        </w:rPr>
        <w:t>招标人信息：</w:t>
      </w:r>
    </w:p>
    <w:p w14:paraId="2F2E17F5">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textAlignment w:val="auto"/>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lang w:val="en-US" w:eastAsia="zh-CN" w:bidi="ar-SA"/>
        </w:rPr>
        <w:t>招标人名称：</w:t>
      </w:r>
      <w:bookmarkEnd w:id="3"/>
      <w:r>
        <w:rPr>
          <w:rFonts w:hint="eastAsia" w:ascii="宋体" w:hAnsi="Courier New" w:eastAsia="宋体" w:cs="Times New Roman"/>
          <w:kern w:val="2"/>
          <w:sz w:val="21"/>
          <w:highlight w:val="none"/>
          <w:lang w:val="en-US" w:eastAsia="zh-CN" w:bidi="ar-SA"/>
        </w:rPr>
        <w:t xml:space="preserve">中国重汽集团济南动力有限公司 </w:t>
      </w:r>
    </w:p>
    <w:p w14:paraId="1E3B83A0">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textAlignment w:val="auto"/>
        <w:rPr>
          <w:rFonts w:hint="eastAsia" w:ascii="宋体" w:hAnsi="Courier New" w:eastAsia="宋体" w:cs="Times New Roman"/>
          <w:kern w:val="2"/>
          <w:sz w:val="21"/>
          <w:lang w:val="en-US" w:eastAsia="zh-CN" w:bidi="ar-SA"/>
        </w:rPr>
      </w:pPr>
      <w:r>
        <w:rPr>
          <w:rFonts w:hint="eastAsia" w:ascii="宋体" w:hAnsi="Courier New" w:eastAsia="宋体" w:cs="Times New Roman"/>
          <w:kern w:val="2"/>
          <w:sz w:val="21"/>
          <w:highlight w:val="none"/>
          <w:lang w:val="en-US" w:eastAsia="zh-CN" w:bidi="ar-SA"/>
        </w:rPr>
        <w:t>招标人地址：济南市</w:t>
      </w:r>
      <w:r>
        <w:rPr>
          <w:rFonts w:hint="eastAsia" w:ascii="宋体" w:hAnsi="Courier New" w:cs="Times New Roman"/>
          <w:kern w:val="2"/>
          <w:sz w:val="21"/>
          <w:highlight w:val="none"/>
          <w:lang w:val="en-US" w:eastAsia="zh-CN" w:bidi="ar-SA"/>
        </w:rPr>
        <w:t>历城区</w:t>
      </w:r>
      <w:r>
        <w:rPr>
          <w:rFonts w:hint="eastAsia" w:ascii="宋体" w:hAnsi="Courier New" w:eastAsia="宋体" w:cs="Times New Roman"/>
          <w:kern w:val="2"/>
          <w:sz w:val="21"/>
          <w:highlight w:val="none"/>
          <w:lang w:val="en-US" w:eastAsia="zh-CN" w:bidi="ar-SA"/>
        </w:rPr>
        <w:t>华奥路777号</w:t>
      </w:r>
      <w:r>
        <w:rPr>
          <w:rFonts w:hint="eastAsia" w:ascii="宋体" w:hAnsi="Courier New" w:eastAsia="宋体" w:cs="Times New Roman"/>
          <w:kern w:val="2"/>
          <w:sz w:val="21"/>
          <w:lang w:val="en-US" w:eastAsia="zh-CN" w:bidi="ar-SA"/>
        </w:rPr>
        <w:t xml:space="preserve"> </w:t>
      </w:r>
    </w:p>
    <w:p w14:paraId="03BF26DE">
      <w:pPr>
        <w:keepNext w:val="0"/>
        <w:keepLines w:val="0"/>
        <w:pageBreakBefore w:val="0"/>
        <w:widowControl w:val="0"/>
        <w:kinsoku/>
        <w:wordWrap/>
        <w:overflowPunct/>
        <w:topLinePunct w:val="0"/>
        <w:autoSpaceDE/>
        <w:autoSpaceDN/>
        <w:bidi w:val="0"/>
        <w:adjustRightInd/>
        <w:snapToGrid/>
        <w:spacing w:line="400" w:lineRule="exact"/>
        <w:ind w:left="0" w:firstLine="422" w:firstLineChars="200"/>
        <w:textAlignment w:val="auto"/>
        <w:rPr>
          <w:rFonts w:hint="default" w:ascii="宋体" w:hAnsi="Courier New" w:eastAsia="宋体" w:cs="Times New Roman"/>
          <w:kern w:val="2"/>
          <w:sz w:val="21"/>
          <w:lang w:val="en-US" w:eastAsia="zh-CN" w:bidi="ar-SA"/>
        </w:rPr>
      </w:pPr>
      <w:r>
        <w:rPr>
          <w:rFonts w:hint="eastAsia" w:ascii="宋体" w:hAnsi="Courier New" w:eastAsia="宋体" w:cs="Times New Roman"/>
          <w:b/>
          <w:bCs/>
          <w:kern w:val="2"/>
          <w:sz w:val="21"/>
          <w:lang w:val="en-US" w:eastAsia="zh-CN" w:bidi="ar-SA"/>
        </w:rPr>
        <w:t>联系人：</w:t>
      </w:r>
      <w:r>
        <w:rPr>
          <w:rFonts w:hint="eastAsia" w:ascii="宋体" w:hAnsi="Courier New" w:cs="Times New Roman"/>
          <w:b/>
          <w:bCs/>
          <w:kern w:val="2"/>
          <w:sz w:val="21"/>
          <w:lang w:val="en-US" w:eastAsia="zh-CN" w:bidi="ar-SA"/>
        </w:rPr>
        <w:t xml:space="preserve">阎老师；王老师 </w:t>
      </w:r>
    </w:p>
    <w:p w14:paraId="6AEB18AA">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default" w:ascii="宋体" w:hAnsi="Courier New" w:eastAsia="宋体" w:cs="Times New Roman"/>
          <w:kern w:val="2"/>
          <w:sz w:val="21"/>
          <w:lang w:val="en-US" w:eastAsia="zh-CN" w:bidi="ar-SA"/>
        </w:rPr>
      </w:pPr>
      <w:r>
        <w:rPr>
          <w:rFonts w:hint="eastAsia" w:ascii="宋体" w:hAnsi="Courier New" w:eastAsia="宋体" w:cs="Times New Roman"/>
          <w:kern w:val="2"/>
          <w:sz w:val="21"/>
          <w:lang w:val="en-US" w:eastAsia="zh-CN" w:bidi="ar-SA"/>
        </w:rPr>
        <w:t>电话：15552888444</w:t>
      </w:r>
      <w:r>
        <w:rPr>
          <w:rFonts w:hint="eastAsia" w:ascii="宋体" w:hAnsi="Courier New" w:cs="Times New Roman"/>
          <w:kern w:val="2"/>
          <w:sz w:val="21"/>
          <w:lang w:val="en-US" w:eastAsia="zh-CN" w:bidi="ar-SA"/>
        </w:rPr>
        <w:t>；18653169235</w:t>
      </w:r>
    </w:p>
    <w:p w14:paraId="6FCC6893">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Courier New" w:eastAsia="宋体" w:cs="Times New Roman"/>
          <w:color w:val="auto"/>
          <w:kern w:val="2"/>
          <w:sz w:val="21"/>
          <w:lang w:val="en-US" w:eastAsia="zh-CN" w:bidi="ar-SA"/>
        </w:rPr>
      </w:pPr>
      <w:r>
        <w:rPr>
          <w:rFonts w:hint="eastAsia" w:ascii="宋体" w:hAnsi="Courier New" w:eastAsia="宋体" w:cs="Times New Roman"/>
          <w:kern w:val="2"/>
          <w:sz w:val="21"/>
          <w:lang w:val="en-US" w:eastAsia="zh-CN" w:bidi="ar-SA"/>
        </w:rPr>
        <w:t>邮箱：yanbin936@126.com</w:t>
      </w:r>
    </w:p>
    <w:p w14:paraId="50DC6C75">
      <w:pPr>
        <w:pStyle w:val="74"/>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pPr>
      <w:bookmarkStart w:id="4" w:name="_Toc47976598"/>
      <w:r>
        <w:rPr>
          <w:rFonts w:hint="eastAsia"/>
        </w:rPr>
        <w:t>合格的投标人</w:t>
      </w:r>
      <w:bookmarkEnd w:id="4"/>
    </w:p>
    <w:p w14:paraId="576B5B15">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rPr>
        <w:t>投标</w:t>
      </w:r>
      <w:r>
        <w:rPr>
          <w:rFonts w:hint="eastAsia" w:ascii="Times New Roman" w:hAnsi="Times New Roman" w:cs="Times New Roman"/>
          <w:color w:val="auto"/>
        </w:rPr>
        <w:t>人须遵守《中华人民共和国招标投标法》、《中华人民共和国民法典》及其它有关的法律和法规；为中华人民共和国境内注册的独立法人机构，具有独立承担民事责任能力；</w:t>
      </w:r>
    </w:p>
    <w:p w14:paraId="56B89CE2">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拟标投人必须是在中华人民共和国境内注册的独立法人机构，具有独立承担民事责任能力；注册资金不少于</w:t>
      </w:r>
      <w:r>
        <w:rPr>
          <w:rFonts w:hint="eastAsia" w:cs="Times New Roman"/>
          <w:color w:val="auto"/>
          <w:lang w:val="en-US" w:eastAsia="zh-CN"/>
        </w:rPr>
        <w:t>50</w:t>
      </w:r>
      <w:r>
        <w:rPr>
          <w:rFonts w:hint="eastAsia" w:cs="Times New Roman"/>
          <w:color w:val="auto"/>
          <w:lang w:eastAsia="zh-CN"/>
        </w:rPr>
        <w:t>万元</w:t>
      </w:r>
      <w:r>
        <w:rPr>
          <w:rFonts w:hint="eastAsia" w:ascii="Times New Roman" w:hAnsi="Times New Roman" w:cs="Times New Roman"/>
          <w:color w:val="auto"/>
        </w:rPr>
        <w:t>人民币（或等值其他货币）；公司成立</w:t>
      </w:r>
      <w:r>
        <w:rPr>
          <w:rFonts w:hint="eastAsia" w:cs="Times New Roman"/>
          <w:color w:val="auto"/>
          <w:u w:val="single"/>
          <w:lang w:val="en-US" w:eastAsia="zh-CN"/>
        </w:rPr>
        <w:t>3</w:t>
      </w:r>
      <w:r>
        <w:rPr>
          <w:rFonts w:hint="eastAsia" w:ascii="Times New Roman" w:hAnsi="Times New Roman" w:cs="Times New Roman"/>
          <w:color w:val="auto"/>
        </w:rPr>
        <w:t>年以上（以营业执照成立日期到开标当日满</w:t>
      </w:r>
      <w:r>
        <w:rPr>
          <w:rFonts w:hint="eastAsia" w:cs="Times New Roman"/>
          <w:color w:val="auto"/>
          <w:u w:val="single"/>
          <w:lang w:val="en-US" w:eastAsia="zh-CN"/>
        </w:rPr>
        <w:t>3</w:t>
      </w:r>
      <w:r>
        <w:rPr>
          <w:rFonts w:hint="eastAsia" w:ascii="Times New Roman" w:hAnsi="Times New Roman" w:cs="Times New Roman"/>
          <w:color w:val="auto"/>
        </w:rPr>
        <w:t>年为准），且经营范围满足招标人需求；并在人员、设备、资金等方面具有承担本项目的能力；</w:t>
      </w:r>
    </w:p>
    <w:p w14:paraId="7DEED9FD">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投标人须具有良好的商业信誉和健全的财务会计制度，财务状况和市场行为良好。没有处于被有权机关吊销营业执照、吊销资质、停业整顿、取消投标资格以及财产被接管、冻结或进入破产程序等</w:t>
      </w:r>
      <w:r>
        <w:rPr>
          <w:rFonts w:hint="eastAsia" w:ascii="Times New Roman" w:hAnsi="Times New Roman" w:cs="Times New Roman"/>
          <w:color w:val="auto"/>
          <w:lang w:val="en-US" w:eastAsia="zh-CN"/>
        </w:rPr>
        <w:t>状态</w:t>
      </w:r>
      <w:r>
        <w:rPr>
          <w:rFonts w:hint="eastAsia" w:ascii="Times New Roman" w:hAnsi="Times New Roman" w:cs="Times New Roman"/>
          <w:color w:val="auto"/>
        </w:rPr>
        <w:t>；</w:t>
      </w:r>
    </w:p>
    <w:p w14:paraId="66AD41BF">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投标人在“信用中国”中未列入联合惩戒失信人名单，</w:t>
      </w:r>
      <w:r>
        <w:rPr>
          <w:rFonts w:hint="eastAsia" w:cs="Times New Roman"/>
          <w:color w:val="auto"/>
          <w:lang w:eastAsia="zh-CN"/>
        </w:rPr>
        <w:t>且在</w:t>
      </w:r>
      <w:r>
        <w:rPr>
          <w:rFonts w:hint="eastAsia" w:ascii="Times New Roman" w:hAnsi="Times New Roman" w:cs="Times New Roman"/>
          <w:color w:val="auto"/>
        </w:rPr>
        <w:t>工商行政管理局的《国家企业信用信息公示系统》中查询不存在不良记录；</w:t>
      </w:r>
    </w:p>
    <w:p w14:paraId="082CC18A">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无招标违规、谎报年度报告信息、提供虚假资质资料等行为或其他行政处罚记录；</w:t>
      </w:r>
    </w:p>
    <w:p w14:paraId="16D7FE70">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近三年内在经营活动中无与本项目有关的违法及重大违规情况</w:t>
      </w:r>
      <w:r>
        <w:rPr>
          <w:rFonts w:hint="eastAsia" w:ascii="Times New Roman" w:hAnsi="Times New Roman" w:cs="Times New Roman"/>
          <w:color w:val="auto"/>
          <w:lang w:eastAsia="zh-CN"/>
        </w:rPr>
        <w:t>；</w:t>
      </w:r>
    </w:p>
    <w:p w14:paraId="2D36118D">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投标人没有被列入招标人处《黑名单》（《黑名单》指投标人与招标人在以往或正在进行的合作中，存在招标人认为的违反合同约定或违反法律法规等的失信行为）的；</w:t>
      </w:r>
    </w:p>
    <w:p w14:paraId="12E55452">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公司经营范围满足招标项目需求；</w:t>
      </w:r>
    </w:p>
    <w:p w14:paraId="08825D83">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投标人须具有履行招标文件所有设备、专业技术等要求的能力；</w:t>
      </w:r>
    </w:p>
    <w:p w14:paraId="6A5092A6">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投标人须有依法缴纳税收和社会保障资金的良好记录；</w:t>
      </w:r>
    </w:p>
    <w:p w14:paraId="0BB94645">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具有本次招标货物的供货、安装、售后服务等的相应资质；</w:t>
      </w:r>
    </w:p>
    <w:p w14:paraId="017858B2">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投标人须负责提供合理的便于运输的包装物，并承担相关费用</w:t>
      </w:r>
      <w:r>
        <w:rPr>
          <w:rFonts w:hint="eastAsia" w:ascii="Times New Roman" w:hAnsi="Times New Roman" w:cs="Times New Roman"/>
          <w:color w:val="auto"/>
          <w:lang w:eastAsia="zh-CN"/>
        </w:rPr>
        <w:t>；</w:t>
      </w:r>
    </w:p>
    <w:p w14:paraId="57AA1FCF">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投标人须认可招标人的工作指令，包括节、假日能正常开展工作的要求。</w:t>
      </w:r>
    </w:p>
    <w:p w14:paraId="77F7B5F0">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lang w:val="en-US" w:eastAsia="zh-CN"/>
        </w:rPr>
        <w:t>拟投标人的直接或间接股东、法定代表人、董事、监事、高管非重汽员工及其亲属；</w:t>
      </w:r>
    </w:p>
    <w:p w14:paraId="5A257FE1">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ascii="Times New Roman" w:hAnsi="Times New Roman" w:cs="Times New Roman"/>
          <w:color w:val="auto"/>
        </w:rPr>
      </w:pPr>
      <w:r>
        <w:rPr>
          <w:rFonts w:hint="eastAsia" w:ascii="Times New Roman" w:hAnsi="Times New Roman" w:cs="Times New Roman"/>
          <w:color w:val="auto"/>
        </w:rPr>
        <w:t>投标人必须是最终投标、签订合同的单位，不得以任何理由将已中标项目以任何形式转包或者分包给其他单位</w:t>
      </w:r>
      <w:r>
        <w:rPr>
          <w:rFonts w:hint="eastAsia" w:ascii="Times New Roman" w:hAnsi="Times New Roman" w:cs="Times New Roman"/>
          <w:color w:val="auto"/>
          <w:lang w:eastAsia="zh-CN"/>
        </w:rPr>
        <w:t>；</w:t>
      </w:r>
    </w:p>
    <w:p w14:paraId="046B85CA">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b/>
          <w:bCs w:val="0"/>
          <w:strike w:val="0"/>
          <w:dstrike w:val="0"/>
          <w:color w:val="FF0000"/>
          <w:highlight w:val="none"/>
        </w:rPr>
      </w:pPr>
      <w:r>
        <w:rPr>
          <w:rFonts w:hint="eastAsia"/>
          <w:b w:val="0"/>
          <w:bCs/>
          <w:strike w:val="0"/>
          <w:dstrike w:val="0"/>
          <w:highlight w:val="none"/>
        </w:rPr>
        <w:t>本次</w:t>
      </w:r>
      <w:r>
        <w:rPr>
          <w:rFonts w:hint="eastAsia" w:ascii="Times New Roman" w:hAnsi="Times New Roman" w:cs="Times New Roman"/>
          <w:color w:val="auto"/>
        </w:rPr>
        <w:t>招标</w:t>
      </w:r>
      <w:r>
        <w:rPr>
          <w:rFonts w:hint="eastAsia"/>
          <w:b w:val="0"/>
          <w:bCs/>
          <w:strike w:val="0"/>
          <w:dstrike w:val="0"/>
          <w:highlight w:val="none"/>
        </w:rPr>
        <w:t>项目</w:t>
      </w:r>
      <w:r>
        <w:rPr>
          <w:rFonts w:hint="eastAsia"/>
          <w:b w:val="0"/>
          <w:bCs/>
          <w:strike w:val="0"/>
          <w:dstrike w:val="0"/>
          <w:highlight w:val="none"/>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56E7EDBF">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b w:val="0"/>
          <w:bCs/>
          <w:strike w:val="0"/>
          <w:dstrike w:val="0"/>
          <w:highlight w:val="none"/>
        </w:rPr>
      </w:pPr>
      <w:r>
        <w:rPr>
          <w:rFonts w:hint="eastAsia"/>
          <w:b w:val="0"/>
          <w:bCs/>
          <w:strike w:val="0"/>
          <w:dstrike w:val="0"/>
          <w:highlight w:val="none"/>
        </w:rPr>
        <w:t>法律、</w:t>
      </w:r>
      <w:r>
        <w:rPr>
          <w:rFonts w:hint="eastAsia" w:ascii="宋体" w:hAnsi="宋体" w:eastAsia="宋体" w:cs="Times New Roman"/>
        </w:rPr>
        <w:t>行政</w:t>
      </w:r>
      <w:r>
        <w:rPr>
          <w:rFonts w:hint="eastAsia"/>
          <w:b w:val="0"/>
          <w:bCs/>
          <w:strike w:val="0"/>
          <w:dstrike w:val="0"/>
          <w:highlight w:val="none"/>
        </w:rPr>
        <w:t>法规规定的其他条件</w:t>
      </w:r>
      <w:r>
        <w:rPr>
          <w:rFonts w:hint="eastAsia"/>
          <w:b w:val="0"/>
          <w:bCs/>
          <w:strike w:val="0"/>
          <w:dstrike w:val="0"/>
          <w:highlight w:val="none"/>
          <w:lang w:eastAsia="zh-CN"/>
        </w:rPr>
        <w:t>；</w:t>
      </w:r>
    </w:p>
    <w:p w14:paraId="4CC94DE3">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b w:val="0"/>
          <w:bCs/>
          <w:strike w:val="0"/>
          <w:dstrike w:val="0"/>
          <w:highlight w:val="cyan"/>
        </w:rPr>
      </w:pPr>
      <w:r>
        <w:rPr>
          <w:rFonts w:hint="eastAsia"/>
          <w:b w:val="0"/>
          <w:bCs/>
          <w:strike w:val="0"/>
          <w:dstrike w:val="0"/>
          <w:highlight w:val="none"/>
          <w:lang w:val="en-US" w:eastAsia="zh-CN"/>
        </w:rPr>
        <w:t>投标人</w:t>
      </w:r>
      <w:r>
        <w:rPr>
          <w:rFonts w:hint="eastAsia"/>
          <w:b w:val="0"/>
          <w:bCs/>
          <w:highlight w:val="none"/>
        </w:rPr>
        <w:t>需获得生产厂家正式授权，提供授权书原件</w:t>
      </w:r>
      <w:r>
        <w:rPr>
          <w:rFonts w:hint="eastAsia"/>
          <w:b w:val="0"/>
          <w:bCs/>
          <w:highlight w:val="none"/>
          <w:lang w:val="en-US" w:eastAsia="zh-CN"/>
        </w:rPr>
        <w:t>或电子版授权书（原件备查）</w:t>
      </w:r>
      <w:r>
        <w:rPr>
          <w:rFonts w:hint="eastAsia"/>
          <w:b w:val="0"/>
          <w:bCs/>
          <w:highlight w:val="none"/>
        </w:rPr>
        <w:t>，保证提供原厂售后服务并提供原厂售后服务承诺书</w:t>
      </w:r>
      <w:r>
        <w:rPr>
          <w:rFonts w:hint="eastAsia"/>
          <w:b w:val="0"/>
          <w:bCs/>
          <w:highlight w:val="none"/>
          <w:lang w:val="en-US" w:eastAsia="zh-CN"/>
        </w:rPr>
        <w:t>电子版（原件备查）</w:t>
      </w:r>
      <w:r>
        <w:rPr>
          <w:rFonts w:hint="eastAsia"/>
          <w:b w:val="0"/>
          <w:bCs/>
          <w:highlight w:val="none"/>
          <w:lang w:eastAsia="zh-CN"/>
        </w:rPr>
        <w:t>。</w:t>
      </w:r>
    </w:p>
    <w:p w14:paraId="25D8C106">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20" w:firstLineChars="0"/>
        <w:textAlignment w:val="auto"/>
        <w:rPr>
          <w:rFonts w:hint="eastAsia" w:hAnsi="Courier New" w:cs="Times New Roman"/>
          <w:highlight w:val="none"/>
        </w:rPr>
      </w:pPr>
      <w:r>
        <w:rPr>
          <w:rFonts w:hint="eastAsia"/>
          <w:b w:val="0"/>
          <w:bCs/>
          <w:strike w:val="0"/>
          <w:dstrike w:val="0"/>
          <w:color w:val="auto"/>
          <w:highlight w:val="none"/>
          <w:lang w:val="en-US" w:eastAsia="zh-CN"/>
        </w:rPr>
        <w:t>其他。</w:t>
      </w:r>
    </w:p>
    <w:p w14:paraId="31CA8C38">
      <w:pPr>
        <w:pStyle w:val="74"/>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FF44D4D">
      <w:pPr>
        <w:pStyle w:val="78"/>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jc w:val="both"/>
        <w:textAlignment w:val="auto"/>
        <w:outlineLvl w:val="2"/>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none"/>
          <w:u w:val="single"/>
          <w:lang w:val="en-US" w:eastAsia="zh-CN"/>
        </w:rPr>
        <w:t>20</w:t>
      </w:r>
      <w:r>
        <w:rPr>
          <w:rFonts w:hint="eastAsia" w:cs="Times New Roman"/>
          <w:highlight w:val="none"/>
          <w:u w:val="single"/>
          <w:lang w:val="en-US" w:eastAsia="zh-CN"/>
        </w:rPr>
        <w:t>26</w:t>
      </w:r>
      <w:r>
        <w:rPr>
          <w:rFonts w:hint="eastAsia" w:ascii="宋体" w:hAnsi="Courier New" w:eastAsia="宋体" w:cs="Times New Roman"/>
          <w:highlight w:val="none"/>
          <w:u w:val="single"/>
          <w:lang w:val="en-US" w:eastAsia="zh-CN"/>
        </w:rPr>
        <w:t>年</w:t>
      </w:r>
      <w:r>
        <w:rPr>
          <w:rFonts w:hint="eastAsia" w:cs="Times New Roman"/>
          <w:highlight w:val="none"/>
          <w:u w:val="single"/>
          <w:lang w:val="en-US" w:eastAsia="zh-CN"/>
        </w:rPr>
        <w:t>7月21日</w:t>
      </w:r>
    </w:p>
    <w:p w14:paraId="44BC705F">
      <w:pPr>
        <w:pStyle w:val="78"/>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jc w:val="both"/>
        <w:textAlignment w:val="auto"/>
        <w:outlineLvl w:val="2"/>
        <w:rPr>
          <w:rFonts w:hint="eastAsia" w:ascii="宋体" w:hAnsi="Courier New" w:eastAsia="宋体" w:cs="Times New Roman"/>
          <w:highlight w:val="none"/>
          <w:lang w:val="en-US" w:eastAsia="zh-CN"/>
        </w:rPr>
      </w:pPr>
      <w:r>
        <w:rPr>
          <w:rFonts w:hint="eastAsia" w:cs="Times New Roman"/>
          <w:highlight w:val="none"/>
          <w:lang w:val="en-US" w:eastAsia="zh-CN"/>
        </w:rPr>
        <w:t>投标报名</w:t>
      </w:r>
    </w:p>
    <w:p w14:paraId="22D0959D">
      <w:pPr>
        <w:pStyle w:val="78"/>
        <w:keepNext w:val="0"/>
        <w:keepLines w:val="0"/>
        <w:pageBreakBefore w:val="0"/>
        <w:widowControl w:val="0"/>
        <w:numPr>
          <w:ilvl w:val="1"/>
          <w:numId w:val="12"/>
        </w:numPr>
        <w:kinsoku/>
        <w:wordWrap/>
        <w:overflowPunct/>
        <w:topLinePunct w:val="0"/>
        <w:autoSpaceDE/>
        <w:autoSpaceDN/>
        <w:bidi w:val="0"/>
        <w:adjustRightInd/>
        <w:snapToGrid/>
        <w:spacing w:line="440" w:lineRule="exact"/>
        <w:ind w:left="0" w:leftChars="0" w:firstLine="420" w:firstLineChars="0"/>
        <w:jc w:val="both"/>
        <w:textAlignment w:val="auto"/>
        <w:rPr>
          <w:rFonts w:hint="eastAsia" w:ascii="宋体" w:hAnsi="Courier New" w:eastAsia="宋体" w:cs="Times New Roman"/>
          <w:highlight w:val="none"/>
          <w:lang w:val="en-US" w:eastAsia="zh-CN"/>
        </w:rPr>
      </w:pPr>
      <w:r>
        <w:rPr>
          <w:rFonts w:hint="eastAsia" w:cs="Times New Roman"/>
          <w:highlight w:val="none"/>
          <w:lang w:val="en-US" w:eastAsia="zh-CN"/>
        </w:rPr>
        <w:t>应标截止时间：</w:t>
      </w:r>
      <w:r>
        <w:rPr>
          <w:rFonts w:hint="eastAsia" w:eastAsia="宋体" w:cs="宋体"/>
          <w:highlight w:val="none"/>
          <w:u w:val="single"/>
        </w:rPr>
        <w:t>202</w:t>
      </w:r>
      <w:r>
        <w:rPr>
          <w:rFonts w:hint="eastAsia" w:cs="宋体"/>
          <w:highlight w:val="none"/>
          <w:u w:val="single"/>
          <w:lang w:val="en-US" w:eastAsia="zh-CN"/>
        </w:rPr>
        <w:t>6</w:t>
      </w:r>
      <w:r>
        <w:rPr>
          <w:rFonts w:hint="eastAsia" w:eastAsia="宋体" w:cs="宋体"/>
          <w:highlight w:val="none"/>
          <w:u w:val="single"/>
        </w:rPr>
        <w:t>年</w:t>
      </w:r>
      <w:r>
        <w:rPr>
          <w:rFonts w:hint="eastAsia" w:cs="宋体"/>
          <w:highlight w:val="none"/>
          <w:u w:val="single"/>
          <w:lang w:val="en-US" w:eastAsia="zh-CN"/>
        </w:rPr>
        <w:t>8</w:t>
      </w:r>
      <w:r>
        <w:rPr>
          <w:rFonts w:hint="eastAsia" w:eastAsia="宋体" w:cs="宋体"/>
          <w:highlight w:val="none"/>
          <w:u w:val="single"/>
        </w:rPr>
        <w:t>月</w:t>
      </w:r>
      <w:r>
        <w:rPr>
          <w:rFonts w:hint="eastAsia" w:cs="宋体"/>
          <w:highlight w:val="none"/>
          <w:u w:val="single"/>
          <w:lang w:val="en-US" w:eastAsia="zh-CN"/>
        </w:rPr>
        <w:t>1</w:t>
      </w:r>
      <w:r>
        <w:rPr>
          <w:rFonts w:hint="eastAsia" w:eastAsia="宋体" w:cs="宋体"/>
          <w:highlight w:val="none"/>
          <w:u w:val="single"/>
        </w:rPr>
        <w:t>日</w:t>
      </w:r>
      <w:r>
        <w:rPr>
          <w:rFonts w:hint="eastAsia" w:cs="宋体"/>
          <w:highlight w:val="none"/>
          <w:u w:val="single"/>
          <w:lang w:val="en-US" w:eastAsia="zh-CN"/>
        </w:rPr>
        <w:t>17</w:t>
      </w:r>
      <w:r>
        <w:rPr>
          <w:rFonts w:hint="eastAsia"/>
          <w:u w:val="single"/>
          <w:lang w:val="en-US" w:eastAsia="zh-CN"/>
        </w:rPr>
        <w:t>:00:00</w:t>
      </w:r>
      <w:r>
        <w:rPr>
          <w:rFonts w:hint="eastAsia" w:cs="Times New Roman"/>
          <w:highlight w:val="none"/>
          <w:u w:val="single"/>
          <w:lang w:val="en-US" w:eastAsia="zh-CN"/>
        </w:rPr>
        <w:t>；</w:t>
      </w:r>
    </w:p>
    <w:p w14:paraId="2E9312AD">
      <w:pPr>
        <w:pStyle w:val="78"/>
        <w:keepNext w:val="0"/>
        <w:keepLines w:val="0"/>
        <w:pageBreakBefore w:val="0"/>
        <w:widowControl w:val="0"/>
        <w:numPr>
          <w:ilvl w:val="1"/>
          <w:numId w:val="13"/>
        </w:numPr>
        <w:kinsoku/>
        <w:wordWrap/>
        <w:overflowPunct/>
        <w:topLinePunct w:val="0"/>
        <w:autoSpaceDE/>
        <w:autoSpaceDN/>
        <w:bidi w:val="0"/>
        <w:adjustRightInd/>
        <w:snapToGrid/>
        <w:spacing w:line="440" w:lineRule="exact"/>
        <w:ind w:left="0" w:leftChars="0" w:firstLine="420" w:firstLineChars="0"/>
        <w:textAlignment w:val="auto"/>
        <w:rPr>
          <w:rFonts w:hint="default" w:ascii="宋体" w:hAnsi="Courier New" w:eastAsia="宋体" w:cs="Times New Roman"/>
          <w:highlight w:val="none"/>
          <w:lang w:val="en-US" w:eastAsia="zh-CN"/>
        </w:rPr>
      </w:pPr>
      <w:r>
        <w:rPr>
          <w:rFonts w:hint="eastAsia" w:cs="宋体"/>
          <w:sz w:val="21"/>
          <w:szCs w:val="21"/>
          <w:highlight w:val="none"/>
          <w:lang w:val="en-US" w:eastAsia="zh-CN"/>
        </w:rPr>
        <w:t>报名方式：</w:t>
      </w:r>
      <w:r>
        <w:rPr>
          <w:rFonts w:hint="eastAsia" w:eastAsia="宋体" w:cs="宋体"/>
          <w:sz w:val="21"/>
          <w:szCs w:val="21"/>
          <w:highlight w:val="none"/>
          <w:lang w:val="en-US" w:eastAsia="zh-CN"/>
        </w:rPr>
        <w:t>拟</w:t>
      </w:r>
      <w:r>
        <w:rPr>
          <w:rFonts w:hint="eastAsia" w:cs="Times New Roman"/>
          <w:highlight w:val="none"/>
          <w:lang w:val="en-US" w:eastAsia="zh-CN"/>
        </w:rPr>
        <w:t>投标</w:t>
      </w:r>
      <w:r>
        <w:rPr>
          <w:rFonts w:hint="eastAsia" w:eastAsia="宋体" w:cs="宋体"/>
          <w:sz w:val="21"/>
          <w:szCs w:val="21"/>
          <w:highlight w:val="none"/>
          <w:lang w:val="en-US" w:eastAsia="zh-CN"/>
        </w:rPr>
        <w:t>人根据招标人在中国重汽官网公开媒体上发布的招标信息，在</w:t>
      </w:r>
      <w:r>
        <w:rPr>
          <w:rFonts w:hint="eastAsia" w:eastAsia="宋体" w:cs="宋体"/>
          <w:b/>
          <w:bCs/>
          <w:sz w:val="21"/>
          <w:szCs w:val="21"/>
          <w:highlight w:val="none"/>
          <w:lang w:val="en-US" w:eastAsia="zh-CN"/>
        </w:rPr>
        <w:t>“中国重汽e采通”</w:t>
      </w:r>
      <w:r>
        <w:rPr>
          <w:rFonts w:hint="eastAsia" w:eastAsia="宋体" w:cs="宋体"/>
          <w:sz w:val="21"/>
          <w:szCs w:val="21"/>
          <w:highlight w:val="none"/>
          <w:lang w:val="en-US" w:eastAsia="zh-CN"/>
        </w:rPr>
        <w:t>平台报名。</w:t>
      </w:r>
    </w:p>
    <w:p w14:paraId="2DC106E1">
      <w:pPr>
        <w:pStyle w:val="78"/>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jc w:val="both"/>
        <w:textAlignment w:val="auto"/>
        <w:outlineLvl w:val="2"/>
        <w:rPr>
          <w:rFonts w:hint="eastAsia" w:ascii="宋体" w:hAnsi="Courier New" w:eastAsia="宋体" w:cs="Times New Roman"/>
          <w:highlight w:val="none"/>
          <w:lang w:val="en-US" w:eastAsia="zh-CN"/>
        </w:rPr>
      </w:pPr>
      <w:r>
        <w:rPr>
          <w:rFonts w:hint="eastAsia" w:cs="Times New Roman"/>
          <w:highlight w:val="none"/>
          <w:lang w:val="en-US" w:eastAsia="zh-CN"/>
        </w:rPr>
        <w:t>疑问提交</w:t>
      </w:r>
    </w:p>
    <w:p w14:paraId="6F38B2E2">
      <w:pPr>
        <w:pStyle w:val="78"/>
        <w:keepNext w:val="0"/>
        <w:keepLines w:val="0"/>
        <w:pageBreakBefore w:val="0"/>
        <w:widowControl w:val="0"/>
        <w:numPr>
          <w:ilvl w:val="1"/>
          <w:numId w:val="14"/>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none"/>
          <w:lang w:val="en-US" w:eastAsia="zh-CN"/>
        </w:rPr>
      </w:pPr>
      <w:r>
        <w:rPr>
          <w:rFonts w:hint="eastAsia" w:cs="Times New Roman"/>
          <w:highlight w:val="none"/>
          <w:lang w:val="en-US" w:eastAsia="zh-CN"/>
        </w:rPr>
        <w:t>提交截止</w:t>
      </w:r>
      <w:r>
        <w:rPr>
          <w:rFonts w:hint="eastAsia" w:ascii="宋体" w:hAnsi="Courier New" w:eastAsia="宋体" w:cs="Times New Roman"/>
          <w:highlight w:val="none"/>
          <w:lang w:val="en-US" w:eastAsia="zh-CN"/>
        </w:rPr>
        <w:t>时间：</w:t>
      </w:r>
      <w:r>
        <w:rPr>
          <w:rFonts w:hint="eastAsia" w:ascii="宋体" w:hAnsi="Courier New" w:eastAsia="宋体" w:cs="Times New Roman"/>
          <w:highlight w:val="none"/>
          <w:u w:val="single"/>
          <w:lang w:val="en-US" w:eastAsia="zh-CN"/>
        </w:rPr>
        <w:t>20</w:t>
      </w:r>
      <w:r>
        <w:rPr>
          <w:rFonts w:hint="eastAsia" w:cs="Times New Roman"/>
          <w:highlight w:val="none"/>
          <w:u w:val="single"/>
          <w:lang w:val="en-US" w:eastAsia="zh-CN"/>
        </w:rPr>
        <w:t>26</w:t>
      </w:r>
      <w:r>
        <w:rPr>
          <w:rFonts w:hint="eastAsia" w:ascii="宋体" w:hAnsi="Courier New" w:eastAsia="宋体" w:cs="Times New Roman"/>
          <w:highlight w:val="none"/>
          <w:u w:val="single"/>
          <w:lang w:val="en-US" w:eastAsia="zh-CN"/>
        </w:rPr>
        <w:t>年</w:t>
      </w:r>
      <w:r>
        <w:rPr>
          <w:rFonts w:hint="eastAsia" w:cs="Times New Roman"/>
          <w:highlight w:val="none"/>
          <w:u w:val="single"/>
          <w:lang w:val="en-US" w:eastAsia="zh-CN"/>
        </w:rPr>
        <w:t>8</w:t>
      </w:r>
      <w:r>
        <w:rPr>
          <w:rFonts w:hint="eastAsia" w:ascii="宋体" w:hAnsi="Courier New" w:eastAsia="宋体" w:cs="Times New Roman"/>
          <w:highlight w:val="none"/>
          <w:u w:val="single"/>
          <w:lang w:val="en-US" w:eastAsia="zh-CN"/>
        </w:rPr>
        <w:t>月</w:t>
      </w:r>
      <w:r>
        <w:rPr>
          <w:rFonts w:hint="eastAsia" w:cs="Times New Roman"/>
          <w:highlight w:val="none"/>
          <w:u w:val="single"/>
          <w:lang w:val="en-US" w:eastAsia="zh-CN"/>
        </w:rPr>
        <w:t>6</w:t>
      </w:r>
      <w:r>
        <w:rPr>
          <w:rFonts w:hint="eastAsia" w:ascii="宋体" w:hAnsi="Courier New" w:eastAsia="宋体" w:cs="Times New Roman"/>
          <w:highlight w:val="none"/>
          <w:u w:val="single"/>
          <w:lang w:val="en-US" w:eastAsia="zh-CN"/>
        </w:rPr>
        <w:t>日</w:t>
      </w:r>
      <w:r>
        <w:rPr>
          <w:rFonts w:hint="eastAsia" w:cs="Times New Roman"/>
          <w:highlight w:val="none"/>
          <w:u w:val="single"/>
          <w:lang w:val="en-US" w:eastAsia="zh-CN"/>
        </w:rPr>
        <w:t>17</w:t>
      </w:r>
      <w:r>
        <w:rPr>
          <w:rFonts w:hint="default" w:ascii="宋体" w:hAnsi="Courier New" w:eastAsia="宋体" w:cs="Times New Roman"/>
          <w:highlight w:val="none"/>
          <w:u w:val="single"/>
          <w:lang w:val="en-US" w:eastAsia="zh-CN"/>
        </w:rPr>
        <w:t>:00</w:t>
      </w:r>
      <w:r>
        <w:rPr>
          <w:rFonts w:hint="eastAsia" w:cs="Times New Roman"/>
          <w:highlight w:val="none"/>
          <w:u w:val="single"/>
          <w:lang w:val="en-US" w:eastAsia="zh-CN"/>
        </w:rPr>
        <w:t>:00；</w:t>
      </w:r>
    </w:p>
    <w:p w14:paraId="7860A805">
      <w:pPr>
        <w:pStyle w:val="78"/>
        <w:keepNext w:val="0"/>
        <w:keepLines w:val="0"/>
        <w:pageBreakBefore w:val="0"/>
        <w:widowControl w:val="0"/>
        <w:numPr>
          <w:ilvl w:val="1"/>
          <w:numId w:val="14"/>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w:t>
      </w:r>
      <w:bookmarkStart w:id="27" w:name="_GoBack"/>
      <w:bookmarkEnd w:id="27"/>
      <w:r>
        <w:rPr>
          <w:rFonts w:hint="eastAsia" w:cs="Times New Roman"/>
          <w:b/>
          <w:bCs/>
          <w:highlight w:val="none"/>
          <w:lang w:val="en-US" w:eastAsia="zh-CN"/>
        </w:rPr>
        <w:t>子邮箱），并提供附件1法定代表人授权委托书。</w:t>
      </w:r>
    </w:p>
    <w:p w14:paraId="698AA9EF">
      <w:pPr>
        <w:pStyle w:val="78"/>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jc w:val="both"/>
        <w:textAlignment w:val="auto"/>
        <w:outlineLvl w:val="2"/>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w:t>
      </w:r>
      <w:r>
        <w:rPr>
          <w:rFonts w:hint="eastAsia" w:cs="Times New Roman"/>
          <w:highlight w:val="none"/>
          <w:lang w:val="en-US" w:eastAsia="zh-CN"/>
        </w:rPr>
        <w:t>的获取</w:t>
      </w:r>
    </w:p>
    <w:p w14:paraId="3B474890">
      <w:pPr>
        <w:pStyle w:val="78"/>
        <w:keepNext w:val="0"/>
        <w:keepLines w:val="0"/>
        <w:pageBreakBefore w:val="0"/>
        <w:widowControl w:val="0"/>
        <w:numPr>
          <w:ilvl w:val="1"/>
          <w:numId w:val="15"/>
        </w:numPr>
        <w:kinsoku/>
        <w:wordWrap/>
        <w:overflowPunct/>
        <w:topLinePunct w:val="0"/>
        <w:autoSpaceDE/>
        <w:autoSpaceDN/>
        <w:bidi w:val="0"/>
        <w:adjustRightInd/>
        <w:snapToGrid/>
        <w:spacing w:line="440" w:lineRule="exact"/>
        <w:ind w:left="0" w:leftChars="0" w:firstLine="420" w:firstLineChars="0"/>
        <w:textAlignment w:val="auto"/>
        <w:rPr>
          <w:rFonts w:hint="default" w:ascii="宋体" w:hAnsi="Courier New" w:eastAsia="宋体" w:cs="Times New Roman"/>
          <w:highlight w:val="cyan"/>
          <w:lang w:val="en-US" w:eastAsia="zh-CN"/>
        </w:rPr>
      </w:pPr>
      <w:r>
        <w:rPr>
          <w:rFonts w:hint="eastAsia" w:cs="Times New Roman"/>
          <w:highlight w:val="none"/>
          <w:lang w:val="en-US" w:eastAsia="zh-CN"/>
        </w:rPr>
        <w:t>获取</w:t>
      </w:r>
      <w:r>
        <w:rPr>
          <w:rFonts w:hint="eastAsia" w:ascii="宋体" w:hAnsi="Courier New" w:eastAsia="宋体" w:cs="Times New Roman"/>
          <w:highlight w:val="none"/>
          <w:lang w:val="en-US" w:eastAsia="zh-CN"/>
        </w:rPr>
        <w:t>时间：</w:t>
      </w:r>
      <w:r>
        <w:rPr>
          <w:rFonts w:hint="eastAsia" w:ascii="宋体" w:hAnsi="Courier New" w:eastAsia="宋体" w:cs="Times New Roman"/>
          <w:highlight w:val="none"/>
          <w:u w:val="single"/>
          <w:lang w:val="en-US" w:eastAsia="zh-CN"/>
        </w:rPr>
        <w:t>20</w:t>
      </w:r>
      <w:r>
        <w:rPr>
          <w:rFonts w:hint="eastAsia" w:cs="Times New Roman"/>
          <w:highlight w:val="none"/>
          <w:u w:val="single"/>
          <w:lang w:val="en-US" w:eastAsia="zh-CN"/>
        </w:rPr>
        <w:t>26</w:t>
      </w:r>
      <w:r>
        <w:rPr>
          <w:rFonts w:hint="eastAsia" w:ascii="宋体" w:hAnsi="Courier New" w:eastAsia="宋体" w:cs="Times New Roman"/>
          <w:highlight w:val="none"/>
          <w:u w:val="single"/>
          <w:lang w:val="en-US" w:eastAsia="zh-CN"/>
        </w:rPr>
        <w:t>年</w:t>
      </w:r>
      <w:r>
        <w:rPr>
          <w:rFonts w:hint="eastAsia" w:cs="Times New Roman"/>
          <w:highlight w:val="none"/>
          <w:u w:val="single"/>
          <w:lang w:val="en-US" w:eastAsia="zh-CN"/>
        </w:rPr>
        <w:t>8月6日17</w:t>
      </w:r>
      <w:r>
        <w:rPr>
          <w:rFonts w:hint="default" w:ascii="宋体" w:hAnsi="Courier New" w:eastAsia="宋体" w:cs="Times New Roman"/>
          <w:highlight w:val="none"/>
          <w:u w:val="single"/>
          <w:lang w:val="en-US" w:eastAsia="zh-CN"/>
        </w:rPr>
        <w:t>:0</w:t>
      </w:r>
      <w:r>
        <w:rPr>
          <w:rFonts w:hint="eastAsia" w:cs="Times New Roman"/>
          <w:highlight w:val="none"/>
          <w:u w:val="single"/>
          <w:lang w:val="en-US" w:eastAsia="zh-CN"/>
        </w:rPr>
        <w:t>0:00</w:t>
      </w:r>
      <w:r>
        <w:rPr>
          <w:rFonts w:hint="eastAsia" w:ascii="宋体" w:hAnsi="Courier New" w:eastAsia="宋体" w:cs="Times New Roman"/>
          <w:highlight w:val="none"/>
          <w:u w:val="single"/>
          <w:lang w:val="en-US" w:eastAsia="zh-CN"/>
        </w:rPr>
        <w:t>前</w:t>
      </w:r>
      <w:r>
        <w:rPr>
          <w:rFonts w:hint="eastAsia" w:cs="Times New Roman"/>
          <w:highlight w:val="none"/>
          <w:u w:val="single"/>
          <w:lang w:val="en-US" w:eastAsia="zh-CN"/>
        </w:rPr>
        <w:t>；</w:t>
      </w:r>
    </w:p>
    <w:p w14:paraId="474343AB">
      <w:pPr>
        <w:pStyle w:val="78"/>
        <w:keepNext w:val="0"/>
        <w:keepLines w:val="0"/>
        <w:pageBreakBefore w:val="0"/>
        <w:widowControl w:val="0"/>
        <w:numPr>
          <w:ilvl w:val="1"/>
          <w:numId w:val="15"/>
        </w:numPr>
        <w:kinsoku/>
        <w:wordWrap/>
        <w:overflowPunct/>
        <w:topLinePunct w:val="0"/>
        <w:autoSpaceDE/>
        <w:autoSpaceDN/>
        <w:bidi w:val="0"/>
        <w:adjustRightInd/>
        <w:snapToGrid/>
        <w:spacing w:line="440" w:lineRule="exact"/>
        <w:ind w:left="0" w:leftChars="0" w:firstLine="420" w:firstLineChars="0"/>
        <w:textAlignment w:val="auto"/>
        <w:rPr>
          <w:rFonts w:hint="default" w:ascii="宋体" w:hAnsi="Courier New" w:eastAsia="宋体" w:cs="Times New Roman"/>
          <w:highlight w:val="cyan"/>
          <w:lang w:val="en-US" w:eastAsia="zh-CN"/>
        </w:rPr>
      </w:pPr>
      <w:r>
        <w:rPr>
          <w:rFonts w:hint="eastAsia" w:cs="Times New Roman"/>
          <w:highlight w:val="none"/>
          <w:lang w:val="en-US" w:eastAsia="zh-CN"/>
        </w:rPr>
        <w:t>获取</w:t>
      </w:r>
      <w:r>
        <w:rPr>
          <w:rFonts w:hint="eastAsia" w:ascii="宋体" w:hAnsi="Courier New" w:eastAsia="宋体" w:cs="Times New Roman"/>
          <w:highlight w:val="none"/>
          <w:lang w:val="en-US" w:eastAsia="zh-CN"/>
        </w:rPr>
        <w:t>方式：招标人将以电子邮件的方式将招标文件的答疑澄清文件发送至答疑文件提交时登记的电子邮箱。</w:t>
      </w:r>
    </w:p>
    <w:p w14:paraId="0C785EC5">
      <w:pPr>
        <w:pStyle w:val="74"/>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4"/>
        <w:keepNext w:val="0"/>
        <w:keepLines w:val="0"/>
        <w:pageBreakBefore w:val="0"/>
        <w:widowControl w:val="0"/>
        <w:numPr>
          <w:ilvl w:val="0"/>
          <w:numId w:val="16"/>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ascii="黑体" w:hAnsi="黑体" w:eastAsia="黑体" w:cs="黑体"/>
          <w:b w:val="0"/>
          <w:sz w:val="24"/>
          <w:szCs w:val="24"/>
          <w:lang w:val="en-US" w:eastAsia="zh-CN"/>
        </w:rPr>
      </w:pPr>
      <w:r>
        <w:rPr>
          <w:rFonts w:hint="eastAsia" w:ascii="黑体" w:hAnsi="黑体" w:eastAsia="黑体" w:cs="黑体"/>
          <w:b w:val="0"/>
          <w:sz w:val="24"/>
          <w:szCs w:val="24"/>
          <w:lang w:val="en-US" w:eastAsia="zh-CN"/>
        </w:rPr>
        <w:t>投标文件的组成</w:t>
      </w:r>
    </w:p>
    <w:p w14:paraId="4275DDCC">
      <w:pPr>
        <w:pStyle w:val="78"/>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cs="Times New Roman"/>
          <w:highlight w:val="none"/>
          <w:lang w:val="en-US" w:eastAsia="zh-CN"/>
        </w:rPr>
      </w:pPr>
      <w:r>
        <w:rPr>
          <w:rFonts w:hint="default" w:cs="Times New Roman"/>
          <w:highlight w:val="none"/>
          <w:lang w:val="en-US" w:eastAsia="zh-CN"/>
        </w:rPr>
        <w:t>本项目投标文件分为纸质版</w:t>
      </w:r>
      <w:r>
        <w:rPr>
          <w:rFonts w:hint="default" w:ascii="Times New Roman" w:hAnsi="Times New Roman" w:cs="Times New Roman"/>
          <w:color w:val="auto"/>
          <w:highlight w:val="none"/>
          <w:lang w:val="en-US" w:eastAsia="zh-CN"/>
        </w:rPr>
        <w:t>投标文件</w:t>
      </w:r>
      <w:r>
        <w:rPr>
          <w:rFonts w:hint="eastAsia" w:ascii="Times New Roman" w:hAnsi="Times New Roman" w:cs="Times New Roman"/>
          <w:color w:val="auto"/>
          <w:highlight w:val="none"/>
          <w:lang w:val="en-US" w:eastAsia="zh-CN"/>
        </w:rPr>
        <w:t>（均须逐页加盖公章）</w:t>
      </w:r>
      <w:r>
        <w:rPr>
          <w:rFonts w:hint="default" w:cs="Times New Roman"/>
          <w:highlight w:val="none"/>
          <w:lang w:val="en-US" w:eastAsia="zh-CN"/>
        </w:rPr>
        <w:t>和</w:t>
      </w:r>
      <w:r>
        <w:rPr>
          <w:rFonts w:hint="eastAsia" w:ascii="Times New Roman" w:hAnsi="Times New Roman" w:cs="Times New Roman"/>
          <w:color w:val="auto"/>
          <w:highlight w:val="none"/>
          <w:lang w:val="en-US" w:eastAsia="zh-CN"/>
        </w:rPr>
        <w:t>盖章扫描</w:t>
      </w:r>
      <w:r>
        <w:rPr>
          <w:rFonts w:hint="eastAsia" w:cs="Times New Roman"/>
          <w:highlight w:val="none"/>
          <w:lang w:val="en-US" w:eastAsia="zh-CN"/>
        </w:rPr>
        <w:t>电子版投标文件</w:t>
      </w:r>
      <w:r>
        <w:rPr>
          <w:rFonts w:hint="default" w:cs="Times New Roman"/>
          <w:highlight w:val="none"/>
          <w:lang w:val="en-US" w:eastAsia="zh-CN"/>
        </w:rPr>
        <w:t>，均由《投标文件（资质标）》、《投标文件（技术标）》、《投标文件（商务标）》（开标一览表）文件组成，共计3个文件。</w:t>
      </w:r>
    </w:p>
    <w:p w14:paraId="5EA04826">
      <w:pPr>
        <w:pStyle w:val="78"/>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lang w:val="en-US" w:eastAsia="zh-CN"/>
        </w:rPr>
      </w:pPr>
      <w:r>
        <w:rPr>
          <w:rFonts w:hint="eastAsia" w:cs="Times New Roman"/>
          <w:lang w:val="en-US" w:eastAsia="zh-CN"/>
        </w:rPr>
        <w:t>本项目投标文件为</w:t>
      </w:r>
      <w:r>
        <w:rPr>
          <w:rFonts w:hint="eastAsia" w:ascii="Times New Roman" w:hAnsi="Times New Roman" w:cs="Times New Roman"/>
          <w:color w:val="auto"/>
          <w:lang w:val="en-US" w:eastAsia="zh-CN"/>
        </w:rPr>
        <w:t>盖章扫</w:t>
      </w:r>
      <w:r>
        <w:rPr>
          <w:rFonts w:hint="eastAsia" w:ascii="Times New Roman" w:hAnsi="Times New Roman" w:cs="Times New Roman"/>
          <w:color w:val="auto"/>
          <w:highlight w:val="none"/>
          <w:lang w:val="en-US" w:eastAsia="zh-CN"/>
        </w:rPr>
        <w:t>描</w:t>
      </w:r>
      <w:r>
        <w:rPr>
          <w:rFonts w:hint="eastAsia" w:cs="Times New Roman"/>
          <w:highlight w:val="none"/>
          <w:lang w:val="en-US" w:eastAsia="zh-CN"/>
        </w:rPr>
        <w:t>电子版投标文件</w:t>
      </w:r>
      <w:r>
        <w:rPr>
          <w:rFonts w:hint="eastAsia" w:ascii="Times New Roman" w:hAnsi="Times New Roman" w:cs="Times New Roman"/>
          <w:color w:val="auto"/>
          <w:highlight w:val="none"/>
          <w:lang w:val="en-US" w:eastAsia="zh-CN"/>
        </w:rPr>
        <w:t>（均须逐页加盖公章）</w:t>
      </w:r>
      <w:r>
        <w:rPr>
          <w:rFonts w:hint="eastAsia" w:cs="Times New Roman"/>
          <w:highlight w:val="none"/>
          <w:lang w:val="en-US" w:eastAsia="zh-CN"/>
        </w:rPr>
        <w:t>。</w:t>
      </w:r>
      <w:r>
        <w:rPr>
          <w:rFonts w:hint="eastAsia"/>
          <w:highlight w:val="none"/>
          <w:lang w:val="en-US" w:eastAsia="zh-CN"/>
        </w:rPr>
        <w:t>投标人编写的投标文件由《投标文件（资质标）》、《投标文件（技术标）》和</w:t>
      </w:r>
      <w:r>
        <w:rPr>
          <w:rFonts w:hint="eastAsia"/>
          <w:lang w:val="en-US" w:eastAsia="zh-CN"/>
        </w:rPr>
        <w:t>《投标文件（商务标）》文件组成，共计</w:t>
      </w:r>
      <w:r>
        <w:rPr>
          <w:rFonts w:hint="eastAsia"/>
          <w:highlight w:val="none"/>
          <w:lang w:val="en-US" w:eastAsia="zh-CN"/>
        </w:rPr>
        <w:t>3</w:t>
      </w:r>
      <w:r>
        <w:rPr>
          <w:rFonts w:hint="eastAsia"/>
          <w:lang w:val="en-US" w:eastAsia="zh-CN"/>
        </w:rPr>
        <w:t>个文件。所有文件应按“公司简称+文件名称”格式命名，并编制目录。</w:t>
      </w:r>
    </w:p>
    <w:p w14:paraId="5D4F8B0C">
      <w:pPr>
        <w:pStyle w:val="78"/>
        <w:keepNext w:val="0"/>
        <w:keepLines w:val="0"/>
        <w:pageBreakBefore w:val="0"/>
        <w:widowControl w:val="0"/>
        <w:numPr>
          <w:ilvl w:val="1"/>
          <w:numId w:val="17"/>
        </w:numPr>
        <w:kinsoku/>
        <w:wordWrap/>
        <w:overflowPunct/>
        <w:topLinePunct w:val="0"/>
        <w:autoSpaceDE/>
        <w:autoSpaceDN/>
        <w:bidi w:val="0"/>
        <w:adjustRightInd/>
        <w:snapToGrid/>
        <w:spacing w:before="79" w:beforeLines="25" w:line="440" w:lineRule="exact"/>
        <w:ind w:left="0" w:leftChars="0" w:firstLine="0" w:firstLineChars="0"/>
        <w:textAlignment w:val="auto"/>
        <w:outlineLvl w:val="3"/>
        <w:rPr>
          <w:rFonts w:hint="eastAsia" w:ascii="Times New Roman" w:hAnsi="Times New Roman" w:cs="Times New Roman"/>
          <w:color w:val="auto"/>
        </w:rPr>
      </w:pPr>
      <w:r>
        <w:rPr>
          <w:rFonts w:hint="eastAsia" w:ascii="黑体" w:hAnsi="黑体" w:eastAsia="黑体" w:cs="黑体"/>
          <w:b w:val="0"/>
          <w:bCs/>
          <w:sz w:val="21"/>
          <w:szCs w:val="21"/>
          <w:highlight w:val="none"/>
        </w:rPr>
        <w:t>资质文件</w:t>
      </w:r>
      <w:r>
        <w:rPr>
          <w:rFonts w:hint="eastAsia" w:ascii="黑体" w:hAnsi="黑体" w:eastAsia="黑体" w:cs="黑体"/>
          <w:b w:val="0"/>
          <w:bCs/>
          <w:sz w:val="21"/>
          <w:szCs w:val="21"/>
          <w:highlight w:val="none"/>
          <w:lang w:val="en-US" w:eastAsia="zh-CN"/>
        </w:rPr>
        <w:t xml:space="preserve"> </w:t>
      </w:r>
    </w:p>
    <w:p w14:paraId="35EF7D00">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420" w:firstLineChars="200"/>
        <w:textAlignment w:val="auto"/>
        <w:rPr>
          <w:rFonts w:hint="eastAsia" w:ascii="Times New Roman" w:hAnsi="Times New Roman" w:cs="Times New Roman"/>
          <w:color w:val="auto"/>
        </w:rPr>
      </w:pPr>
      <w:r>
        <w:rPr>
          <w:rFonts w:hint="eastAsia" w:ascii="Times New Roman" w:hAnsi="Times New Roman" w:cs="Times New Roman"/>
          <w:color w:val="auto"/>
        </w:rPr>
        <w:t>营业执照副本原件</w:t>
      </w:r>
      <w:r>
        <w:rPr>
          <w:rFonts w:hint="eastAsia" w:ascii="Times New Roman" w:hAnsi="Times New Roman" w:cs="Times New Roman"/>
          <w:color w:val="auto"/>
          <w:lang w:val="en-US" w:eastAsia="zh-CN"/>
        </w:rPr>
        <w:t>或复印件</w:t>
      </w:r>
      <w:r>
        <w:rPr>
          <w:rFonts w:hint="default" w:ascii="Times New Roman" w:hAnsi="Times New Roman" w:cs="Times New Roman"/>
          <w:color w:val="auto"/>
        </w:rPr>
        <w:t>（</w:t>
      </w:r>
      <w:r>
        <w:rPr>
          <w:rFonts w:hint="eastAsia" w:ascii="Times New Roman" w:hAnsi="Times New Roman" w:cs="Times New Roman"/>
          <w:color w:val="auto"/>
          <w:lang w:eastAsia="zh-CN"/>
        </w:rPr>
        <w:t>须加盖</w:t>
      </w:r>
      <w:r>
        <w:rPr>
          <w:rFonts w:hint="default" w:ascii="Times New Roman" w:hAnsi="Times New Roman" w:cs="Times New Roman"/>
          <w:color w:val="auto"/>
        </w:rPr>
        <w:t>公章）</w:t>
      </w:r>
      <w:r>
        <w:rPr>
          <w:rFonts w:hint="eastAsia" w:ascii="Times New Roman" w:hAnsi="Times New Roman" w:cs="Times New Roman"/>
          <w:color w:val="auto"/>
        </w:rPr>
        <w:t>；</w:t>
      </w:r>
    </w:p>
    <w:p w14:paraId="6D74587B">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420" w:firstLineChars="200"/>
        <w:textAlignment w:val="auto"/>
        <w:rPr>
          <w:rFonts w:hint="eastAsia" w:ascii="Times New Roman" w:hAnsi="Times New Roman" w:cs="Times New Roman"/>
          <w:color w:val="auto"/>
        </w:rPr>
      </w:pPr>
      <w:r>
        <w:rPr>
          <w:rFonts w:hint="default" w:ascii="Times New Roman" w:hAnsi="Times New Roman" w:cs="Times New Roman"/>
          <w:color w:val="auto"/>
        </w:rPr>
        <w:t>法定代表人授权书（</w:t>
      </w:r>
      <w:r>
        <w:rPr>
          <w:rFonts w:hint="default" w:ascii="Times New Roman" w:hAnsi="Times New Roman" w:cs="Times New Roman"/>
          <w:color w:val="auto"/>
          <w:highlight w:val="none"/>
        </w:rPr>
        <w:t>附件</w:t>
      </w: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rPr>
        <w:t>）；法定代表人参加投标的，提供法人身份证明文件即可；被授权人参加投标的，需提供法定代表人授权委托书（含法人身份证和被授权人身份证正反面复印件）</w:t>
      </w:r>
      <w:r>
        <w:rPr>
          <w:rFonts w:hint="default" w:ascii="Times New Roman" w:hAnsi="Times New Roman" w:cs="Times New Roman"/>
          <w:color w:val="auto"/>
          <w:lang w:val="en-US" w:eastAsia="zh-CN"/>
        </w:rPr>
        <w:t>和</w:t>
      </w:r>
      <w:r>
        <w:rPr>
          <w:rFonts w:hint="default" w:ascii="Times New Roman" w:hAnsi="Times New Roman" w:cs="Times New Roman"/>
          <w:color w:val="auto"/>
        </w:rPr>
        <w:t>被授权人近</w:t>
      </w:r>
      <w:r>
        <w:rPr>
          <w:rFonts w:hint="default" w:ascii="Times New Roman" w:hAnsi="Times New Roman" w:cs="Times New Roman"/>
          <w:color w:val="auto"/>
          <w:lang w:val="en-US" w:eastAsia="zh-CN"/>
        </w:rPr>
        <w:t>6</w:t>
      </w:r>
      <w:r>
        <w:rPr>
          <w:rFonts w:hint="default" w:ascii="Times New Roman" w:hAnsi="Times New Roman" w:cs="Times New Roman"/>
          <w:color w:val="auto"/>
        </w:rPr>
        <w:t>个月</w:t>
      </w:r>
      <w:r>
        <w:rPr>
          <w:rFonts w:hint="default" w:ascii="Times New Roman" w:hAnsi="Times New Roman" w:cs="Times New Roman"/>
          <w:color w:val="auto"/>
          <w:lang w:val="en-US" w:eastAsia="zh-CN"/>
        </w:rPr>
        <w:t>及以上在授权单位的社保</w:t>
      </w:r>
      <w:r>
        <w:rPr>
          <w:rFonts w:hint="default" w:ascii="Times New Roman" w:hAnsi="Times New Roman" w:cs="Times New Roman"/>
          <w:color w:val="auto"/>
        </w:rPr>
        <w:t>缴纳证明</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须加盖公章</w:t>
      </w:r>
      <w:r>
        <w:rPr>
          <w:rFonts w:hint="eastAsia" w:ascii="Times New Roman" w:hAnsi="Times New Roman" w:cs="Times New Roman"/>
          <w:color w:val="auto"/>
          <w:lang w:eastAsia="zh-CN"/>
        </w:rPr>
        <w:t>）；</w:t>
      </w:r>
    </w:p>
    <w:p w14:paraId="54F8FBE5">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420" w:firstLineChars="20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rPr>
        <w:t>经会计师事务所审计且出具无保留意见的近三年的财务审计报告，并加盖公章，包括但不限于报告页、经审计的资产负债表、利润表、现金流量表及报表附注</w:t>
      </w:r>
      <w:r>
        <w:rPr>
          <w:rFonts w:hint="eastAsia" w:ascii="Times New Roman" w:hAnsi="Times New Roman" w:cs="Times New Roman"/>
          <w:color w:val="auto"/>
          <w:lang w:eastAsia="zh-CN"/>
        </w:rPr>
        <w:t>，且未显示异常</w:t>
      </w:r>
      <w:r>
        <w:rPr>
          <w:rFonts w:hint="eastAsia" w:ascii="Times New Roman" w:hAnsi="Times New Roman" w:cs="Times New Roman"/>
          <w:color w:val="auto"/>
        </w:rPr>
        <w:t>。如投标人公司没有经审计的财务报告，可提供加盖公章的近三年财务报表，包括但不限于资产负债表、利润表、现金流量表</w:t>
      </w:r>
      <w:r>
        <w:rPr>
          <w:rFonts w:hint="eastAsia" w:ascii="Times New Roman" w:hAnsi="Times New Roman" w:cs="Times New Roman"/>
          <w:color w:val="auto"/>
          <w:lang w:eastAsia="zh-CN"/>
        </w:rPr>
        <w:t>；</w:t>
      </w:r>
      <w:r>
        <w:rPr>
          <w:rFonts w:hint="eastAsia" w:ascii="Times New Roman" w:hAnsi="Times New Roman" w:cs="Times New Roman"/>
          <w:color w:val="auto"/>
        </w:rPr>
        <w:t>应提供中文版本的审计报告或财务报表</w:t>
      </w:r>
      <w:r>
        <w:rPr>
          <w:rFonts w:hint="eastAsia" w:ascii="Times New Roman" w:hAnsi="Times New Roman" w:cs="Times New Roman"/>
          <w:color w:val="auto"/>
          <w:lang w:eastAsia="zh-CN"/>
        </w:rPr>
        <w:t>，</w:t>
      </w:r>
      <w:r>
        <w:rPr>
          <w:rFonts w:hint="default" w:ascii="Times New Roman" w:hAnsi="Times New Roman" w:cs="Times New Roman"/>
          <w:color w:val="auto"/>
          <w:lang w:val="en-US" w:eastAsia="zh-CN"/>
        </w:rPr>
        <w:t>必须连续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同时填写投标人基本情况表</w:t>
      </w:r>
      <w:r>
        <w:rPr>
          <w:rFonts w:hint="eastAsia" w:ascii="Times New Roman" w:hAnsi="Times New Roman" w:cs="Times New Roman"/>
          <w:color w:val="auto"/>
          <w:lang w:val="en-US" w:eastAsia="zh-CN"/>
        </w:rPr>
        <w:t>和资产情况汇总表</w:t>
      </w:r>
      <w:r>
        <w:rPr>
          <w:rFonts w:hint="default" w:ascii="Times New Roman" w:hAnsi="Times New Roman" w:cs="Times New Roman"/>
          <w:color w:val="auto"/>
          <w:lang w:val="en-US" w:eastAsia="zh-CN"/>
        </w:rPr>
        <w:t>（</w:t>
      </w:r>
      <w:r>
        <w:rPr>
          <w:rFonts w:hint="default" w:ascii="Times New Roman" w:hAnsi="Times New Roman" w:cs="Times New Roman"/>
          <w:color w:val="auto"/>
          <w:highlight w:val="none"/>
          <w:lang w:val="en-US" w:eastAsia="zh-CN"/>
        </w:rPr>
        <w:t>附件</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lang w:val="en-US" w:eastAsia="zh-CN"/>
        </w:rPr>
        <w:t>）</w:t>
      </w:r>
      <w:r>
        <w:rPr>
          <w:rFonts w:hint="eastAsia" w:ascii="宋体" w:hAnsi="宋体" w:eastAsia="宋体" w:cs="Times New Roman"/>
          <w:b w:val="0"/>
          <w:bCs/>
          <w:lang w:val="en-US" w:eastAsia="zh-CN"/>
        </w:rPr>
        <w:t>；</w:t>
      </w:r>
    </w:p>
    <w:p w14:paraId="7A60C7D7">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420" w:firstLineChars="200"/>
        <w:textAlignment w:val="auto"/>
        <w:rPr>
          <w:rFonts w:hint="eastAsia" w:ascii="Times New Roman" w:hAnsi="Times New Roman" w:cs="Times New Roman"/>
          <w:color w:val="auto"/>
        </w:rPr>
      </w:pPr>
      <w:r>
        <w:rPr>
          <w:rFonts w:hint="eastAsia" w:ascii="Times New Roman" w:hAnsi="Times New Roman" w:cs="Times New Roman"/>
          <w:color w:val="auto"/>
          <w:lang w:val="en-US" w:eastAsia="zh-CN"/>
        </w:rPr>
        <w:t>企业最近半年完税证明、信用证明材料（征信报告）；</w:t>
      </w:r>
    </w:p>
    <w:p w14:paraId="119848A3">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420" w:firstLineChars="20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年度纳税信用评价信息（可从电子税务局查询截图，须加盖公章）；</w:t>
      </w:r>
    </w:p>
    <w:p w14:paraId="4E46CB10">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420" w:firstLineChars="200"/>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企业对外担保说明（写明贵单位对外有无对外担保和质押业务，须加盖公章）；</w:t>
      </w:r>
    </w:p>
    <w:p w14:paraId="7C89376D">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420" w:firstLineChars="200"/>
        <w:textAlignment w:val="auto"/>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投标人在国家企业信用信息公示系统中无与本项目有关的行政处罚、经营异常和失信信息的声明（</w:t>
      </w:r>
      <w:r>
        <w:rPr>
          <w:rFonts w:hint="default" w:ascii="Times New Roman" w:hAnsi="Times New Roman" w:cs="Times New Roman"/>
          <w:color w:val="auto"/>
          <w:highlight w:val="none"/>
          <w:lang w:val="en-US" w:eastAsia="zh-CN"/>
        </w:rPr>
        <w:t>附投标</w:t>
      </w:r>
      <w:r>
        <w:rPr>
          <w:rFonts w:hint="eastAsia" w:ascii="Times New Roman" w:hAnsi="Times New Roman" w:cs="Times New Roman"/>
          <w:color w:val="auto"/>
          <w:highlight w:val="none"/>
          <w:lang w:val="en-US" w:eastAsia="zh-CN"/>
        </w:rPr>
        <w:t>前1</w:t>
      </w:r>
      <w:r>
        <w:rPr>
          <w:rFonts w:hint="default" w:ascii="Times New Roman" w:hAnsi="Times New Roman" w:cs="Times New Roman"/>
          <w:color w:val="auto"/>
          <w:highlight w:val="none"/>
          <w:lang w:val="en-US" w:eastAsia="zh-CN"/>
        </w:rPr>
        <w:t>日系统内相关截图</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w:t>
      </w:r>
    </w:p>
    <w:p w14:paraId="4402A5B1">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420" w:firstLineChars="20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投标</w:t>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ab/>
      </w:r>
      <w:r>
        <w:rPr>
          <w:rFonts w:hint="eastAsia" w:ascii="Times New Roman" w:hAnsi="Times New Roman" w:cs="Times New Roman"/>
          <w:color w:val="auto"/>
          <w:highlight w:val="none"/>
          <w:lang w:val="en-US" w:eastAsia="zh-CN"/>
        </w:rPr>
        <w:t>人应具有相应生产证明，若非原厂商需提供原厂商授权书（原件或加盖投标单位公章的彩色打印件）；</w:t>
      </w:r>
    </w:p>
    <w:p w14:paraId="1E42F048">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420" w:firstLineChars="200"/>
        <w:textAlignment w:val="auto"/>
        <w:rPr>
          <w:rFonts w:hint="eastAsia"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保密承诺函（附件</w:t>
      </w: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lang w:val="en-US" w:eastAsia="zh-CN"/>
        </w:rPr>
        <w:t>，</w:t>
      </w:r>
      <w:r>
        <w:rPr>
          <w:rFonts w:hint="eastAsia" w:ascii="Times New Roman" w:hAnsi="Times New Roman" w:cs="Times New Roman"/>
          <w:color w:val="auto"/>
          <w:highlight w:val="none"/>
          <w:lang w:val="en-US" w:eastAsia="zh-CN"/>
        </w:rPr>
        <w:t>须</w:t>
      </w:r>
      <w:r>
        <w:rPr>
          <w:rFonts w:hint="default" w:ascii="Times New Roman" w:hAnsi="Times New Roman" w:cs="Times New Roman"/>
          <w:color w:val="auto"/>
          <w:highlight w:val="none"/>
          <w:lang w:val="en-US" w:eastAsia="zh-CN"/>
        </w:rPr>
        <w:t>盖章）</w:t>
      </w:r>
      <w:r>
        <w:rPr>
          <w:rFonts w:hint="eastAsia" w:ascii="Times New Roman" w:hAnsi="Times New Roman" w:cs="Times New Roman"/>
          <w:color w:val="auto"/>
          <w:highlight w:val="none"/>
          <w:lang w:val="en-US" w:eastAsia="zh-CN"/>
        </w:rPr>
        <w:t>；</w:t>
      </w:r>
    </w:p>
    <w:p w14:paraId="3D766582">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420" w:firstLineChars="200"/>
        <w:textAlignment w:val="auto"/>
        <w:rPr>
          <w:rFonts w:hint="eastAsia"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2022年1月1日至今，企业近三年同类项目业绩证明，须提供用户清单、采购合同复印件</w:t>
      </w:r>
      <w:r>
        <w:rPr>
          <w:rFonts w:hint="eastAsia" w:cs="Times New Roman"/>
          <w:highlight w:val="none"/>
        </w:rPr>
        <w:t>；</w:t>
      </w:r>
    </w:p>
    <w:p w14:paraId="08F8AAFD">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420" w:firstLineChars="20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投标保证金缴纳凭证，同时正文描述付款账号、户名、开户行名称、开户行行号、保证金金额。</w:t>
      </w:r>
    </w:p>
    <w:p w14:paraId="0FCAA68A">
      <w:pPr>
        <w:pStyle w:val="78"/>
        <w:keepNext w:val="0"/>
        <w:keepLines w:val="0"/>
        <w:pageBreakBefore w:val="0"/>
        <w:widowControl w:val="0"/>
        <w:numPr>
          <w:ilvl w:val="0"/>
          <w:numId w:val="18"/>
        </w:numPr>
        <w:kinsoku/>
        <w:wordWrap/>
        <w:overflowPunct/>
        <w:topLinePunct w:val="0"/>
        <w:autoSpaceDE/>
        <w:autoSpaceDN/>
        <w:bidi w:val="0"/>
        <w:adjustRightInd/>
        <w:snapToGrid/>
        <w:spacing w:line="440" w:lineRule="exact"/>
        <w:ind w:left="0" w:leftChars="0" w:firstLine="422" w:firstLineChars="200"/>
        <w:textAlignment w:val="auto"/>
        <w:rPr>
          <w:b/>
          <w:bCs/>
          <w:color w:val="auto"/>
        </w:rPr>
      </w:pPr>
      <w:r>
        <w:rPr>
          <w:rFonts w:hint="eastAsia"/>
          <w:b/>
          <w:bCs/>
          <w:color w:val="auto"/>
        </w:rPr>
        <w:t>对于投标人资质审核不通过的，招标人有权拒绝其投标。</w:t>
      </w:r>
    </w:p>
    <w:p w14:paraId="1F689E4F">
      <w:pPr>
        <w:pStyle w:val="78"/>
        <w:keepNext w:val="0"/>
        <w:keepLines w:val="0"/>
        <w:pageBreakBefore w:val="0"/>
        <w:widowControl w:val="0"/>
        <w:numPr>
          <w:ilvl w:val="1"/>
          <w:numId w:val="17"/>
        </w:numPr>
        <w:kinsoku/>
        <w:wordWrap/>
        <w:overflowPunct/>
        <w:topLinePunct w:val="0"/>
        <w:autoSpaceDE/>
        <w:autoSpaceDN/>
        <w:bidi w:val="0"/>
        <w:adjustRightInd/>
        <w:snapToGrid/>
        <w:spacing w:before="79" w:beforeLines="25" w:line="440" w:lineRule="exact"/>
        <w:ind w:left="0" w:leftChars="0" w:firstLine="0" w:firstLineChars="0"/>
        <w:textAlignment w:val="auto"/>
        <w:outlineLvl w:val="3"/>
        <w:rPr>
          <w:rFonts w:hint="eastAsia" w:ascii="黑体" w:hAnsi="黑体" w:eastAsia="黑体" w:cs="黑体"/>
          <w:b w:val="0"/>
          <w:bCs/>
          <w:sz w:val="21"/>
          <w:szCs w:val="21"/>
          <w:highlight w:val="none"/>
        </w:rPr>
      </w:pPr>
      <w:r>
        <w:rPr>
          <w:rFonts w:hint="eastAsia" w:ascii="黑体" w:hAnsi="黑体" w:eastAsia="黑体" w:cs="黑体"/>
          <w:b w:val="0"/>
          <w:bCs/>
          <w:sz w:val="21"/>
          <w:szCs w:val="21"/>
          <w:highlight w:val="none"/>
          <w:lang w:val="en-US" w:eastAsia="zh-CN"/>
        </w:rPr>
        <w:t>技术标</w:t>
      </w:r>
    </w:p>
    <w:p w14:paraId="5FAE5E7E">
      <w:pPr>
        <w:pStyle w:val="78"/>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cs="Times New Roman"/>
          <w:highlight w:val="none"/>
          <w:lang w:eastAsia="zh-CN"/>
        </w:rPr>
      </w:pPr>
      <w:r>
        <w:rPr>
          <w:rFonts w:hint="eastAsia" w:cs="Times New Roman"/>
          <w:highlight w:val="none"/>
        </w:rPr>
        <w:t>详见技术标书</w:t>
      </w:r>
      <w:r>
        <w:rPr>
          <w:rFonts w:hint="eastAsia" w:cs="Times New Roman"/>
          <w:highlight w:val="none"/>
          <w:lang w:eastAsia="zh-CN"/>
        </w:rPr>
        <w:t>。</w:t>
      </w:r>
    </w:p>
    <w:p w14:paraId="7CB8DE54">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none"/>
          <w:lang w:val="en-US" w:eastAsia="zh-CN"/>
        </w:rPr>
      </w:pPr>
      <w:r>
        <w:rPr>
          <w:rFonts w:hint="eastAsia" w:cs="Times New Roman"/>
          <w:highlight w:val="none"/>
          <w:lang w:val="en-US" w:eastAsia="zh-CN"/>
        </w:rPr>
        <w:t>技术配置对比表。</w:t>
      </w:r>
    </w:p>
    <w:p w14:paraId="3D6F729D">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cyan"/>
          <w:lang w:val="en-US" w:eastAsia="zh-CN"/>
        </w:rPr>
      </w:pPr>
      <w:r>
        <w:rPr>
          <w:rFonts w:hint="eastAsia" w:cs="Times New Roman"/>
          <w:highlight w:val="none"/>
          <w:lang w:val="en-US" w:eastAsia="zh-CN"/>
        </w:rPr>
        <w:t>投标设备配置明细表，列明项目设备分项配置规格型号、品牌等信息，但注意：</w:t>
      </w:r>
      <w:r>
        <w:rPr>
          <w:rFonts w:hint="eastAsia" w:cs="Times New Roman"/>
          <w:b/>
          <w:bCs/>
          <w:highlight w:val="none"/>
          <w:lang w:val="en-US" w:eastAsia="zh-CN"/>
        </w:rPr>
        <w:t>此表在技术标书中，禁止出现任何分项价格及项目总价</w:t>
      </w:r>
      <w:r>
        <w:rPr>
          <w:rFonts w:hint="eastAsia" w:cs="Times New Roman"/>
          <w:highlight w:val="none"/>
          <w:lang w:val="en-US" w:eastAsia="zh-CN"/>
        </w:rPr>
        <w:t>；</w:t>
      </w:r>
    </w:p>
    <w:p w14:paraId="69AE970B">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none"/>
          <w:lang w:val="en-US" w:eastAsia="zh-CN"/>
        </w:rPr>
      </w:pPr>
      <w:r>
        <w:rPr>
          <w:rFonts w:hint="eastAsia" w:cs="Times New Roman"/>
          <w:highlight w:val="none"/>
          <w:lang w:val="en-US" w:eastAsia="zh-CN"/>
        </w:rPr>
        <w:t>技术规格偏离表；</w:t>
      </w:r>
    </w:p>
    <w:p w14:paraId="5D2BBFAC">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none"/>
          <w:lang w:val="en-US" w:eastAsia="zh-CN"/>
        </w:rPr>
      </w:pPr>
      <w:r>
        <w:rPr>
          <w:rFonts w:hint="eastAsia" w:cs="Times New Roman"/>
          <w:highlight w:val="none"/>
          <w:lang w:val="en-US" w:eastAsia="zh-CN"/>
        </w:rPr>
        <w:t xml:space="preserve">技术性能、参数的描述； </w:t>
      </w:r>
    </w:p>
    <w:p w14:paraId="1760B338">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none"/>
          <w:lang w:val="en-US" w:eastAsia="zh-CN"/>
        </w:rPr>
      </w:pPr>
      <w:r>
        <w:rPr>
          <w:rFonts w:hint="eastAsia" w:cs="Times New Roman"/>
          <w:highlight w:val="none"/>
          <w:lang w:val="en-US" w:eastAsia="zh-CN"/>
        </w:rPr>
        <w:t>备品备件工具材料明细表；</w:t>
      </w:r>
    </w:p>
    <w:p w14:paraId="6E70AD99">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none"/>
          <w:lang w:val="en-US" w:eastAsia="zh-CN"/>
        </w:rPr>
      </w:pPr>
      <w:r>
        <w:rPr>
          <w:rFonts w:hint="eastAsia" w:cs="Times New Roman"/>
          <w:highlight w:val="none"/>
          <w:lang w:val="en-US" w:eastAsia="zh-CN"/>
        </w:rPr>
        <w:t xml:space="preserve">技术标书要求的其他内容。 </w:t>
      </w:r>
    </w:p>
    <w:p w14:paraId="328E9B9D">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none"/>
          <w:lang w:val="en-US" w:eastAsia="zh-CN"/>
        </w:rPr>
      </w:pPr>
      <w:r>
        <w:rPr>
          <w:rFonts w:hint="eastAsia" w:cs="Times New Roman"/>
          <w:highlight w:val="none"/>
          <w:lang w:val="en-US" w:eastAsia="zh-CN"/>
        </w:rPr>
        <w:t>其他</w:t>
      </w:r>
    </w:p>
    <w:p w14:paraId="1B6DBABE">
      <w:pPr>
        <w:pStyle w:val="78"/>
        <w:keepNext w:val="0"/>
        <w:keepLines w:val="0"/>
        <w:pageBreakBefore w:val="0"/>
        <w:widowControl w:val="0"/>
        <w:numPr>
          <w:ilvl w:val="1"/>
          <w:numId w:val="17"/>
        </w:numPr>
        <w:kinsoku/>
        <w:wordWrap/>
        <w:overflowPunct/>
        <w:topLinePunct w:val="0"/>
        <w:autoSpaceDE/>
        <w:autoSpaceDN/>
        <w:bidi w:val="0"/>
        <w:adjustRightInd/>
        <w:snapToGrid/>
        <w:spacing w:before="79" w:beforeLines="25" w:line="440" w:lineRule="exact"/>
        <w:ind w:left="0" w:leftChars="0" w:firstLine="0" w:firstLineChars="0"/>
        <w:textAlignment w:val="auto"/>
        <w:outlineLvl w:val="3"/>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商务标</w:t>
      </w:r>
    </w:p>
    <w:p w14:paraId="36BEA27F">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none"/>
        </w:rPr>
      </w:pPr>
      <w:r>
        <w:rPr>
          <w:rFonts w:hint="eastAsia" w:cs="Times New Roman"/>
          <w:highlight w:val="none"/>
          <w:lang w:val="en-US" w:eastAsia="zh-CN"/>
        </w:rPr>
        <w:t>开标一览表（附件5）</w:t>
      </w:r>
      <w:r>
        <w:rPr>
          <w:rFonts w:hint="eastAsia" w:cs="Times New Roman"/>
          <w:highlight w:val="none"/>
        </w:rPr>
        <w:t>；</w:t>
      </w:r>
    </w:p>
    <w:p w14:paraId="0167F81C">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none"/>
        </w:rPr>
      </w:pPr>
      <w:r>
        <w:rPr>
          <w:rFonts w:hint="eastAsia" w:cs="Times New Roman"/>
          <w:highlight w:val="none"/>
        </w:rPr>
        <w:t>投标函（附件</w:t>
      </w:r>
      <w:r>
        <w:rPr>
          <w:rFonts w:hint="eastAsia" w:cs="Times New Roman"/>
          <w:highlight w:val="none"/>
          <w:lang w:val="en-US" w:eastAsia="zh-CN"/>
        </w:rPr>
        <w:t>6</w:t>
      </w:r>
      <w:r>
        <w:rPr>
          <w:rFonts w:hint="eastAsia" w:cs="Times New Roman"/>
          <w:highlight w:val="none"/>
        </w:rPr>
        <w:t>）</w:t>
      </w:r>
      <w:r>
        <w:rPr>
          <w:rFonts w:hint="eastAsia" w:cs="Times New Roman"/>
          <w:highlight w:val="none"/>
          <w:lang w:eastAsia="zh-CN"/>
        </w:rPr>
        <w:t>；</w:t>
      </w:r>
    </w:p>
    <w:p w14:paraId="73D1C963">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none"/>
        </w:rPr>
      </w:pPr>
      <w:r>
        <w:rPr>
          <w:rFonts w:hint="eastAsia" w:cs="Times New Roman"/>
          <w:highlight w:val="none"/>
          <w:lang w:val="en-US" w:eastAsia="zh-CN"/>
        </w:rPr>
        <w:t>技术规格偏离表（附件4）</w:t>
      </w:r>
    </w:p>
    <w:p w14:paraId="290ED0C2">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none"/>
        </w:rPr>
      </w:pPr>
      <w:r>
        <w:rPr>
          <w:rFonts w:hint="eastAsia" w:cs="Times New Roman"/>
          <w:highlight w:val="none"/>
        </w:rPr>
        <w:t>商务条款偏离表（附件</w:t>
      </w:r>
      <w:r>
        <w:rPr>
          <w:rFonts w:hint="eastAsia" w:cs="Times New Roman"/>
          <w:highlight w:val="none"/>
          <w:lang w:val="en-US" w:eastAsia="zh-CN"/>
        </w:rPr>
        <w:t>7</w:t>
      </w:r>
      <w:r>
        <w:rPr>
          <w:rFonts w:hint="eastAsia" w:cs="Times New Roman"/>
          <w:highlight w:val="none"/>
        </w:rPr>
        <w:t>）；</w:t>
      </w:r>
    </w:p>
    <w:p w14:paraId="51A1A787">
      <w:pPr>
        <w:pStyle w:val="78"/>
        <w:keepNext w:val="0"/>
        <w:keepLines w:val="0"/>
        <w:pageBreakBefore w:val="0"/>
        <w:widowControl w:val="0"/>
        <w:numPr>
          <w:ilvl w:val="2"/>
          <w:numId w:val="17"/>
        </w:numPr>
        <w:kinsoku/>
        <w:wordWrap/>
        <w:overflowPunct/>
        <w:topLinePunct w:val="0"/>
        <w:autoSpaceDE/>
        <w:autoSpaceDN/>
        <w:bidi w:val="0"/>
        <w:adjustRightInd/>
        <w:snapToGrid/>
        <w:spacing w:line="440" w:lineRule="exact"/>
        <w:ind w:left="0" w:leftChars="0" w:firstLine="0" w:firstLineChars="0"/>
        <w:textAlignment w:val="auto"/>
        <w:rPr>
          <w:rFonts w:hint="default" w:cs="Times New Roman"/>
          <w:highlight w:val="none"/>
          <w:lang w:val="en-US" w:eastAsia="zh-CN"/>
        </w:rPr>
      </w:pPr>
      <w:r>
        <w:rPr>
          <w:rFonts w:hint="eastAsia" w:cs="Times New Roman"/>
          <w:highlight w:val="none"/>
        </w:rPr>
        <w:t>分项报价表（附件</w:t>
      </w:r>
      <w:r>
        <w:rPr>
          <w:rFonts w:hint="eastAsia" w:cs="Times New Roman"/>
          <w:highlight w:val="none"/>
          <w:lang w:val="en-US" w:eastAsia="zh-CN"/>
        </w:rPr>
        <w:t>8</w:t>
      </w:r>
      <w:r>
        <w:rPr>
          <w:rFonts w:hint="eastAsia" w:cs="Times New Roman"/>
          <w:highlight w:val="none"/>
        </w:rPr>
        <w:t>）；</w:t>
      </w:r>
    </w:p>
    <w:p w14:paraId="53DECED4">
      <w:pPr>
        <w:pStyle w:val="78"/>
        <w:keepNext w:val="0"/>
        <w:keepLines w:val="0"/>
        <w:pageBreakBefore w:val="0"/>
        <w:widowControl w:val="0"/>
        <w:numPr>
          <w:ilvl w:val="0"/>
          <w:numId w:val="18"/>
        </w:numPr>
        <w:kinsoku/>
        <w:wordWrap/>
        <w:overflowPunct/>
        <w:topLinePunct w:val="0"/>
        <w:autoSpaceDE/>
        <w:autoSpaceDN/>
        <w:bidi w:val="0"/>
        <w:adjustRightInd/>
        <w:snapToGrid/>
        <w:spacing w:line="440" w:lineRule="exact"/>
        <w:ind w:left="0" w:leftChars="0" w:firstLine="0" w:firstLineChars="0"/>
        <w:textAlignment w:val="auto"/>
        <w:rPr>
          <w:rFonts w:hint="default" w:cs="Times New Roman"/>
          <w:b w:val="0"/>
          <w:bCs w:val="0"/>
          <w:highlight w:val="none"/>
          <w:lang w:val="en-US" w:eastAsia="zh-CN"/>
        </w:rPr>
      </w:pPr>
      <w:r>
        <w:rPr>
          <w:rFonts w:hint="eastAsia" w:cs="Times New Roman"/>
          <w:b w:val="0"/>
          <w:bCs w:val="0"/>
          <w:highlight w:val="none"/>
          <w:lang w:val="en-US" w:eastAsia="zh-CN"/>
        </w:rPr>
        <w:t>商务报价注意内容：</w:t>
      </w:r>
      <w:r>
        <w:rPr>
          <w:rFonts w:hint="eastAsia" w:cs="Times New Roman"/>
          <w:b w:val="0"/>
          <w:bCs w:val="0"/>
          <w:highlight w:val="none"/>
        </w:rPr>
        <w:t>最高投标限价（招标控制价）：</w:t>
      </w:r>
      <w:r>
        <w:rPr>
          <w:rFonts w:hint="eastAsia" w:cs="Times New Roman"/>
          <w:b/>
          <w:bCs/>
          <w:highlight w:val="none"/>
        </w:rPr>
        <w:t>人民币</w:t>
      </w:r>
      <w:r>
        <w:rPr>
          <w:rFonts w:hint="eastAsia" w:cs="Times New Roman"/>
          <w:b/>
          <w:bCs/>
          <w:highlight w:val="none"/>
          <w:u w:val="single"/>
          <w:lang w:val="en-US" w:eastAsia="zh-CN"/>
        </w:rPr>
        <w:t>8</w:t>
      </w:r>
      <w:r>
        <w:rPr>
          <w:rFonts w:hint="eastAsia" w:cs="Times New Roman"/>
          <w:b/>
          <w:bCs/>
          <w:highlight w:val="none"/>
        </w:rPr>
        <w:t>万元（含税）</w:t>
      </w:r>
      <w:r>
        <w:rPr>
          <w:rFonts w:hint="eastAsia" w:cs="Times New Roman"/>
          <w:b w:val="0"/>
          <w:bCs w:val="0"/>
          <w:highlight w:val="none"/>
        </w:rPr>
        <w:t>，超过投标限价无法投标。</w:t>
      </w:r>
    </w:p>
    <w:p w14:paraId="3ECCB717">
      <w:pPr>
        <w:pStyle w:val="74"/>
        <w:keepNext w:val="0"/>
        <w:keepLines w:val="0"/>
        <w:pageBreakBefore w:val="0"/>
        <w:widowControl w:val="0"/>
        <w:numPr>
          <w:ilvl w:val="0"/>
          <w:numId w:val="16"/>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ascii="黑体" w:hAnsi="黑体" w:eastAsia="黑体" w:cs="黑体"/>
          <w:b w:val="0"/>
          <w:bCs/>
          <w:sz w:val="21"/>
          <w:szCs w:val="21"/>
          <w:highlight w:val="none"/>
          <w:lang w:val="en-US" w:eastAsia="zh-CN"/>
        </w:rPr>
      </w:pPr>
      <w:r>
        <w:rPr>
          <w:rFonts w:hint="eastAsia" w:ascii="黑体" w:hAnsi="黑体" w:eastAsia="黑体" w:cs="黑体"/>
          <w:b w:val="0"/>
          <w:sz w:val="24"/>
          <w:szCs w:val="24"/>
          <w:highlight w:val="none"/>
          <w:lang w:val="en-US" w:eastAsia="zh-CN"/>
        </w:rPr>
        <w:t>投标文件的</w:t>
      </w:r>
      <w:r>
        <w:rPr>
          <w:rFonts w:hint="eastAsia" w:hAnsi="黑体" w:cs="黑体"/>
          <w:b w:val="0"/>
          <w:sz w:val="24"/>
          <w:szCs w:val="24"/>
          <w:highlight w:val="none"/>
          <w:lang w:val="en-US" w:eastAsia="zh-CN"/>
        </w:rPr>
        <w:t>装订</w:t>
      </w:r>
      <w:r>
        <w:rPr>
          <w:rFonts w:hint="eastAsia" w:ascii="黑体" w:hAnsi="黑体" w:eastAsia="黑体" w:cs="黑体"/>
          <w:b w:val="0"/>
          <w:sz w:val="24"/>
          <w:szCs w:val="24"/>
          <w:highlight w:val="none"/>
          <w:lang w:val="en-US" w:eastAsia="zh-CN"/>
        </w:rPr>
        <w:t>、密封</w:t>
      </w:r>
    </w:p>
    <w:p w14:paraId="05489F94">
      <w:pPr>
        <w:pStyle w:val="74"/>
        <w:keepNext w:val="0"/>
        <w:keepLines w:val="0"/>
        <w:pageBreakBefore w:val="0"/>
        <w:widowControl w:val="0"/>
        <w:numPr>
          <w:ilvl w:val="1"/>
          <w:numId w:val="16"/>
        </w:numPr>
        <w:kinsoku/>
        <w:wordWrap/>
        <w:overflowPunct/>
        <w:topLinePunct w:val="0"/>
        <w:autoSpaceDE/>
        <w:autoSpaceDN/>
        <w:bidi w:val="0"/>
        <w:adjustRightInd/>
        <w:snapToGrid/>
        <w:spacing w:before="79" w:beforeLines="25" w:line="440" w:lineRule="exact"/>
        <w:ind w:left="0" w:leftChars="0" w:firstLine="0" w:firstLineChars="0"/>
        <w:textAlignment w:val="auto"/>
        <w:outlineLvl w:val="3"/>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装订要求</w:t>
      </w:r>
    </w:p>
    <w:p w14:paraId="7476E1E0">
      <w:pPr>
        <w:pStyle w:val="78"/>
        <w:keepNext w:val="0"/>
        <w:keepLines w:val="0"/>
        <w:pageBreakBefore w:val="0"/>
        <w:widowControl w:val="0"/>
        <w:numPr>
          <w:ilvl w:val="0"/>
          <w:numId w:val="0"/>
        </w:numPr>
        <w:kinsoku/>
        <w:wordWrap/>
        <w:overflowPunct/>
        <w:topLinePunct w:val="0"/>
        <w:autoSpaceDE/>
        <w:autoSpaceDN/>
        <w:bidi w:val="0"/>
        <w:adjustRightInd/>
        <w:snapToGrid/>
        <w:spacing w:afterAutospacing="0" w:line="440" w:lineRule="exact"/>
        <w:ind w:leftChars="0" w:firstLine="420" w:firstLineChars="200"/>
        <w:textAlignment w:val="auto"/>
        <w:outlineLvl w:val="9"/>
        <w:rPr>
          <w:rFonts w:hint="eastAsia" w:ascii="宋体" w:hAnsi="宋体" w:eastAsia="宋体" w:cs="宋体"/>
          <w:i w:val="0"/>
          <w:iCs w:val="0"/>
          <w:caps w:val="0"/>
          <w:color w:val="0F1115"/>
          <w:spacing w:val="0"/>
          <w:sz w:val="21"/>
          <w:szCs w:val="21"/>
          <w:shd w:val="clear" w:fill="FFFFFF"/>
          <w:lang w:val="en-US" w:eastAsia="zh-CN"/>
        </w:rPr>
      </w:pPr>
      <w:r>
        <w:rPr>
          <w:rFonts w:hint="eastAsia" w:ascii="宋体" w:hAnsi="宋体" w:eastAsia="宋体" w:cs="宋体"/>
          <w:i w:val="0"/>
          <w:iCs w:val="0"/>
          <w:caps w:val="0"/>
          <w:color w:val="0F1115"/>
          <w:spacing w:val="0"/>
          <w:sz w:val="21"/>
          <w:szCs w:val="21"/>
          <w:shd w:val="clear" w:fill="FFFFFF"/>
        </w:rPr>
        <w:t>投标文件须按招标文件规定的组成顺序装订成册，资格证明文件、技术标文件、商务标文件</w:t>
      </w:r>
      <w:r>
        <w:rPr>
          <w:rFonts w:hint="default" w:ascii="宋体" w:hAnsi="宋体" w:eastAsia="宋体" w:cs="宋体"/>
          <w:i w:val="0"/>
          <w:iCs w:val="0"/>
          <w:caps w:val="0"/>
          <w:color w:val="0F1115"/>
          <w:spacing w:val="0"/>
          <w:sz w:val="21"/>
          <w:szCs w:val="21"/>
          <w:shd w:val="clear" w:fill="FFFFFF"/>
        </w:rPr>
        <w:t>各自独立成册。每类文件的总册数不得超过两册。所有文件册须分别进行胶装，不得采用活页、散页形式。</w:t>
      </w:r>
    </w:p>
    <w:p w14:paraId="10489572">
      <w:pPr>
        <w:pStyle w:val="74"/>
        <w:keepNext w:val="0"/>
        <w:keepLines w:val="0"/>
        <w:pageBreakBefore w:val="0"/>
        <w:widowControl w:val="0"/>
        <w:numPr>
          <w:ilvl w:val="1"/>
          <w:numId w:val="16"/>
        </w:numPr>
        <w:kinsoku/>
        <w:wordWrap/>
        <w:overflowPunct/>
        <w:topLinePunct w:val="0"/>
        <w:autoSpaceDE/>
        <w:autoSpaceDN/>
        <w:bidi w:val="0"/>
        <w:adjustRightInd/>
        <w:snapToGrid/>
        <w:spacing w:before="79" w:beforeLines="25" w:line="440" w:lineRule="exact"/>
        <w:ind w:left="0" w:leftChars="0" w:firstLine="0" w:firstLineChars="0"/>
        <w:textAlignment w:val="auto"/>
        <w:outlineLvl w:val="3"/>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纸质文件要求</w:t>
      </w:r>
    </w:p>
    <w:p w14:paraId="584C1D71">
      <w:pPr>
        <w:pStyle w:val="74"/>
        <w:keepNext w:val="0"/>
        <w:keepLines w:val="0"/>
        <w:pageBreakBefore w:val="0"/>
        <w:widowControl w:val="0"/>
        <w:numPr>
          <w:ilvl w:val="2"/>
          <w:numId w:val="16"/>
        </w:numPr>
        <w:kinsoku/>
        <w:wordWrap/>
        <w:overflowPunct/>
        <w:topLinePunct w:val="0"/>
        <w:autoSpaceDE/>
        <w:autoSpaceDN/>
        <w:bidi w:val="0"/>
        <w:adjustRightInd/>
        <w:snapToGrid/>
        <w:spacing w:before="79" w:beforeLines="25" w:line="440" w:lineRule="exact"/>
        <w:ind w:left="420" w:leftChars="0" w:hanging="420" w:hanging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投标文件正面封皮应标明投标人单位名称、地址，并在单位名称处加盖公章。</w:t>
      </w:r>
    </w:p>
    <w:p w14:paraId="1624BC68">
      <w:pPr>
        <w:pStyle w:val="74"/>
        <w:keepNext w:val="0"/>
        <w:keepLines w:val="0"/>
        <w:pageBreakBefore w:val="0"/>
        <w:widowControl w:val="0"/>
        <w:numPr>
          <w:ilvl w:val="2"/>
          <w:numId w:val="16"/>
        </w:numPr>
        <w:kinsoku/>
        <w:wordWrap/>
        <w:overflowPunct/>
        <w:topLinePunct w:val="0"/>
        <w:autoSpaceDE/>
        <w:autoSpaceDN/>
        <w:bidi w:val="0"/>
        <w:adjustRightInd/>
        <w:snapToGrid/>
        <w:spacing w:before="79" w:beforeLines="25" w:line="440" w:lineRule="exact"/>
        <w:ind w:left="420" w:leftChars="0" w:hanging="420" w:hanging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资质标书、技术标书、商务标书：均须提供一式2份，包括正本1份、副本1份，正、副本均须在封面显著位置明确标注“正本”或“副本”字样。保证正本与副本的内容一致。若正本与副本内容不一致，以正本为准。</w:t>
      </w:r>
    </w:p>
    <w:p w14:paraId="65D3B633">
      <w:pPr>
        <w:pStyle w:val="74"/>
        <w:keepNext w:val="0"/>
        <w:keepLines w:val="0"/>
        <w:pageBreakBefore w:val="0"/>
        <w:widowControl w:val="0"/>
        <w:numPr>
          <w:ilvl w:val="2"/>
          <w:numId w:val="16"/>
        </w:numPr>
        <w:kinsoku/>
        <w:wordWrap/>
        <w:overflowPunct/>
        <w:topLinePunct w:val="0"/>
        <w:autoSpaceDE/>
        <w:autoSpaceDN/>
        <w:bidi w:val="0"/>
        <w:adjustRightInd/>
        <w:snapToGrid/>
        <w:spacing w:before="79" w:beforeLines="25" w:line="440" w:lineRule="exact"/>
        <w:ind w:left="420" w:leftChars="0" w:hanging="420" w:hangingChars="200"/>
        <w:textAlignment w:val="auto"/>
        <w:outlineLvl w:val="9"/>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开标一览表，另外单独提供1份。</w:t>
      </w:r>
    </w:p>
    <w:p w14:paraId="272D4427">
      <w:pPr>
        <w:pStyle w:val="74"/>
        <w:keepNext w:val="0"/>
        <w:keepLines w:val="0"/>
        <w:pageBreakBefore w:val="0"/>
        <w:widowControl w:val="0"/>
        <w:numPr>
          <w:ilvl w:val="1"/>
          <w:numId w:val="16"/>
        </w:numPr>
        <w:kinsoku/>
        <w:wordWrap/>
        <w:overflowPunct/>
        <w:topLinePunct w:val="0"/>
        <w:autoSpaceDE/>
        <w:autoSpaceDN/>
        <w:bidi w:val="0"/>
        <w:adjustRightInd/>
        <w:snapToGrid/>
        <w:spacing w:before="79" w:beforeLines="25" w:line="440" w:lineRule="exact"/>
        <w:ind w:left="0" w:leftChars="0" w:firstLine="0" w:firstLineChars="0"/>
        <w:textAlignment w:val="auto"/>
        <w:outlineLvl w:val="3"/>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电子文件要求</w:t>
      </w:r>
    </w:p>
    <w:p w14:paraId="60FFE3B2">
      <w:pPr>
        <w:pStyle w:val="74"/>
        <w:keepNext w:val="0"/>
        <w:keepLines w:val="0"/>
        <w:pageBreakBefore w:val="0"/>
        <w:widowControl w:val="0"/>
        <w:numPr>
          <w:ilvl w:val="2"/>
          <w:numId w:val="16"/>
        </w:numPr>
        <w:kinsoku/>
        <w:wordWrap/>
        <w:overflowPunct/>
        <w:topLinePunct w:val="0"/>
        <w:autoSpaceDE/>
        <w:autoSpaceDN/>
        <w:bidi w:val="0"/>
        <w:adjustRightInd/>
        <w:snapToGrid/>
        <w:spacing w:before="79" w:beforeLines="25" w:line="440" w:lineRule="exact"/>
        <w:ind w:left="420" w:leftChars="0" w:hanging="420" w:hangingChars="200"/>
        <w:textAlignment w:val="auto"/>
        <w:outlineLvl w:val="9"/>
        <w:rPr>
          <w:rFonts w:hint="eastAsia" w:ascii="宋体" w:hAnsi="宋体" w:eastAsia="宋体" w:cs="宋体"/>
          <w:b w:val="0"/>
          <w:bCs w:val="0"/>
          <w:i w:val="0"/>
          <w:iCs w:val="0"/>
          <w:caps w:val="0"/>
          <w:color w:val="0F1115"/>
          <w:spacing w:val="0"/>
          <w:sz w:val="21"/>
          <w:szCs w:val="21"/>
          <w:shd w:val="clear" w:fill="FFFFFF"/>
          <w:lang w:val="en-US" w:eastAsia="zh-CN"/>
        </w:rPr>
      </w:pPr>
      <w:r>
        <w:rPr>
          <w:rFonts w:hint="eastAsia" w:ascii="宋体" w:hAnsi="宋体" w:eastAsia="宋体" w:cs="宋体"/>
          <w:b w:val="0"/>
          <w:bCs w:val="0"/>
          <w:i w:val="0"/>
          <w:iCs w:val="0"/>
          <w:caps w:val="0"/>
          <w:color w:val="0F1115"/>
          <w:spacing w:val="0"/>
          <w:sz w:val="21"/>
          <w:szCs w:val="21"/>
          <w:shd w:val="clear" w:fill="FFFFFF"/>
          <w:lang w:val="en-US" w:eastAsia="zh-CN"/>
        </w:rPr>
        <w:t>U盘存储版：包含资格标文件、技术标文件、商务标文件的加盖公章的完整电子版文件1份。</w:t>
      </w:r>
    </w:p>
    <w:p w14:paraId="598BDA70">
      <w:pPr>
        <w:pStyle w:val="74"/>
        <w:keepNext w:val="0"/>
        <w:keepLines w:val="0"/>
        <w:pageBreakBefore w:val="0"/>
        <w:widowControl w:val="0"/>
        <w:numPr>
          <w:ilvl w:val="2"/>
          <w:numId w:val="16"/>
        </w:numPr>
        <w:kinsoku/>
        <w:wordWrap/>
        <w:overflowPunct/>
        <w:topLinePunct w:val="0"/>
        <w:autoSpaceDE/>
        <w:autoSpaceDN/>
        <w:bidi w:val="0"/>
        <w:adjustRightInd/>
        <w:snapToGrid/>
        <w:spacing w:before="79" w:beforeLines="25" w:line="440" w:lineRule="exact"/>
        <w:ind w:left="420" w:leftChars="0" w:hanging="420" w:hangingChars="200"/>
        <w:textAlignment w:val="auto"/>
        <w:outlineLvl w:val="9"/>
        <w:rPr>
          <w:rFonts w:hint="default" w:ascii="宋体" w:hAnsi="宋体" w:eastAsia="宋体" w:cs="宋体"/>
          <w:b w:val="0"/>
          <w:bCs w:val="0"/>
          <w:i w:val="0"/>
          <w:iCs w:val="0"/>
          <w:caps w:val="0"/>
          <w:color w:val="0F1115"/>
          <w:spacing w:val="0"/>
          <w:sz w:val="21"/>
          <w:szCs w:val="21"/>
          <w:shd w:val="clear" w:fill="FFFFFF"/>
          <w:lang w:val="en-US" w:eastAsia="zh-CN"/>
        </w:rPr>
      </w:pPr>
      <w:r>
        <w:rPr>
          <w:rFonts w:hint="eastAsia" w:ascii="宋体" w:hAnsi="宋体" w:eastAsia="宋体" w:cs="宋体"/>
          <w:b w:val="0"/>
          <w:bCs w:val="0"/>
          <w:i w:val="0"/>
          <w:iCs w:val="0"/>
          <w:caps w:val="0"/>
          <w:color w:val="0F1115"/>
          <w:spacing w:val="0"/>
          <w:sz w:val="21"/>
          <w:szCs w:val="21"/>
          <w:shd w:val="clear" w:fill="FFFFFF"/>
          <w:lang w:val="en-US" w:eastAsia="zh-CN"/>
        </w:rPr>
        <w:t>系统上传版：投标人须将加盖公章的完整电子标书（含资格、技术、商务标书）扫描件上传至“中国重汽e采通”平台。</w:t>
      </w:r>
      <w:r>
        <w:rPr>
          <w:rFonts w:hint="eastAsia" w:ascii="宋体" w:hAnsi="宋体" w:eastAsia="宋体" w:cs="宋体"/>
          <w:b w:val="0"/>
          <w:bCs w:val="0"/>
          <w:color w:val="auto"/>
          <w:sz w:val="21"/>
          <w:szCs w:val="21"/>
          <w:highlight w:val="none"/>
          <w:lang w:val="en-US" w:eastAsia="zh-CN"/>
        </w:rPr>
        <w:t>若</w:t>
      </w:r>
      <w:r>
        <w:rPr>
          <w:rFonts w:hint="eastAsia" w:ascii="宋体" w:hAnsi="宋体" w:eastAsia="宋体" w:cs="宋体"/>
          <w:b w:val="0"/>
          <w:bCs w:val="0"/>
          <w:i w:val="0"/>
          <w:iCs w:val="0"/>
          <w:caps w:val="0"/>
          <w:color w:val="0F1115"/>
          <w:spacing w:val="0"/>
          <w:sz w:val="21"/>
          <w:szCs w:val="21"/>
          <w:shd w:val="clear" w:fill="FFFFFF"/>
          <w:lang w:val="en-US" w:eastAsia="zh-CN"/>
        </w:rPr>
        <w:t>纸质版与电子版内容不一致，以系统上传的电子版为准。</w:t>
      </w:r>
    </w:p>
    <w:p w14:paraId="07B5D865">
      <w:pPr>
        <w:pStyle w:val="74"/>
        <w:keepNext w:val="0"/>
        <w:keepLines w:val="0"/>
        <w:pageBreakBefore w:val="0"/>
        <w:widowControl w:val="0"/>
        <w:numPr>
          <w:ilvl w:val="1"/>
          <w:numId w:val="16"/>
        </w:numPr>
        <w:kinsoku/>
        <w:wordWrap/>
        <w:overflowPunct/>
        <w:topLinePunct w:val="0"/>
        <w:autoSpaceDE/>
        <w:autoSpaceDN/>
        <w:bidi w:val="0"/>
        <w:adjustRightInd/>
        <w:snapToGrid/>
        <w:spacing w:before="79" w:beforeLines="25" w:line="440" w:lineRule="exact"/>
        <w:ind w:left="0" w:leftChars="0" w:firstLine="0" w:firstLineChars="0"/>
        <w:textAlignment w:val="auto"/>
        <w:outlineLvl w:val="3"/>
        <w:rPr>
          <w:rFonts w:hint="eastAsia" w:ascii="黑体" w:hAnsi="黑体" w:eastAsia="黑体" w:cs="黑体"/>
          <w:b w:val="0"/>
          <w:bCs/>
          <w:sz w:val="21"/>
          <w:szCs w:val="21"/>
          <w:highlight w:val="none"/>
          <w:lang w:val="en-US" w:eastAsia="zh-CN"/>
        </w:rPr>
      </w:pPr>
      <w:r>
        <w:rPr>
          <w:rFonts w:hint="eastAsia" w:ascii="黑体" w:hAnsi="黑体" w:eastAsia="黑体" w:cs="黑体"/>
          <w:b w:val="0"/>
          <w:bCs/>
          <w:sz w:val="21"/>
          <w:szCs w:val="21"/>
          <w:highlight w:val="none"/>
          <w:lang w:val="en-US" w:eastAsia="zh-CN"/>
        </w:rPr>
        <w:t>封装要求</w:t>
      </w:r>
    </w:p>
    <w:p w14:paraId="10BC2E68">
      <w:pPr>
        <w:pStyle w:val="74"/>
        <w:keepNext w:val="0"/>
        <w:keepLines w:val="0"/>
        <w:pageBreakBefore w:val="0"/>
        <w:widowControl w:val="0"/>
        <w:numPr>
          <w:ilvl w:val="2"/>
          <w:numId w:val="16"/>
        </w:numPr>
        <w:kinsoku/>
        <w:wordWrap/>
        <w:overflowPunct/>
        <w:topLinePunct w:val="0"/>
        <w:autoSpaceDE/>
        <w:autoSpaceDN/>
        <w:bidi w:val="0"/>
        <w:adjustRightInd/>
        <w:snapToGrid/>
        <w:spacing w:before="79" w:beforeLines="25" w:line="440" w:lineRule="exact"/>
        <w:ind w:left="420" w:leftChars="0" w:hanging="420" w:hangingChars="200"/>
        <w:textAlignment w:val="auto"/>
        <w:outlineLvl w:val="9"/>
        <w:rPr>
          <w:rFonts w:hint="eastAsia" w:ascii="宋体" w:hAnsi="宋体" w:eastAsia="宋体" w:cs="宋体"/>
          <w:b w:val="0"/>
          <w:bCs w:val="0"/>
          <w:i w:val="0"/>
          <w:iCs w:val="0"/>
          <w:caps w:val="0"/>
          <w:color w:val="0F1115"/>
          <w:spacing w:val="0"/>
          <w:sz w:val="21"/>
          <w:szCs w:val="21"/>
          <w:shd w:val="clear" w:fill="FFFFFF"/>
          <w:lang w:val="en-US" w:eastAsia="zh-CN"/>
        </w:rPr>
      </w:pPr>
      <w:r>
        <w:rPr>
          <w:rFonts w:hint="eastAsia" w:ascii="宋体" w:hAnsi="宋体" w:eastAsia="宋体" w:cs="宋体"/>
          <w:b w:val="0"/>
          <w:bCs w:val="0"/>
          <w:i w:val="0"/>
          <w:iCs w:val="0"/>
          <w:caps w:val="0"/>
          <w:color w:val="0F1115"/>
          <w:spacing w:val="0"/>
          <w:sz w:val="21"/>
          <w:szCs w:val="21"/>
          <w:shd w:val="clear" w:fill="FFFFFF"/>
          <w:lang w:val="en-US" w:eastAsia="zh-CN"/>
        </w:rPr>
        <w:t>U盘须单独密封于一个袋内；</w:t>
      </w:r>
    </w:p>
    <w:p w14:paraId="195755B8">
      <w:pPr>
        <w:pStyle w:val="74"/>
        <w:keepNext w:val="0"/>
        <w:keepLines w:val="0"/>
        <w:pageBreakBefore w:val="0"/>
        <w:widowControl w:val="0"/>
        <w:numPr>
          <w:ilvl w:val="2"/>
          <w:numId w:val="16"/>
        </w:numPr>
        <w:kinsoku/>
        <w:wordWrap/>
        <w:overflowPunct/>
        <w:topLinePunct w:val="0"/>
        <w:autoSpaceDE/>
        <w:autoSpaceDN/>
        <w:bidi w:val="0"/>
        <w:adjustRightInd/>
        <w:snapToGrid/>
        <w:spacing w:before="79" w:beforeLines="25" w:line="440" w:lineRule="exact"/>
        <w:ind w:left="420" w:leftChars="0" w:hanging="420" w:hangingChars="200"/>
        <w:textAlignment w:val="auto"/>
        <w:outlineLvl w:val="9"/>
        <w:rPr>
          <w:rFonts w:hint="eastAsia" w:ascii="宋体" w:hAnsi="宋体" w:eastAsia="宋体" w:cs="宋体"/>
          <w:b w:val="0"/>
          <w:bCs w:val="0"/>
          <w:i w:val="0"/>
          <w:iCs w:val="0"/>
          <w:caps w:val="0"/>
          <w:color w:val="0F1115"/>
          <w:spacing w:val="0"/>
          <w:sz w:val="21"/>
          <w:szCs w:val="21"/>
          <w:shd w:val="clear" w:fill="FFFFFF"/>
          <w:lang w:val="en-US" w:eastAsia="zh-CN"/>
        </w:rPr>
      </w:pPr>
      <w:r>
        <w:rPr>
          <w:rFonts w:hint="eastAsia" w:ascii="宋体" w:hAnsi="宋体" w:eastAsia="宋体" w:cs="宋体"/>
          <w:b w:val="0"/>
          <w:bCs w:val="0"/>
          <w:i w:val="0"/>
          <w:iCs w:val="0"/>
          <w:caps w:val="0"/>
          <w:color w:val="0F1115"/>
          <w:spacing w:val="0"/>
          <w:sz w:val="21"/>
          <w:szCs w:val="21"/>
          <w:shd w:val="clear" w:fill="FFFFFF"/>
          <w:lang w:val="en-US" w:eastAsia="zh-CN"/>
        </w:rPr>
        <w:t>资质、技术与商务投标书应分别单独包封。即：所有资质投标书（正副本）封装为一包，所有技术投标书（正副本）封装为一包，所有商务投标书（正副本）封装为一包，共三个包封；</w:t>
      </w:r>
    </w:p>
    <w:p w14:paraId="2915601F">
      <w:pPr>
        <w:pStyle w:val="74"/>
        <w:keepNext w:val="0"/>
        <w:keepLines w:val="0"/>
        <w:pageBreakBefore w:val="0"/>
        <w:widowControl w:val="0"/>
        <w:numPr>
          <w:ilvl w:val="2"/>
          <w:numId w:val="16"/>
        </w:numPr>
        <w:kinsoku/>
        <w:wordWrap/>
        <w:overflowPunct/>
        <w:topLinePunct w:val="0"/>
        <w:autoSpaceDE/>
        <w:autoSpaceDN/>
        <w:bidi w:val="0"/>
        <w:adjustRightInd/>
        <w:snapToGrid/>
        <w:spacing w:before="79" w:beforeLines="25" w:line="440" w:lineRule="exact"/>
        <w:ind w:left="420" w:leftChars="0" w:hanging="420" w:hangingChars="200"/>
        <w:textAlignment w:val="auto"/>
        <w:outlineLvl w:val="9"/>
        <w:rPr>
          <w:rFonts w:hint="eastAsia" w:ascii="宋体" w:hAnsi="宋体" w:eastAsia="宋体" w:cs="宋体"/>
          <w:b w:val="0"/>
          <w:bCs w:val="0"/>
          <w:i w:val="0"/>
          <w:iCs w:val="0"/>
          <w:caps w:val="0"/>
          <w:color w:val="0F1115"/>
          <w:spacing w:val="0"/>
          <w:sz w:val="21"/>
          <w:szCs w:val="21"/>
          <w:shd w:val="clear" w:fill="FFFFFF"/>
          <w:lang w:val="en-US" w:eastAsia="zh-CN"/>
        </w:rPr>
      </w:pPr>
      <w:r>
        <w:rPr>
          <w:rFonts w:hint="eastAsia" w:ascii="宋体" w:hAnsi="宋体" w:eastAsia="宋体" w:cs="宋体"/>
          <w:b w:val="0"/>
          <w:bCs w:val="0"/>
          <w:i w:val="0"/>
          <w:iCs w:val="0"/>
          <w:caps w:val="0"/>
          <w:color w:val="0F1115"/>
          <w:spacing w:val="0"/>
          <w:sz w:val="21"/>
          <w:szCs w:val="21"/>
          <w:shd w:val="clear" w:fill="FFFFFF"/>
          <w:lang w:val="en-US" w:eastAsia="zh-CN"/>
        </w:rPr>
        <w:t>开标一览表须单独密封于一个袋内。</w:t>
      </w:r>
    </w:p>
    <w:p w14:paraId="5DF4D985">
      <w:pPr>
        <w:pStyle w:val="74"/>
        <w:keepNext w:val="0"/>
        <w:keepLines w:val="0"/>
        <w:pageBreakBefore w:val="0"/>
        <w:widowControl w:val="0"/>
        <w:numPr>
          <w:ilvl w:val="0"/>
          <w:numId w:val="16"/>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ascii="黑体" w:hAnsi="黑体" w:eastAsia="黑体" w:cs="黑体"/>
          <w:b w:val="0"/>
          <w:sz w:val="24"/>
          <w:szCs w:val="24"/>
          <w:lang w:val="en-US" w:eastAsia="zh-CN"/>
        </w:rPr>
      </w:pPr>
      <w:r>
        <w:rPr>
          <w:rFonts w:hint="eastAsia" w:ascii="黑体" w:hAnsi="黑体" w:eastAsia="黑体" w:cs="黑体"/>
          <w:b w:val="0"/>
          <w:sz w:val="24"/>
          <w:szCs w:val="24"/>
          <w:lang w:val="en-US" w:eastAsia="zh-CN"/>
        </w:rPr>
        <w:t>投标文件的投递</w:t>
      </w:r>
    </w:p>
    <w:p w14:paraId="384251F5">
      <w:pPr>
        <w:pStyle w:val="78"/>
        <w:keepNext w:val="0"/>
        <w:keepLines w:val="0"/>
        <w:pageBreakBefore w:val="0"/>
        <w:widowControl w:val="0"/>
        <w:numPr>
          <w:ilvl w:val="1"/>
          <w:numId w:val="16"/>
        </w:numPr>
        <w:kinsoku/>
        <w:wordWrap/>
        <w:overflowPunct/>
        <w:topLinePunct w:val="0"/>
        <w:autoSpaceDE/>
        <w:autoSpaceDN/>
        <w:bidi w:val="0"/>
        <w:adjustRightInd/>
        <w:snapToGrid/>
        <w:spacing w:line="440" w:lineRule="exact"/>
        <w:ind w:left="0" w:leftChars="0" w:firstLine="0" w:firstLineChars="0"/>
        <w:textAlignment w:val="auto"/>
        <w:outlineLvl w:val="3"/>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投标方式</w:t>
      </w:r>
    </w:p>
    <w:p w14:paraId="4A90B28C">
      <w:pPr>
        <w:pStyle w:val="78"/>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在中国重汽e采通平台应标成功后，进入“供应商投标”环节：</w:t>
      </w:r>
    </w:p>
    <w:p w14:paraId="6EF03012">
      <w:pPr>
        <w:pStyle w:val="78"/>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0" w:firstLineChars="200"/>
        <w:textAlignment w:val="auto"/>
        <w:rPr>
          <w:rFonts w:hint="eastAsia" w:ascii="Times New Roman" w:hAnsi="Times New Roman" w:cs="Times New Roman"/>
          <w:b/>
          <w:bCs/>
          <w:color w:val="auto"/>
          <w:lang w:val="en-US" w:eastAsia="zh-CN"/>
        </w:rPr>
      </w:pPr>
      <w:r>
        <w:rPr>
          <w:rFonts w:hint="eastAsia" w:ascii="Times New Roman" w:hAnsi="Times New Roman" w:cs="Times New Roman"/>
          <w:color w:val="auto"/>
          <w:lang w:val="en-US" w:eastAsia="zh-CN"/>
        </w:rPr>
        <w:t>投递盖章扫描版电子标书（包含资质标书、</w:t>
      </w:r>
      <w:r>
        <w:rPr>
          <w:rFonts w:hint="eastAsia" w:ascii="Times New Roman" w:hAnsi="Times New Roman" w:cs="Times New Roman"/>
          <w:color w:val="auto"/>
          <w:highlight w:val="none"/>
          <w:lang w:val="en-US" w:eastAsia="zh-CN"/>
        </w:rPr>
        <w:t>技术标书、</w:t>
      </w:r>
      <w:r>
        <w:rPr>
          <w:rFonts w:hint="eastAsia" w:ascii="Times New Roman" w:hAnsi="Times New Roman" w:cs="Times New Roman"/>
          <w:color w:val="auto"/>
          <w:lang w:val="en-US" w:eastAsia="zh-CN"/>
        </w:rPr>
        <w:t>商务标书）</w:t>
      </w:r>
      <w:r>
        <w:rPr>
          <w:rFonts w:hint="eastAsia" w:ascii="宋体" w:hAnsi="宋体" w:eastAsia="宋体" w:cs="宋体"/>
          <w:sz w:val="24"/>
          <w:szCs w:val="24"/>
        </w:rPr>
        <w:t>，</w:t>
      </w:r>
      <w:r>
        <w:rPr>
          <w:rFonts w:hint="eastAsia" w:ascii="Times New Roman" w:hAnsi="Times New Roman" w:cs="Times New Roman"/>
          <w:color w:val="auto"/>
          <w:lang w:val="en-US" w:eastAsia="zh-CN"/>
        </w:rPr>
        <w:t>用“公司名称+文件名称”命名。</w:t>
      </w:r>
      <w:r>
        <w:rPr>
          <w:rFonts w:hint="eastAsia" w:ascii="Times New Roman" w:hAnsi="Times New Roman" w:cs="Times New Roman"/>
          <w:b/>
          <w:bCs/>
          <w:color w:val="auto"/>
          <w:lang w:val="en-US" w:eastAsia="zh-CN"/>
        </w:rPr>
        <w:t>若逾期未在中国重汽e采通平台上传电子标书，即便递交了纸质版投标文件，一律视为无效投标。</w:t>
      </w:r>
    </w:p>
    <w:p w14:paraId="1C3D3132">
      <w:pPr>
        <w:pStyle w:val="78"/>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22"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纸质版投标文件</w:t>
      </w:r>
      <w:r>
        <w:rPr>
          <w:rFonts w:hint="eastAsia" w:ascii="Times New Roman" w:hAnsi="Times New Roman" w:cs="Times New Roman"/>
          <w:b/>
          <w:bCs/>
          <w:color w:val="auto"/>
          <w:highlight w:val="none"/>
          <w:lang w:val="en-US" w:eastAsia="zh-CN"/>
        </w:rPr>
        <w:t>、U盘电子版由投标人自行带到开标现场，在开标时当场交予招标负责人。</w:t>
      </w:r>
    </w:p>
    <w:p w14:paraId="4AAA3F9B">
      <w:pPr>
        <w:pStyle w:val="78"/>
        <w:keepNext w:val="0"/>
        <w:keepLines w:val="0"/>
        <w:pageBreakBefore w:val="0"/>
        <w:widowControl w:val="0"/>
        <w:numPr>
          <w:ilvl w:val="1"/>
          <w:numId w:val="16"/>
        </w:numPr>
        <w:kinsoku/>
        <w:wordWrap/>
        <w:overflowPunct/>
        <w:topLinePunct w:val="0"/>
        <w:autoSpaceDE/>
        <w:autoSpaceDN/>
        <w:bidi w:val="0"/>
        <w:adjustRightInd/>
        <w:snapToGrid/>
        <w:spacing w:before="79" w:beforeLines="25" w:line="440" w:lineRule="exact"/>
        <w:ind w:left="0" w:leftChars="0" w:firstLine="0" w:firstLineChars="0"/>
        <w:textAlignment w:val="auto"/>
        <w:outlineLvl w:val="3"/>
        <w:rPr>
          <w:rFonts w:hint="eastAsia"/>
          <w:lang w:val="en-US" w:eastAsia="zh-CN"/>
        </w:rPr>
      </w:pPr>
      <w:r>
        <w:rPr>
          <w:rFonts w:hint="eastAsia"/>
          <w:lang w:val="en-US" w:eastAsia="zh-CN"/>
        </w:rPr>
        <w:t>投标文件</w:t>
      </w:r>
      <w:r>
        <w:rPr>
          <w:rFonts w:hint="eastAsia" w:ascii="宋体" w:hAnsi="Courier New" w:eastAsia="宋体" w:cs="Times New Roman"/>
          <w:highlight w:val="none"/>
          <w:lang w:val="en-US" w:eastAsia="zh-CN"/>
        </w:rPr>
        <w:t>递交</w:t>
      </w:r>
      <w:r>
        <w:rPr>
          <w:rFonts w:hint="eastAsia"/>
          <w:lang w:val="en-US" w:eastAsia="zh-CN"/>
        </w:rPr>
        <w:t>截止时间：</w:t>
      </w:r>
      <w:r>
        <w:rPr>
          <w:rFonts w:hint="eastAsia"/>
          <w:u w:val="single"/>
          <w:lang w:val="en-US" w:eastAsia="zh-CN"/>
        </w:rPr>
        <w:t>202</w:t>
      </w:r>
      <w:r>
        <w:rPr>
          <w:rFonts w:hint="eastAsia"/>
          <w:highlight w:val="none"/>
          <w:u w:val="single"/>
          <w:lang w:val="en-US" w:eastAsia="zh-CN"/>
        </w:rPr>
        <w:t>6年8月6日17:</w:t>
      </w:r>
      <w:r>
        <w:rPr>
          <w:rFonts w:hint="eastAsia"/>
          <w:u w:val="single"/>
          <w:lang w:val="en-US" w:eastAsia="zh-CN"/>
        </w:rPr>
        <w:t>00:00</w:t>
      </w:r>
    </w:p>
    <w:p w14:paraId="25974AAC">
      <w:pPr>
        <w:pStyle w:val="74"/>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rPr>
          <w:rFonts w:hint="eastAsia" w:hAnsi="Courier New" w:cs="Times New Roman"/>
          <w:highlight w:val="none"/>
        </w:rPr>
      </w:pPr>
      <w:bookmarkStart w:id="5"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4"/>
        <w:keepNext w:val="0"/>
        <w:keepLines w:val="0"/>
        <w:pageBreakBefore w:val="0"/>
        <w:widowControl w:val="0"/>
        <w:numPr>
          <w:ilvl w:val="0"/>
          <w:numId w:val="19"/>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ascii="黑体" w:hAnsi="黑体" w:eastAsia="黑体" w:cs="黑体"/>
          <w:b w:val="0"/>
          <w:bCs w:val="0"/>
          <w:sz w:val="24"/>
          <w:szCs w:val="24"/>
          <w:highlight w:val="none"/>
          <w:u w:val="single"/>
          <w:lang w:val="en-US" w:eastAsia="zh-CN"/>
        </w:rPr>
      </w:pPr>
      <w:r>
        <w:rPr>
          <w:rFonts w:hint="eastAsia" w:ascii="黑体" w:hAnsi="黑体" w:eastAsia="黑体" w:cs="黑体"/>
          <w:b w:val="0"/>
          <w:bCs w:val="0"/>
          <w:sz w:val="24"/>
          <w:szCs w:val="24"/>
          <w:highlight w:val="none"/>
        </w:rPr>
        <w:t>投标保证金的缴纳</w:t>
      </w:r>
    </w:p>
    <w:p w14:paraId="021ADBC0">
      <w:pPr>
        <w:pStyle w:val="78"/>
        <w:keepNext w:val="0"/>
        <w:keepLines w:val="0"/>
        <w:pageBreakBefore w:val="0"/>
        <w:widowControl w:val="0"/>
        <w:numPr>
          <w:ilvl w:val="1"/>
          <w:numId w:val="20"/>
        </w:numPr>
        <w:kinsoku/>
        <w:wordWrap/>
        <w:overflowPunct/>
        <w:topLinePunct w:val="0"/>
        <w:autoSpaceDE/>
        <w:autoSpaceDN/>
        <w:bidi w:val="0"/>
        <w:adjustRightInd/>
        <w:snapToGrid/>
        <w:spacing w:line="440" w:lineRule="exact"/>
        <w:ind w:left="0" w:leftChars="0" w:firstLine="0" w:firstLineChars="0"/>
        <w:textAlignment w:val="auto"/>
        <w:outlineLvl w:val="3"/>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7767E796">
      <w:pPr>
        <w:pStyle w:val="78"/>
        <w:keepNext w:val="0"/>
        <w:keepLines w:val="0"/>
        <w:pageBreakBefore w:val="0"/>
        <w:widowControl w:val="0"/>
        <w:numPr>
          <w:ilvl w:val="0"/>
          <w:numId w:val="21"/>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25AC0430">
      <w:pPr>
        <w:pStyle w:val="78"/>
        <w:keepNext w:val="0"/>
        <w:keepLines w:val="0"/>
        <w:pageBreakBefore w:val="0"/>
        <w:widowControl w:val="0"/>
        <w:numPr>
          <w:ilvl w:val="0"/>
          <w:numId w:val="21"/>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r>
        <w:rPr>
          <w:rFonts w:hint="eastAsia" w:hAnsi="宋体" w:cs="宋体"/>
          <w:b w:val="0"/>
          <w:bCs w:val="0"/>
          <w:sz w:val="21"/>
          <w:szCs w:val="21"/>
          <w:highlight w:val="none"/>
          <w:lang w:eastAsia="zh-CN"/>
        </w:rPr>
        <w:t>。</w:t>
      </w:r>
    </w:p>
    <w:p w14:paraId="04CD311F">
      <w:pPr>
        <w:pStyle w:val="78"/>
        <w:keepNext w:val="0"/>
        <w:keepLines w:val="0"/>
        <w:pageBreakBefore w:val="0"/>
        <w:widowControl w:val="0"/>
        <w:numPr>
          <w:ilvl w:val="1"/>
          <w:numId w:val="20"/>
        </w:numPr>
        <w:kinsoku/>
        <w:wordWrap/>
        <w:overflowPunct/>
        <w:topLinePunct w:val="0"/>
        <w:autoSpaceDE/>
        <w:autoSpaceDN/>
        <w:bidi w:val="0"/>
        <w:adjustRightInd/>
        <w:snapToGrid/>
        <w:spacing w:line="440" w:lineRule="exact"/>
        <w:ind w:left="0" w:leftChars="0" w:firstLine="0" w:firstLineChars="0"/>
        <w:textAlignment w:val="auto"/>
        <w:outlineLvl w:val="3"/>
        <w:rPr>
          <w:rFonts w:hint="default"/>
          <w:highlight w:val="none"/>
          <w:lang w:val="en-US" w:eastAsia="zh-CN"/>
        </w:rPr>
      </w:pPr>
      <w:r>
        <w:rPr>
          <w:rFonts w:hint="eastAsia"/>
          <w:highlight w:val="none"/>
        </w:rPr>
        <w:t>投标保证金的金额：人民币</w:t>
      </w:r>
      <w:r>
        <w:rPr>
          <w:rFonts w:hint="eastAsia"/>
          <w:highlight w:val="none"/>
          <w:lang w:val="en-US" w:eastAsia="zh-CN"/>
        </w:rPr>
        <w:t>5000</w:t>
      </w:r>
      <w:r>
        <w:rPr>
          <w:rFonts w:hint="eastAsia"/>
          <w:highlight w:val="none"/>
        </w:rPr>
        <w:t>元</w:t>
      </w:r>
    </w:p>
    <w:p w14:paraId="45E56B3E">
      <w:pPr>
        <w:pStyle w:val="78"/>
        <w:keepNext w:val="0"/>
        <w:keepLines w:val="0"/>
        <w:pageBreakBefore w:val="0"/>
        <w:widowControl w:val="0"/>
        <w:kinsoku/>
        <w:wordWrap/>
        <w:overflowPunct/>
        <w:topLinePunct w:val="0"/>
        <w:autoSpaceDE/>
        <w:autoSpaceDN/>
        <w:bidi w:val="0"/>
        <w:adjustRightInd/>
        <w:snapToGrid/>
        <w:spacing w:line="440" w:lineRule="exact"/>
        <w:ind w:left="420" w:leftChars="200" w:firstLine="0" w:firstLineChars="0"/>
        <w:textAlignment w:val="auto"/>
        <w:rPr>
          <w:rFonts w:hint="eastAsia" w:eastAsia="宋体" w:cs="Times New Roman"/>
          <w:highlight w:val="none"/>
          <w:lang w:val="en-US" w:eastAsia="zh-CN"/>
        </w:rPr>
      </w:pPr>
      <w:r>
        <w:rPr>
          <w:rFonts w:hint="eastAsia" w:cs="Times New Roman"/>
          <w:highlight w:val="none"/>
        </w:rPr>
        <w:t>单位名称：</w:t>
      </w:r>
      <w:r>
        <w:rPr>
          <w:rFonts w:hint="eastAsia" w:cs="Times New Roman"/>
          <w:highlight w:val="none"/>
          <w:lang w:eastAsia="zh-CN"/>
        </w:rPr>
        <w:t>中国重汽集团济南动力有限公司</w:t>
      </w:r>
    </w:p>
    <w:p w14:paraId="4ED57A68">
      <w:pPr>
        <w:pStyle w:val="78"/>
        <w:keepNext w:val="0"/>
        <w:keepLines w:val="0"/>
        <w:pageBreakBefore w:val="0"/>
        <w:widowControl w:val="0"/>
        <w:kinsoku/>
        <w:wordWrap/>
        <w:overflowPunct/>
        <w:topLinePunct w:val="0"/>
        <w:autoSpaceDE/>
        <w:autoSpaceDN/>
        <w:bidi w:val="0"/>
        <w:adjustRightInd/>
        <w:snapToGrid/>
        <w:spacing w:line="440" w:lineRule="exact"/>
        <w:ind w:left="420" w:leftChars="200" w:firstLine="0" w:firstLineChars="0"/>
        <w:textAlignment w:val="auto"/>
        <w:rPr>
          <w:rFonts w:hint="eastAsia" w:cs="Times New Roman"/>
          <w:highlight w:val="none"/>
        </w:rPr>
      </w:pPr>
      <w:r>
        <w:rPr>
          <w:rFonts w:hint="eastAsia" w:cs="Times New Roman"/>
          <w:highlight w:val="none"/>
        </w:rPr>
        <w:t>收款账号：37001616508050150300</w:t>
      </w:r>
    </w:p>
    <w:p w14:paraId="3B3FF89A">
      <w:pPr>
        <w:pStyle w:val="78"/>
        <w:keepNext w:val="0"/>
        <w:keepLines w:val="0"/>
        <w:pageBreakBefore w:val="0"/>
        <w:widowControl w:val="0"/>
        <w:kinsoku/>
        <w:wordWrap/>
        <w:overflowPunct/>
        <w:topLinePunct w:val="0"/>
        <w:autoSpaceDE/>
        <w:autoSpaceDN/>
        <w:bidi w:val="0"/>
        <w:adjustRightInd/>
        <w:snapToGrid/>
        <w:spacing w:line="440" w:lineRule="exact"/>
        <w:ind w:left="420" w:leftChars="200" w:firstLine="0" w:firstLineChars="0"/>
        <w:textAlignment w:val="auto"/>
        <w:rPr>
          <w:rFonts w:hint="eastAsia" w:cs="Times New Roman"/>
          <w:highlight w:val="none"/>
        </w:rPr>
      </w:pPr>
      <w:r>
        <w:rPr>
          <w:rFonts w:hint="eastAsia" w:cs="Times New Roman"/>
          <w:highlight w:val="none"/>
        </w:rPr>
        <w:t>开户行名称：中国建设银行股份有限公司济南天桥支行</w:t>
      </w:r>
    </w:p>
    <w:p w14:paraId="3565EE07">
      <w:pPr>
        <w:pStyle w:val="78"/>
        <w:keepNext w:val="0"/>
        <w:keepLines w:val="0"/>
        <w:pageBreakBefore w:val="0"/>
        <w:widowControl w:val="0"/>
        <w:kinsoku/>
        <w:wordWrap/>
        <w:overflowPunct/>
        <w:topLinePunct w:val="0"/>
        <w:autoSpaceDE/>
        <w:autoSpaceDN/>
        <w:bidi w:val="0"/>
        <w:adjustRightInd/>
        <w:snapToGrid/>
        <w:spacing w:line="440" w:lineRule="exact"/>
        <w:ind w:left="420" w:leftChars="200" w:firstLine="0" w:firstLineChars="0"/>
        <w:textAlignment w:val="auto"/>
        <w:rPr>
          <w:rFonts w:hint="eastAsia" w:cs="Times New Roman"/>
          <w:highlight w:val="none"/>
          <w:lang w:val="en-US" w:eastAsia="zh-CN"/>
        </w:rPr>
      </w:pPr>
      <w:r>
        <w:rPr>
          <w:rFonts w:hint="eastAsia" w:cs="Times New Roman"/>
          <w:highlight w:val="none"/>
        </w:rPr>
        <w:t>开户行行号：105451000362</w:t>
      </w:r>
    </w:p>
    <w:p w14:paraId="1591D62C">
      <w:pPr>
        <w:pStyle w:val="78"/>
        <w:keepNext w:val="0"/>
        <w:keepLines w:val="0"/>
        <w:pageBreakBefore w:val="0"/>
        <w:widowControl w:val="0"/>
        <w:numPr>
          <w:ilvl w:val="0"/>
          <w:numId w:val="21"/>
        </w:numPr>
        <w:kinsoku/>
        <w:wordWrap/>
        <w:overflowPunct/>
        <w:topLinePunct w:val="0"/>
        <w:autoSpaceDE/>
        <w:autoSpaceDN/>
        <w:bidi w:val="0"/>
        <w:adjustRightInd/>
        <w:snapToGrid/>
        <w:spacing w:line="440" w:lineRule="exact"/>
        <w:ind w:left="0" w:leftChars="0" w:firstLine="422" w:firstLineChars="200"/>
        <w:textAlignment w:val="auto"/>
        <w:rPr>
          <w:rFonts w:hint="eastAsia"/>
          <w:b/>
          <w:bCs/>
          <w:lang w:val="en-US" w:eastAsia="zh-CN"/>
        </w:rPr>
      </w:pPr>
      <w:r>
        <w:rPr>
          <w:rFonts w:hint="eastAsia"/>
          <w:b/>
          <w:bCs/>
          <w:lang w:val="en-US" w:eastAsia="zh-CN"/>
        </w:rPr>
        <w:t>转账附言：公司名称+项目名称+投标保证金。</w:t>
      </w:r>
    </w:p>
    <w:p w14:paraId="5568414C">
      <w:pPr>
        <w:pStyle w:val="78"/>
        <w:keepNext w:val="0"/>
        <w:keepLines w:val="0"/>
        <w:pageBreakBefore w:val="0"/>
        <w:widowControl w:val="0"/>
        <w:numPr>
          <w:ilvl w:val="1"/>
          <w:numId w:val="20"/>
        </w:numPr>
        <w:kinsoku/>
        <w:wordWrap/>
        <w:overflowPunct/>
        <w:topLinePunct w:val="0"/>
        <w:autoSpaceDE/>
        <w:autoSpaceDN/>
        <w:bidi w:val="0"/>
        <w:adjustRightInd/>
        <w:snapToGrid/>
        <w:spacing w:line="440" w:lineRule="exact"/>
        <w:ind w:left="0" w:leftChars="0" w:firstLine="0" w:firstLineChars="0"/>
        <w:textAlignment w:val="auto"/>
        <w:outlineLvl w:val="3"/>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保证金缴纳</w:t>
      </w:r>
      <w:r>
        <w:rPr>
          <w:rFonts w:hint="eastAsia" w:cs="Times New Roman"/>
        </w:rPr>
        <w:t>截止</w:t>
      </w:r>
      <w:r>
        <w:rPr>
          <w:rFonts w:hint="eastAsia" w:ascii="宋体" w:hAnsi="宋体" w:eastAsia="宋体" w:cs="宋体"/>
          <w:b w:val="0"/>
          <w:bCs w:val="0"/>
          <w:sz w:val="21"/>
          <w:szCs w:val="21"/>
          <w:highlight w:val="none"/>
        </w:rPr>
        <w:t>时间：202</w:t>
      </w:r>
      <w:r>
        <w:rPr>
          <w:rFonts w:hint="eastAsia" w:hAnsi="宋体" w:cs="宋体"/>
          <w:b w:val="0"/>
          <w:bCs w:val="0"/>
          <w:sz w:val="21"/>
          <w:szCs w:val="21"/>
          <w:highlight w:val="none"/>
          <w:lang w:val="en-US" w:eastAsia="zh-CN"/>
        </w:rPr>
        <w:t>6</w:t>
      </w:r>
      <w:r>
        <w:rPr>
          <w:rFonts w:hint="eastAsia" w:ascii="宋体" w:hAnsi="宋体" w:eastAsia="宋体" w:cs="宋体"/>
          <w:b w:val="0"/>
          <w:bCs w:val="0"/>
          <w:sz w:val="21"/>
          <w:szCs w:val="21"/>
          <w:highlight w:val="none"/>
        </w:rPr>
        <w:t>年</w:t>
      </w:r>
      <w:r>
        <w:rPr>
          <w:rFonts w:hint="eastAsia" w:hAnsi="宋体" w:cs="宋体"/>
          <w:b w:val="0"/>
          <w:bCs w:val="0"/>
          <w:sz w:val="21"/>
          <w:szCs w:val="21"/>
          <w:highlight w:val="none"/>
          <w:lang w:val="en-US" w:eastAsia="zh-CN"/>
        </w:rPr>
        <w:t>8月6</w:t>
      </w:r>
      <w:r>
        <w:rPr>
          <w:rFonts w:hint="eastAsia" w:ascii="宋体" w:hAnsi="宋体" w:eastAsia="宋体" w:cs="宋体"/>
          <w:b w:val="0"/>
          <w:bCs w:val="0"/>
          <w:sz w:val="21"/>
          <w:szCs w:val="21"/>
          <w:highlight w:val="none"/>
        </w:rPr>
        <w:t>日</w:t>
      </w:r>
      <w:r>
        <w:rPr>
          <w:rFonts w:hint="eastAsia" w:hAnsi="宋体" w:cs="宋体"/>
          <w:b w:val="0"/>
          <w:bCs w:val="0"/>
          <w:sz w:val="21"/>
          <w:szCs w:val="21"/>
          <w:highlight w:val="none"/>
          <w:lang w:val="en-US" w:eastAsia="zh-CN"/>
        </w:rPr>
        <w:t>17</w:t>
      </w:r>
      <w:r>
        <w:rPr>
          <w:rFonts w:hint="eastAsia"/>
          <w:highlight w:val="none"/>
          <w:u w:val="none"/>
          <w:lang w:val="en-US" w:eastAsia="zh-CN"/>
        </w:rPr>
        <w:t>:00:00</w:t>
      </w:r>
    </w:p>
    <w:p w14:paraId="02113B20">
      <w:pPr>
        <w:pStyle w:val="74"/>
        <w:keepNext w:val="0"/>
        <w:keepLines w:val="0"/>
        <w:pageBreakBefore w:val="0"/>
        <w:widowControl w:val="0"/>
        <w:numPr>
          <w:ilvl w:val="0"/>
          <w:numId w:val="19"/>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rPr>
        <w:t>对于没有中标的</w:t>
      </w:r>
      <w:r>
        <w:rPr>
          <w:rFonts w:hint="eastAsia" w:ascii="黑体" w:hAnsi="黑体" w:eastAsia="黑体" w:cs="黑体"/>
          <w:b w:val="0"/>
          <w:bCs w:val="0"/>
          <w:sz w:val="24"/>
          <w:szCs w:val="24"/>
          <w:highlight w:val="none"/>
          <w:lang w:eastAsia="zh-CN"/>
        </w:rPr>
        <w:t>投标人</w:t>
      </w:r>
      <w:r>
        <w:rPr>
          <w:rFonts w:hint="eastAsia" w:ascii="黑体" w:hAnsi="黑体" w:eastAsia="黑体" w:cs="黑体"/>
          <w:b w:val="0"/>
          <w:bCs w:val="0"/>
          <w:sz w:val="24"/>
          <w:szCs w:val="24"/>
          <w:highlight w:val="none"/>
        </w:rPr>
        <w:t>，投标保证金将于招标人内部完成中标人评审并确认最终中标人后</w:t>
      </w:r>
      <w:r>
        <w:rPr>
          <w:rFonts w:hint="eastAsia" w:hAnsi="黑体" w:cs="黑体"/>
          <w:b w:val="0"/>
          <w:bCs w:val="0"/>
          <w:sz w:val="24"/>
          <w:szCs w:val="24"/>
          <w:highlight w:val="none"/>
          <w:u w:val="single"/>
          <w:lang w:val="en-US" w:eastAsia="zh-CN"/>
        </w:rPr>
        <w:t>一个付款周期</w:t>
      </w:r>
      <w:r>
        <w:rPr>
          <w:rFonts w:hint="eastAsia" w:ascii="黑体" w:hAnsi="黑体" w:eastAsia="黑体" w:cs="黑体"/>
          <w:b w:val="0"/>
          <w:bCs w:val="0"/>
          <w:sz w:val="24"/>
          <w:szCs w:val="24"/>
          <w:highlight w:val="none"/>
        </w:rPr>
        <w:t>予以原路返还（无息）；对于中标方，</w:t>
      </w:r>
      <w:r>
        <w:rPr>
          <w:rFonts w:hint="eastAsia" w:hAnsi="黑体" w:cs="黑体"/>
          <w:b w:val="0"/>
          <w:bCs w:val="0"/>
          <w:sz w:val="24"/>
          <w:szCs w:val="24"/>
          <w:highlight w:val="none"/>
        </w:rPr>
        <w:t>投标保证金将转化为合同履约</w:t>
      </w:r>
      <w:r>
        <w:rPr>
          <w:rFonts w:hint="eastAsia" w:hAnsi="黑体" w:cs="黑体"/>
          <w:b w:val="0"/>
          <w:bCs w:val="0"/>
          <w:sz w:val="24"/>
          <w:szCs w:val="24"/>
          <w:highlight w:val="none"/>
          <w:lang w:val="en-US" w:eastAsia="zh-CN"/>
        </w:rPr>
        <w:t>保证金</w:t>
      </w:r>
      <w:r>
        <w:rPr>
          <w:rFonts w:hint="eastAsia" w:hAnsi="黑体" w:cs="黑体"/>
          <w:b w:val="0"/>
          <w:bCs w:val="0"/>
          <w:sz w:val="24"/>
          <w:szCs w:val="24"/>
          <w:highlight w:val="none"/>
        </w:rPr>
        <w:t>，在合同期满结束后，一个付款周期内予以原路返还（无息）</w:t>
      </w:r>
      <w:r>
        <w:rPr>
          <w:rFonts w:hint="eastAsia" w:hAnsi="黑体" w:cs="黑体"/>
          <w:b w:val="0"/>
          <w:bCs w:val="0"/>
          <w:sz w:val="24"/>
          <w:szCs w:val="24"/>
          <w:highlight w:val="none"/>
          <w:lang w:eastAsia="zh-CN"/>
        </w:rPr>
        <w:t>。</w:t>
      </w:r>
      <w:r>
        <w:rPr>
          <w:rFonts w:hint="eastAsia" w:ascii="黑体" w:hAnsi="黑体" w:eastAsia="黑体" w:cs="黑体"/>
          <w:b w:val="0"/>
          <w:bCs w:val="0"/>
          <w:sz w:val="24"/>
          <w:szCs w:val="24"/>
          <w:highlight w:val="none"/>
        </w:rPr>
        <w:t>发生</w:t>
      </w:r>
      <w:r>
        <w:rPr>
          <w:rFonts w:hint="eastAsia" w:ascii="黑体" w:hAnsi="黑体" w:eastAsia="黑体" w:cs="黑体"/>
          <w:b w:val="0"/>
          <w:bCs w:val="0"/>
          <w:sz w:val="24"/>
          <w:szCs w:val="24"/>
          <w:highlight w:val="none"/>
          <w:lang w:val="en-US" w:eastAsia="zh-CN"/>
        </w:rPr>
        <w:t>以下</w:t>
      </w:r>
      <w:r>
        <w:rPr>
          <w:rFonts w:hint="eastAsia" w:ascii="黑体" w:hAnsi="黑体" w:eastAsia="黑体" w:cs="黑体"/>
          <w:b w:val="0"/>
          <w:bCs w:val="0"/>
          <w:sz w:val="24"/>
          <w:szCs w:val="24"/>
          <w:highlight w:val="none"/>
        </w:rPr>
        <w:t>情况时，有权没收保证金：</w:t>
      </w:r>
    </w:p>
    <w:p w14:paraId="69D68B6B">
      <w:pPr>
        <w:pStyle w:val="78"/>
        <w:keepNext w:val="0"/>
        <w:keepLines w:val="0"/>
        <w:pageBreakBefore w:val="0"/>
        <w:widowControl w:val="0"/>
        <w:numPr>
          <w:ilvl w:val="1"/>
          <w:numId w:val="19"/>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ascii="宋体" w:hAnsi="宋体" w:eastAsia="宋体" w:cs="宋体"/>
          <w:b w:val="0"/>
          <w:bCs w:val="0"/>
          <w:szCs w:val="21"/>
          <w:highlight w:val="none"/>
        </w:rPr>
        <w:t>供</w:t>
      </w:r>
      <w:r>
        <w:rPr>
          <w:rFonts w:hint="eastAsia"/>
        </w:rPr>
        <w:t>应商在提交响应文件截止时间后撤回响应文件的；</w:t>
      </w:r>
    </w:p>
    <w:p w14:paraId="56CEC558">
      <w:pPr>
        <w:pStyle w:val="78"/>
        <w:keepNext w:val="0"/>
        <w:keepLines w:val="0"/>
        <w:pageBreakBefore w:val="0"/>
        <w:widowControl w:val="0"/>
        <w:numPr>
          <w:ilvl w:val="1"/>
          <w:numId w:val="19"/>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rPr>
        <w:t>供应商在响应文件中提供虚假材料的；</w:t>
      </w:r>
    </w:p>
    <w:p w14:paraId="14DF0C78">
      <w:pPr>
        <w:pStyle w:val="78"/>
        <w:keepNext w:val="0"/>
        <w:keepLines w:val="0"/>
        <w:pageBreakBefore w:val="0"/>
        <w:widowControl w:val="0"/>
        <w:numPr>
          <w:ilvl w:val="1"/>
          <w:numId w:val="19"/>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rPr>
        <w:t>除因不可抗力或谈判文件、询价通知书认可的情形以外，成交供应商不与采购人签订合同的；</w:t>
      </w:r>
    </w:p>
    <w:p w14:paraId="1D9AD298">
      <w:pPr>
        <w:pStyle w:val="78"/>
        <w:keepNext w:val="0"/>
        <w:keepLines w:val="0"/>
        <w:pageBreakBefore w:val="0"/>
        <w:widowControl w:val="0"/>
        <w:numPr>
          <w:ilvl w:val="1"/>
          <w:numId w:val="19"/>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rPr>
        <w:t>供应商与采购人、其他供应商或者采购代理机构恶意串通、围标、陪标的；</w:t>
      </w:r>
    </w:p>
    <w:p w14:paraId="1211AC71">
      <w:pPr>
        <w:pStyle w:val="78"/>
        <w:keepNext w:val="0"/>
        <w:keepLines w:val="0"/>
        <w:pageBreakBefore w:val="0"/>
        <w:widowControl w:val="0"/>
        <w:numPr>
          <w:ilvl w:val="1"/>
          <w:numId w:val="19"/>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rPr>
        <w:t>供应商有违约违规行为或被投诉、举报的，在调查处理期间，保证金暂不退还，待调查处理结束后按有关规定处理。</w:t>
      </w:r>
    </w:p>
    <w:p w14:paraId="1C7FF7D7">
      <w:pPr>
        <w:pStyle w:val="78"/>
        <w:keepNext w:val="0"/>
        <w:keepLines w:val="0"/>
        <w:pageBreakBefore w:val="0"/>
        <w:widowControl w:val="0"/>
        <w:numPr>
          <w:ilvl w:val="1"/>
          <w:numId w:val="19"/>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rPr>
        <w:t>截至开标前3天，投标人无正当理由、未以书面形式向招标人递交说明而在投标截止日不来投标的。</w:t>
      </w:r>
    </w:p>
    <w:p w14:paraId="7A3035DA">
      <w:pPr>
        <w:pStyle w:val="78"/>
        <w:keepNext w:val="0"/>
        <w:keepLines w:val="0"/>
        <w:pageBreakBefore w:val="0"/>
        <w:widowControl w:val="0"/>
        <w:numPr>
          <w:ilvl w:val="1"/>
          <w:numId w:val="19"/>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rPr>
        <w:t>自中标通知书发出之日起30日内，中标人无正当理由投标人无正当签订合同的；</w:t>
      </w:r>
    </w:p>
    <w:p w14:paraId="271EC8CF">
      <w:pPr>
        <w:pStyle w:val="78"/>
        <w:keepNext w:val="0"/>
        <w:keepLines w:val="0"/>
        <w:pageBreakBefore w:val="0"/>
        <w:widowControl w:val="0"/>
        <w:numPr>
          <w:ilvl w:val="1"/>
          <w:numId w:val="19"/>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方正仿宋_GB2312" w:cs="宋体"/>
          <w:b w:val="0"/>
          <w:bCs w:val="0"/>
          <w:szCs w:val="24"/>
          <w:highlight w:val="none"/>
          <w:lang w:val="en-US" w:eastAsia="zh-CN"/>
        </w:rPr>
      </w:pPr>
      <w:r>
        <w:rPr>
          <w:rFonts w:hint="eastAsia"/>
        </w:rPr>
        <w:t>采购文件规定</w:t>
      </w:r>
      <w:r>
        <w:rPr>
          <w:rFonts w:hint="eastAsia" w:ascii="宋体" w:hAnsi="宋体" w:eastAsia="宋体" w:cs="宋体"/>
          <w:b w:val="0"/>
          <w:bCs w:val="0"/>
          <w:szCs w:val="21"/>
          <w:highlight w:val="none"/>
        </w:rPr>
        <w:t>的其他情形</w:t>
      </w:r>
      <w:r>
        <w:rPr>
          <w:rFonts w:hint="eastAsia" w:ascii="宋体" w:hAnsi="宋体" w:eastAsia="宋体" w:cs="宋体"/>
          <w:b w:val="0"/>
          <w:bCs w:val="0"/>
          <w:szCs w:val="21"/>
          <w:highlight w:val="none"/>
          <w:lang w:eastAsia="zh-CN"/>
        </w:rPr>
        <w:t>。</w:t>
      </w:r>
    </w:p>
    <w:bookmarkEnd w:id="5"/>
    <w:p w14:paraId="368B6990">
      <w:pPr>
        <w:pStyle w:val="74"/>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pPr>
      <w:r>
        <w:rPr>
          <w:rFonts w:hint="eastAsia"/>
          <w:lang w:val="en-US" w:eastAsia="zh-CN"/>
        </w:rPr>
        <w:t>开评标</w:t>
      </w:r>
    </w:p>
    <w:p w14:paraId="6D5294CB">
      <w:pPr>
        <w:pStyle w:val="74"/>
        <w:keepNext w:val="0"/>
        <w:keepLines w:val="0"/>
        <w:pageBreakBefore w:val="0"/>
        <w:widowControl w:val="0"/>
        <w:numPr>
          <w:ilvl w:val="0"/>
          <w:numId w:val="22"/>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lang w:val="en-US" w:eastAsia="zh-CN"/>
        </w:rPr>
        <w:t>开标时间和地点</w:t>
      </w:r>
    </w:p>
    <w:p w14:paraId="4FACE4AA">
      <w:pPr>
        <w:pStyle w:val="78"/>
        <w:keepNext w:val="0"/>
        <w:keepLines w:val="0"/>
        <w:pageBreakBefore w:val="0"/>
        <w:widowControl w:val="0"/>
        <w:numPr>
          <w:ilvl w:val="1"/>
          <w:numId w:val="23"/>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开标时间：</w:t>
      </w:r>
      <w:r>
        <w:rPr>
          <w:rFonts w:hint="eastAsia" w:hAnsi="宋体" w:cs="宋体"/>
          <w:b w:val="0"/>
          <w:bCs w:val="0"/>
          <w:sz w:val="21"/>
          <w:szCs w:val="21"/>
          <w:highlight w:val="none"/>
          <w:lang w:val="en-US" w:eastAsia="zh-CN"/>
        </w:rPr>
        <w:t>2026年8月7</w:t>
      </w:r>
      <w:r>
        <w:rPr>
          <w:rFonts w:hint="eastAsia" w:ascii="宋体" w:hAnsi="宋体" w:eastAsia="宋体" w:cs="宋体"/>
          <w:b w:val="0"/>
          <w:bCs w:val="0"/>
          <w:sz w:val="21"/>
          <w:szCs w:val="21"/>
          <w:highlight w:val="none"/>
          <w:lang w:val="en-US" w:eastAsia="zh-CN"/>
        </w:rPr>
        <w:t>日</w:t>
      </w:r>
      <w:r>
        <w:rPr>
          <w:rFonts w:hint="eastAsia" w:hAnsi="宋体" w:cs="宋体"/>
          <w:b w:val="0"/>
          <w:bCs w:val="0"/>
          <w:sz w:val="21"/>
          <w:szCs w:val="21"/>
          <w:highlight w:val="none"/>
          <w:lang w:val="en-US" w:eastAsia="zh-CN"/>
        </w:rPr>
        <w:t>0</w:t>
      </w:r>
      <w:r>
        <w:rPr>
          <w:rFonts w:hint="default" w:ascii="宋体" w:hAnsi="宋体" w:eastAsia="宋体" w:cs="宋体"/>
          <w:b w:val="0"/>
          <w:bCs w:val="0"/>
          <w:sz w:val="21"/>
          <w:szCs w:val="21"/>
          <w:highlight w:val="none"/>
          <w:lang w:val="en-US" w:eastAsia="zh-CN"/>
        </w:rPr>
        <w:t>9:</w:t>
      </w:r>
      <w:r>
        <w:rPr>
          <w:rFonts w:hint="eastAsia" w:hAnsi="宋体" w:cs="宋体"/>
          <w:b w:val="0"/>
          <w:bCs w:val="0"/>
          <w:sz w:val="21"/>
          <w:szCs w:val="21"/>
          <w:highlight w:val="none"/>
          <w:lang w:val="en-US" w:eastAsia="zh-CN"/>
        </w:rPr>
        <w:t>30:00</w:t>
      </w:r>
      <w:r>
        <w:rPr>
          <w:rFonts w:hint="default" w:ascii="宋体" w:hAnsi="宋体" w:eastAsia="宋体" w:cs="宋体"/>
          <w:b w:val="0"/>
          <w:bCs w:val="0"/>
          <w:sz w:val="21"/>
          <w:szCs w:val="21"/>
          <w:highlight w:val="none"/>
          <w:lang w:val="en-US" w:eastAsia="zh-CN"/>
        </w:rPr>
        <w:t>。</w:t>
      </w:r>
    </w:p>
    <w:p w14:paraId="72FF61DD">
      <w:pPr>
        <w:pStyle w:val="78"/>
        <w:keepNext w:val="0"/>
        <w:keepLines w:val="0"/>
        <w:pageBreakBefore w:val="0"/>
        <w:widowControl w:val="0"/>
        <w:numPr>
          <w:ilvl w:val="1"/>
          <w:numId w:val="23"/>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开标地点：</w:t>
      </w:r>
      <w:r>
        <w:rPr>
          <w:rFonts w:hint="eastAsia" w:ascii="宋体" w:hAnsi="Courier New" w:eastAsia="宋体" w:cs="Times New Roman"/>
          <w:kern w:val="2"/>
          <w:sz w:val="21"/>
          <w:lang w:val="en-US" w:eastAsia="zh-CN" w:bidi="ar-SA"/>
        </w:rPr>
        <w:t>济南市</w:t>
      </w:r>
      <w:r>
        <w:rPr>
          <w:rFonts w:hint="eastAsia" w:cs="Times New Roman"/>
          <w:kern w:val="2"/>
          <w:sz w:val="21"/>
          <w:lang w:val="en-US" w:eastAsia="zh-CN" w:bidi="ar-SA"/>
        </w:rPr>
        <w:t>历城区</w:t>
      </w:r>
      <w:r>
        <w:rPr>
          <w:rFonts w:hint="eastAsia" w:ascii="宋体" w:hAnsi="Courier New" w:eastAsia="宋体" w:cs="Times New Roman"/>
          <w:kern w:val="2"/>
          <w:sz w:val="21"/>
          <w:lang w:val="en-US" w:eastAsia="zh-CN" w:bidi="ar-SA"/>
        </w:rPr>
        <w:t>华奥路777号</w:t>
      </w:r>
      <w:r>
        <w:rPr>
          <w:rFonts w:hint="eastAsia" w:hAnsi="宋体" w:cs="宋体"/>
          <w:b w:val="0"/>
          <w:bCs w:val="0"/>
          <w:sz w:val="21"/>
          <w:szCs w:val="21"/>
          <w:highlight w:val="none"/>
          <w:lang w:val="en-US" w:eastAsia="zh-CN"/>
        </w:rPr>
        <w:t>重汽科技大厦</w:t>
      </w:r>
    </w:p>
    <w:p w14:paraId="4ECFB5AE">
      <w:pPr>
        <w:pStyle w:val="78"/>
        <w:keepNext w:val="0"/>
        <w:keepLines w:val="0"/>
        <w:pageBreakBefore w:val="0"/>
        <w:widowControl w:val="0"/>
        <w:numPr>
          <w:ilvl w:val="1"/>
          <w:numId w:val="23"/>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w:t>
      </w:r>
    </w:p>
    <w:p w14:paraId="4DCBC48A">
      <w:pPr>
        <w:pStyle w:val="77"/>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9"/>
        <w:rPr>
          <w:rFonts w:hint="eastAsia" w:ascii="宋体" w:hAnsi="宋体" w:eastAsia="宋体" w:cs="宋体"/>
          <w:color w:val="000000"/>
          <w:sz w:val="21"/>
          <w:szCs w:val="21"/>
          <w:highlight w:val="none"/>
          <w:u w:val="single"/>
        </w:rPr>
      </w:pPr>
      <w:r>
        <w:rPr>
          <w:rFonts w:hint="eastAsia" w:cs="Times New Roman"/>
          <w:b/>
          <w:bCs w:val="0"/>
          <w:color w:val="auto"/>
          <w:highlight w:val="none"/>
          <w:u w:val="single"/>
          <w:lang w:val="en-US" w:eastAsia="zh-CN"/>
        </w:rPr>
        <w:t>现场</w:t>
      </w:r>
      <w:r>
        <w:rPr>
          <w:rFonts w:hint="eastAsia" w:ascii="宋体" w:hAnsi="Courier New" w:eastAsia="宋体" w:cs="Times New Roman"/>
          <w:b/>
          <w:bCs w:val="0"/>
          <w:color w:val="auto"/>
          <w:kern w:val="2"/>
          <w:sz w:val="21"/>
          <w:highlight w:val="none"/>
          <w:u w:val="single"/>
          <w:lang w:val="en-US" w:eastAsia="zh-CN" w:bidi="ar-SA"/>
        </w:rPr>
        <w:t>招标</w:t>
      </w:r>
      <w:r>
        <w:rPr>
          <w:rFonts w:hint="eastAsia" w:cs="Times New Roman"/>
          <w:b/>
          <w:bCs w:val="0"/>
          <w:color w:val="auto"/>
          <w:kern w:val="2"/>
          <w:sz w:val="21"/>
          <w:highlight w:val="none"/>
          <w:u w:val="single"/>
          <w:lang w:val="en-US" w:eastAsia="zh-CN" w:bidi="ar-SA"/>
        </w:rPr>
        <w:t>。</w:t>
      </w:r>
      <w:r>
        <w:rPr>
          <w:rFonts w:hint="eastAsia" w:ascii="宋体" w:hAnsi="宋体" w:eastAsia="宋体" w:cs="宋体"/>
          <w:color w:val="000000"/>
          <w:sz w:val="21"/>
          <w:szCs w:val="21"/>
          <w:highlight w:val="none"/>
          <w:u w:val="single"/>
        </w:rPr>
        <w:t>原则上来现场参与开标。如因特殊情况无法现场参与，需在开标前三日，通知招标人，由招标人创建视频链接，并在报名结束后统一通知。</w:t>
      </w:r>
    </w:p>
    <w:p w14:paraId="59F17765">
      <w:pPr>
        <w:pStyle w:val="74"/>
        <w:keepNext w:val="0"/>
        <w:keepLines w:val="0"/>
        <w:pageBreakBefore w:val="0"/>
        <w:widowControl w:val="0"/>
        <w:numPr>
          <w:ilvl w:val="0"/>
          <w:numId w:val="22"/>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lang w:val="en-US" w:eastAsia="zh-CN"/>
        </w:rPr>
        <w:t>评标</w:t>
      </w:r>
    </w:p>
    <w:p w14:paraId="2E1C69AD">
      <w:pPr>
        <w:pStyle w:val="74"/>
        <w:keepNext w:val="0"/>
        <w:keepLines w:val="0"/>
        <w:pageBreakBefore w:val="0"/>
        <w:widowControl w:val="0"/>
        <w:numPr>
          <w:ilvl w:val="1"/>
          <w:numId w:val="22"/>
        </w:numPr>
        <w:kinsoku/>
        <w:wordWrap/>
        <w:overflowPunct/>
        <w:topLinePunct w:val="0"/>
        <w:autoSpaceDE/>
        <w:autoSpaceDN/>
        <w:bidi w:val="0"/>
        <w:adjustRightInd/>
        <w:snapToGrid/>
        <w:spacing w:before="79" w:beforeLines="25" w:line="440" w:lineRule="exact"/>
        <w:ind w:left="0" w:leftChars="0" w:firstLine="0" w:firstLineChars="0"/>
        <w:textAlignment w:val="auto"/>
        <w:outlineLvl w:val="3"/>
        <w:rPr>
          <w:rFonts w:hint="eastAsia" w:cs="Times New Roman"/>
          <w:b/>
          <w:bCs w:val="0"/>
          <w:color w:val="FF0000"/>
          <w:highlight w:val="none"/>
          <w:lang w:val="en-US" w:eastAsia="zh-CN"/>
        </w:rPr>
      </w:pPr>
      <w:r>
        <w:rPr>
          <w:rFonts w:hint="eastAsia" w:ascii="黑体" w:hAnsi="黑体" w:eastAsia="黑体" w:cs="黑体"/>
          <w:b w:val="0"/>
          <w:bCs w:val="0"/>
          <w:sz w:val="21"/>
          <w:szCs w:val="21"/>
          <w:highlight w:val="none"/>
          <w:lang w:val="en-US" w:eastAsia="zh-CN"/>
        </w:rPr>
        <w:t>评标方法</w:t>
      </w:r>
    </w:p>
    <w:p w14:paraId="6DC86F23">
      <w:pPr>
        <w:spacing w:line="440" w:lineRule="exact"/>
        <w:ind w:firstLine="420" w:firstLineChars="200"/>
        <w:rPr>
          <w:rFonts w:hint="eastAsia"/>
          <w:u w:val="single"/>
          <w:lang w:val="en-US" w:eastAsia="zh-CN"/>
        </w:rPr>
      </w:pPr>
      <w:r>
        <w:rPr>
          <w:rFonts w:hint="eastAsia" w:ascii="宋体" w:hAnsi="宋体" w:cs="宋体"/>
          <w:bCs/>
          <w:color w:val="000000"/>
          <w:szCs w:val="21"/>
          <w:u w:val="single"/>
        </w:rPr>
        <w:t>为保证项目顺利实施，由招标人组织、按国家法律法规及公司相关规章制度要求，设立评标工作小组，同时依据以下评分标准，采用综合评定法，本着公平、公正、公开的原则，在最大限度地满足招标文件实质性要求的前提下，对招标文件中规定的各项因素进行综合评审，确定中标人，对未中标单位不做任何解释。招标人有权根据项目情况，采取多级评标模式，最终确定推荐中标人。</w:t>
      </w:r>
    </w:p>
    <w:p w14:paraId="0B2A8F6D">
      <w:pPr>
        <w:pStyle w:val="74"/>
        <w:keepNext w:val="0"/>
        <w:keepLines w:val="0"/>
        <w:pageBreakBefore w:val="0"/>
        <w:widowControl w:val="0"/>
        <w:numPr>
          <w:ilvl w:val="1"/>
          <w:numId w:val="22"/>
        </w:numPr>
        <w:kinsoku/>
        <w:wordWrap/>
        <w:overflowPunct/>
        <w:topLinePunct w:val="0"/>
        <w:autoSpaceDE/>
        <w:autoSpaceDN/>
        <w:bidi w:val="0"/>
        <w:adjustRightInd/>
        <w:snapToGrid/>
        <w:spacing w:before="79" w:beforeLines="25" w:line="440" w:lineRule="exact"/>
        <w:ind w:left="0" w:leftChars="0" w:firstLine="0" w:firstLineChars="0"/>
        <w:textAlignment w:val="auto"/>
        <w:outlineLvl w:val="3"/>
        <w:rPr>
          <w:rFonts w:hint="eastAsia" w:ascii="黑体" w:hAnsi="黑体" w:eastAsia="黑体" w:cs="黑体"/>
          <w:b w:val="0"/>
          <w:bCs w:val="0"/>
          <w:sz w:val="21"/>
          <w:szCs w:val="21"/>
          <w:highlight w:val="none"/>
          <w:lang w:val="en-US" w:eastAsia="zh-CN"/>
        </w:rPr>
      </w:pPr>
      <w:r>
        <w:rPr>
          <w:rFonts w:hint="eastAsia" w:ascii="黑体" w:hAnsi="黑体" w:eastAsia="黑体" w:cs="黑体"/>
          <w:b w:val="0"/>
          <w:bCs w:val="0"/>
          <w:sz w:val="21"/>
          <w:szCs w:val="21"/>
          <w:highlight w:val="none"/>
          <w:lang w:val="en-US" w:eastAsia="zh-CN"/>
        </w:rPr>
        <w:t>评标流程</w:t>
      </w:r>
    </w:p>
    <w:p w14:paraId="08C47440">
      <w:pPr>
        <w:keepNext w:val="0"/>
        <w:keepLines w:val="0"/>
        <w:pageBreakBefore w:val="0"/>
        <w:widowControl w:val="0"/>
        <w:numPr>
          <w:ilvl w:val="0"/>
          <w:numId w:val="2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应标资格审查：在“中国重汽e采通”应标报名时，按照</w:t>
      </w:r>
      <w:r>
        <w:rPr>
          <w:rFonts w:hint="eastAsia" w:ascii="宋体" w:hAnsi="宋体" w:cs="宋体"/>
          <w:b w:val="0"/>
          <w:bCs/>
          <w:color w:val="000000"/>
          <w:sz w:val="21"/>
          <w:szCs w:val="21"/>
          <w:highlight w:val="none"/>
          <w:lang w:val="en-US" w:eastAsia="zh-CN"/>
        </w:rPr>
        <w:t>招标公告</w:t>
      </w:r>
      <w:r>
        <w:rPr>
          <w:rFonts w:hint="eastAsia" w:ascii="宋体" w:hAnsi="宋体" w:eastAsia="宋体" w:cs="宋体"/>
          <w:b w:val="0"/>
          <w:bCs/>
          <w:color w:val="000000"/>
          <w:sz w:val="21"/>
          <w:szCs w:val="21"/>
          <w:highlight w:val="none"/>
          <w:lang w:val="en-US" w:eastAsia="zh-CN"/>
        </w:rPr>
        <w:t>编制</w:t>
      </w:r>
      <w:r>
        <w:rPr>
          <w:rFonts w:hint="eastAsia" w:ascii="宋体" w:hAnsi="宋体" w:eastAsia="宋体" w:cs="宋体"/>
          <w:b w:val="0"/>
          <w:bCs/>
          <w:color w:val="000000"/>
          <w:sz w:val="21"/>
          <w:szCs w:val="21"/>
          <w:highlight w:val="none"/>
        </w:rPr>
        <w:t>资料，上传完毕后，等待审核；</w:t>
      </w:r>
    </w:p>
    <w:p w14:paraId="3925B8AD">
      <w:pPr>
        <w:keepNext w:val="0"/>
        <w:keepLines w:val="0"/>
        <w:pageBreakBefore w:val="0"/>
        <w:widowControl w:val="0"/>
        <w:numPr>
          <w:ilvl w:val="0"/>
          <w:numId w:val="2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通过应标资格审查的单位进入投标环节，按照“SRM系统供应商用户手册</w:t>
      </w:r>
      <w:r>
        <w:rPr>
          <w:rFonts w:hint="eastAsia" w:ascii="宋体" w:hAnsi="宋体" w:cs="宋体"/>
          <w:b w:val="0"/>
          <w:bCs/>
          <w:color w:val="000000"/>
          <w:sz w:val="21"/>
          <w:szCs w:val="21"/>
          <w:highlight w:val="none"/>
          <w:lang w:eastAsia="zh-CN"/>
        </w:rPr>
        <w:t>（</w:t>
      </w:r>
      <w:r>
        <w:rPr>
          <w:rFonts w:hint="eastAsia" w:ascii="宋体" w:hAnsi="宋体" w:cs="宋体"/>
          <w:b w:val="0"/>
          <w:bCs/>
          <w:color w:val="000000"/>
          <w:sz w:val="21"/>
          <w:szCs w:val="21"/>
          <w:highlight w:val="none"/>
          <w:lang w:val="en-US" w:eastAsia="zh-CN"/>
        </w:rPr>
        <w:t>附件9</w:t>
      </w:r>
      <w:r>
        <w:rPr>
          <w:rFonts w:hint="eastAsia" w:ascii="宋体" w:hAnsi="宋体" w:cs="宋体"/>
          <w:b w:val="0"/>
          <w:bCs/>
          <w:color w:val="000000"/>
          <w:sz w:val="21"/>
          <w:szCs w:val="21"/>
          <w:highlight w:val="none"/>
          <w:lang w:eastAsia="zh-CN"/>
        </w:rPr>
        <w:t>）</w:t>
      </w:r>
      <w:r>
        <w:rPr>
          <w:rFonts w:hint="eastAsia" w:ascii="宋体" w:hAnsi="宋体" w:eastAsia="宋体" w:cs="宋体"/>
          <w:b w:val="0"/>
          <w:bCs/>
          <w:color w:val="000000"/>
          <w:sz w:val="21"/>
          <w:szCs w:val="21"/>
          <w:highlight w:val="none"/>
        </w:rPr>
        <w:t>”，在重汽e采通平台投递电子标书（包含资质标、技术标、商务标）；没有通过应标资质审查的单位不能进入投标环节；</w:t>
      </w:r>
    </w:p>
    <w:p w14:paraId="3B34C86F">
      <w:pPr>
        <w:keepNext w:val="0"/>
        <w:keepLines w:val="0"/>
        <w:pageBreakBefore w:val="0"/>
        <w:widowControl w:val="0"/>
        <w:numPr>
          <w:ilvl w:val="0"/>
          <w:numId w:val="2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资质标评审：资质标审核通过的单位，可以进入公开唱标环节；</w:t>
      </w:r>
    </w:p>
    <w:p w14:paraId="7E63C2E8">
      <w:pPr>
        <w:keepNext w:val="0"/>
        <w:keepLines w:val="0"/>
        <w:pageBreakBefore w:val="0"/>
        <w:widowControl w:val="0"/>
        <w:numPr>
          <w:ilvl w:val="0"/>
          <w:numId w:val="2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公开唱标：公示资质标入围单位的开标价格及商务条款响应情况；</w:t>
      </w:r>
    </w:p>
    <w:p w14:paraId="67CC9B84">
      <w:pPr>
        <w:keepNext w:val="0"/>
        <w:keepLines w:val="0"/>
        <w:pageBreakBefore w:val="0"/>
        <w:widowControl w:val="0"/>
        <w:numPr>
          <w:ilvl w:val="0"/>
          <w:numId w:val="24"/>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商务标评审：商务条款</w:t>
      </w:r>
      <w:r>
        <w:rPr>
          <w:rFonts w:hint="eastAsia" w:ascii="宋体" w:hAnsi="宋体" w:cs="宋体"/>
          <w:b w:val="0"/>
          <w:bCs/>
          <w:color w:val="000000"/>
          <w:sz w:val="21"/>
          <w:szCs w:val="21"/>
          <w:highlight w:val="none"/>
          <w:lang w:val="en-US" w:eastAsia="zh-CN"/>
        </w:rPr>
        <w:t>相</w:t>
      </w:r>
      <w:r>
        <w:rPr>
          <w:rFonts w:hint="eastAsia" w:ascii="宋体" w:hAnsi="宋体" w:eastAsia="宋体" w:cs="宋体"/>
          <w:b w:val="0"/>
          <w:bCs/>
          <w:color w:val="000000"/>
          <w:sz w:val="21"/>
          <w:szCs w:val="21"/>
          <w:highlight w:val="none"/>
        </w:rPr>
        <w:t>应确认→价格澄清→商务标评审</w:t>
      </w:r>
      <w:r>
        <w:rPr>
          <w:rFonts w:hint="eastAsia" w:ascii="宋体" w:hAnsi="宋体" w:eastAsia="宋体" w:cs="宋体"/>
          <w:b w:val="0"/>
          <w:bCs/>
          <w:color w:val="000000"/>
          <w:sz w:val="21"/>
          <w:szCs w:val="21"/>
          <w:highlight w:val="none"/>
          <w:lang w:val="en-US" w:eastAsia="zh-CN"/>
        </w:rPr>
        <w:t>；采用多轮商务谈判评审，</w:t>
      </w:r>
      <w:r>
        <w:rPr>
          <w:rFonts w:hint="eastAsia" w:ascii="宋体" w:hAnsi="宋体" w:cs="宋体"/>
          <w:b w:val="0"/>
          <w:bCs/>
          <w:color w:val="000000"/>
          <w:sz w:val="21"/>
          <w:szCs w:val="21"/>
          <w:highlight w:val="none"/>
          <w:lang w:eastAsia="zh-CN"/>
        </w:rPr>
        <w:t>其间</w:t>
      </w:r>
      <w:r>
        <w:rPr>
          <w:rFonts w:hint="eastAsia" w:ascii="宋体" w:hAnsi="宋体" w:eastAsia="宋体" w:cs="宋体"/>
          <w:b w:val="0"/>
          <w:bCs/>
          <w:color w:val="000000"/>
          <w:sz w:val="21"/>
          <w:szCs w:val="21"/>
          <w:highlight w:val="none"/>
        </w:rPr>
        <w:t>产生的商务价格澄清均由投标人在重汽e采通平台限时内完成提交；</w:t>
      </w:r>
    </w:p>
    <w:p w14:paraId="693D672D">
      <w:pPr>
        <w:pStyle w:val="78"/>
        <w:keepNext w:val="0"/>
        <w:keepLines w:val="0"/>
        <w:pageBreakBefore w:val="0"/>
        <w:widowControl w:val="0"/>
        <w:numPr>
          <w:ilvl w:val="0"/>
          <w:numId w:val="21"/>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注意：所有参与现场投标的投标人，需要自带笔记本电脑在</w:t>
      </w:r>
      <w:r>
        <w:rPr>
          <w:rFonts w:hint="eastAsia"/>
          <w:lang w:eastAsia="zh-CN"/>
        </w:rPr>
        <w:t>“</w:t>
      </w:r>
      <w:r>
        <w:rPr>
          <w:rFonts w:hint="eastAsia"/>
        </w:rPr>
        <w:t>重汽e采通</w:t>
      </w:r>
      <w:r>
        <w:rPr>
          <w:rFonts w:hint="eastAsia"/>
          <w:lang w:eastAsia="zh-CN"/>
        </w:rPr>
        <w:t>”</w:t>
      </w:r>
      <w:r>
        <w:rPr>
          <w:rFonts w:hint="eastAsia"/>
        </w:rPr>
        <w:t>进行自主投标和提交澄清函；投标和提交澄清函均有时间限制，超时未提交的按无效处理。</w:t>
      </w:r>
    </w:p>
    <w:p w14:paraId="1F3E1BA6">
      <w:pPr>
        <w:pStyle w:val="74"/>
        <w:keepNext w:val="0"/>
        <w:keepLines w:val="0"/>
        <w:pageBreakBefore w:val="0"/>
        <w:widowControl w:val="0"/>
        <w:numPr>
          <w:ilvl w:val="1"/>
          <w:numId w:val="22"/>
        </w:numPr>
        <w:kinsoku/>
        <w:wordWrap/>
        <w:overflowPunct/>
        <w:topLinePunct w:val="0"/>
        <w:autoSpaceDE/>
        <w:autoSpaceDN/>
        <w:bidi w:val="0"/>
        <w:adjustRightInd/>
        <w:snapToGrid/>
        <w:spacing w:before="79" w:beforeLines="25" w:line="440" w:lineRule="exact"/>
        <w:ind w:left="0" w:leftChars="0" w:firstLine="0" w:firstLineChars="0"/>
        <w:textAlignment w:val="auto"/>
        <w:outlineLvl w:val="3"/>
        <w:rPr>
          <w:rFonts w:hint="eastAsia" w:ascii="宋体" w:hAnsi="宋体" w:eastAsia="宋体" w:cs="宋体"/>
          <w:sz w:val="21"/>
          <w:szCs w:val="21"/>
          <w:lang w:val="en-US" w:eastAsia="zh-CN"/>
        </w:rPr>
      </w:pPr>
      <w:r>
        <w:rPr>
          <w:rFonts w:hint="eastAsia" w:ascii="黑体" w:hAnsi="黑体" w:eastAsia="黑体" w:cs="黑体"/>
          <w:b w:val="0"/>
          <w:bCs w:val="0"/>
          <w:sz w:val="21"/>
          <w:szCs w:val="21"/>
          <w:highlight w:val="none"/>
          <w:lang w:val="en-US" w:eastAsia="zh-CN"/>
        </w:rPr>
        <w:t>评分标准</w:t>
      </w:r>
      <w:r>
        <w:rPr>
          <w:rFonts w:hint="eastAsia" w:hAnsi="黑体" w:cs="黑体"/>
          <w:b w:val="0"/>
          <w:bCs w:val="0"/>
          <w:sz w:val="21"/>
          <w:szCs w:val="21"/>
          <w:highlight w:val="none"/>
          <w:lang w:val="en-US" w:eastAsia="zh-CN"/>
        </w:rPr>
        <w:t xml:space="preserve"> </w:t>
      </w:r>
    </w:p>
    <w:tbl>
      <w:tblPr>
        <w:tblStyle w:val="3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330BA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4B40F9ED">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28A82DC1">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11725477">
            <w:pPr>
              <w:spacing w:line="320" w:lineRule="exact"/>
              <w:ind w:right="34" w:rightChars="16"/>
              <w:jc w:val="center"/>
              <w:rPr>
                <w:rFonts w:hint="eastAsia" w:eastAsia="宋体"/>
                <w:b/>
                <w:szCs w:val="21"/>
                <w:lang w:eastAsia="zh-CN"/>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4056740F">
            <w:pPr>
              <w:spacing w:line="320" w:lineRule="exact"/>
              <w:ind w:right="34" w:rightChars="16"/>
              <w:jc w:val="center"/>
              <w:rPr>
                <w:b/>
                <w:szCs w:val="21"/>
              </w:rPr>
            </w:pPr>
            <w:r>
              <w:rPr>
                <w:rFonts w:hint="eastAsia"/>
                <w:b/>
              </w:rPr>
              <w:t>最高</w:t>
            </w:r>
          </w:p>
          <w:p w14:paraId="589078FA">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49D35BF6">
            <w:pPr>
              <w:spacing w:line="320" w:lineRule="exact"/>
              <w:ind w:right="34" w:rightChars="16"/>
              <w:jc w:val="center"/>
              <w:rPr>
                <w:b/>
                <w:szCs w:val="21"/>
              </w:rPr>
            </w:pPr>
            <w:r>
              <w:rPr>
                <w:rFonts w:hint="eastAsia"/>
                <w:b/>
              </w:rPr>
              <w:t>评分标准</w:t>
            </w:r>
          </w:p>
        </w:tc>
      </w:tr>
      <w:tr w14:paraId="257DBA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503" w:hRule="atLeast"/>
          <w:jc w:val="center"/>
        </w:trPr>
        <w:tc>
          <w:tcPr>
            <w:tcW w:w="845" w:type="dxa"/>
            <w:vMerge w:val="restart"/>
            <w:tcBorders>
              <w:top w:val="single" w:color="auto" w:sz="4" w:space="0"/>
              <w:left w:val="single" w:color="auto" w:sz="4" w:space="0"/>
              <w:right w:val="single" w:color="auto" w:sz="4" w:space="0"/>
            </w:tcBorders>
            <w:vAlign w:val="center"/>
          </w:tcPr>
          <w:p w14:paraId="24D33F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rPr>
            </w:pPr>
            <w:r>
              <w:rPr>
                <w:rFonts w:hint="eastAsia" w:ascii="宋体"/>
              </w:rPr>
              <w:t>技术标</w:t>
            </w:r>
          </w:p>
          <w:p w14:paraId="11D02B5A">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eastAsia="宋体"/>
                <w:lang w:eastAsia="zh-CN"/>
              </w:rPr>
            </w:pPr>
          </w:p>
          <w:p w14:paraId="1A4430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Cs w:val="21"/>
                <w:highlight w:val="none"/>
              </w:rPr>
            </w:pPr>
          </w:p>
          <w:p w14:paraId="726039D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eastAsia="宋体"/>
                <w:szCs w:val="21"/>
                <w:highlight w:val="none"/>
                <w:lang w:eastAsia="zh-CN"/>
              </w:rPr>
            </w:pPr>
          </w:p>
        </w:tc>
        <w:tc>
          <w:tcPr>
            <w:tcW w:w="520" w:type="dxa"/>
            <w:vMerge w:val="restart"/>
            <w:tcBorders>
              <w:top w:val="single" w:color="auto" w:sz="4" w:space="0"/>
              <w:left w:val="single" w:color="auto" w:sz="4" w:space="0"/>
              <w:right w:val="single" w:color="auto" w:sz="4" w:space="0"/>
            </w:tcBorders>
            <w:vAlign w:val="center"/>
          </w:tcPr>
          <w:p w14:paraId="0FD83749">
            <w:pPr>
              <w:spacing w:line="440" w:lineRule="exact"/>
              <w:jc w:val="center"/>
              <w:rPr>
                <w:rFonts w:hint="default" w:ascii="宋体" w:eastAsia="宋体"/>
                <w:lang w:val="en-US" w:eastAsia="zh-CN"/>
              </w:rPr>
            </w:pPr>
            <w:r>
              <w:rPr>
                <w:rFonts w:hint="eastAsia" w:ascii="宋体"/>
                <w:lang w:val="en-US" w:eastAsia="zh-CN"/>
              </w:rPr>
              <w:t>100</w:t>
            </w:r>
          </w:p>
        </w:tc>
        <w:tc>
          <w:tcPr>
            <w:tcW w:w="970" w:type="dxa"/>
            <w:tcBorders>
              <w:top w:val="single" w:color="auto" w:sz="4" w:space="0"/>
              <w:left w:val="single" w:color="auto" w:sz="4" w:space="0"/>
              <w:right w:val="single" w:color="auto" w:sz="4" w:space="0"/>
            </w:tcBorders>
            <w:vAlign w:val="center"/>
          </w:tcPr>
          <w:p w14:paraId="75776281">
            <w:pPr>
              <w:jc w:val="center"/>
              <w:rPr>
                <w:rFonts w:ascii="宋体"/>
              </w:rPr>
            </w:pPr>
            <w:r>
              <w:rPr>
                <w:rFonts w:hint="eastAsia" w:ascii="宋体" w:hAnsi="宋体" w:cs="宋体"/>
                <w:color w:val="000000"/>
                <w:kern w:val="0"/>
                <w:szCs w:val="21"/>
                <w:lang w:bidi="ar"/>
              </w:rPr>
              <w:t>技术方案</w:t>
            </w:r>
          </w:p>
        </w:tc>
        <w:tc>
          <w:tcPr>
            <w:tcW w:w="650" w:type="dxa"/>
            <w:tcBorders>
              <w:top w:val="single" w:color="auto" w:sz="4" w:space="0"/>
              <w:left w:val="single" w:color="auto" w:sz="4" w:space="0"/>
              <w:bottom w:val="single" w:color="auto" w:sz="4" w:space="0"/>
              <w:right w:val="single" w:color="auto" w:sz="4" w:space="0"/>
            </w:tcBorders>
            <w:vAlign w:val="center"/>
          </w:tcPr>
          <w:p w14:paraId="476F05B3">
            <w:pPr>
              <w:jc w:val="center"/>
              <w:rPr>
                <w:rFonts w:hint="default" w:ascii="宋体" w:eastAsia="宋体"/>
                <w:szCs w:val="21"/>
                <w:lang w:val="en-US" w:eastAsia="zh-CN"/>
              </w:rPr>
            </w:pPr>
            <w:r>
              <w:rPr>
                <w:rFonts w:hint="eastAsia" w:ascii="宋体"/>
                <w:szCs w:val="21"/>
                <w:lang w:val="en-US" w:eastAsia="zh-CN"/>
              </w:rPr>
              <w:t>50</w:t>
            </w:r>
          </w:p>
        </w:tc>
        <w:tc>
          <w:tcPr>
            <w:tcW w:w="6153" w:type="dxa"/>
            <w:tcBorders>
              <w:top w:val="single" w:color="auto" w:sz="4" w:space="0"/>
              <w:left w:val="single" w:color="auto" w:sz="4" w:space="0"/>
              <w:bottom w:val="single" w:color="auto" w:sz="4" w:space="0"/>
              <w:right w:val="single" w:color="auto" w:sz="4" w:space="0"/>
            </w:tcBorders>
            <w:vAlign w:val="center"/>
          </w:tcPr>
          <w:p w14:paraId="2F9ABAA8">
            <w:pPr>
              <w:widowControl/>
              <w:numPr>
                <w:ilvl w:val="0"/>
                <w:numId w:val="0"/>
              </w:numPr>
              <w:snapToGrid w:val="0"/>
              <w:ind w:leftChars="0" w:right="0" w:rightChars="0"/>
              <w:jc w:val="left"/>
              <w:rPr>
                <w:rFonts w:ascii="Arial" w:hAnsi="Arial" w:eastAsia="宋体" w:cs="Arial"/>
                <w:kern w:val="0"/>
                <w:sz w:val="21"/>
                <w:szCs w:val="21"/>
                <w:lang w:val="en-US" w:eastAsia="zh-CN" w:bidi="ar-SA"/>
              </w:rPr>
            </w:pPr>
            <w:r>
              <w:rPr>
                <w:rFonts w:ascii="Arial" w:hAnsi="Arial" w:eastAsia="宋体" w:cs="Arial"/>
                <w:kern w:val="0"/>
                <w:sz w:val="21"/>
                <w:szCs w:val="21"/>
                <w:lang w:val="en-US" w:eastAsia="zh-CN" w:bidi="ar-SA"/>
              </w:rPr>
              <w:t>设备选型与需求匹配度（</w:t>
            </w:r>
            <w:r>
              <w:rPr>
                <w:rFonts w:hint="eastAsia" w:ascii="Arial" w:hAnsi="Arial" w:cs="Arial"/>
                <w:kern w:val="0"/>
                <w:sz w:val="21"/>
                <w:szCs w:val="21"/>
                <w:lang w:val="en-US" w:eastAsia="zh-CN" w:bidi="ar-SA"/>
              </w:rPr>
              <w:t>50</w:t>
            </w:r>
            <w:r>
              <w:rPr>
                <w:rFonts w:ascii="Arial" w:hAnsi="Arial" w:eastAsia="宋体" w:cs="Arial"/>
                <w:kern w:val="0"/>
                <w:sz w:val="21"/>
                <w:szCs w:val="21"/>
                <w:lang w:val="en-US" w:eastAsia="zh-CN" w:bidi="ar-SA"/>
              </w:rPr>
              <w:t>分）：完全满足核心参数（</w:t>
            </w:r>
            <w:r>
              <w:rPr>
                <w:rFonts w:hint="eastAsia" w:ascii="Arial" w:hAnsi="Arial" w:cs="Arial"/>
                <w:kern w:val="0"/>
                <w:sz w:val="21"/>
                <w:szCs w:val="21"/>
                <w:lang w:val="en-US" w:eastAsia="zh-CN" w:bidi="ar-SA"/>
              </w:rPr>
              <w:t>LED</w:t>
            </w:r>
            <w:r>
              <w:rPr>
                <w:rFonts w:ascii="Arial" w:hAnsi="Arial" w:eastAsia="宋体" w:cs="Arial"/>
                <w:kern w:val="0"/>
                <w:sz w:val="21"/>
                <w:szCs w:val="21"/>
                <w:lang w:val="en-US" w:eastAsia="zh-CN" w:bidi="ar-SA"/>
              </w:rPr>
              <w:t>屏的</w:t>
            </w:r>
            <w:r>
              <w:rPr>
                <w:rFonts w:hint="eastAsia" w:ascii="Arial" w:hAnsi="Arial" w:cs="Arial"/>
                <w:kern w:val="0"/>
                <w:sz w:val="21"/>
                <w:szCs w:val="21"/>
                <w:lang w:val="en-US" w:eastAsia="zh-CN" w:bidi="ar-SA"/>
              </w:rPr>
              <w:t>模组</w:t>
            </w:r>
            <w:r>
              <w:rPr>
                <w:rFonts w:ascii="Arial" w:hAnsi="Arial" w:eastAsia="宋体" w:cs="Arial"/>
                <w:kern w:val="0"/>
                <w:sz w:val="21"/>
                <w:szCs w:val="21"/>
                <w:lang w:val="en-US" w:eastAsia="zh-CN" w:bidi="ar-SA"/>
              </w:rPr>
              <w:t>尺寸、分辨率、接口配置等）得</w:t>
            </w:r>
            <w:r>
              <w:rPr>
                <w:rFonts w:hint="eastAsia" w:ascii="Arial" w:hAnsi="Arial" w:cs="Arial"/>
                <w:kern w:val="0"/>
                <w:sz w:val="21"/>
                <w:szCs w:val="21"/>
                <w:lang w:val="en-US" w:eastAsia="zh-CN" w:bidi="ar-SA"/>
              </w:rPr>
              <w:t>50</w:t>
            </w:r>
            <w:r>
              <w:rPr>
                <w:rFonts w:ascii="Arial" w:hAnsi="Arial" w:eastAsia="宋体" w:cs="Arial"/>
                <w:kern w:val="0"/>
                <w:sz w:val="21"/>
                <w:szCs w:val="21"/>
                <w:lang w:val="en-US" w:eastAsia="zh-CN" w:bidi="ar-SA"/>
              </w:rPr>
              <w:t>分，核心参数缺失每项扣</w:t>
            </w:r>
            <w:r>
              <w:rPr>
                <w:rFonts w:hint="eastAsia" w:ascii="Arial" w:hAnsi="Arial" w:cs="Arial"/>
                <w:kern w:val="0"/>
                <w:sz w:val="21"/>
                <w:szCs w:val="21"/>
                <w:lang w:val="en-US" w:eastAsia="zh-CN" w:bidi="ar-SA"/>
              </w:rPr>
              <w:t>4</w:t>
            </w:r>
            <w:r>
              <w:rPr>
                <w:rFonts w:ascii="Arial" w:hAnsi="Arial" w:eastAsia="宋体" w:cs="Arial"/>
                <w:kern w:val="0"/>
                <w:sz w:val="21"/>
                <w:szCs w:val="21"/>
                <w:lang w:val="en-US" w:eastAsia="zh-CN" w:bidi="ar-SA"/>
              </w:rPr>
              <w:t>分，非核心参数偏差每项扣</w:t>
            </w:r>
            <w:r>
              <w:rPr>
                <w:rFonts w:hint="eastAsia" w:ascii="Arial" w:hAnsi="Arial" w:cs="Arial"/>
                <w:kern w:val="0"/>
                <w:sz w:val="21"/>
                <w:szCs w:val="21"/>
                <w:lang w:val="en-US" w:eastAsia="zh-CN" w:bidi="ar-SA"/>
              </w:rPr>
              <w:t>2</w:t>
            </w:r>
            <w:r>
              <w:rPr>
                <w:rFonts w:ascii="Arial" w:hAnsi="Arial" w:eastAsia="宋体" w:cs="Arial"/>
                <w:kern w:val="0"/>
                <w:sz w:val="21"/>
                <w:szCs w:val="21"/>
                <w:lang w:val="en-US" w:eastAsia="zh-CN" w:bidi="ar-SA"/>
              </w:rPr>
              <w:t>分，扣完为止。</w:t>
            </w:r>
          </w:p>
          <w:p w14:paraId="1E381E7D">
            <w:pPr>
              <w:tabs>
                <w:tab w:val="left" w:pos="7854"/>
              </w:tabs>
              <w:spacing w:line="280" w:lineRule="exact"/>
            </w:pPr>
            <w:r>
              <w:rPr>
                <w:rFonts w:hint="eastAsia"/>
                <w:lang w:val="en-US" w:eastAsia="zh-CN"/>
              </w:rPr>
              <w:t>满</w:t>
            </w:r>
            <w:r>
              <w:rPr>
                <w:rFonts w:hint="eastAsia" w:ascii="Arial" w:hAnsi="Arial" w:eastAsia="宋体" w:cs="Arial"/>
                <w:kern w:val="0"/>
                <w:sz w:val="21"/>
                <w:szCs w:val="21"/>
                <w:lang w:val="en-US" w:eastAsia="zh-CN" w:bidi="ar-SA"/>
              </w:rPr>
              <w:t>足加分项（10分）的按可提供设备的具体技术参数进行酌情加分</w:t>
            </w:r>
          </w:p>
        </w:tc>
      </w:tr>
      <w:tr w14:paraId="007E22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042" w:hRule="atLeast"/>
          <w:jc w:val="center"/>
        </w:trPr>
        <w:tc>
          <w:tcPr>
            <w:tcW w:w="845" w:type="dxa"/>
            <w:vMerge w:val="continue"/>
            <w:tcBorders>
              <w:left w:val="single" w:color="auto" w:sz="4" w:space="0"/>
              <w:right w:val="single" w:color="auto" w:sz="4" w:space="0"/>
            </w:tcBorders>
            <w:vAlign w:val="center"/>
          </w:tcPr>
          <w:p w14:paraId="68B9780C">
            <w:pPr>
              <w:widowControl/>
              <w:jc w:val="center"/>
              <w:rPr>
                <w:rFonts w:ascii="宋体"/>
              </w:rPr>
            </w:pPr>
          </w:p>
        </w:tc>
        <w:tc>
          <w:tcPr>
            <w:tcW w:w="520" w:type="dxa"/>
            <w:vMerge w:val="continue"/>
            <w:tcBorders>
              <w:left w:val="single" w:color="auto" w:sz="4" w:space="0"/>
              <w:right w:val="single" w:color="auto" w:sz="4" w:space="0"/>
            </w:tcBorders>
            <w:vAlign w:val="center"/>
          </w:tcPr>
          <w:p w14:paraId="7DEDD6C7">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2907312C">
            <w:pPr>
              <w:jc w:val="center"/>
              <w:rPr>
                <w:rFonts w:ascii="宋体"/>
                <w:szCs w:val="21"/>
              </w:rPr>
            </w:pPr>
            <w:r>
              <w:rPr>
                <w:rFonts w:hint="eastAsia" w:ascii="宋体" w:hAnsi="宋体"/>
              </w:rPr>
              <w:t>业绩</w:t>
            </w:r>
          </w:p>
        </w:tc>
        <w:tc>
          <w:tcPr>
            <w:tcW w:w="650" w:type="dxa"/>
            <w:tcBorders>
              <w:top w:val="single" w:color="auto" w:sz="4" w:space="0"/>
              <w:left w:val="single" w:color="auto" w:sz="4" w:space="0"/>
              <w:bottom w:val="single" w:color="auto" w:sz="4" w:space="0"/>
              <w:right w:val="single" w:color="auto" w:sz="4" w:space="0"/>
            </w:tcBorders>
            <w:vAlign w:val="center"/>
          </w:tcPr>
          <w:p w14:paraId="49D2DDE0">
            <w:pPr>
              <w:jc w:val="center"/>
              <w:rPr>
                <w:rFonts w:hint="default" w:ascii="宋体" w:eastAsia="宋体"/>
                <w:szCs w:val="21"/>
                <w:lang w:val="en-US" w:eastAsia="zh-CN"/>
              </w:rPr>
            </w:pPr>
            <w:r>
              <w:rPr>
                <w:rFonts w:hint="eastAsia" w:ascii="宋体"/>
                <w:szCs w:val="21"/>
                <w:lang w:val="en-US" w:eastAsia="zh-CN"/>
              </w:rPr>
              <w:t>10</w:t>
            </w:r>
          </w:p>
        </w:tc>
        <w:tc>
          <w:tcPr>
            <w:tcW w:w="6153" w:type="dxa"/>
            <w:tcBorders>
              <w:top w:val="single" w:color="auto" w:sz="4" w:space="0"/>
              <w:left w:val="single" w:color="auto" w:sz="4" w:space="0"/>
              <w:bottom w:val="single" w:color="auto" w:sz="4" w:space="0"/>
              <w:right w:val="single" w:color="auto" w:sz="4" w:space="0"/>
            </w:tcBorders>
            <w:vAlign w:val="center"/>
          </w:tcPr>
          <w:p w14:paraId="04BC0C56">
            <w:pPr>
              <w:tabs>
                <w:tab w:val="left" w:pos="7854"/>
              </w:tabs>
              <w:spacing w:line="280" w:lineRule="exact"/>
            </w:pPr>
            <w:r>
              <w:rPr>
                <w:rFonts w:ascii="Arial" w:hAnsi="Arial" w:eastAsia="宋体" w:cs="Arial"/>
                <w:kern w:val="0"/>
                <w:sz w:val="21"/>
                <w:szCs w:val="21"/>
                <w:highlight w:val="none"/>
                <w:lang w:val="en-US" w:eastAsia="zh-CN" w:bidi="ar-SA"/>
              </w:rPr>
              <w:t>同类项目经验（</w:t>
            </w:r>
            <w:r>
              <w:rPr>
                <w:rFonts w:hint="eastAsia" w:ascii="Arial" w:hAnsi="Arial" w:cs="Arial"/>
                <w:kern w:val="0"/>
                <w:sz w:val="21"/>
                <w:szCs w:val="21"/>
                <w:highlight w:val="none"/>
                <w:lang w:val="en-US" w:eastAsia="zh-CN" w:bidi="ar-SA"/>
              </w:rPr>
              <w:t>10</w:t>
            </w:r>
            <w:r>
              <w:rPr>
                <w:rFonts w:ascii="Arial" w:hAnsi="Arial" w:eastAsia="宋体" w:cs="Arial"/>
                <w:kern w:val="0"/>
                <w:sz w:val="21"/>
                <w:szCs w:val="21"/>
                <w:highlight w:val="none"/>
                <w:lang w:val="en-US" w:eastAsia="zh-CN" w:bidi="ar-SA"/>
              </w:rPr>
              <w:t>分）：近</w:t>
            </w:r>
            <w:r>
              <w:rPr>
                <w:rFonts w:hint="eastAsia" w:ascii="Arial" w:hAnsi="Arial" w:cs="Arial"/>
                <w:kern w:val="0"/>
                <w:sz w:val="21"/>
                <w:szCs w:val="21"/>
                <w:highlight w:val="none"/>
                <w:lang w:val="en-US" w:eastAsia="zh-CN" w:bidi="ar-SA"/>
              </w:rPr>
              <w:t>5</w:t>
            </w:r>
            <w:r>
              <w:rPr>
                <w:rFonts w:ascii="Arial" w:hAnsi="Arial" w:eastAsia="宋体" w:cs="Arial"/>
                <w:kern w:val="0"/>
                <w:sz w:val="21"/>
                <w:szCs w:val="21"/>
                <w:highlight w:val="none"/>
                <w:lang w:val="en-US" w:eastAsia="zh-CN" w:bidi="ar-SA"/>
              </w:rPr>
              <w:t>年承接过</w:t>
            </w:r>
            <w:r>
              <w:rPr>
                <w:rFonts w:hint="eastAsia" w:ascii="Arial" w:hAnsi="Arial" w:cs="Arial"/>
                <w:kern w:val="0"/>
                <w:sz w:val="21"/>
                <w:szCs w:val="21"/>
                <w:highlight w:val="none"/>
                <w:lang w:val="en-US" w:eastAsia="zh-CN" w:bidi="ar-SA"/>
              </w:rPr>
              <w:t>3个售后服务类</w:t>
            </w:r>
            <w:r>
              <w:rPr>
                <w:rFonts w:ascii="Arial" w:hAnsi="Arial" w:eastAsia="宋体" w:cs="Arial"/>
                <w:kern w:val="0"/>
                <w:sz w:val="21"/>
                <w:szCs w:val="21"/>
                <w:highlight w:val="none"/>
                <w:lang w:val="en-US" w:eastAsia="zh-CN" w:bidi="ar-SA"/>
              </w:rPr>
              <w:t>项目，每提供1个合同（附验收报告）得</w:t>
            </w:r>
            <w:r>
              <w:rPr>
                <w:rFonts w:hint="eastAsia" w:ascii="Arial" w:hAnsi="Arial" w:cs="Arial"/>
                <w:kern w:val="0"/>
                <w:sz w:val="21"/>
                <w:szCs w:val="21"/>
                <w:highlight w:val="none"/>
                <w:lang w:val="en-US" w:eastAsia="zh-CN" w:bidi="ar-SA"/>
              </w:rPr>
              <w:t>2</w:t>
            </w:r>
            <w:r>
              <w:rPr>
                <w:rFonts w:ascii="Arial" w:hAnsi="Arial" w:eastAsia="宋体" w:cs="Arial"/>
                <w:kern w:val="0"/>
                <w:sz w:val="21"/>
                <w:szCs w:val="21"/>
                <w:highlight w:val="none"/>
                <w:lang w:val="en-US" w:eastAsia="zh-CN" w:bidi="ar-SA"/>
              </w:rPr>
              <w:t>分，最高</w:t>
            </w:r>
            <w:r>
              <w:rPr>
                <w:rFonts w:hint="eastAsia" w:ascii="Arial" w:hAnsi="Arial" w:cs="Arial"/>
                <w:kern w:val="0"/>
                <w:sz w:val="21"/>
                <w:szCs w:val="21"/>
                <w:highlight w:val="none"/>
                <w:lang w:val="en-US" w:eastAsia="zh-CN" w:bidi="ar-SA"/>
              </w:rPr>
              <w:t>10</w:t>
            </w:r>
            <w:r>
              <w:rPr>
                <w:rFonts w:ascii="Arial" w:hAnsi="Arial" w:eastAsia="宋体" w:cs="Arial"/>
                <w:kern w:val="0"/>
                <w:sz w:val="21"/>
                <w:szCs w:val="21"/>
                <w:highlight w:val="none"/>
                <w:lang w:val="en-US" w:eastAsia="zh-CN" w:bidi="ar-SA"/>
              </w:rPr>
              <w:t>分。</w:t>
            </w:r>
          </w:p>
        </w:tc>
      </w:tr>
      <w:tr w14:paraId="0091D4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49" w:hRule="atLeast"/>
          <w:jc w:val="center"/>
        </w:trPr>
        <w:tc>
          <w:tcPr>
            <w:tcW w:w="845" w:type="dxa"/>
            <w:vMerge w:val="continue"/>
            <w:tcBorders>
              <w:left w:val="single" w:color="auto" w:sz="4" w:space="0"/>
              <w:right w:val="single" w:color="auto" w:sz="4" w:space="0"/>
            </w:tcBorders>
            <w:vAlign w:val="center"/>
          </w:tcPr>
          <w:p w14:paraId="577C1707">
            <w:pPr>
              <w:widowControl/>
              <w:jc w:val="center"/>
              <w:rPr>
                <w:rFonts w:ascii="宋体"/>
              </w:rPr>
            </w:pPr>
          </w:p>
        </w:tc>
        <w:tc>
          <w:tcPr>
            <w:tcW w:w="520" w:type="dxa"/>
            <w:vMerge w:val="continue"/>
            <w:tcBorders>
              <w:left w:val="single" w:color="auto" w:sz="4" w:space="0"/>
              <w:right w:val="single" w:color="auto" w:sz="4" w:space="0"/>
            </w:tcBorders>
            <w:vAlign w:val="center"/>
          </w:tcPr>
          <w:p w14:paraId="741A7FE7">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6DA570C8">
            <w:pPr>
              <w:jc w:val="center"/>
              <w:rPr>
                <w:rFonts w:hint="eastAsia" w:eastAsia="宋体"/>
                <w:lang w:val="en-US" w:eastAsia="zh-CN"/>
              </w:rPr>
            </w:pPr>
            <w:r>
              <w:rPr>
                <w:rFonts w:hint="eastAsia"/>
                <w:lang w:val="en-US" w:eastAsia="zh-CN"/>
              </w:rPr>
              <w:t>售后服务</w:t>
            </w:r>
          </w:p>
        </w:tc>
        <w:tc>
          <w:tcPr>
            <w:tcW w:w="650" w:type="dxa"/>
            <w:tcBorders>
              <w:top w:val="single" w:color="auto" w:sz="4" w:space="0"/>
              <w:left w:val="single" w:color="auto" w:sz="4" w:space="0"/>
              <w:bottom w:val="nil"/>
              <w:right w:val="single" w:color="auto" w:sz="4" w:space="0"/>
            </w:tcBorders>
            <w:vAlign w:val="center"/>
          </w:tcPr>
          <w:p w14:paraId="52229DFC">
            <w:pPr>
              <w:jc w:val="center"/>
              <w:rPr>
                <w:rFonts w:hint="default" w:eastAsia="宋体"/>
                <w:lang w:val="en-US" w:eastAsia="zh-CN"/>
              </w:rPr>
            </w:pPr>
            <w:r>
              <w:rPr>
                <w:rFonts w:hint="eastAsia"/>
                <w:lang w:val="en-US" w:eastAsia="zh-CN"/>
              </w:rPr>
              <w:t>20</w:t>
            </w:r>
          </w:p>
        </w:tc>
        <w:tc>
          <w:tcPr>
            <w:tcW w:w="6153" w:type="dxa"/>
            <w:tcBorders>
              <w:top w:val="single" w:color="auto" w:sz="4" w:space="0"/>
              <w:left w:val="single" w:color="auto" w:sz="4" w:space="0"/>
              <w:bottom w:val="nil"/>
              <w:right w:val="single" w:color="auto" w:sz="4" w:space="0"/>
            </w:tcBorders>
            <w:vAlign w:val="center"/>
          </w:tcPr>
          <w:p w14:paraId="4F813053">
            <w:pPr>
              <w:pStyle w:val="96"/>
            </w:pPr>
            <w:r>
              <w:rPr>
                <w:rFonts w:ascii="Arial" w:hAnsi="Arial" w:eastAsia="宋体" w:cs="Arial"/>
                <w:kern w:val="0"/>
                <w:sz w:val="21"/>
                <w:szCs w:val="21"/>
                <w:lang w:val="en-US" w:eastAsia="zh-CN" w:bidi="ar-SA"/>
              </w:rPr>
              <w:t>响应时效（</w:t>
            </w:r>
            <w:r>
              <w:rPr>
                <w:rFonts w:hint="eastAsia" w:ascii="Arial" w:hAnsi="Arial" w:cs="Arial"/>
                <w:kern w:val="0"/>
                <w:sz w:val="21"/>
                <w:szCs w:val="21"/>
                <w:lang w:val="en-US" w:eastAsia="zh-CN" w:bidi="ar-SA"/>
              </w:rPr>
              <w:t>20</w:t>
            </w:r>
            <w:r>
              <w:rPr>
                <w:rFonts w:ascii="Arial" w:hAnsi="Arial" w:eastAsia="宋体" w:cs="Arial"/>
                <w:kern w:val="0"/>
                <w:sz w:val="21"/>
                <w:szCs w:val="21"/>
                <w:lang w:val="en-US" w:eastAsia="zh-CN" w:bidi="ar-SA"/>
              </w:rPr>
              <w:t>分）：提供7×24小时技术支持，故障响应≤2小时、到场维修≤</w:t>
            </w:r>
            <w:r>
              <w:rPr>
                <w:rFonts w:hint="eastAsia" w:ascii="Arial" w:hAnsi="Arial" w:eastAsia="宋体" w:cs="Arial"/>
                <w:kern w:val="0"/>
                <w:sz w:val="21"/>
                <w:szCs w:val="21"/>
                <w:lang w:val="en-US" w:eastAsia="zh-CN" w:bidi="ar-SA"/>
              </w:rPr>
              <w:t>10</w:t>
            </w:r>
            <w:r>
              <w:rPr>
                <w:rFonts w:ascii="Arial" w:hAnsi="Arial" w:eastAsia="宋体" w:cs="Arial"/>
                <w:kern w:val="0"/>
                <w:sz w:val="21"/>
                <w:szCs w:val="21"/>
                <w:lang w:val="en-US" w:eastAsia="zh-CN" w:bidi="ar-SA"/>
              </w:rPr>
              <w:t>小时的得</w:t>
            </w:r>
            <w:r>
              <w:rPr>
                <w:rFonts w:hint="eastAsia" w:ascii="Arial" w:hAnsi="Arial" w:cs="Arial"/>
                <w:kern w:val="0"/>
                <w:sz w:val="21"/>
                <w:szCs w:val="21"/>
                <w:lang w:val="en-US" w:eastAsia="zh-CN" w:bidi="ar-SA"/>
              </w:rPr>
              <w:t>20</w:t>
            </w:r>
            <w:r>
              <w:rPr>
                <w:rFonts w:ascii="Arial" w:hAnsi="Arial" w:eastAsia="宋体" w:cs="Arial"/>
                <w:kern w:val="0"/>
                <w:sz w:val="21"/>
                <w:szCs w:val="21"/>
                <w:lang w:val="en-US" w:eastAsia="zh-CN" w:bidi="ar-SA"/>
              </w:rPr>
              <w:t>分；响应时效每增加2小时扣</w:t>
            </w:r>
            <w:r>
              <w:rPr>
                <w:rFonts w:hint="eastAsia" w:ascii="Arial" w:hAnsi="Arial" w:cs="Arial"/>
                <w:kern w:val="0"/>
                <w:sz w:val="21"/>
                <w:szCs w:val="21"/>
                <w:lang w:val="en-US" w:eastAsia="zh-CN" w:bidi="ar-SA"/>
              </w:rPr>
              <w:t>5</w:t>
            </w:r>
            <w:r>
              <w:rPr>
                <w:rFonts w:ascii="Arial" w:hAnsi="Arial" w:eastAsia="宋体" w:cs="Arial"/>
                <w:kern w:val="0"/>
                <w:sz w:val="21"/>
                <w:szCs w:val="21"/>
                <w:lang w:val="en-US" w:eastAsia="zh-CN" w:bidi="ar-SA"/>
              </w:rPr>
              <w:t>分。</w:t>
            </w:r>
          </w:p>
        </w:tc>
      </w:tr>
      <w:tr w14:paraId="0405CF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333" w:hRule="atLeast"/>
          <w:jc w:val="center"/>
        </w:trPr>
        <w:tc>
          <w:tcPr>
            <w:tcW w:w="845" w:type="dxa"/>
            <w:vMerge w:val="continue"/>
            <w:tcBorders>
              <w:left w:val="single" w:color="auto" w:sz="4" w:space="0"/>
              <w:bottom w:val="single" w:color="auto" w:sz="4" w:space="0"/>
              <w:right w:val="single" w:color="auto" w:sz="4" w:space="0"/>
            </w:tcBorders>
            <w:vAlign w:val="center"/>
          </w:tcPr>
          <w:p w14:paraId="25917B5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eastAsia="宋体"/>
                <w:szCs w:val="21"/>
                <w:highlight w:val="none"/>
                <w:lang w:eastAsia="zh-CN"/>
              </w:rPr>
            </w:pPr>
          </w:p>
        </w:tc>
        <w:tc>
          <w:tcPr>
            <w:tcW w:w="520" w:type="dxa"/>
            <w:vMerge w:val="continue"/>
            <w:tcBorders>
              <w:left w:val="single" w:color="auto" w:sz="4" w:space="0"/>
              <w:bottom w:val="single" w:color="auto" w:sz="4" w:space="0"/>
              <w:right w:val="single" w:color="auto" w:sz="4" w:space="0"/>
            </w:tcBorders>
            <w:vAlign w:val="center"/>
          </w:tcPr>
          <w:p w14:paraId="1D1047E3">
            <w:pPr>
              <w:jc w:val="center"/>
              <w:rPr>
                <w:rFonts w:hint="eastAsia" w:ascii="宋体"/>
                <w:b/>
                <w:szCs w:val="21"/>
                <w:highlight w:val="none"/>
                <w:lang w:val="en-US" w:eastAsia="zh-CN"/>
              </w:rPr>
            </w:pPr>
          </w:p>
        </w:tc>
        <w:tc>
          <w:tcPr>
            <w:tcW w:w="970" w:type="dxa"/>
            <w:tcBorders>
              <w:top w:val="single" w:color="auto" w:sz="4" w:space="0"/>
              <w:left w:val="single" w:color="auto" w:sz="4" w:space="0"/>
              <w:bottom w:val="single" w:color="auto" w:sz="4" w:space="0"/>
              <w:right w:val="single" w:color="auto" w:sz="4" w:space="0"/>
            </w:tcBorders>
            <w:vAlign w:val="center"/>
          </w:tcPr>
          <w:p w14:paraId="6BEC8315">
            <w:pPr>
              <w:jc w:val="center"/>
              <w:rPr>
                <w:rFonts w:hint="default" w:ascii="宋体" w:hAnsi="宋体" w:eastAsia="宋体"/>
                <w:highlight w:val="none"/>
                <w:lang w:val="en-US" w:eastAsia="zh-CN"/>
              </w:rPr>
            </w:pPr>
            <w:r>
              <w:rPr>
                <w:rFonts w:hint="eastAsia" w:ascii="宋体" w:hAnsi="宋体"/>
                <w:highlight w:val="none"/>
                <w:lang w:val="en-US" w:eastAsia="zh-CN"/>
              </w:rPr>
              <w:t>质量保障</w:t>
            </w:r>
          </w:p>
        </w:tc>
        <w:tc>
          <w:tcPr>
            <w:tcW w:w="650" w:type="dxa"/>
            <w:tcBorders>
              <w:top w:val="single" w:color="auto" w:sz="4" w:space="0"/>
              <w:left w:val="single" w:color="auto" w:sz="4" w:space="0"/>
              <w:bottom w:val="single" w:color="auto" w:sz="4" w:space="0"/>
              <w:right w:val="single" w:color="auto" w:sz="4" w:space="0"/>
            </w:tcBorders>
            <w:vAlign w:val="center"/>
          </w:tcPr>
          <w:p w14:paraId="799F1099">
            <w:pPr>
              <w:spacing w:line="440" w:lineRule="exact"/>
              <w:jc w:val="center"/>
              <w:rPr>
                <w:rFonts w:hint="default" w:ascii="宋体" w:hAnsi="宋体"/>
                <w:highlight w:val="none"/>
                <w:lang w:val="en-US" w:eastAsia="zh-CN"/>
              </w:rPr>
            </w:pPr>
            <w:r>
              <w:rPr>
                <w:rFonts w:hint="eastAsia" w:ascii="宋体" w:hAnsi="宋体"/>
                <w:highlight w:val="none"/>
                <w:lang w:val="en-US" w:eastAsia="zh-CN"/>
              </w:rPr>
              <w:t>20</w:t>
            </w:r>
          </w:p>
        </w:tc>
        <w:tc>
          <w:tcPr>
            <w:tcW w:w="6153" w:type="dxa"/>
            <w:tcBorders>
              <w:top w:val="single" w:color="auto" w:sz="4" w:space="0"/>
              <w:left w:val="single" w:color="auto" w:sz="4" w:space="0"/>
              <w:bottom w:val="nil"/>
              <w:right w:val="single" w:color="auto" w:sz="4" w:space="0"/>
            </w:tcBorders>
            <w:vAlign w:val="center"/>
          </w:tcPr>
          <w:p w14:paraId="169071E5">
            <w:pPr>
              <w:widowControl/>
              <w:snapToGrid w:val="0"/>
              <w:ind w:left="0" w:leftChars="0" w:right="0" w:rightChars="0" w:firstLine="0" w:firstLineChars="0"/>
              <w:jc w:val="left"/>
              <w:rPr>
                <w:rFonts w:ascii="Arial" w:hAnsi="Arial" w:eastAsia="宋体" w:cs="Arial"/>
                <w:kern w:val="0"/>
                <w:sz w:val="21"/>
                <w:szCs w:val="21"/>
                <w:lang w:val="en-US" w:eastAsia="zh-CN" w:bidi="ar-SA"/>
              </w:rPr>
            </w:pPr>
            <w:r>
              <w:rPr>
                <w:rFonts w:ascii="Arial" w:hAnsi="Arial" w:eastAsia="宋体" w:cs="Arial"/>
                <w:kern w:val="0"/>
                <w:sz w:val="21"/>
                <w:szCs w:val="21"/>
                <w:lang w:val="en-US" w:eastAsia="zh-CN" w:bidi="ar-SA"/>
              </w:rPr>
              <w:t>1.产品质量承诺（</w:t>
            </w:r>
            <w:r>
              <w:rPr>
                <w:rFonts w:hint="eastAsia" w:ascii="Arial" w:hAnsi="Arial" w:cs="Arial"/>
                <w:kern w:val="0"/>
                <w:sz w:val="21"/>
                <w:szCs w:val="21"/>
                <w:lang w:val="en-US" w:eastAsia="zh-CN" w:bidi="ar-SA"/>
              </w:rPr>
              <w:t>10</w:t>
            </w:r>
            <w:r>
              <w:rPr>
                <w:rFonts w:ascii="Arial" w:hAnsi="Arial" w:eastAsia="宋体" w:cs="Arial"/>
                <w:kern w:val="0"/>
                <w:sz w:val="21"/>
                <w:szCs w:val="21"/>
                <w:lang w:val="en-US" w:eastAsia="zh-CN" w:bidi="ar-SA"/>
              </w:rPr>
              <w:t>分）：提供原厂质保函且明确质保范围的得</w:t>
            </w:r>
            <w:r>
              <w:rPr>
                <w:rFonts w:hint="eastAsia" w:ascii="Arial" w:hAnsi="Arial" w:cs="Arial"/>
                <w:kern w:val="0"/>
                <w:sz w:val="21"/>
                <w:szCs w:val="21"/>
                <w:lang w:val="en-US" w:eastAsia="zh-CN" w:bidi="ar-SA"/>
              </w:rPr>
              <w:t>8</w:t>
            </w:r>
            <w:r>
              <w:rPr>
                <w:rFonts w:ascii="Arial" w:hAnsi="Arial" w:eastAsia="宋体" w:cs="Arial"/>
                <w:kern w:val="0"/>
                <w:sz w:val="21"/>
                <w:szCs w:val="21"/>
                <w:lang w:val="en-US" w:eastAsia="zh-CN" w:bidi="ar-SA"/>
              </w:rPr>
              <w:t>-</w:t>
            </w:r>
            <w:r>
              <w:rPr>
                <w:rFonts w:hint="eastAsia" w:ascii="Arial" w:hAnsi="Arial" w:cs="Arial"/>
                <w:kern w:val="0"/>
                <w:sz w:val="21"/>
                <w:szCs w:val="21"/>
                <w:lang w:val="en-US" w:eastAsia="zh-CN" w:bidi="ar-SA"/>
              </w:rPr>
              <w:t>10</w:t>
            </w:r>
            <w:r>
              <w:rPr>
                <w:rFonts w:ascii="Arial" w:hAnsi="Arial" w:eastAsia="宋体" w:cs="Arial"/>
                <w:kern w:val="0"/>
                <w:sz w:val="21"/>
                <w:szCs w:val="21"/>
                <w:lang w:val="en-US" w:eastAsia="zh-CN" w:bidi="ar-SA"/>
              </w:rPr>
              <w:t>分；仅提供标准质保的得</w:t>
            </w:r>
            <w:r>
              <w:rPr>
                <w:rFonts w:hint="eastAsia" w:ascii="Arial" w:hAnsi="Arial" w:cs="Arial"/>
                <w:kern w:val="0"/>
                <w:sz w:val="21"/>
                <w:szCs w:val="21"/>
                <w:lang w:val="en-US" w:eastAsia="zh-CN" w:bidi="ar-SA"/>
              </w:rPr>
              <w:t>5</w:t>
            </w:r>
            <w:r>
              <w:rPr>
                <w:rFonts w:ascii="Arial" w:hAnsi="Arial" w:eastAsia="宋体" w:cs="Arial"/>
                <w:kern w:val="0"/>
                <w:sz w:val="21"/>
                <w:szCs w:val="21"/>
                <w:lang w:val="en-US" w:eastAsia="zh-CN" w:bidi="ar-SA"/>
              </w:rPr>
              <w:t>-</w:t>
            </w:r>
            <w:r>
              <w:rPr>
                <w:rFonts w:hint="eastAsia" w:ascii="Arial" w:hAnsi="Arial" w:cs="Arial"/>
                <w:kern w:val="0"/>
                <w:sz w:val="21"/>
                <w:szCs w:val="21"/>
                <w:lang w:val="en-US" w:eastAsia="zh-CN" w:bidi="ar-SA"/>
              </w:rPr>
              <w:t>8</w:t>
            </w:r>
            <w:r>
              <w:rPr>
                <w:rFonts w:ascii="Arial" w:hAnsi="Arial" w:eastAsia="宋体" w:cs="Arial"/>
                <w:kern w:val="0"/>
                <w:sz w:val="21"/>
                <w:szCs w:val="21"/>
                <w:lang w:val="en-US" w:eastAsia="zh-CN" w:bidi="ar-SA"/>
              </w:rPr>
              <w:t>分；质保期限不足的得0-</w:t>
            </w:r>
            <w:r>
              <w:rPr>
                <w:rFonts w:hint="eastAsia" w:ascii="Arial" w:hAnsi="Arial" w:cs="Arial"/>
                <w:kern w:val="0"/>
                <w:sz w:val="21"/>
                <w:szCs w:val="21"/>
                <w:lang w:val="en-US" w:eastAsia="zh-CN" w:bidi="ar-SA"/>
              </w:rPr>
              <w:t>5</w:t>
            </w:r>
            <w:r>
              <w:rPr>
                <w:rFonts w:ascii="Arial" w:hAnsi="Arial" w:eastAsia="宋体" w:cs="Arial"/>
                <w:kern w:val="0"/>
                <w:sz w:val="21"/>
                <w:szCs w:val="21"/>
                <w:lang w:val="en-US" w:eastAsia="zh-CN" w:bidi="ar-SA"/>
              </w:rPr>
              <w:t>分。</w:t>
            </w:r>
          </w:p>
          <w:p w14:paraId="2F1B6F63">
            <w:pPr>
              <w:tabs>
                <w:tab w:val="left" w:pos="7854"/>
              </w:tabs>
              <w:spacing w:line="280" w:lineRule="exact"/>
              <w:rPr>
                <w:rFonts w:ascii="Arial" w:hAnsi="Arial" w:cs="Arial"/>
                <w:kern w:val="0"/>
                <w:szCs w:val="21"/>
              </w:rPr>
            </w:pPr>
            <w:r>
              <w:rPr>
                <w:rFonts w:ascii="Arial" w:hAnsi="Arial" w:eastAsia="宋体" w:cs="Arial"/>
                <w:kern w:val="0"/>
                <w:sz w:val="21"/>
                <w:szCs w:val="21"/>
                <w:lang w:val="en-US" w:eastAsia="zh-CN" w:bidi="ar-SA"/>
              </w:rPr>
              <w:t>2.</w:t>
            </w:r>
            <w:r>
              <w:rPr>
                <w:rFonts w:hint="eastAsia" w:ascii="Arial" w:hAnsi="Arial" w:cs="Arial"/>
                <w:kern w:val="0"/>
                <w:sz w:val="21"/>
                <w:szCs w:val="21"/>
                <w:lang w:val="en-US" w:eastAsia="zh-CN" w:bidi="ar-SA"/>
              </w:rPr>
              <w:t>原厂服务</w:t>
            </w:r>
            <w:r>
              <w:rPr>
                <w:rFonts w:ascii="Arial" w:hAnsi="Arial" w:eastAsia="宋体" w:cs="Arial"/>
                <w:kern w:val="0"/>
                <w:sz w:val="21"/>
                <w:szCs w:val="21"/>
                <w:lang w:val="en-US" w:eastAsia="zh-CN" w:bidi="ar-SA"/>
              </w:rPr>
              <w:t>（</w:t>
            </w:r>
            <w:r>
              <w:rPr>
                <w:rFonts w:hint="eastAsia" w:ascii="Arial" w:hAnsi="Arial" w:cs="Arial"/>
                <w:kern w:val="0"/>
                <w:sz w:val="21"/>
                <w:szCs w:val="21"/>
                <w:lang w:val="en-US" w:eastAsia="zh-CN" w:bidi="ar-SA"/>
              </w:rPr>
              <w:t>10</w:t>
            </w:r>
            <w:r>
              <w:rPr>
                <w:rFonts w:ascii="Arial" w:hAnsi="Arial" w:eastAsia="宋体" w:cs="Arial"/>
                <w:kern w:val="0"/>
                <w:sz w:val="21"/>
                <w:szCs w:val="21"/>
                <w:lang w:val="en-US" w:eastAsia="zh-CN" w:bidi="ar-SA"/>
              </w:rPr>
              <w:t>分）：</w:t>
            </w:r>
            <w:r>
              <w:rPr>
                <w:rFonts w:hint="eastAsia" w:ascii="Arial" w:hAnsi="Arial" w:cs="Arial"/>
                <w:kern w:val="0"/>
                <w:sz w:val="21"/>
                <w:szCs w:val="21"/>
                <w:lang w:val="en-US" w:eastAsia="zh-CN" w:bidi="ar-SA"/>
              </w:rPr>
              <w:t>能保证原厂服务并且供货及服务</w:t>
            </w:r>
            <w:r>
              <w:rPr>
                <w:rFonts w:ascii="Arial" w:hAnsi="Arial" w:eastAsia="宋体" w:cs="Arial"/>
                <w:kern w:val="0"/>
                <w:sz w:val="21"/>
                <w:szCs w:val="21"/>
                <w:lang w:val="en-US" w:eastAsia="zh-CN" w:bidi="ar-SA"/>
              </w:rPr>
              <w:t>方案</w:t>
            </w:r>
            <w:r>
              <w:rPr>
                <w:rFonts w:hint="eastAsia" w:ascii="Arial" w:hAnsi="Arial" w:cs="Arial"/>
                <w:kern w:val="0"/>
                <w:sz w:val="21"/>
                <w:szCs w:val="21"/>
                <w:lang w:val="en-US" w:eastAsia="zh-CN" w:bidi="ar-SA"/>
              </w:rPr>
              <w:t>完善</w:t>
            </w:r>
            <w:r>
              <w:rPr>
                <w:rFonts w:ascii="Arial" w:hAnsi="Arial" w:eastAsia="宋体" w:cs="Arial"/>
                <w:kern w:val="0"/>
                <w:sz w:val="21"/>
                <w:szCs w:val="21"/>
                <w:lang w:val="en-US" w:eastAsia="zh-CN" w:bidi="ar-SA"/>
              </w:rPr>
              <w:t>的得</w:t>
            </w:r>
            <w:r>
              <w:rPr>
                <w:rFonts w:hint="eastAsia" w:ascii="Arial" w:hAnsi="Arial" w:cs="Arial"/>
                <w:kern w:val="0"/>
                <w:sz w:val="21"/>
                <w:szCs w:val="21"/>
                <w:lang w:val="en-US" w:eastAsia="zh-CN" w:bidi="ar-SA"/>
              </w:rPr>
              <w:t>8</w:t>
            </w:r>
            <w:r>
              <w:rPr>
                <w:rFonts w:ascii="Arial" w:hAnsi="Arial" w:eastAsia="宋体" w:cs="Arial"/>
                <w:kern w:val="0"/>
                <w:sz w:val="21"/>
                <w:szCs w:val="21"/>
                <w:lang w:val="en-US" w:eastAsia="zh-CN" w:bidi="ar-SA"/>
              </w:rPr>
              <w:t>-</w:t>
            </w:r>
            <w:r>
              <w:rPr>
                <w:rFonts w:hint="eastAsia" w:ascii="Arial" w:hAnsi="Arial" w:cs="Arial"/>
                <w:kern w:val="0"/>
                <w:sz w:val="21"/>
                <w:szCs w:val="21"/>
                <w:lang w:val="en-US" w:eastAsia="zh-CN" w:bidi="ar-SA"/>
              </w:rPr>
              <w:t>10</w:t>
            </w:r>
            <w:r>
              <w:rPr>
                <w:rFonts w:ascii="Arial" w:hAnsi="Arial" w:eastAsia="宋体" w:cs="Arial"/>
                <w:kern w:val="0"/>
                <w:sz w:val="21"/>
                <w:szCs w:val="21"/>
                <w:lang w:val="en-US" w:eastAsia="zh-CN" w:bidi="ar-SA"/>
              </w:rPr>
              <w:t>分；</w:t>
            </w:r>
            <w:r>
              <w:rPr>
                <w:rFonts w:hint="eastAsia" w:ascii="Arial" w:hAnsi="Arial" w:cs="Arial"/>
                <w:kern w:val="0"/>
                <w:sz w:val="21"/>
                <w:szCs w:val="21"/>
                <w:lang w:val="en-US" w:eastAsia="zh-CN" w:bidi="ar-SA"/>
              </w:rPr>
              <w:t>无法保证原厂服务并且供货及服务</w:t>
            </w:r>
            <w:r>
              <w:rPr>
                <w:rFonts w:ascii="Arial" w:hAnsi="Arial" w:eastAsia="宋体" w:cs="Arial"/>
                <w:kern w:val="0"/>
                <w:sz w:val="21"/>
                <w:szCs w:val="21"/>
                <w:lang w:val="en-US" w:eastAsia="zh-CN" w:bidi="ar-SA"/>
              </w:rPr>
              <w:t>方案不完善的得</w:t>
            </w:r>
            <w:r>
              <w:rPr>
                <w:rFonts w:hint="eastAsia" w:ascii="Arial" w:hAnsi="Arial" w:cs="Arial"/>
                <w:kern w:val="0"/>
                <w:sz w:val="21"/>
                <w:szCs w:val="21"/>
                <w:lang w:val="en-US" w:eastAsia="zh-CN" w:bidi="ar-SA"/>
              </w:rPr>
              <w:t>4</w:t>
            </w:r>
            <w:r>
              <w:rPr>
                <w:rFonts w:ascii="Arial" w:hAnsi="Arial" w:eastAsia="宋体" w:cs="Arial"/>
                <w:kern w:val="0"/>
                <w:sz w:val="21"/>
                <w:szCs w:val="21"/>
                <w:lang w:val="en-US" w:eastAsia="zh-CN" w:bidi="ar-SA"/>
              </w:rPr>
              <w:t>-</w:t>
            </w:r>
            <w:r>
              <w:rPr>
                <w:rFonts w:hint="eastAsia" w:ascii="Arial" w:hAnsi="Arial" w:cs="Arial"/>
                <w:kern w:val="0"/>
                <w:sz w:val="21"/>
                <w:szCs w:val="21"/>
                <w:lang w:val="en-US" w:eastAsia="zh-CN" w:bidi="ar-SA"/>
              </w:rPr>
              <w:t>8</w:t>
            </w:r>
            <w:r>
              <w:rPr>
                <w:rFonts w:ascii="Arial" w:hAnsi="Arial" w:eastAsia="宋体" w:cs="Arial"/>
                <w:kern w:val="0"/>
                <w:sz w:val="21"/>
                <w:szCs w:val="21"/>
                <w:lang w:val="en-US" w:eastAsia="zh-CN" w:bidi="ar-SA"/>
              </w:rPr>
              <w:t>分；无</w:t>
            </w:r>
            <w:r>
              <w:rPr>
                <w:rFonts w:hint="eastAsia" w:ascii="Arial" w:hAnsi="Arial" w:cs="Arial"/>
                <w:kern w:val="0"/>
                <w:sz w:val="21"/>
                <w:szCs w:val="21"/>
                <w:lang w:val="en-US" w:eastAsia="zh-CN" w:bidi="ar-SA"/>
              </w:rPr>
              <w:t>原厂服务并且无供货及服务</w:t>
            </w:r>
            <w:r>
              <w:rPr>
                <w:rFonts w:ascii="Arial" w:hAnsi="Arial" w:eastAsia="宋体" w:cs="Arial"/>
                <w:kern w:val="0"/>
                <w:sz w:val="21"/>
                <w:szCs w:val="21"/>
                <w:lang w:val="en-US" w:eastAsia="zh-CN" w:bidi="ar-SA"/>
              </w:rPr>
              <w:t>方案</w:t>
            </w:r>
            <w:r>
              <w:rPr>
                <w:rFonts w:hint="eastAsia" w:ascii="Arial" w:hAnsi="Arial" w:cs="Arial"/>
                <w:kern w:val="0"/>
                <w:sz w:val="21"/>
                <w:szCs w:val="21"/>
                <w:lang w:val="en-US" w:eastAsia="zh-CN" w:bidi="ar-SA"/>
              </w:rPr>
              <w:t>的</w:t>
            </w:r>
            <w:r>
              <w:rPr>
                <w:rFonts w:ascii="Arial" w:hAnsi="Arial" w:eastAsia="宋体" w:cs="Arial"/>
                <w:kern w:val="0"/>
                <w:sz w:val="21"/>
                <w:szCs w:val="21"/>
                <w:lang w:val="en-US" w:eastAsia="zh-CN" w:bidi="ar-SA"/>
              </w:rPr>
              <w:t>得</w:t>
            </w:r>
            <w:r>
              <w:rPr>
                <w:rFonts w:hint="eastAsia" w:ascii="Arial" w:hAnsi="Arial" w:cs="Arial"/>
                <w:kern w:val="0"/>
                <w:sz w:val="21"/>
                <w:szCs w:val="21"/>
                <w:lang w:val="en-US" w:eastAsia="zh-CN" w:bidi="ar-SA"/>
              </w:rPr>
              <w:t>0</w:t>
            </w:r>
            <w:r>
              <w:rPr>
                <w:rFonts w:ascii="Arial" w:hAnsi="Arial" w:eastAsia="宋体" w:cs="Arial"/>
                <w:kern w:val="0"/>
                <w:sz w:val="21"/>
                <w:szCs w:val="21"/>
                <w:lang w:val="en-US" w:eastAsia="zh-CN" w:bidi="ar-SA"/>
              </w:rPr>
              <w:t>-</w:t>
            </w:r>
            <w:r>
              <w:rPr>
                <w:rFonts w:hint="eastAsia" w:ascii="Arial" w:hAnsi="Arial" w:cs="Arial"/>
                <w:kern w:val="0"/>
                <w:sz w:val="21"/>
                <w:szCs w:val="21"/>
                <w:lang w:val="en-US" w:eastAsia="zh-CN" w:bidi="ar-SA"/>
              </w:rPr>
              <w:t>3</w:t>
            </w:r>
            <w:r>
              <w:rPr>
                <w:rFonts w:ascii="Arial" w:hAnsi="Arial" w:eastAsia="宋体" w:cs="Arial"/>
                <w:kern w:val="0"/>
                <w:sz w:val="21"/>
                <w:szCs w:val="21"/>
                <w:lang w:val="en-US" w:eastAsia="zh-CN" w:bidi="ar-SA"/>
              </w:rPr>
              <w:t>分。</w:t>
            </w:r>
          </w:p>
        </w:tc>
      </w:tr>
      <w:tr w14:paraId="0D265D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015" w:hRule="atLeast"/>
          <w:jc w:val="center"/>
        </w:trPr>
        <w:tc>
          <w:tcPr>
            <w:tcW w:w="9138" w:type="dxa"/>
            <w:gridSpan w:val="5"/>
            <w:tcBorders>
              <w:top w:val="single" w:color="auto" w:sz="4" w:space="0"/>
              <w:left w:val="single" w:color="auto" w:sz="4" w:space="0"/>
              <w:right w:val="single" w:color="auto" w:sz="4" w:space="0"/>
            </w:tcBorders>
            <w:shd w:val="clear" w:color="auto" w:fill="auto"/>
            <w:vAlign w:val="center"/>
          </w:tcPr>
          <w:p w14:paraId="5D14244C">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评标基准价：</w:t>
            </w:r>
          </w:p>
          <w:p w14:paraId="5C45874F">
            <w:pPr>
              <w:keepNext w:val="0"/>
              <w:keepLines w:val="0"/>
              <w:widowControl/>
              <w:numPr>
                <w:ilvl w:val="0"/>
                <w:numId w:val="25"/>
              </w:numPr>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投标人对技术条款或技术参数按照采购清单要求进行逐条实质性响应,如有偏离</w:t>
            </w:r>
            <w:r>
              <w:rPr>
                <w:rFonts w:hint="eastAsia" w:ascii="宋体" w:hAnsi="宋体" w:cs="宋体"/>
                <w:i w:val="0"/>
                <w:iCs w:val="0"/>
                <w:color w:val="000000"/>
                <w:kern w:val="2"/>
                <w:sz w:val="21"/>
                <w:szCs w:val="21"/>
                <w:u w:val="none"/>
                <w:lang w:val="en-US" w:eastAsia="zh-CN" w:bidi="ar-SA"/>
              </w:rPr>
              <w:t>需要</w:t>
            </w:r>
            <w:r>
              <w:rPr>
                <w:rFonts w:hint="eastAsia" w:ascii="宋体" w:hAnsi="宋体" w:eastAsia="宋体" w:cs="宋体"/>
                <w:i w:val="0"/>
                <w:iCs w:val="0"/>
                <w:color w:val="000000"/>
                <w:kern w:val="2"/>
                <w:sz w:val="21"/>
                <w:szCs w:val="21"/>
                <w:u w:val="none"/>
                <w:lang w:val="en-US" w:eastAsia="zh-CN" w:bidi="ar-SA"/>
              </w:rPr>
              <w:t>在技术偏离表中标明。供应商需不低于技术要求的产品质量，满足用户使用需求，供货时需提供对应产品证明资料，若有虚假由供应商承担责任。技术参数要求中如果</w:t>
            </w:r>
            <w:r>
              <w:rPr>
                <w:rFonts w:hint="eastAsia" w:ascii="宋体" w:hAnsi="宋体" w:cs="宋体"/>
                <w:i w:val="0"/>
                <w:iCs w:val="0"/>
                <w:color w:val="000000"/>
                <w:kern w:val="2"/>
                <w:sz w:val="21"/>
                <w:szCs w:val="21"/>
                <w:u w:val="none"/>
                <w:lang w:val="en-US" w:eastAsia="zh-CN" w:bidi="ar-SA"/>
              </w:rPr>
              <w:t>涉及</w:t>
            </w:r>
            <w:r>
              <w:rPr>
                <w:rFonts w:hint="eastAsia" w:ascii="宋体" w:hAnsi="宋体" w:eastAsia="宋体" w:cs="宋体"/>
                <w:i w:val="0"/>
                <w:iCs w:val="0"/>
                <w:color w:val="000000"/>
                <w:kern w:val="2"/>
                <w:sz w:val="21"/>
                <w:szCs w:val="21"/>
                <w:u w:val="none"/>
                <w:lang w:val="en-US" w:eastAsia="zh-CN" w:bidi="ar-SA"/>
              </w:rPr>
              <w:t xml:space="preserve">某项及个性化的描述，均不作为对该产品的特定要求，投标单位可提供不低于技术要求的产品。 </w:t>
            </w:r>
          </w:p>
          <w:p w14:paraId="10029675">
            <w:pPr>
              <w:pStyle w:val="13"/>
              <w:numPr>
                <w:ilvl w:val="0"/>
                <w:numId w:val="25"/>
              </w:numPr>
              <w:ind w:left="0" w:leftChars="0" w:firstLine="0" w:firstLineChars="0"/>
              <w:jc w:val="both"/>
              <w:rPr>
                <w:rStyle w:val="117"/>
                <w:b w:val="0"/>
                <w:bCs w:val="0"/>
                <w:lang w:val="en-US" w:eastAsia="zh-CN" w:bidi="ar"/>
              </w:rPr>
            </w:pPr>
            <w:r>
              <w:rPr>
                <w:rStyle w:val="117"/>
                <w:b w:val="0"/>
                <w:bCs w:val="0"/>
                <w:lang w:val="en-US" w:eastAsia="zh-CN" w:bidi="ar"/>
              </w:rPr>
              <w:t>有效的评标基准价得</w:t>
            </w:r>
            <w:r>
              <w:rPr>
                <w:rStyle w:val="118"/>
                <w:rFonts w:eastAsia="宋体"/>
                <w:b w:val="0"/>
                <w:bCs w:val="0"/>
                <w:lang w:val="en-US" w:eastAsia="zh-CN" w:bidi="ar"/>
              </w:rPr>
              <w:t>100</w:t>
            </w:r>
            <w:r>
              <w:rPr>
                <w:rStyle w:val="117"/>
                <w:b w:val="0"/>
                <w:bCs w:val="0"/>
                <w:lang w:val="en-US" w:eastAsia="zh-CN" w:bidi="ar"/>
              </w:rPr>
              <w:t>分；其他投标人的价格得分按下列公式计算：投标价格得分</w:t>
            </w:r>
            <w:r>
              <w:rPr>
                <w:rStyle w:val="118"/>
                <w:rFonts w:eastAsia="宋体"/>
                <w:b w:val="0"/>
                <w:bCs w:val="0"/>
                <w:lang w:val="en-US" w:eastAsia="zh-CN" w:bidi="ar"/>
              </w:rPr>
              <w:t>=100</w:t>
            </w:r>
            <w:r>
              <w:rPr>
                <w:rStyle w:val="117"/>
                <w:b w:val="0"/>
                <w:bCs w:val="0"/>
                <w:lang w:val="en-US" w:eastAsia="zh-CN" w:bidi="ar"/>
              </w:rPr>
              <w:t>×（评标基准价</w:t>
            </w:r>
            <w:r>
              <w:rPr>
                <w:rStyle w:val="118"/>
                <w:rFonts w:eastAsia="宋体"/>
                <w:b w:val="0"/>
                <w:bCs w:val="0"/>
                <w:lang w:val="en-US" w:eastAsia="zh-CN" w:bidi="ar"/>
              </w:rPr>
              <w:t>/</w:t>
            </w:r>
            <w:r>
              <w:rPr>
                <w:rStyle w:val="117"/>
                <w:b w:val="0"/>
                <w:bCs w:val="0"/>
                <w:lang w:val="en-US" w:eastAsia="zh-CN" w:bidi="ar"/>
              </w:rPr>
              <w:t>投标报价）。</w:t>
            </w:r>
          </w:p>
          <w:p w14:paraId="76534976">
            <w:pPr>
              <w:numPr>
                <w:ilvl w:val="0"/>
                <w:numId w:val="0"/>
              </w:numPr>
              <w:ind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注：得分值取小数点后两位，不足一个百分点的，按照四舍五入法计算。</w:t>
            </w:r>
          </w:p>
          <w:p w14:paraId="73662E61">
            <w:pPr>
              <w:pStyle w:val="13"/>
              <w:jc w:val="both"/>
              <w:rPr>
                <w:rFonts w:hint="default"/>
                <w:lang w:val="en-US" w:eastAsia="zh-CN"/>
              </w:rPr>
            </w:pPr>
            <w:r>
              <w:rPr>
                <w:rFonts w:hint="eastAsia" w:ascii="宋体" w:hAnsi="宋体" w:eastAsia="宋体" w:cs="宋体"/>
                <w:b/>
                <w:bCs/>
                <w:i w:val="0"/>
                <w:iCs w:val="0"/>
                <w:color w:val="000000"/>
                <w:kern w:val="0"/>
                <w:sz w:val="21"/>
                <w:szCs w:val="21"/>
                <w:u w:val="none"/>
                <w:lang w:val="en-US" w:eastAsia="zh-CN" w:bidi="ar"/>
              </w:rPr>
              <w:t>综合得分</w:t>
            </w:r>
            <w:r>
              <w:rPr>
                <w:rFonts w:hint="default" w:ascii="Times New Roman" w:hAnsi="Times New Roman" w:eastAsia="宋体" w:cs="Times New Roman"/>
                <w:b/>
                <w:bCs/>
                <w:i w:val="0"/>
                <w:iCs w:val="0"/>
                <w:color w:val="000000"/>
                <w:kern w:val="0"/>
                <w:sz w:val="21"/>
                <w:szCs w:val="21"/>
                <w:u w:val="none"/>
                <w:lang w:val="en-US" w:eastAsia="zh-CN" w:bidi="ar"/>
              </w:rPr>
              <w:t>=</w:t>
            </w:r>
            <w:r>
              <w:rPr>
                <w:rStyle w:val="120"/>
                <w:lang w:val="en-US" w:eastAsia="zh-CN" w:bidi="ar"/>
              </w:rPr>
              <w:t>技术分×</w:t>
            </w:r>
            <w:r>
              <w:rPr>
                <w:rFonts w:hint="eastAsia" w:ascii="Times New Roman" w:hAnsi="Times New Roman" w:eastAsia="宋体" w:cs="Times New Roman"/>
                <w:b/>
                <w:bCs/>
                <w:i w:val="0"/>
                <w:iCs w:val="0"/>
                <w:color w:val="000000"/>
                <w:kern w:val="0"/>
                <w:sz w:val="21"/>
                <w:szCs w:val="21"/>
                <w:u w:val="none"/>
                <w:lang w:val="en-US" w:eastAsia="zh-CN" w:bidi="ar"/>
              </w:rPr>
              <w:t>30</w:t>
            </w:r>
            <w:r>
              <w:rPr>
                <w:rFonts w:hint="default" w:ascii="Times New Roman" w:hAnsi="Times New Roman" w:eastAsia="宋体" w:cs="Times New Roman"/>
                <w:b/>
                <w:bCs/>
                <w:i w:val="0"/>
                <w:iCs w:val="0"/>
                <w:color w:val="000000"/>
                <w:kern w:val="0"/>
                <w:sz w:val="21"/>
                <w:szCs w:val="21"/>
                <w:u w:val="none"/>
                <w:lang w:val="en-US" w:eastAsia="zh-CN" w:bidi="ar"/>
              </w:rPr>
              <w:t>%</w:t>
            </w:r>
            <w:r>
              <w:rPr>
                <w:rStyle w:val="120"/>
                <w:lang w:val="en-US" w:eastAsia="zh-CN" w:bidi="ar"/>
              </w:rPr>
              <w:t>＋商务标得分×</w:t>
            </w:r>
            <w:r>
              <w:rPr>
                <w:rFonts w:hint="eastAsia" w:ascii="Times New Roman" w:hAnsi="Times New Roman" w:eastAsia="宋体" w:cs="Times New Roman"/>
                <w:b/>
                <w:bCs/>
                <w:i w:val="0"/>
                <w:iCs w:val="0"/>
                <w:color w:val="000000"/>
                <w:kern w:val="0"/>
                <w:sz w:val="21"/>
                <w:szCs w:val="21"/>
                <w:u w:val="none"/>
                <w:lang w:val="en-US" w:eastAsia="zh-CN" w:bidi="ar"/>
              </w:rPr>
              <w:t>70</w:t>
            </w:r>
            <w:r>
              <w:rPr>
                <w:rFonts w:hint="default" w:ascii="Times New Roman" w:hAnsi="Times New Roman" w:eastAsia="宋体" w:cs="Times New Roman"/>
                <w:b/>
                <w:bCs/>
                <w:i w:val="0"/>
                <w:iCs w:val="0"/>
                <w:color w:val="000000"/>
                <w:kern w:val="0"/>
                <w:sz w:val="21"/>
                <w:szCs w:val="21"/>
                <w:u w:val="none"/>
                <w:lang w:val="en-US" w:eastAsia="zh-CN" w:bidi="ar"/>
              </w:rPr>
              <w:t>%</w:t>
            </w:r>
          </w:p>
        </w:tc>
      </w:tr>
    </w:tbl>
    <w:p w14:paraId="06CA64C7">
      <w:pPr>
        <w:pStyle w:val="74"/>
        <w:keepNext w:val="0"/>
        <w:keepLines w:val="0"/>
        <w:pageBreakBefore w:val="0"/>
        <w:widowControl w:val="0"/>
        <w:numPr>
          <w:ilvl w:val="0"/>
          <w:numId w:val="0"/>
        </w:numPr>
        <w:kinsoku/>
        <w:wordWrap/>
        <w:overflowPunct/>
        <w:topLinePunct w:val="0"/>
        <w:autoSpaceDE/>
        <w:autoSpaceDN/>
        <w:bidi w:val="0"/>
        <w:adjustRightInd/>
        <w:snapToGrid/>
        <w:spacing w:before="79" w:beforeLines="25" w:line="440" w:lineRule="exact"/>
        <w:ind w:leftChars="0"/>
        <w:textAlignment w:val="auto"/>
        <w:outlineLvl w:val="3"/>
        <w:rPr>
          <w:rFonts w:hint="eastAsia" w:ascii="宋体" w:hAnsi="宋体" w:eastAsia="宋体" w:cs="宋体"/>
          <w:sz w:val="21"/>
          <w:szCs w:val="21"/>
          <w:lang w:val="en-US" w:eastAsia="zh-CN"/>
        </w:rPr>
      </w:pPr>
    </w:p>
    <w:p w14:paraId="7C0A112D">
      <w:pPr>
        <w:pStyle w:val="74"/>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pPr>
      <w:r>
        <w:rPr>
          <w:rFonts w:hint="eastAsia" w:cs="Times New Roman"/>
          <w:lang w:val="en-US" w:eastAsia="zh-CN"/>
        </w:rPr>
        <w:t>定标</w:t>
      </w:r>
    </w:p>
    <w:p w14:paraId="6B705137">
      <w:pPr>
        <w:pStyle w:val="78"/>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lang w:eastAsia="zh-CN"/>
        </w:rPr>
      </w:pPr>
      <w:r>
        <w:rPr>
          <w:rFonts w:hint="eastAsia"/>
        </w:rPr>
        <w:t>本项目只产生</w:t>
      </w:r>
      <w:r>
        <w:rPr>
          <w:rFonts w:hint="eastAsia"/>
          <w:highlight w:val="none"/>
          <w:u w:val="single"/>
          <w:lang w:val="en-US" w:eastAsia="zh-CN"/>
        </w:rPr>
        <w:t>1</w:t>
      </w:r>
      <w:r>
        <w:rPr>
          <w:rFonts w:hint="eastAsia"/>
        </w:rPr>
        <w:t>个中标人。中标人签订合同前须进行最终审查。最终审查的对象</w:t>
      </w:r>
      <w:r>
        <w:rPr>
          <w:rFonts w:hint="eastAsia"/>
          <w:lang w:val="en-US" w:eastAsia="zh-CN"/>
        </w:rPr>
        <w:t>是</w:t>
      </w:r>
      <w:r>
        <w:rPr>
          <w:rFonts w:hint="eastAsia"/>
        </w:rPr>
        <w:t>投标项目的中标候选人。最终审查的内容是对中标候选人的经营状况、服务质量、资格、信誉以及招标人认为有必要了解的其它问题</w:t>
      </w:r>
      <w:r>
        <w:rPr>
          <w:rFonts w:hint="eastAsia"/>
          <w:lang w:eastAsia="zh-CN"/>
        </w:rPr>
        <w:t>做</w:t>
      </w:r>
      <w:r>
        <w:rPr>
          <w:rFonts w:hint="eastAsia"/>
        </w:rPr>
        <w:t>进一步的</w:t>
      </w:r>
      <w:r>
        <w:rPr>
          <w:rFonts w:hint="eastAsia"/>
          <w:lang w:eastAsia="zh-CN"/>
        </w:rPr>
        <w:t>考察</w:t>
      </w:r>
      <w:r>
        <w:rPr>
          <w:rFonts w:hint="eastAsia"/>
        </w:rPr>
        <w:t>及后审。最终审查的方式，根据需要采取问询或实地查证等方式。如审查结果不符合成交条件</w:t>
      </w:r>
      <w:r>
        <w:rPr>
          <w:rFonts w:hint="eastAsia"/>
          <w:lang w:val="en-US" w:eastAsia="zh-CN"/>
        </w:rPr>
        <w:t>的</w:t>
      </w:r>
      <w:r>
        <w:rPr>
          <w:rFonts w:hint="eastAsia"/>
        </w:rPr>
        <w:t>，则本次评标作废</w:t>
      </w:r>
      <w:r>
        <w:rPr>
          <w:rFonts w:hint="eastAsia"/>
          <w:lang w:val="en-US" w:eastAsia="zh-CN"/>
        </w:rPr>
        <w:t>或变更意向中标人</w:t>
      </w:r>
      <w:r>
        <w:rPr>
          <w:rFonts w:hint="eastAsia"/>
          <w:lang w:eastAsia="zh-CN"/>
        </w:rPr>
        <w:t>。</w:t>
      </w:r>
    </w:p>
    <w:p w14:paraId="434A2260">
      <w:pPr>
        <w:pStyle w:val="74"/>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pPr>
      <w:r>
        <w:rPr>
          <w:rFonts w:hint="eastAsia"/>
          <w:lang w:val="en-US" w:eastAsia="zh-CN"/>
        </w:rPr>
        <w:t>废标及终止招标</w:t>
      </w:r>
    </w:p>
    <w:p w14:paraId="0C3179D2">
      <w:pPr>
        <w:pStyle w:val="74"/>
        <w:keepNext w:val="0"/>
        <w:keepLines w:val="0"/>
        <w:pageBreakBefore w:val="0"/>
        <w:widowControl w:val="0"/>
        <w:numPr>
          <w:ilvl w:val="0"/>
          <w:numId w:val="26"/>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lang w:val="en-US" w:eastAsia="zh-CN"/>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投标人提供的有关资格、资质证明文件不合格、不真实或提供虚假投标材料；</w:t>
      </w:r>
    </w:p>
    <w:p w14:paraId="6FDED8FB">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投标人在报价有效期内撤回投标；</w:t>
      </w:r>
    </w:p>
    <w:p w14:paraId="3376C2B4">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lang w:eastAsia="zh-CN"/>
        </w:rPr>
      </w:pPr>
      <w:r>
        <w:rPr>
          <w:rFonts w:hint="eastAsia"/>
        </w:rPr>
        <w:t>在整个评标过程中，投标人有企图影响评标结果公正性的任何活动；</w:t>
      </w:r>
    </w:p>
    <w:p w14:paraId="43958B1B">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投标人以任何方式诋毁其他投标人；</w:t>
      </w:r>
    </w:p>
    <w:p w14:paraId="4B7A3D41">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投标人串通投标；</w:t>
      </w:r>
    </w:p>
    <w:p w14:paraId="4AFE6A78">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投标人被举报、检举，并经招标人查实无误的；</w:t>
      </w:r>
    </w:p>
    <w:p w14:paraId="34970088">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以他人名义投标或者以其他方式弄虚作假，骗取中标的；</w:t>
      </w:r>
    </w:p>
    <w:p w14:paraId="37A45F95">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投标人负责人为同一人或者存在控股、管理关系的不同单位；</w:t>
      </w:r>
    </w:p>
    <w:p w14:paraId="6BBD4266">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有效投标不足三家；</w:t>
      </w:r>
    </w:p>
    <w:p w14:paraId="1D2B4C1A">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不同投标人的投标文件异常一致或者投标报价呈规律性差异的；</w:t>
      </w:r>
    </w:p>
    <w:p w14:paraId="6C84FB5F">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投标人报价均超过</w:t>
      </w:r>
      <w:r>
        <w:rPr>
          <w:rFonts w:hint="eastAsia"/>
          <w:lang w:val="en-US" w:eastAsia="zh-CN"/>
        </w:rPr>
        <w:t>最高限价</w:t>
      </w:r>
      <w:r>
        <w:rPr>
          <w:rFonts w:hint="eastAsia"/>
        </w:rPr>
        <w:t>的；</w:t>
      </w:r>
    </w:p>
    <w:p w14:paraId="627A4FDE">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未按要求填报商务报价资料，对招标开展造成较大影响；</w:t>
      </w:r>
    </w:p>
    <w:p w14:paraId="720979DB">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lang w:val="en-US" w:eastAsia="zh-CN"/>
        </w:rPr>
        <w:t>未按照招标人规定的时间内在中国重汽e采通完成投标的；</w:t>
      </w:r>
    </w:p>
    <w:p w14:paraId="2A852CD1">
      <w:pPr>
        <w:pStyle w:val="78"/>
        <w:keepNext w:val="0"/>
        <w:keepLines w:val="0"/>
        <w:pageBreakBefore w:val="0"/>
        <w:widowControl w:val="0"/>
        <w:numPr>
          <w:ilvl w:val="1"/>
          <w:numId w:val="27"/>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rPr>
        <w:t>法律、法规规定的其他情况。</w:t>
      </w:r>
    </w:p>
    <w:p w14:paraId="215E3D0C">
      <w:pPr>
        <w:pStyle w:val="74"/>
        <w:keepNext w:val="0"/>
        <w:keepLines w:val="0"/>
        <w:pageBreakBefore w:val="0"/>
        <w:widowControl w:val="0"/>
        <w:numPr>
          <w:ilvl w:val="0"/>
          <w:numId w:val="26"/>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lang w:val="en-US" w:eastAsia="zh-CN"/>
        </w:rPr>
        <w:t>出现下列情形之一，招标人有权否决所有投标人的投标，并终止招标。</w:t>
      </w:r>
    </w:p>
    <w:p w14:paraId="6BC017B6">
      <w:pPr>
        <w:keepNext w:val="0"/>
        <w:keepLines w:val="0"/>
        <w:pageBreakBefore w:val="0"/>
        <w:widowControl w:val="0"/>
        <w:numPr>
          <w:ilvl w:val="1"/>
          <w:numId w:val="26"/>
        </w:numPr>
        <w:kinsoku/>
        <w:wordWrap/>
        <w:overflowPunct/>
        <w:topLinePunct w:val="0"/>
        <w:autoSpaceDE/>
        <w:autoSpaceDN/>
        <w:bidi w:val="0"/>
        <w:adjustRightInd/>
        <w:snapToGrid/>
        <w:spacing w:line="440" w:lineRule="exact"/>
        <w:ind w:left="0" w:leftChars="0" w:right="0" w:rightChars="0" w:firstLine="0" w:firstLineChars="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符合条件的投标人或者对招标文件做实质响应的投标人不足三家的；</w:t>
      </w:r>
    </w:p>
    <w:p w14:paraId="4633ED60">
      <w:pPr>
        <w:keepNext w:val="0"/>
        <w:keepLines w:val="0"/>
        <w:pageBreakBefore w:val="0"/>
        <w:widowControl w:val="0"/>
        <w:numPr>
          <w:ilvl w:val="1"/>
          <w:numId w:val="26"/>
        </w:numPr>
        <w:kinsoku/>
        <w:wordWrap/>
        <w:overflowPunct/>
        <w:topLinePunct w:val="0"/>
        <w:autoSpaceDE/>
        <w:autoSpaceDN/>
        <w:bidi w:val="0"/>
        <w:adjustRightInd/>
        <w:snapToGrid/>
        <w:spacing w:line="440" w:lineRule="exact"/>
        <w:ind w:left="0" w:leftChars="0" w:right="0"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1"/>
          <w:numId w:val="26"/>
        </w:numPr>
        <w:kinsoku/>
        <w:wordWrap/>
        <w:overflowPunct/>
        <w:topLinePunct w:val="0"/>
        <w:autoSpaceDE/>
        <w:autoSpaceDN/>
        <w:bidi w:val="0"/>
        <w:adjustRightInd/>
        <w:snapToGrid/>
        <w:spacing w:line="440" w:lineRule="exact"/>
        <w:ind w:left="0" w:leftChars="0" w:right="0"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评标委员会经评审，认为所有投标都不符合招标文件要求的；</w:t>
      </w:r>
    </w:p>
    <w:p w14:paraId="1872B765">
      <w:pPr>
        <w:keepNext w:val="0"/>
        <w:keepLines w:val="0"/>
        <w:pageBreakBefore w:val="0"/>
        <w:widowControl w:val="0"/>
        <w:numPr>
          <w:ilvl w:val="1"/>
          <w:numId w:val="26"/>
        </w:numPr>
        <w:kinsoku/>
        <w:wordWrap/>
        <w:overflowPunct/>
        <w:topLinePunct w:val="0"/>
        <w:autoSpaceDE/>
        <w:autoSpaceDN/>
        <w:bidi w:val="0"/>
        <w:adjustRightInd/>
        <w:snapToGrid/>
        <w:spacing w:line="440" w:lineRule="exact"/>
        <w:ind w:left="0" w:leftChars="0" w:right="0"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因重大变故，采购任务取消的</w:t>
      </w:r>
      <w:bookmarkStart w:id="6" w:name="OLE_LINK29"/>
      <w:bookmarkStart w:id="7" w:name="OLE_LINK28"/>
      <w:bookmarkStart w:id="8" w:name="OLE_LINK27"/>
      <w:bookmarkStart w:id="9" w:name="OLE_LINK25"/>
      <w:bookmarkStart w:id="10" w:name="OLE_LINK26"/>
      <w:r>
        <w:rPr>
          <w:rFonts w:hint="eastAsia" w:ascii="宋体" w:hAnsi="宋体" w:eastAsia="宋体" w:cs="宋体"/>
          <w:sz w:val="21"/>
          <w:szCs w:val="21"/>
          <w:highlight w:val="none"/>
        </w:rPr>
        <w:t>；</w:t>
      </w:r>
      <w:bookmarkEnd w:id="6"/>
      <w:bookmarkEnd w:id="7"/>
      <w:bookmarkEnd w:id="8"/>
      <w:bookmarkEnd w:id="9"/>
      <w:bookmarkEnd w:id="10"/>
    </w:p>
    <w:p w14:paraId="5CD1D199">
      <w:pPr>
        <w:keepNext w:val="0"/>
        <w:keepLines w:val="0"/>
        <w:pageBreakBefore w:val="0"/>
        <w:widowControl w:val="0"/>
        <w:numPr>
          <w:ilvl w:val="1"/>
          <w:numId w:val="26"/>
        </w:numPr>
        <w:kinsoku/>
        <w:wordWrap/>
        <w:overflowPunct/>
        <w:topLinePunct w:val="0"/>
        <w:autoSpaceDE/>
        <w:autoSpaceDN/>
        <w:bidi w:val="0"/>
        <w:adjustRightInd/>
        <w:snapToGrid/>
        <w:spacing w:line="440" w:lineRule="exact"/>
        <w:ind w:left="0" w:leftChars="0" w:right="0"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招标人认为其他应终止招标的情形。</w:t>
      </w:r>
    </w:p>
    <w:p w14:paraId="24E6827E">
      <w:pPr>
        <w:pStyle w:val="74"/>
        <w:keepNext w:val="0"/>
        <w:keepLines w:val="0"/>
        <w:pageBreakBefore w:val="0"/>
        <w:widowControl w:val="0"/>
        <w:numPr>
          <w:ilvl w:val="0"/>
          <w:numId w:val="26"/>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lang w:val="en-US" w:eastAsia="zh-CN"/>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4"/>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pPr>
      <w:r>
        <w:rPr>
          <w:rFonts w:hint="eastAsia" w:hAnsi="Courier New" w:cs="Times New Roman"/>
          <w:highlight w:val="none"/>
          <w:lang w:val="en-US" w:eastAsia="zh-CN"/>
        </w:rPr>
        <w:t>合同</w:t>
      </w:r>
      <w:r>
        <w:rPr>
          <w:rFonts w:hint="eastAsia"/>
          <w:lang w:val="en-US" w:eastAsia="zh-CN"/>
        </w:rPr>
        <w:t>签订</w:t>
      </w:r>
    </w:p>
    <w:p w14:paraId="38A4E3E0">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leftChars="0" w:firstLine="0" w:firstLineChars="0"/>
        <w:textAlignment w:val="auto"/>
        <w:rPr>
          <w:rFonts w:ascii="宋体" w:hAnsi="宋体" w:cs="宋体"/>
          <w:color w:val="000000"/>
          <w:sz w:val="21"/>
          <w:szCs w:val="21"/>
        </w:rPr>
      </w:pPr>
      <w:r>
        <w:rPr>
          <w:rFonts w:hint="eastAsia" w:ascii="宋体" w:hAnsi="宋体" w:cs="宋体"/>
          <w:color w:val="000000"/>
          <w:sz w:val="21"/>
          <w:szCs w:val="21"/>
        </w:rPr>
        <w:t>招标人根据评标工作小组的评标结果确定中标人，在重汽e采通平台公布中标结果，并发送中标通知。</w:t>
      </w:r>
    </w:p>
    <w:p w14:paraId="01A8757D">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leftChars="0" w:firstLine="0" w:firstLineChars="0"/>
        <w:textAlignment w:val="auto"/>
        <w:rPr>
          <w:rFonts w:ascii="宋体" w:hAnsi="宋体" w:cs="宋体"/>
          <w:color w:val="000000"/>
          <w:sz w:val="21"/>
          <w:szCs w:val="21"/>
        </w:rPr>
      </w:pPr>
      <w:r>
        <w:rPr>
          <w:rFonts w:hint="eastAsia" w:ascii="宋体" w:hAnsi="宋体" w:cs="宋体"/>
          <w:color w:val="000000"/>
          <w:sz w:val="21"/>
          <w:szCs w:val="21"/>
        </w:rPr>
        <w:t>中标人应该在中标通知书规定的时间、地点与招标人签订采购合同，否则按照开标后撤回投标处理。</w:t>
      </w:r>
    </w:p>
    <w:p w14:paraId="05680D5A">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leftChars="0" w:firstLine="0" w:firstLineChars="0"/>
        <w:textAlignment w:val="auto"/>
        <w:rPr>
          <w:rFonts w:ascii="宋体" w:hAnsi="宋体" w:cs="宋体"/>
          <w:b w:val="0"/>
          <w:bCs w:val="0"/>
          <w:sz w:val="21"/>
          <w:szCs w:val="21"/>
        </w:rPr>
      </w:pPr>
      <w:r>
        <w:rPr>
          <w:rFonts w:hint="eastAsia" w:ascii="宋体" w:hAnsi="宋体" w:cs="宋体"/>
          <w:b w:val="0"/>
          <w:bCs w:val="0"/>
          <w:color w:val="000000"/>
          <w:sz w:val="21"/>
          <w:szCs w:val="21"/>
        </w:rPr>
        <w:t>中标人应当按照合同约定的履约责任，在保证质量的前提下完成中标项目，不得将中标项目转包或分包给他人，否则视为违约，招标人有权解除合同。</w:t>
      </w:r>
    </w:p>
    <w:p w14:paraId="096ACE9E">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leftChars="0" w:firstLine="0" w:firstLineChars="0"/>
        <w:textAlignment w:val="auto"/>
      </w:pPr>
      <w:r>
        <w:rPr>
          <w:rFonts w:hint="eastAsia" w:ascii="宋体" w:hAnsi="宋体" w:cs="宋体"/>
          <w:b w:val="0"/>
          <w:bCs w:val="0"/>
          <w:color w:val="000000"/>
          <w:sz w:val="21"/>
          <w:szCs w:val="21"/>
        </w:rPr>
        <w:t>招标人有权指定招标人的关联单位作为合同签订人，与中标人签署相关合同，且具体权利义务以中标人与招标人的关联公司最终签署的合同为准</w:t>
      </w:r>
      <w:r>
        <w:rPr>
          <w:rFonts w:hint="eastAsia" w:ascii="宋体" w:hAnsi="宋体" w:cs="宋体"/>
          <w:b w:val="0"/>
          <w:bCs w:val="0"/>
          <w:color w:val="000000"/>
          <w:sz w:val="21"/>
          <w:szCs w:val="21"/>
          <w:lang w:eastAsia="zh-CN"/>
        </w:rPr>
        <w:t>。</w:t>
      </w:r>
    </w:p>
    <w:p w14:paraId="5591E191">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val="0"/>
          <w:color w:val="000000"/>
          <w:sz w:val="21"/>
          <w:szCs w:val="21"/>
          <w:highlight w:val="none"/>
        </w:rPr>
      </w:pPr>
      <w:r>
        <w:rPr>
          <w:rFonts w:hint="eastAsia" w:ascii="宋体" w:hAnsi="宋体" w:cs="宋体"/>
          <w:b/>
          <w:bCs w:val="0"/>
          <w:sz w:val="21"/>
          <w:szCs w:val="21"/>
        </w:rPr>
        <w:t>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numPr>
          <w:ilvl w:val="0"/>
          <w:numId w:val="2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val="0"/>
          <w:color w:val="000000"/>
          <w:sz w:val="21"/>
          <w:szCs w:val="21"/>
          <w:highlight w:val="none"/>
        </w:rPr>
      </w:pPr>
      <w:r>
        <w:rPr>
          <w:rFonts w:hint="eastAsia" w:ascii="宋体" w:hAnsi="宋体" w:cs="宋体"/>
          <w:b/>
          <w:bCs w:val="0"/>
          <w:sz w:val="21"/>
          <w:szCs w:val="21"/>
        </w:rPr>
        <w:t>合同以双方最终签署的版本为准。</w:t>
      </w:r>
    </w:p>
    <w:p w14:paraId="610E8BB3">
      <w:pPr>
        <w:pStyle w:val="74"/>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pPr>
      <w:r>
        <w:rPr>
          <w:rFonts w:hint="eastAsia"/>
          <w:lang w:val="en-US" w:eastAsia="zh-CN"/>
        </w:rPr>
        <w:t>交货及付款</w:t>
      </w:r>
    </w:p>
    <w:p w14:paraId="0DD46053">
      <w:pPr>
        <w:pStyle w:val="78"/>
        <w:keepNext w:val="0"/>
        <w:keepLines w:val="0"/>
        <w:pageBreakBefore w:val="0"/>
        <w:widowControl w:val="0"/>
        <w:numPr>
          <w:ilvl w:val="0"/>
          <w:numId w:val="29"/>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lang w:val="en-US" w:eastAsia="zh-CN"/>
        </w:rPr>
      </w:pPr>
      <w:r>
        <w:rPr>
          <w:rFonts w:hint="eastAsia" w:cs="Times New Roman"/>
          <w:lang w:val="en-US" w:eastAsia="zh-CN"/>
        </w:rPr>
        <w:t>交货期：以最终签署的协议（或合同）约定为准。</w:t>
      </w:r>
    </w:p>
    <w:p w14:paraId="6AAC4A46">
      <w:pPr>
        <w:pStyle w:val="78"/>
        <w:keepNext w:val="0"/>
        <w:keepLines w:val="0"/>
        <w:pageBreakBefore w:val="0"/>
        <w:widowControl w:val="0"/>
        <w:numPr>
          <w:ilvl w:val="0"/>
          <w:numId w:val="29"/>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none"/>
          <w:lang w:val="en-US" w:eastAsia="zh-CN"/>
        </w:rPr>
      </w:pPr>
      <w:r>
        <w:rPr>
          <w:rFonts w:hint="eastAsia" w:cs="Times New Roman"/>
          <w:lang w:val="en-US" w:eastAsia="zh-CN"/>
        </w:rPr>
        <w:t>交货地点：</w:t>
      </w:r>
      <w:r>
        <w:rPr>
          <w:rFonts w:hint="eastAsia" w:ascii="宋体" w:hAnsi="Courier New" w:eastAsia="宋体" w:cs="Times New Roman"/>
          <w:kern w:val="2"/>
          <w:sz w:val="21"/>
          <w:highlight w:val="none"/>
          <w:lang w:val="en-US" w:eastAsia="zh-CN" w:bidi="ar-SA"/>
        </w:rPr>
        <w:t>济南市高新区华奥路777号</w:t>
      </w:r>
    </w:p>
    <w:p w14:paraId="6C8560A2">
      <w:pPr>
        <w:pStyle w:val="78"/>
        <w:keepNext w:val="0"/>
        <w:keepLines w:val="0"/>
        <w:pageBreakBefore w:val="0"/>
        <w:widowControl w:val="0"/>
        <w:numPr>
          <w:ilvl w:val="0"/>
          <w:numId w:val="29"/>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highlight w:val="none"/>
          <w:lang w:val="en-US" w:eastAsia="zh-CN"/>
        </w:rPr>
      </w:pPr>
      <w:r>
        <w:rPr>
          <w:rFonts w:hint="eastAsia" w:cs="Times New Roman"/>
          <w:highlight w:val="none"/>
          <w:lang w:val="en-US" w:eastAsia="zh-CN"/>
        </w:rPr>
        <w:t>交货方式：当面交付</w:t>
      </w:r>
    </w:p>
    <w:p w14:paraId="3089FF21">
      <w:pPr>
        <w:pStyle w:val="78"/>
        <w:keepNext w:val="0"/>
        <w:keepLines w:val="0"/>
        <w:pageBreakBefore w:val="0"/>
        <w:widowControl w:val="0"/>
        <w:numPr>
          <w:ilvl w:val="0"/>
          <w:numId w:val="29"/>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lang w:val="en-US" w:eastAsia="zh-CN"/>
        </w:rPr>
      </w:pPr>
      <w:r>
        <w:rPr>
          <w:rFonts w:hint="eastAsia" w:cs="Times New Roman"/>
          <w:highlight w:val="none"/>
          <w:lang w:val="en-US" w:eastAsia="zh-CN"/>
        </w:rPr>
        <w:t>质保期：</w:t>
      </w:r>
      <w:r>
        <w:rPr>
          <w:rFonts w:hint="eastAsia" w:cs="Times New Roman"/>
          <w:lang w:val="en-US" w:eastAsia="zh-CN"/>
        </w:rPr>
        <w:t>以最终签署的协议（或合同）约定为准。</w:t>
      </w:r>
    </w:p>
    <w:p w14:paraId="50BED62E">
      <w:pPr>
        <w:pStyle w:val="78"/>
        <w:keepNext w:val="0"/>
        <w:keepLines w:val="0"/>
        <w:pageBreakBefore w:val="0"/>
        <w:widowControl w:val="0"/>
        <w:numPr>
          <w:ilvl w:val="0"/>
          <w:numId w:val="29"/>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u w:val="single"/>
          <w:lang w:val="en-US" w:eastAsia="zh-CN"/>
        </w:rPr>
      </w:pPr>
      <w:r>
        <w:rPr>
          <w:rFonts w:hint="eastAsia" w:cs="Times New Roman"/>
          <w:lang w:val="en-US" w:eastAsia="zh-CN"/>
        </w:rPr>
        <w:t>付款方式：</w:t>
      </w:r>
      <w:r>
        <w:rPr>
          <w:rFonts w:hint="eastAsia" w:cs="Times New Roman"/>
          <w:b/>
          <w:bCs w:val="0"/>
          <w:color w:val="auto"/>
          <w:highlight w:val="none"/>
          <w:u w:val="single"/>
          <w:lang w:val="en-US" w:eastAsia="zh-CN"/>
        </w:rPr>
        <w:t>半年期商业汇票（包括银行承兑汇票和商业承兑汇票）</w:t>
      </w:r>
      <w:r>
        <w:rPr>
          <w:rFonts w:hint="eastAsia" w:cs="Times New Roman"/>
          <w:b w:val="0"/>
          <w:bCs/>
          <w:color w:val="auto"/>
          <w:highlight w:val="none"/>
          <w:u w:val="single"/>
          <w:lang w:val="en-US" w:eastAsia="zh-CN"/>
        </w:rPr>
        <w:t>。</w:t>
      </w:r>
    </w:p>
    <w:p w14:paraId="36776B88">
      <w:pPr>
        <w:pStyle w:val="78"/>
        <w:keepNext w:val="0"/>
        <w:keepLines w:val="0"/>
        <w:pageBreakBefore w:val="0"/>
        <w:widowControl w:val="0"/>
        <w:numPr>
          <w:ilvl w:val="0"/>
          <w:numId w:val="29"/>
        </w:numPr>
        <w:kinsoku/>
        <w:wordWrap/>
        <w:overflowPunct/>
        <w:topLinePunct w:val="0"/>
        <w:autoSpaceDE/>
        <w:autoSpaceDN/>
        <w:bidi w:val="0"/>
        <w:adjustRightInd/>
        <w:snapToGrid/>
        <w:spacing w:line="440" w:lineRule="exact"/>
        <w:ind w:left="0" w:leftChars="0" w:firstLine="0" w:firstLineChars="0"/>
        <w:textAlignment w:val="auto"/>
        <w:rPr>
          <w:rFonts w:hint="eastAsia" w:cs="Times New Roman"/>
          <w:lang w:val="en-US" w:eastAsia="zh-CN"/>
        </w:rPr>
      </w:pPr>
      <w:r>
        <w:rPr>
          <w:rFonts w:hint="eastAsia" w:cs="Times New Roman"/>
          <w:lang w:val="en-US" w:eastAsia="zh-CN"/>
        </w:rPr>
        <w:t>付款节点：</w:t>
      </w:r>
    </w:p>
    <w:p w14:paraId="6A591DAD">
      <w:pPr>
        <w:pStyle w:val="77"/>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outlineLvl w:val="9"/>
        <w:rPr>
          <w:rFonts w:hint="eastAsia" w:cs="Times New Roman"/>
          <w:b w:val="0"/>
          <w:bCs/>
          <w:i w:val="0"/>
          <w:iCs w:val="0"/>
          <w:color w:val="auto"/>
          <w:highlight w:val="none"/>
          <w:u w:val="single"/>
          <w:lang w:val="en-US" w:eastAsia="zh-CN"/>
        </w:rPr>
      </w:pPr>
      <w:r>
        <w:rPr>
          <w:rFonts w:hint="eastAsia" w:cs="Times New Roman"/>
          <w:b w:val="0"/>
          <w:bCs/>
          <w:i w:val="0"/>
          <w:iCs w:val="0"/>
          <w:color w:val="auto"/>
          <w:highlight w:val="none"/>
          <w:u w:val="single"/>
          <w:lang w:val="en-US" w:eastAsia="zh-CN"/>
        </w:rPr>
        <w:t>1.乙方完成甲方的需求，乙方开具合同价款90%的收据并100%的增值税专用发票，经甲方核对无误后支付90%。质保金10%在质保期（一年）届满后开具合同价款10%的收据后支付。</w:t>
      </w:r>
    </w:p>
    <w:p w14:paraId="0497352D">
      <w:pPr>
        <w:pStyle w:val="78"/>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cs="Times New Roman"/>
          <w:lang w:val="en-US" w:eastAsia="zh-CN"/>
        </w:rPr>
      </w:pPr>
      <w:r>
        <w:rPr>
          <w:rFonts w:hint="eastAsia" w:cs="Times New Roman"/>
          <w:lang w:val="en-US" w:eastAsia="zh-CN"/>
        </w:rPr>
        <w:t>2.付款方式和付款比例不允许偏离</w:t>
      </w:r>
    </w:p>
    <w:p w14:paraId="6E0D7439">
      <w:pPr>
        <w:pStyle w:val="74"/>
        <w:keepNext w:val="0"/>
        <w:keepLines w:val="0"/>
        <w:pageBreakBefore w:val="0"/>
        <w:widowControl w:val="0"/>
        <w:kinsoku/>
        <w:wordWrap/>
        <w:overflowPunct/>
        <w:topLinePunct w:val="0"/>
        <w:autoSpaceDE/>
        <w:autoSpaceDN/>
        <w:bidi w:val="0"/>
        <w:adjustRightInd/>
        <w:snapToGrid/>
        <w:spacing w:before="313" w:beforeLines="100" w:after="157" w:afterLines="50" w:line="480" w:lineRule="exact"/>
        <w:ind w:left="0" w:firstLine="0"/>
        <w:textAlignment w:val="auto"/>
        <w:rPr>
          <w:rFonts w:hint="eastAsia"/>
          <w:highlight w:val="none"/>
          <w:lang w:val="en-US" w:eastAsia="zh-CN"/>
        </w:rPr>
      </w:pPr>
      <w:r>
        <w:rPr>
          <w:rFonts w:hint="eastAsia"/>
          <w:lang w:val="en-US" w:eastAsia="zh-CN"/>
        </w:rPr>
        <w:t>本次招标最终解释权归</w:t>
      </w:r>
      <w:r>
        <w:rPr>
          <w:rFonts w:hint="eastAsia"/>
          <w:highlight w:val="none"/>
          <w:lang w:val="en-US" w:eastAsia="zh-CN"/>
        </w:rPr>
        <w:t>中国重汽集团济南动力有限公司。</w:t>
      </w:r>
    </w:p>
    <w:p w14:paraId="66BCACD8">
      <w:pPr>
        <w:pStyle w:val="78"/>
        <w:bidi w:val="0"/>
      </w:pPr>
    </w:p>
    <w:p w14:paraId="1D3BF604">
      <w:pPr>
        <w:rPr>
          <w:rFonts w:hint="eastAsia"/>
        </w:rPr>
      </w:pPr>
      <w:bookmarkStart w:id="11" w:name="_Toc47976607"/>
    </w:p>
    <w:p w14:paraId="2FDBD236">
      <w:pPr>
        <w:rPr>
          <w:rFonts w:hint="eastAsia"/>
        </w:rPr>
      </w:pPr>
    </w:p>
    <w:p w14:paraId="70C56CE9">
      <w:pPr>
        <w:rPr>
          <w:rFonts w:hint="eastAsia"/>
        </w:rPr>
      </w:pPr>
    </w:p>
    <w:p w14:paraId="393C6367">
      <w:pPr>
        <w:pStyle w:val="13"/>
        <w:rPr>
          <w:rFonts w:hint="eastAsia"/>
        </w:rPr>
      </w:pPr>
    </w:p>
    <w:p w14:paraId="41AF38D8">
      <w:pPr>
        <w:rPr>
          <w:rFonts w:hint="eastAsia"/>
        </w:rPr>
      </w:pPr>
    </w:p>
    <w:p w14:paraId="5CF3E9C8">
      <w:pPr>
        <w:pStyle w:val="13"/>
        <w:rPr>
          <w:rFonts w:hint="eastAsia"/>
        </w:rPr>
      </w:pPr>
    </w:p>
    <w:p w14:paraId="29A752CB">
      <w:pPr>
        <w:rPr>
          <w:rFonts w:hint="eastAsia"/>
        </w:rPr>
      </w:pPr>
    </w:p>
    <w:p w14:paraId="60B876D3">
      <w:pPr>
        <w:pStyle w:val="13"/>
        <w:rPr>
          <w:rFonts w:hint="eastAsia"/>
        </w:rPr>
      </w:pPr>
    </w:p>
    <w:p w14:paraId="7A48E0B8">
      <w:pPr>
        <w:rPr>
          <w:rFonts w:hint="eastAsia"/>
        </w:rPr>
      </w:pPr>
    </w:p>
    <w:p w14:paraId="216A93F4">
      <w:pPr>
        <w:pStyle w:val="13"/>
        <w:rPr>
          <w:rFonts w:hint="eastAsia"/>
        </w:rPr>
      </w:pPr>
    </w:p>
    <w:p w14:paraId="33F6DD76">
      <w:pPr>
        <w:rPr>
          <w:rFonts w:hint="eastAsia"/>
        </w:rPr>
      </w:pPr>
    </w:p>
    <w:p w14:paraId="10CB619F">
      <w:pPr>
        <w:pStyle w:val="13"/>
        <w:rPr>
          <w:rFonts w:hint="eastAsia"/>
        </w:rPr>
      </w:pPr>
    </w:p>
    <w:p w14:paraId="1D3644E9">
      <w:pPr>
        <w:rPr>
          <w:rFonts w:hint="eastAsia"/>
        </w:rPr>
      </w:pPr>
    </w:p>
    <w:p w14:paraId="629F9213">
      <w:pPr>
        <w:pStyle w:val="13"/>
        <w:rPr>
          <w:rFonts w:hint="eastAsia"/>
        </w:rPr>
      </w:pPr>
    </w:p>
    <w:p w14:paraId="1F577E22">
      <w:pPr>
        <w:rPr>
          <w:rFonts w:hint="eastAsia"/>
        </w:rPr>
      </w:pPr>
    </w:p>
    <w:p w14:paraId="0A591FC1">
      <w:pPr>
        <w:pStyle w:val="13"/>
        <w:rPr>
          <w:rFonts w:hint="eastAsia"/>
        </w:rPr>
      </w:pPr>
    </w:p>
    <w:p w14:paraId="77246EC6">
      <w:pPr>
        <w:pStyle w:val="13"/>
        <w:rPr>
          <w:rFonts w:hint="eastAsia"/>
        </w:rPr>
      </w:pPr>
    </w:p>
    <w:p w14:paraId="14722910">
      <w:pPr>
        <w:pStyle w:val="73"/>
        <w:jc w:val="center"/>
        <w:rPr>
          <w:rFonts w:hint="eastAsia"/>
          <w:lang w:val="en-US" w:eastAsia="zh-CN"/>
        </w:rPr>
      </w:pPr>
      <w:bookmarkStart w:id="12" w:name="_Toc16839"/>
      <w:r>
        <w:rPr>
          <w:rFonts w:hint="eastAsia"/>
        </w:rPr>
        <w:t>第二部分　</w:t>
      </w:r>
      <w:bookmarkEnd w:id="11"/>
      <w:r>
        <w:rPr>
          <w:rFonts w:hint="eastAsia"/>
          <w:lang w:val="en-US" w:eastAsia="zh-CN"/>
        </w:rPr>
        <w:t>技术标书</w:t>
      </w:r>
      <w:bookmarkEnd w:id="12"/>
    </w:p>
    <w:p w14:paraId="27343454">
      <w:pPr>
        <w:pStyle w:val="73"/>
        <w:jc w:val="both"/>
        <w:rPr>
          <w:rFonts w:hint="eastAsia"/>
          <w:lang w:val="en-US" w:eastAsia="zh-CN"/>
        </w:rPr>
      </w:pPr>
    </w:p>
    <w:p w14:paraId="7A9601D9">
      <w:pPr>
        <w:pStyle w:val="78"/>
        <w:rPr>
          <w:rFonts w:hint="default"/>
          <w:b/>
          <w:bCs/>
          <w:sz w:val="28"/>
          <w:szCs w:val="28"/>
          <w:lang w:val="en-US" w:eastAsia="zh-CN"/>
        </w:rPr>
      </w:pPr>
      <w:r>
        <w:rPr>
          <w:rFonts w:hint="eastAsia"/>
          <w:b/>
          <w:bCs/>
          <w:sz w:val="28"/>
          <w:szCs w:val="28"/>
          <w:lang w:val="en-US" w:eastAsia="zh-CN"/>
        </w:rPr>
        <w:t>一．本项目主要采购各会议室、礼堂显示设备的备品备件以及日常维护费用，下附具体表单。</w:t>
      </w:r>
    </w:p>
    <w:tbl>
      <w:tblPr>
        <w:tblStyle w:val="32"/>
        <w:tblW w:w="102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6"/>
        <w:gridCol w:w="864"/>
        <w:gridCol w:w="1106"/>
        <w:gridCol w:w="2627"/>
        <w:gridCol w:w="678"/>
        <w:gridCol w:w="691"/>
        <w:gridCol w:w="691"/>
        <w:gridCol w:w="821"/>
        <w:gridCol w:w="936"/>
        <w:gridCol w:w="691"/>
        <w:gridCol w:w="691"/>
      </w:tblGrid>
      <w:tr w14:paraId="4C82A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blHeader/>
          <w:jc w:val="center"/>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81DDD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序号</w:t>
            </w:r>
          </w:p>
        </w:tc>
        <w:tc>
          <w:tcPr>
            <w:tcW w:w="864" w:type="dxa"/>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05EB0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名称</w:t>
            </w:r>
          </w:p>
        </w:tc>
        <w:tc>
          <w:tcPr>
            <w:tcW w:w="1106" w:type="dxa"/>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26EBD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规格型号</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2E5E6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具体参数</w:t>
            </w:r>
          </w:p>
        </w:tc>
        <w:tc>
          <w:tcPr>
            <w:tcW w:w="678" w:type="dxa"/>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4EE4D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品牌</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BF2849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000000"/>
                <w:sz w:val="22"/>
                <w:szCs w:val="22"/>
                <w:u w:val="none"/>
                <w:lang w:val="en-US"/>
              </w:rPr>
            </w:pPr>
            <w:r>
              <w:rPr>
                <w:rFonts w:hint="eastAsia" w:ascii="宋体" w:hAnsi="宋体" w:eastAsia="宋体" w:cs="宋体"/>
                <w:b/>
                <w:i w:val="0"/>
                <w:iCs w:val="0"/>
                <w:color w:val="000000"/>
                <w:kern w:val="0"/>
                <w:sz w:val="22"/>
                <w:szCs w:val="22"/>
                <w:u w:val="none"/>
                <w:lang w:val="en-US" w:eastAsia="zh-CN" w:bidi="ar"/>
              </w:rPr>
              <w:t>未税单价</w:t>
            </w:r>
            <w:r>
              <w:rPr>
                <w:rFonts w:hint="eastAsia" w:ascii="宋体" w:hAnsi="宋体" w:cs="宋体"/>
                <w:b/>
                <w:i w:val="0"/>
                <w:iCs w:val="0"/>
                <w:color w:val="000000"/>
                <w:kern w:val="0"/>
                <w:sz w:val="22"/>
                <w:szCs w:val="22"/>
                <w:u w:val="none"/>
                <w:lang w:val="en-US" w:eastAsia="zh-CN" w:bidi="ar"/>
              </w:rPr>
              <w:t>/元</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B1569E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000000"/>
                <w:sz w:val="22"/>
                <w:szCs w:val="22"/>
                <w:u w:val="none"/>
                <w:lang w:val="en-US"/>
              </w:rPr>
            </w:pPr>
            <w:r>
              <w:rPr>
                <w:rFonts w:hint="eastAsia" w:ascii="宋体" w:hAnsi="宋体" w:eastAsia="宋体" w:cs="宋体"/>
                <w:b/>
                <w:i w:val="0"/>
                <w:iCs w:val="0"/>
                <w:color w:val="000000"/>
                <w:kern w:val="0"/>
                <w:sz w:val="22"/>
                <w:szCs w:val="22"/>
                <w:u w:val="none"/>
                <w:lang w:val="en-US" w:eastAsia="zh-CN" w:bidi="ar"/>
              </w:rPr>
              <w:t>含税单价</w:t>
            </w:r>
            <w:r>
              <w:rPr>
                <w:rFonts w:hint="eastAsia" w:ascii="宋体" w:hAnsi="宋体" w:cs="宋体"/>
                <w:b/>
                <w:i w:val="0"/>
                <w:iCs w:val="0"/>
                <w:color w:val="000000"/>
                <w:kern w:val="0"/>
                <w:sz w:val="22"/>
                <w:szCs w:val="22"/>
                <w:u w:val="none"/>
                <w:lang w:val="en-US" w:eastAsia="zh-CN" w:bidi="ar"/>
              </w:rPr>
              <w:t>/元</w:t>
            </w:r>
          </w:p>
        </w:tc>
        <w:tc>
          <w:tcPr>
            <w:tcW w:w="821" w:type="dxa"/>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9A52A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计量</w:t>
            </w:r>
          </w:p>
          <w:p w14:paraId="090056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单位</w:t>
            </w:r>
          </w:p>
        </w:tc>
        <w:tc>
          <w:tcPr>
            <w:tcW w:w="936" w:type="dxa"/>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225C4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数量</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9690E6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000000"/>
                <w:sz w:val="22"/>
                <w:szCs w:val="22"/>
                <w:u w:val="none"/>
                <w:lang w:val="en-US"/>
              </w:rPr>
            </w:pPr>
            <w:r>
              <w:rPr>
                <w:rFonts w:hint="eastAsia" w:ascii="宋体" w:hAnsi="宋体" w:eastAsia="宋体" w:cs="宋体"/>
                <w:b/>
                <w:i w:val="0"/>
                <w:iCs w:val="0"/>
                <w:color w:val="000000"/>
                <w:kern w:val="0"/>
                <w:sz w:val="22"/>
                <w:szCs w:val="22"/>
                <w:u w:val="none"/>
                <w:lang w:val="en-US" w:eastAsia="zh-CN" w:bidi="ar"/>
              </w:rPr>
              <w:t>未税总价</w:t>
            </w:r>
            <w:r>
              <w:rPr>
                <w:rFonts w:hint="eastAsia" w:ascii="宋体" w:hAnsi="宋体" w:cs="宋体"/>
                <w:b/>
                <w:i w:val="0"/>
                <w:iCs w:val="0"/>
                <w:color w:val="000000"/>
                <w:kern w:val="0"/>
                <w:sz w:val="22"/>
                <w:szCs w:val="22"/>
                <w:u w:val="none"/>
                <w:lang w:val="en-US" w:eastAsia="zh-CN" w:bidi="ar"/>
              </w:rPr>
              <w:t>/元</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9E747B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000000"/>
                <w:sz w:val="22"/>
                <w:szCs w:val="22"/>
                <w:u w:val="none"/>
                <w:lang w:val="en-US"/>
              </w:rPr>
            </w:pPr>
            <w:r>
              <w:rPr>
                <w:rFonts w:hint="eastAsia" w:ascii="宋体" w:hAnsi="宋体" w:eastAsia="宋体" w:cs="宋体"/>
                <w:b/>
                <w:i w:val="0"/>
                <w:iCs w:val="0"/>
                <w:color w:val="000000"/>
                <w:kern w:val="0"/>
                <w:sz w:val="22"/>
                <w:szCs w:val="22"/>
                <w:u w:val="none"/>
                <w:lang w:val="en-US" w:eastAsia="zh-CN" w:bidi="ar"/>
              </w:rPr>
              <w:t>含税总价</w:t>
            </w:r>
            <w:r>
              <w:rPr>
                <w:rFonts w:hint="eastAsia" w:ascii="宋体" w:hAnsi="宋体" w:cs="宋体"/>
                <w:b/>
                <w:i w:val="0"/>
                <w:iCs w:val="0"/>
                <w:color w:val="000000"/>
                <w:kern w:val="0"/>
                <w:sz w:val="22"/>
                <w:szCs w:val="22"/>
                <w:u w:val="none"/>
                <w:lang w:val="en-US" w:eastAsia="zh-CN" w:bidi="ar"/>
              </w:rPr>
              <w:t>/元</w:t>
            </w:r>
          </w:p>
        </w:tc>
      </w:tr>
      <w:tr w14:paraId="4314A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3" w:hRule="atLeast"/>
          <w:tblHeader/>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D736014">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864" w:type="dxa"/>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7FE88C9">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1106" w:type="dxa"/>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12830B6">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87FC5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（规格型号的描述）</w:t>
            </w:r>
          </w:p>
        </w:tc>
        <w:tc>
          <w:tcPr>
            <w:tcW w:w="678" w:type="dxa"/>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8BD3558">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50E9C58">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1D38F0F">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821" w:type="dxa"/>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7CAD406">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936" w:type="dxa"/>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2456068">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3860742">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8CD7C82">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r>
      <w:tr w14:paraId="2DC94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9"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DC584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CF662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人工（常规工作日）</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CE48F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为重汽集团总部各会议室利亚德</w:t>
            </w:r>
            <w:r>
              <w:rPr>
                <w:rFonts w:hint="default" w:ascii="宋体" w:hAnsi="Times New Roman" w:eastAsia="宋体" w:cs="Times New Roman"/>
                <w:i w:val="0"/>
                <w:iCs w:val="0"/>
                <w:color w:val="000000"/>
                <w:kern w:val="0"/>
                <w:sz w:val="21"/>
                <w:szCs w:val="24"/>
                <w:u w:val="none"/>
                <w:lang w:val="en-US" w:eastAsia="zh-CN" w:bidi="ar"/>
              </w:rPr>
              <w:t>LED</w:t>
            </w:r>
            <w:r>
              <w:rPr>
                <w:rFonts w:hint="eastAsia" w:ascii="宋体" w:hAnsi="宋体" w:eastAsia="宋体" w:cs="宋体"/>
                <w:i w:val="0"/>
                <w:iCs w:val="0"/>
                <w:color w:val="000000"/>
                <w:kern w:val="0"/>
                <w:sz w:val="21"/>
                <w:szCs w:val="24"/>
                <w:u w:val="none"/>
                <w:lang w:val="en-US" w:eastAsia="zh-CN" w:bidi="ar"/>
              </w:rPr>
              <w:t>小间距屏幕及其配套产品提供设备保驾、检测、排查、更换等服务</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75E7F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为重汽集团总部各会议室利亚德LED小间距屏幕及其配套产品提供设备保驾、检测、排查、更换等服务， 电话响应时间：7x24 人员到场时间：1小时 重大会议活动维保人员需到场保障</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7FEB38A">
            <w:pPr>
              <w:snapToGrid w:val="0"/>
              <w:ind w:left="0" w:leftChars="0" w:right="0" w:rightChars="0" w:firstLine="0" w:firstLineChars="0"/>
              <w:jc w:val="center"/>
              <w:rPr>
                <w:rFonts w:hint="eastAsia" w:ascii="宋体" w:hAnsi="宋体" w:eastAsia="宋体" w:cs="宋体"/>
                <w:i w:val="0"/>
                <w:iCs w:val="0"/>
                <w:color w:val="000000"/>
                <w:sz w:val="21"/>
                <w:szCs w:val="22"/>
                <w:u w:val="none"/>
                <w:lang w:val="en-US" w:eastAsia="zh-CN"/>
              </w:rPr>
            </w:pPr>
            <w:r>
              <w:rPr>
                <w:rFonts w:hint="eastAsia" w:ascii="宋体" w:hAnsi="宋体" w:cs="宋体"/>
                <w:i w:val="0"/>
                <w:iCs w:val="0"/>
                <w:color w:val="000000"/>
                <w:sz w:val="21"/>
                <w:szCs w:val="22"/>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BB0C04F">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7C20205">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1294B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1"/>
                <w:szCs w:val="24"/>
                <w:u w:val="none"/>
                <w:lang w:val="en-US" w:eastAsia="zh-CN" w:bidi="ar"/>
              </w:rPr>
            </w:pPr>
            <w:r>
              <w:rPr>
                <w:rFonts w:hint="default" w:ascii="宋体" w:hAnsi="Times New Roman" w:eastAsia="宋体" w:cs="Times New Roman"/>
                <w:i w:val="0"/>
                <w:iCs w:val="0"/>
                <w:color w:val="000000"/>
                <w:kern w:val="0"/>
                <w:sz w:val="21"/>
                <w:szCs w:val="24"/>
                <w:u w:val="none"/>
                <w:lang w:val="en-US" w:eastAsia="zh-CN" w:bidi="ar"/>
              </w:rPr>
              <w:t>1</w:t>
            </w:r>
            <w:r>
              <w:rPr>
                <w:rFonts w:hint="eastAsia" w:ascii="宋体" w:hAnsi="宋体" w:eastAsia="宋体" w:cs="宋体"/>
                <w:i w:val="0"/>
                <w:iCs w:val="0"/>
                <w:color w:val="000000"/>
                <w:kern w:val="0"/>
                <w:sz w:val="21"/>
                <w:szCs w:val="24"/>
                <w:u w:val="none"/>
                <w:lang w:val="en-US" w:eastAsia="zh-CN" w:bidi="ar"/>
              </w:rPr>
              <w:t>人</w:t>
            </w:r>
          </w:p>
          <w:p w14:paraId="45C0F16B">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21"/>
                <w:szCs w:val="24"/>
                <w:u w:val="none"/>
              </w:rPr>
            </w:pPr>
            <w:r>
              <w:rPr>
                <w:rFonts w:hint="default" w:ascii="宋体" w:hAnsi="Times New Roman" w:eastAsia="宋体" w:cs="Times New Roman"/>
                <w:i w:val="0"/>
                <w:iCs w:val="0"/>
                <w:color w:val="000000"/>
                <w:kern w:val="0"/>
                <w:sz w:val="21"/>
                <w:szCs w:val="24"/>
                <w:u w:val="none"/>
                <w:lang w:val="en-US" w:eastAsia="zh-CN" w:bidi="ar"/>
              </w:rPr>
              <w:t>/</w:t>
            </w:r>
            <w:r>
              <w:rPr>
                <w:rFonts w:hint="eastAsia" w:ascii="宋体" w:hAnsi="宋体" w:eastAsia="宋体" w:cs="宋体"/>
                <w:i w:val="0"/>
                <w:iCs w:val="0"/>
                <w:color w:val="000000"/>
                <w:kern w:val="0"/>
                <w:sz w:val="21"/>
                <w:szCs w:val="24"/>
                <w:u w:val="none"/>
                <w:lang w:val="en-US" w:eastAsia="zh-CN" w:bidi="ar"/>
              </w:rPr>
              <w:t>次</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BE5B3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94DEE3B">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75DC993">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5675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C8B78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2</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9CC6E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人工（法定节假日）</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4021F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为重汽集团总部各会议室利亚德</w:t>
            </w:r>
            <w:r>
              <w:rPr>
                <w:rFonts w:hint="default" w:ascii="宋体" w:hAnsi="Times New Roman" w:eastAsia="宋体" w:cs="Times New Roman"/>
                <w:i w:val="0"/>
                <w:iCs w:val="0"/>
                <w:color w:val="000000"/>
                <w:kern w:val="0"/>
                <w:sz w:val="21"/>
                <w:szCs w:val="24"/>
                <w:u w:val="none"/>
                <w:lang w:val="en-US" w:eastAsia="zh-CN" w:bidi="ar"/>
              </w:rPr>
              <w:t>LED</w:t>
            </w:r>
            <w:r>
              <w:rPr>
                <w:rFonts w:hint="eastAsia" w:ascii="宋体" w:hAnsi="宋体" w:eastAsia="宋体" w:cs="宋体"/>
                <w:i w:val="0"/>
                <w:iCs w:val="0"/>
                <w:color w:val="000000"/>
                <w:kern w:val="0"/>
                <w:sz w:val="21"/>
                <w:szCs w:val="24"/>
                <w:u w:val="none"/>
                <w:lang w:val="en-US" w:eastAsia="zh-CN" w:bidi="ar"/>
              </w:rPr>
              <w:t>小间距屏幕及其配套产品提供设备保驾、检测、排查、更换等服务</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10D0B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为重汽集团总部各会议室利亚德LED小间距屏幕及其配套产品提供设备保驾、检测、排查、更换等服务， 电话响应时间：7x24 人员到场时间：1小时 重大会议活动维保人员需到场保障</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964B8EF">
            <w:pPr>
              <w:snapToGrid w:val="0"/>
              <w:ind w:left="0" w:leftChars="0" w:right="0" w:rightChars="0" w:firstLine="0" w:firstLineChars="0"/>
              <w:jc w:val="center"/>
              <w:rPr>
                <w:rFonts w:hint="default" w:ascii="宋体" w:hAnsi="宋体" w:eastAsia="宋体" w:cs="宋体"/>
                <w:i w:val="0"/>
                <w:iCs w:val="0"/>
                <w:color w:val="000000"/>
                <w:sz w:val="21"/>
                <w:szCs w:val="22"/>
                <w:u w:val="none"/>
                <w:lang w:val="en-US" w:eastAsia="zh-CN"/>
              </w:rPr>
            </w:pPr>
            <w:r>
              <w:rPr>
                <w:rFonts w:hint="eastAsia" w:ascii="宋体" w:hAnsi="宋体" w:cs="宋体"/>
                <w:i w:val="0"/>
                <w:iCs w:val="0"/>
                <w:color w:val="000000"/>
                <w:sz w:val="21"/>
                <w:szCs w:val="22"/>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7ABBC4C">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27EB2A7">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5101E1A">
            <w:pPr>
              <w:keepNext w:val="0"/>
              <w:keepLines w:val="0"/>
              <w:widowControl/>
              <w:suppressLineNumbers w:val="0"/>
              <w:snapToGrid w:val="0"/>
              <w:ind w:left="0" w:leftChars="0" w:right="0" w:rightChars="0" w:firstLine="0" w:firstLineChars="0"/>
              <w:jc w:val="center"/>
              <w:textAlignment w:val="center"/>
              <w:rPr>
                <w:rFonts w:hint="default" w:ascii="宋体" w:hAnsi="Times New Roman" w:eastAsia="宋体" w:cs="Times New Roman"/>
                <w:i w:val="0"/>
                <w:iCs w:val="0"/>
                <w:color w:val="000000"/>
                <w:sz w:val="21"/>
                <w:szCs w:val="24"/>
                <w:u w:val="none"/>
              </w:rPr>
            </w:pPr>
            <w:r>
              <w:rPr>
                <w:rFonts w:hint="default" w:ascii="宋体" w:hAnsi="Times New Roman" w:eastAsia="宋体" w:cs="Times New Roman"/>
                <w:i w:val="0"/>
                <w:iCs w:val="0"/>
                <w:color w:val="000000"/>
                <w:kern w:val="0"/>
                <w:sz w:val="21"/>
                <w:szCs w:val="24"/>
                <w:u w:val="none"/>
                <w:lang w:val="en-US" w:eastAsia="zh-CN" w:bidi="ar"/>
              </w:rPr>
              <w:t>1</w:t>
            </w:r>
            <w:r>
              <w:rPr>
                <w:rFonts w:hint="eastAsia" w:ascii="宋体" w:hAnsi="宋体" w:eastAsia="宋体" w:cs="宋体"/>
                <w:i w:val="0"/>
                <w:iCs w:val="0"/>
                <w:color w:val="000000"/>
                <w:kern w:val="0"/>
                <w:sz w:val="21"/>
                <w:szCs w:val="24"/>
                <w:u w:val="none"/>
                <w:lang w:val="en-US" w:eastAsia="zh-CN" w:bidi="ar"/>
              </w:rPr>
              <w:t>人</w:t>
            </w:r>
            <w:r>
              <w:rPr>
                <w:rFonts w:hint="default" w:ascii="宋体" w:hAnsi="Times New Roman" w:eastAsia="宋体" w:cs="Times New Roman"/>
                <w:i w:val="0"/>
                <w:iCs w:val="0"/>
                <w:color w:val="000000"/>
                <w:kern w:val="0"/>
                <w:sz w:val="21"/>
                <w:szCs w:val="24"/>
                <w:u w:val="none"/>
                <w:lang w:val="en-US" w:eastAsia="zh-CN" w:bidi="ar"/>
              </w:rPr>
              <w:t>/</w:t>
            </w:r>
            <w:r>
              <w:rPr>
                <w:rFonts w:hint="eastAsia" w:ascii="宋体" w:hAnsi="宋体" w:eastAsia="宋体" w:cs="宋体"/>
                <w:i w:val="0"/>
                <w:iCs w:val="0"/>
                <w:color w:val="000000"/>
                <w:kern w:val="0"/>
                <w:sz w:val="21"/>
                <w:szCs w:val="24"/>
                <w:u w:val="none"/>
                <w:lang w:val="en-US" w:eastAsia="zh-CN" w:bidi="ar"/>
              </w:rPr>
              <w:t>次</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BA115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0779A52">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0D290EE">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06648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1"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64787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3</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68BE7CC">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21"/>
                <w:szCs w:val="24"/>
                <w:u w:val="none"/>
              </w:rPr>
            </w:pPr>
            <w:r>
              <w:rPr>
                <w:rFonts w:hint="default" w:ascii="宋体" w:hAnsi="Times New Roman" w:eastAsia="宋体" w:cs="Times New Roman"/>
                <w:i w:val="0"/>
                <w:iCs w:val="0"/>
                <w:color w:val="000000"/>
                <w:kern w:val="0"/>
                <w:sz w:val="21"/>
                <w:szCs w:val="24"/>
                <w:u w:val="none"/>
                <w:lang w:val="en-US" w:eastAsia="zh-CN" w:bidi="ar"/>
              </w:rPr>
              <w:t>TVH</w:t>
            </w:r>
            <w:r>
              <w:rPr>
                <w:rFonts w:hint="eastAsia" w:ascii="宋体" w:hAnsi="宋体" w:eastAsia="宋体" w:cs="宋体"/>
                <w:i w:val="0"/>
                <w:iCs w:val="0"/>
                <w:color w:val="000000"/>
                <w:kern w:val="0"/>
                <w:sz w:val="21"/>
                <w:szCs w:val="24"/>
                <w:u w:val="none"/>
                <w:lang w:val="en-US" w:eastAsia="zh-CN" w:bidi="ar"/>
              </w:rPr>
              <w:t>系列电源备件</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E4E0915">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21"/>
                <w:szCs w:val="24"/>
                <w:u w:val="none"/>
              </w:rPr>
            </w:pPr>
            <w:r>
              <w:rPr>
                <w:rFonts w:hint="default" w:ascii="宋体" w:hAnsi="Times New Roman" w:eastAsia="宋体" w:cs="Times New Roman"/>
                <w:i w:val="0"/>
                <w:iCs w:val="0"/>
                <w:color w:val="000000"/>
                <w:kern w:val="0"/>
                <w:sz w:val="21"/>
                <w:szCs w:val="24"/>
                <w:u w:val="none"/>
                <w:lang w:val="en-US" w:eastAsia="zh-CN" w:bidi="ar"/>
              </w:rPr>
              <w:t>TVH</w:t>
            </w:r>
            <w:r>
              <w:rPr>
                <w:rFonts w:hint="eastAsia" w:ascii="宋体" w:hAnsi="宋体" w:eastAsia="宋体" w:cs="宋体"/>
                <w:i w:val="0"/>
                <w:iCs w:val="0"/>
                <w:color w:val="000000"/>
                <w:kern w:val="0"/>
                <w:sz w:val="21"/>
                <w:szCs w:val="24"/>
                <w:u w:val="none"/>
                <w:lang w:val="en-US" w:eastAsia="zh-CN" w:bidi="ar"/>
              </w:rPr>
              <w:t>系列产品电源</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591C9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TVH系列产品电源（必须为原厂配件，且与原屏幕适配）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7F81A39">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0CF89FC">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617D5DA">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8DAB0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1个</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794F9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C635297">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8F222B7">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32D7D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1"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BF273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4</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E1C712F">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21"/>
                <w:szCs w:val="24"/>
                <w:u w:val="none"/>
              </w:rPr>
            </w:pPr>
            <w:r>
              <w:rPr>
                <w:rFonts w:hint="default" w:ascii="宋体" w:hAnsi="Times New Roman" w:eastAsia="宋体" w:cs="Times New Roman"/>
                <w:i w:val="0"/>
                <w:iCs w:val="0"/>
                <w:color w:val="000000"/>
                <w:kern w:val="0"/>
                <w:sz w:val="21"/>
                <w:szCs w:val="24"/>
                <w:u w:val="none"/>
                <w:lang w:val="en-US" w:eastAsia="zh-CN" w:bidi="ar"/>
              </w:rPr>
              <w:t>VVM</w:t>
            </w:r>
            <w:r>
              <w:rPr>
                <w:rFonts w:hint="eastAsia" w:ascii="宋体" w:hAnsi="宋体" w:eastAsia="宋体" w:cs="宋体"/>
                <w:i w:val="0"/>
                <w:iCs w:val="0"/>
                <w:color w:val="000000"/>
                <w:kern w:val="0"/>
                <w:sz w:val="21"/>
                <w:szCs w:val="24"/>
                <w:u w:val="none"/>
                <w:lang w:val="en-US" w:eastAsia="zh-CN" w:bidi="ar"/>
              </w:rPr>
              <w:t>系列电源备件</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4FCA736">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21"/>
                <w:szCs w:val="24"/>
                <w:u w:val="none"/>
              </w:rPr>
            </w:pPr>
            <w:r>
              <w:rPr>
                <w:rFonts w:hint="default" w:ascii="宋体" w:hAnsi="Times New Roman" w:eastAsia="宋体" w:cs="Times New Roman"/>
                <w:i w:val="0"/>
                <w:iCs w:val="0"/>
                <w:color w:val="000000"/>
                <w:kern w:val="0"/>
                <w:sz w:val="21"/>
                <w:szCs w:val="24"/>
                <w:u w:val="none"/>
                <w:lang w:val="en-US" w:eastAsia="zh-CN" w:bidi="ar"/>
              </w:rPr>
              <w:t>VVM</w:t>
            </w:r>
            <w:r>
              <w:rPr>
                <w:rFonts w:hint="eastAsia" w:ascii="宋体" w:hAnsi="宋体" w:eastAsia="宋体" w:cs="宋体"/>
                <w:i w:val="0"/>
                <w:iCs w:val="0"/>
                <w:color w:val="000000"/>
                <w:kern w:val="0"/>
                <w:sz w:val="21"/>
                <w:szCs w:val="24"/>
                <w:u w:val="none"/>
                <w:lang w:val="en-US" w:eastAsia="zh-CN" w:bidi="ar"/>
              </w:rPr>
              <w:t>系列产品电源</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40017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VVM系列产品电源（必须为原厂配件，且与原屏幕适配）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D275C3D">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2255F8A">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0EC382D">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34D6A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1个</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143AC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3F78EC1">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ECDDDB7">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5489F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2"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6CF17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5</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90645C9">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21"/>
                <w:szCs w:val="24"/>
                <w:u w:val="none"/>
              </w:rPr>
            </w:pPr>
            <w:r>
              <w:rPr>
                <w:rFonts w:hint="default" w:ascii="宋体" w:hAnsi="Times New Roman" w:eastAsia="宋体" w:cs="Times New Roman"/>
                <w:i w:val="0"/>
                <w:iCs w:val="0"/>
                <w:color w:val="000000"/>
                <w:kern w:val="0"/>
                <w:sz w:val="21"/>
                <w:szCs w:val="24"/>
                <w:u w:val="none"/>
                <w:lang w:val="en-US" w:eastAsia="zh-CN" w:bidi="ar"/>
              </w:rPr>
              <w:t>TVH</w:t>
            </w:r>
            <w:r>
              <w:rPr>
                <w:rFonts w:hint="eastAsia" w:ascii="宋体" w:hAnsi="宋体" w:eastAsia="宋体" w:cs="宋体"/>
                <w:i w:val="0"/>
                <w:iCs w:val="0"/>
                <w:color w:val="000000"/>
                <w:kern w:val="0"/>
                <w:sz w:val="21"/>
                <w:szCs w:val="24"/>
                <w:u w:val="none"/>
                <w:lang w:val="en-US" w:eastAsia="zh-CN" w:bidi="ar"/>
              </w:rPr>
              <w:t>系列集中控制版备件</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5F150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原屏同型号</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EA26E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原屏同型号（必须为原厂配件，且与原屏幕适配）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63492F1">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F5688A9">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DB45CE4">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87712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1个</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49087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BD31089">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12C96D2">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616AF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D6E61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6</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0DCE02B">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21"/>
                <w:szCs w:val="24"/>
                <w:u w:val="none"/>
              </w:rPr>
            </w:pPr>
            <w:r>
              <w:rPr>
                <w:rFonts w:hint="default" w:ascii="宋体" w:hAnsi="Times New Roman" w:eastAsia="宋体" w:cs="Times New Roman"/>
                <w:i w:val="0"/>
                <w:iCs w:val="0"/>
                <w:color w:val="000000"/>
                <w:kern w:val="0"/>
                <w:sz w:val="21"/>
                <w:szCs w:val="24"/>
                <w:u w:val="none"/>
                <w:lang w:val="en-US" w:eastAsia="zh-CN" w:bidi="ar"/>
              </w:rPr>
              <w:t>VVM</w:t>
            </w:r>
            <w:r>
              <w:rPr>
                <w:rFonts w:hint="eastAsia" w:ascii="宋体" w:hAnsi="宋体" w:eastAsia="宋体" w:cs="宋体"/>
                <w:i w:val="0"/>
                <w:iCs w:val="0"/>
                <w:color w:val="000000"/>
                <w:kern w:val="0"/>
                <w:sz w:val="21"/>
                <w:szCs w:val="24"/>
                <w:u w:val="none"/>
                <w:lang w:val="en-US" w:eastAsia="zh-CN" w:bidi="ar"/>
              </w:rPr>
              <w:t>系列集中控制版备件</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F0B89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原屏同型号</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51425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原屏同型号（必须为原厂配件，且与原屏幕适配）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1449BFF">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1ECA26F">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9B78DCC">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03BE8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1个</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773D5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64B2320">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CC677F3">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1A202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2"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C7E99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7</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002919D">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21"/>
                <w:szCs w:val="24"/>
                <w:u w:val="none"/>
              </w:rPr>
            </w:pPr>
            <w:r>
              <w:rPr>
                <w:rFonts w:hint="default" w:ascii="宋体" w:hAnsi="Times New Roman" w:eastAsia="宋体" w:cs="Times New Roman"/>
                <w:i w:val="0"/>
                <w:iCs w:val="0"/>
                <w:color w:val="000000"/>
                <w:kern w:val="0"/>
                <w:sz w:val="21"/>
                <w:szCs w:val="24"/>
                <w:u w:val="none"/>
                <w:lang w:val="en-US" w:eastAsia="zh-CN" w:bidi="ar"/>
              </w:rPr>
              <w:t>TVH</w:t>
            </w:r>
            <w:r>
              <w:rPr>
                <w:rFonts w:hint="eastAsia" w:ascii="宋体" w:hAnsi="宋体" w:eastAsia="宋体" w:cs="宋体"/>
                <w:i w:val="0"/>
                <w:iCs w:val="0"/>
                <w:color w:val="000000"/>
                <w:kern w:val="0"/>
                <w:sz w:val="21"/>
                <w:szCs w:val="24"/>
                <w:u w:val="none"/>
                <w:lang w:val="en-US" w:eastAsia="zh-CN" w:bidi="ar"/>
              </w:rPr>
              <w:t>系列</w:t>
            </w:r>
            <w:r>
              <w:rPr>
                <w:rFonts w:hint="default" w:ascii="宋体" w:hAnsi="Times New Roman" w:eastAsia="宋体" w:cs="Times New Roman"/>
                <w:i w:val="0"/>
                <w:iCs w:val="0"/>
                <w:color w:val="000000"/>
                <w:kern w:val="0"/>
                <w:sz w:val="21"/>
                <w:szCs w:val="24"/>
                <w:u w:val="none"/>
                <w:lang w:val="en-US" w:eastAsia="zh-CN" w:bidi="ar"/>
              </w:rPr>
              <w:t>TVPlayer</w:t>
            </w:r>
            <w:r>
              <w:rPr>
                <w:rFonts w:hint="eastAsia" w:ascii="宋体" w:hAnsi="宋体" w:eastAsia="宋体" w:cs="宋体"/>
                <w:i w:val="0"/>
                <w:iCs w:val="0"/>
                <w:color w:val="000000"/>
                <w:kern w:val="0"/>
                <w:sz w:val="21"/>
                <w:szCs w:val="24"/>
                <w:u w:val="none"/>
                <w:lang w:val="en-US" w:eastAsia="zh-CN" w:bidi="ar"/>
              </w:rPr>
              <w:t>控制盒备件</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E0C5F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原屏同型号</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AACC2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高清视频控制盒，分辨率720*1080，支持LVDS视频信号；原屏同型号（必须为原厂配件，且与原屏幕适配）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3845C5A">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5F5215A">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E88F50B">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73658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1台</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2A1C0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0F779E3">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0196081">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284DD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9"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1E150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8</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03D7DCC">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21"/>
                <w:szCs w:val="24"/>
                <w:u w:val="none"/>
              </w:rPr>
            </w:pPr>
            <w:r>
              <w:rPr>
                <w:rFonts w:hint="default" w:ascii="宋体" w:hAnsi="Times New Roman" w:eastAsia="宋体" w:cs="Times New Roman"/>
                <w:i w:val="0"/>
                <w:iCs w:val="0"/>
                <w:color w:val="000000"/>
                <w:kern w:val="0"/>
                <w:sz w:val="21"/>
                <w:szCs w:val="24"/>
                <w:u w:val="none"/>
                <w:lang w:val="en-US" w:eastAsia="zh-CN" w:bidi="ar"/>
              </w:rPr>
              <w:t>VVM</w:t>
            </w:r>
            <w:r>
              <w:rPr>
                <w:rFonts w:hint="eastAsia" w:ascii="宋体" w:hAnsi="宋体" w:eastAsia="宋体" w:cs="宋体"/>
                <w:i w:val="0"/>
                <w:iCs w:val="0"/>
                <w:color w:val="000000"/>
                <w:kern w:val="0"/>
                <w:sz w:val="21"/>
                <w:szCs w:val="24"/>
                <w:u w:val="none"/>
                <w:lang w:val="en-US" w:eastAsia="zh-CN" w:bidi="ar"/>
              </w:rPr>
              <w:t>系列精显时代</w:t>
            </w:r>
            <w:r>
              <w:rPr>
                <w:rFonts w:hint="default" w:ascii="宋体" w:hAnsi="Times New Roman" w:eastAsia="宋体" w:cs="Times New Roman"/>
                <w:i w:val="0"/>
                <w:iCs w:val="0"/>
                <w:color w:val="000000"/>
                <w:kern w:val="0"/>
                <w:sz w:val="21"/>
                <w:szCs w:val="24"/>
                <w:u w:val="none"/>
                <w:lang w:val="en-US" w:eastAsia="zh-CN" w:bidi="ar"/>
              </w:rPr>
              <w:t>III</w:t>
            </w:r>
            <w:r>
              <w:rPr>
                <w:rFonts w:hint="eastAsia" w:ascii="宋体" w:hAnsi="宋体" w:eastAsia="宋体" w:cs="宋体"/>
                <w:i w:val="0"/>
                <w:iCs w:val="0"/>
                <w:color w:val="000000"/>
                <w:kern w:val="0"/>
                <w:sz w:val="21"/>
                <w:szCs w:val="24"/>
                <w:u w:val="none"/>
                <w:lang w:val="en-US" w:eastAsia="zh-CN" w:bidi="ar"/>
              </w:rPr>
              <w:t>控制盒备件</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2CED6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原屏同型号</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1B007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高清视频控制盒，</w:t>
            </w:r>
            <w:r>
              <w:rPr>
                <w:rStyle w:val="119"/>
                <w:rFonts w:ascii="宋体" w:eastAsia="宋体"/>
                <w:sz w:val="21"/>
                <w:lang w:val="en-US" w:eastAsia="zh-CN" w:bidi="ar"/>
              </w:rPr>
              <w:t>最大带载分辨率2048×1152或1920×1200；</w:t>
            </w:r>
            <w:r>
              <w:rPr>
                <w:rFonts w:hint="eastAsia" w:ascii="宋体" w:hAnsi="宋体" w:eastAsia="宋体" w:cs="宋体"/>
                <w:i w:val="0"/>
                <w:iCs w:val="0"/>
                <w:color w:val="000000"/>
                <w:kern w:val="0"/>
                <w:sz w:val="21"/>
                <w:szCs w:val="21"/>
                <w:u w:val="none"/>
                <w:lang w:val="en-US" w:eastAsia="zh-CN" w:bidi="ar"/>
              </w:rPr>
              <w:t>原屏同型号（必须为原厂配件，且与原屏幕适配）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898E06D">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921B6BC">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63014F9">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D4820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1台</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39E72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9232A82">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F283CA3">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22A70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68725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9</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4450A16">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21"/>
                <w:szCs w:val="24"/>
                <w:u w:val="none"/>
              </w:rPr>
            </w:pPr>
            <w:r>
              <w:rPr>
                <w:rFonts w:hint="default" w:ascii="宋体" w:hAnsi="Times New Roman" w:eastAsia="宋体" w:cs="Times New Roman"/>
                <w:i w:val="0"/>
                <w:iCs w:val="0"/>
                <w:color w:val="000000"/>
                <w:kern w:val="0"/>
                <w:sz w:val="21"/>
                <w:szCs w:val="24"/>
                <w:u w:val="none"/>
                <w:lang w:val="en-US" w:eastAsia="zh-CN" w:bidi="ar"/>
              </w:rPr>
              <w:t>TVH</w:t>
            </w:r>
            <w:r>
              <w:rPr>
                <w:rFonts w:hint="eastAsia" w:ascii="宋体" w:hAnsi="宋体" w:eastAsia="宋体" w:cs="宋体"/>
                <w:i w:val="0"/>
                <w:iCs w:val="0"/>
                <w:color w:val="000000"/>
                <w:kern w:val="0"/>
                <w:sz w:val="21"/>
                <w:szCs w:val="24"/>
                <w:u w:val="none"/>
                <w:lang w:val="en-US" w:eastAsia="zh-CN" w:bidi="ar"/>
              </w:rPr>
              <w:t>系列备品模组</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B4192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原屏同型号</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C3316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点间距1.667mm，smd封装，原屏同型号（必须为原厂配件，且与原屏幕适配）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64B3D05">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E9C3680">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793300D">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90C5E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685E2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7304656">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BC5B554">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0A956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2076C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10</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FDBA037">
            <w:pPr>
              <w:keepNext w:val="0"/>
              <w:keepLines w:val="0"/>
              <w:widowControl/>
              <w:suppressLineNumbers w:val="0"/>
              <w:snapToGrid w:val="0"/>
              <w:ind w:left="0" w:leftChars="0" w:right="0" w:rightChars="0" w:firstLine="0" w:firstLineChars="0"/>
              <w:jc w:val="left"/>
              <w:textAlignment w:val="center"/>
              <w:rPr>
                <w:rFonts w:hint="default" w:ascii="宋体" w:hAnsi="Times New Roman" w:eastAsia="宋体" w:cs="Times New Roman"/>
                <w:i w:val="0"/>
                <w:iCs w:val="0"/>
                <w:color w:val="000000"/>
                <w:sz w:val="21"/>
                <w:szCs w:val="24"/>
                <w:u w:val="none"/>
              </w:rPr>
            </w:pPr>
            <w:r>
              <w:rPr>
                <w:rFonts w:hint="default" w:ascii="宋体" w:hAnsi="Times New Roman" w:eastAsia="宋体" w:cs="Times New Roman"/>
                <w:i w:val="0"/>
                <w:iCs w:val="0"/>
                <w:color w:val="000000"/>
                <w:kern w:val="0"/>
                <w:sz w:val="21"/>
                <w:szCs w:val="24"/>
                <w:u w:val="none"/>
                <w:lang w:val="en-US" w:eastAsia="zh-CN" w:bidi="ar"/>
              </w:rPr>
              <w:t>VVM</w:t>
            </w:r>
            <w:r>
              <w:rPr>
                <w:rFonts w:hint="eastAsia" w:ascii="宋体" w:hAnsi="宋体" w:eastAsia="宋体" w:cs="宋体"/>
                <w:i w:val="0"/>
                <w:iCs w:val="0"/>
                <w:color w:val="000000"/>
                <w:kern w:val="0"/>
                <w:sz w:val="21"/>
                <w:szCs w:val="24"/>
                <w:u w:val="none"/>
                <w:lang w:val="en-US" w:eastAsia="zh-CN" w:bidi="ar"/>
              </w:rPr>
              <w:t>系列备品模组</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B1BE0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原屏同型号</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E0064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点间距2.5mm，smd封装，原屏同型号（必须为原厂配件，且与原屏幕适配）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0939AA4">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838107B">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AB3CE28">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6F8EB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3502D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94D69B2">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695D2BF">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3BEC9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69697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11</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3B1D6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TXP135T-FHD模组</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1B67D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原屏同型号</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6D154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点间距1.25mm，smd封装，原屏同型号（必须为原厂配件，且与原屏幕适配）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CE044B0">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4769CC7">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75AA1C8">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E53EC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97DC6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AB31CCC">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B07520E">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18B6F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439BD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12</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8D08D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TXP135T-FHD视频卡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739D0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原屏同型号</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2DAE0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视频处理卡，原屏同型号（必须为原厂配件，且与原屏幕适配）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99E07D0">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1CE78EF">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1D50E5D">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E5C9F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EDA5B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2006709">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B91780A">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74EB3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81BED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13</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ABFAE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TXP135T-FHD电源</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A4D9E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原屏同型号</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708E4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原屏同型号（必须为原厂配件，且与原屏幕适配）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19EB6F1">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8405B21">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3DC2BF1">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839F6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A6189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BF20F7A">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427422B">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4BB85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03134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14</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493F1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TXP135T-FHD模组控制卡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52178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原屏同型号</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BFE29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视频控制卡，控制模组与视频卡之间的连接，原屏同型号（必须为原厂配件，且与原屏幕适配）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F568F71">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8B3DE6E">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8F70416">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27268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75285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D23A363">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997EC03">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703EF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E6C7C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15</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3965C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拼接器输出板卡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B5631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4路HDMI输出卡</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66D4D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4路HDMI输出卡，−每路最大支持2048×1152@60Hz分辨率视频输入，最小800×600@60Hz。</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3DD70E6">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C51D4B3">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7E3AE40">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6AF67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28274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2A3D3A4">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CAF7CB8">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18EB9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1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41B5A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16</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6BE5E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拼接器输出板卡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70F34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4路DVI输出卡</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C1AAC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4路DVI输出卡，−接口1、接口2、接口3和接口4均可输入。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−单路预设最大分辨率为2048×1152@60Hz，最小800×600@60Hz。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−支持自定义分辨率。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极限宽度2560（2560×972@60Hz），极限高度2560（884×2560@60Hz）（必须为原厂配件，且与原屏幕适配）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6437C9B">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64B0708">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8569285">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8B0D5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4C435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38F2E8F">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F04FD27">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50E9B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1"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6CE22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17</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D8AC3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拼接器输出板卡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DACBC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16路网口+2路光口发送卡</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A4E51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16路网口+2路光口发送卡；16×RJ45千兆网口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−当输出位深为8bit时，单网口最大带载65万像素点。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−当输出位深为10bit时，单网口最大带载32万像素点。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−支持网口间备份。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l2×OPT光纤接口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−支持单模和多模光纤输出。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−OPT1复制输出1~8网口数据。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OPT2复制输出9~16网口数据。。（必须为原厂配件，且与原屏幕适配）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A6DBDFF">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623DDFD">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F13929A">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A0E88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F2AA0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F00AA17">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764B56F">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57A6C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9"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A1FA6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18</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3E5BC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拼接器输出板卡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3775A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20路网口发送卡</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4BC71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20路网口发送卡；最大带载1300万像素点。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−极限宽度10752像素。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−极限高度10752像素。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l当输出位深为8bit时，单网口最大带载65万像素点。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l当输出位深为10bit时，单网口最大带载32万像素点。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l支持网口间备份。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支持144Hz输出（必须为原厂配件，且与原屏幕适配）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A7457B3">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E70CC60">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0AD7748">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C95CE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187AD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FDB8838">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F3EC590">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0E706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4"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B9C62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19</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C3482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拼接器输入板卡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FD1C8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4路3G SDI输入卡</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9CAA8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4路3G SDI输入卡；l3G-SDI接口，兼容HD-SDI和SD-SDI标准。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支持ST-424 (3G)，ST-292 (HD)和SMPTE 259 SD标准视频源输入。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单路最大支持1920×1080@60Hz分辨率视频输入，向下兼容。支持1080i/576i/480i去隔行处理（必须为原厂配件，且与原屏幕适配）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B499E78">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726C352">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D782843">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98C76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A0B82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00C580D">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0C7264A">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77E6C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1320D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20</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D8B02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拼接器输入板卡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765B4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4路HDMI输入卡</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5F065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4路HDMI输入卡；l2×HDMI 1.3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−每路最大支持2048×1152@60Hz分辨率视频输入，最小800×600@60Hz。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−支持自定义分辨率。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极限宽度2560（2560×972@60Hz），极限高度2560（884×2560@60Hz）。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−支持HDCP 1.4。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l2×HDMI 1.4a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−每路最大支持2048×1152@60Hz分辨率视频输入，最小800×600@60Hz。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−支持自定义分辨率。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极限宽度2560（2560×972@60Hz），极限高度2560（884×2560@60Hz）。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−支持HDCP 1.4。（必须为原厂配件，且与原屏幕适配）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CD5F402">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3F54296">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3304D70">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E94C9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AE2DD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EC6DBED">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1414FC4">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5760A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ADF96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21</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33D50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拼接器输入板卡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3EDA5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4路DVI输入卡</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F8289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4路DVI输入卡；lSL-DVI模式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−接口1、接口2、接口3和接口4均可输入。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−单路预设最大分辨率为2048×1152@60Hz，最小800×600@60Hz。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−支持自定义分辨率。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极限宽度2560（2560×972@60Hz），极限高度2560（884×2560@60Hz）。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lDL-DVI模式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−接口2和接口4可配置为DL-DVI模式，此时接口1和接口3不可用。单路最大支持3840×1080@60Hz分辨率视频输入，最小800×600@60Hz。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−支持自定义分辨率。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极限宽度3840（3840×1198@60Hz），极限高度3840（1092×3840@60Hz）（必须为原厂配件，且与原屏幕适配）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647930E">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36BA48B">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67AD0AB">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83E07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1344D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3C2151F">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8ADF060">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6315B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1"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B7BD9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22</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79FAE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拼接器输入板卡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2373C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1路HDMI2.0输入卡</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C76F6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1路HDMI2.0输入卡；兼容HDMI 1.4a和HDMI 1.3视频输入。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−最大支持8192×1080@60Hz/4096×2160@60Hz视频输入。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−支持HDCP 2.2。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−支持自定义分辨率。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极限宽度4092（4092×2261@60Hz），极限高度4095（2188×4095@60Hz）（必须为原厂配件，且与原屏幕适配）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CCBE960">
            <w:pPr>
              <w:snapToGrid w:val="0"/>
              <w:ind w:left="0" w:leftChars="0" w:right="0" w:rightChars="0" w:firstLine="0" w:firstLineChars="0"/>
              <w:jc w:val="center"/>
              <w:rPr>
                <w:rFonts w:hint="eastAsia" w:ascii="宋体" w:hAnsi="宋体" w:eastAsia="宋体" w:cs="宋体"/>
                <w:i w:val="0"/>
                <w:iCs w:val="0"/>
                <w:color w:val="000000"/>
                <w:sz w:val="21"/>
                <w:szCs w:val="22"/>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8E56982">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25F0DEE">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32C47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A1A94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3A9CF51">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46ABFED">
            <w:pPr>
              <w:snapToGrid w:val="0"/>
              <w:ind w:left="0" w:leftChars="0" w:right="0" w:rightChars="0" w:firstLine="0" w:firstLineChars="0"/>
              <w:jc w:val="right"/>
              <w:rPr>
                <w:rFonts w:hint="eastAsia" w:ascii="宋体" w:hAnsi="宋体" w:eastAsia="宋体" w:cs="宋体"/>
                <w:i w:val="0"/>
                <w:iCs w:val="0"/>
                <w:color w:val="000000"/>
                <w:sz w:val="21"/>
                <w:szCs w:val="22"/>
                <w:u w:val="none"/>
              </w:rPr>
            </w:pPr>
          </w:p>
        </w:tc>
      </w:tr>
      <w:tr w14:paraId="22416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9AE8F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23</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712BF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拼接器输入板卡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C09EF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1路DP1.2输入卡</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F50FE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1路DP1.2输入卡；l兼容DP 1.1视频输入。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最大支持4096×2160@60Hz / 8192×1080@60Hz视频输入，最小支持800×600@59.94Hz。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支持自定义分辨率。极限宽度8192（8192×1152@60Hz），极限高度8188（1012×8188@60Hz）。支持HDCP 2.2。（必须为原厂配件，且与原屏幕适配）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C17AE74">
            <w:pPr>
              <w:snapToGrid w:val="0"/>
              <w:ind w:left="0" w:leftChars="0" w:right="0" w:rightChars="0" w:firstLine="0" w:firstLineChars="0"/>
              <w:jc w:val="center"/>
              <w:rPr>
                <w:rFonts w:hint="eastAsia" w:ascii="宋体" w:hAnsi="宋体" w:eastAsia="宋体" w:cs="宋体"/>
                <w:i w:val="0"/>
                <w:iCs w:val="0"/>
                <w:color w:val="262626"/>
                <w:sz w:val="21"/>
                <w:szCs w:val="28"/>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F90C40E">
            <w:pPr>
              <w:snapToGrid w:val="0"/>
              <w:ind w:left="0" w:leftChars="0" w:right="0" w:rightChars="0" w:firstLine="0" w:firstLineChars="0"/>
              <w:jc w:val="right"/>
              <w:rPr>
                <w:rFonts w:hint="eastAsia" w:ascii="宋体" w:hAnsi="宋体" w:eastAsia="宋体" w:cs="宋体"/>
                <w:i w:val="0"/>
                <w:iCs w:val="0"/>
                <w:color w:val="262626"/>
                <w:sz w:val="21"/>
                <w:szCs w:val="28"/>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73A5415">
            <w:pPr>
              <w:snapToGrid w:val="0"/>
              <w:ind w:left="0" w:leftChars="0" w:right="0" w:rightChars="0" w:firstLine="0" w:firstLineChars="0"/>
              <w:jc w:val="right"/>
              <w:rPr>
                <w:rFonts w:hint="eastAsia" w:ascii="宋体" w:hAnsi="宋体" w:eastAsia="宋体" w:cs="宋体"/>
                <w:i w:val="0"/>
                <w:iCs w:val="0"/>
                <w:color w:val="262626"/>
                <w:sz w:val="21"/>
                <w:szCs w:val="28"/>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42588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CA726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733FAF7">
            <w:pPr>
              <w:snapToGrid w:val="0"/>
              <w:ind w:left="0" w:leftChars="0" w:right="0" w:rightChars="0" w:firstLine="0" w:firstLineChars="0"/>
              <w:jc w:val="right"/>
              <w:rPr>
                <w:rFonts w:hint="eastAsia" w:ascii="宋体" w:hAnsi="宋体" w:eastAsia="宋体" w:cs="宋体"/>
                <w:i w:val="0"/>
                <w:iCs w:val="0"/>
                <w:color w:val="000000"/>
                <w:sz w:val="21"/>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FCD8E57">
            <w:pPr>
              <w:snapToGrid w:val="0"/>
              <w:ind w:left="0" w:leftChars="0" w:right="0" w:rightChars="0" w:firstLine="0" w:firstLineChars="0"/>
              <w:jc w:val="right"/>
              <w:rPr>
                <w:rFonts w:hint="eastAsia" w:ascii="宋体" w:hAnsi="宋体" w:eastAsia="宋体" w:cs="宋体"/>
                <w:i w:val="0"/>
                <w:iCs w:val="0"/>
                <w:color w:val="000000"/>
                <w:sz w:val="21"/>
                <w:szCs w:val="24"/>
                <w:u w:val="none"/>
              </w:rPr>
            </w:pPr>
          </w:p>
        </w:tc>
      </w:tr>
      <w:tr w14:paraId="3833B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A5551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24</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5C2C2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拼接器输入板卡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A6C66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1路12G SDI输入卡</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BA52D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1路12G SDI输入卡；12G-SDI接口，兼容6G-SDI、3G-SDI、HD-SDI和SD-SDI标准。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支持ST-2082-1 (12G)，ST-2081-1 (6G)，ST-424 (3G)，ST-292 (HD)和SMPTE 259 SD标准视频源输入。单路最大支持4096×2160@60Hz视频输入。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支持1080i/576i/480i去隔行处理。不支持输入分辨率和位深设置（必须为原厂配件，且与原屏幕适配）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5CDC559">
            <w:pPr>
              <w:snapToGrid w:val="0"/>
              <w:ind w:left="0" w:leftChars="0" w:right="0" w:rightChars="0" w:firstLine="0" w:firstLineChars="0"/>
              <w:jc w:val="center"/>
              <w:rPr>
                <w:rFonts w:hint="eastAsia" w:ascii="宋体" w:hAnsi="宋体" w:eastAsia="宋体" w:cs="宋体"/>
                <w:i w:val="0"/>
                <w:iCs w:val="0"/>
                <w:color w:val="262626"/>
                <w:sz w:val="21"/>
                <w:szCs w:val="28"/>
                <w:u w:val="none"/>
              </w:rPr>
            </w:pPr>
            <w:r>
              <w:rPr>
                <w:rFonts w:ascii="宋体" w:hAnsi="宋体" w:eastAsia="宋体" w:cs="宋体"/>
                <w:sz w:val="24"/>
                <w:szCs w:val="24"/>
              </w:rPr>
              <w:t>利亚德</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9FC575C">
            <w:pPr>
              <w:snapToGrid w:val="0"/>
              <w:ind w:left="0" w:leftChars="0" w:right="0" w:rightChars="0" w:firstLine="0" w:firstLineChars="0"/>
              <w:jc w:val="right"/>
              <w:rPr>
                <w:rFonts w:hint="eastAsia" w:ascii="宋体" w:hAnsi="宋体" w:eastAsia="宋体" w:cs="宋体"/>
                <w:i w:val="0"/>
                <w:iCs w:val="0"/>
                <w:color w:val="262626"/>
                <w:sz w:val="21"/>
                <w:szCs w:val="28"/>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286115B">
            <w:pPr>
              <w:snapToGrid w:val="0"/>
              <w:ind w:left="0" w:leftChars="0" w:right="0" w:rightChars="0" w:firstLine="0" w:firstLineChars="0"/>
              <w:jc w:val="right"/>
              <w:rPr>
                <w:rFonts w:hint="eastAsia" w:ascii="宋体" w:hAnsi="宋体" w:eastAsia="宋体" w:cs="宋体"/>
                <w:i w:val="0"/>
                <w:iCs w:val="0"/>
                <w:color w:val="262626"/>
                <w:sz w:val="21"/>
                <w:szCs w:val="28"/>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2DEDC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E8D7C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3826C3B">
            <w:pPr>
              <w:snapToGrid w:val="0"/>
              <w:ind w:left="0" w:leftChars="0" w:right="0" w:rightChars="0" w:firstLine="0" w:firstLineChars="0"/>
              <w:jc w:val="right"/>
              <w:rPr>
                <w:rFonts w:hint="eastAsia" w:ascii="宋体" w:hAnsi="宋体" w:eastAsia="宋体" w:cs="宋体"/>
                <w:i w:val="0"/>
                <w:iCs w:val="0"/>
                <w:color w:val="000000"/>
                <w:sz w:val="21"/>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2892A82">
            <w:pPr>
              <w:snapToGrid w:val="0"/>
              <w:ind w:left="0" w:leftChars="0" w:right="0" w:rightChars="0" w:firstLine="0" w:firstLineChars="0"/>
              <w:jc w:val="right"/>
              <w:rPr>
                <w:rFonts w:hint="eastAsia" w:ascii="宋体" w:hAnsi="宋体" w:eastAsia="宋体" w:cs="宋体"/>
                <w:i w:val="0"/>
                <w:iCs w:val="0"/>
                <w:color w:val="000000"/>
                <w:sz w:val="21"/>
                <w:szCs w:val="24"/>
                <w:u w:val="none"/>
              </w:rPr>
            </w:pPr>
          </w:p>
        </w:tc>
      </w:tr>
      <w:tr w14:paraId="73C05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1" w:hRule="atLeast"/>
          <w:jc w:val="center"/>
        </w:trPr>
        <w:tc>
          <w:tcPr>
            <w:tcW w:w="47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60BA8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2"/>
                <w:u w:val="none"/>
                <w:lang w:val="en-US" w:eastAsia="zh-CN" w:bidi="ar"/>
              </w:rPr>
              <w:t>25</w:t>
            </w:r>
          </w:p>
        </w:tc>
        <w:tc>
          <w:tcPr>
            <w:tcW w:w="864"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2278C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262626"/>
                <w:sz w:val="21"/>
                <w:szCs w:val="28"/>
                <w:u w:val="none"/>
              </w:rPr>
            </w:pPr>
            <w:r>
              <w:rPr>
                <w:rFonts w:hint="eastAsia" w:ascii="宋体" w:hAnsi="宋体" w:eastAsia="宋体" w:cs="宋体"/>
                <w:i w:val="0"/>
                <w:iCs w:val="0"/>
                <w:color w:val="262626"/>
                <w:kern w:val="0"/>
                <w:sz w:val="21"/>
                <w:szCs w:val="28"/>
                <w:u w:val="none"/>
                <w:lang w:val="en-US" w:eastAsia="zh-CN" w:bidi="ar"/>
              </w:rPr>
              <w:t>拼接器输入板卡</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A13D8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8"/>
                <w:u w:val="none"/>
              </w:rPr>
            </w:pPr>
            <w:r>
              <w:rPr>
                <w:rFonts w:hint="eastAsia" w:ascii="宋体" w:hAnsi="宋体" w:eastAsia="宋体" w:cs="宋体"/>
                <w:i w:val="0"/>
                <w:iCs w:val="0"/>
                <w:color w:val="000000"/>
                <w:kern w:val="0"/>
                <w:sz w:val="21"/>
                <w:szCs w:val="28"/>
                <w:u w:val="none"/>
                <w:lang w:val="en-US" w:eastAsia="zh-CN" w:bidi="ar"/>
              </w:rPr>
              <w:t>1路预监回显（PV）</w:t>
            </w:r>
          </w:p>
        </w:tc>
        <w:tc>
          <w:tcPr>
            <w:tcW w:w="2627"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CA4FF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回显板卡；2×RJ45千兆网口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连接网络查看预监和回显画面。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1×HDMI 1.3，连接显示器查看预监和回显画面（必须为原厂配件，且与原屏幕适配）</w:t>
            </w:r>
          </w:p>
        </w:tc>
        <w:tc>
          <w:tcPr>
            <w:tcW w:w="67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7E9E659">
            <w:pPr>
              <w:snapToGrid w:val="0"/>
              <w:ind w:left="0" w:leftChars="0" w:right="0" w:rightChars="0" w:firstLine="0" w:firstLineChars="0"/>
              <w:jc w:val="center"/>
              <w:rPr>
                <w:rFonts w:hint="eastAsia" w:ascii="宋体" w:hAnsi="宋体" w:eastAsia="宋体" w:cs="宋体"/>
                <w:i w:val="0"/>
                <w:iCs w:val="0"/>
                <w:color w:val="262626"/>
                <w:sz w:val="21"/>
                <w:szCs w:val="28"/>
                <w:u w:val="none"/>
              </w:rPr>
            </w:pPr>
            <w:r>
              <w:rPr>
                <w:rFonts w:ascii="宋体" w:hAnsi="宋体" w:eastAsia="宋体" w:cs="宋体"/>
                <w:sz w:val="24"/>
                <w:szCs w:val="24"/>
              </w:rPr>
              <w:t>利亚德</w:t>
            </w:r>
          </w:p>
        </w:tc>
        <w:tc>
          <w:tcPr>
            <w:tcW w:w="69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6D30FAE">
            <w:pPr>
              <w:snapToGrid w:val="0"/>
              <w:ind w:left="0" w:leftChars="0" w:right="0" w:rightChars="0" w:firstLine="0" w:firstLineChars="0"/>
              <w:jc w:val="right"/>
              <w:rPr>
                <w:rFonts w:hint="eastAsia" w:ascii="宋体" w:hAnsi="宋体" w:eastAsia="宋体" w:cs="宋体"/>
                <w:i w:val="0"/>
                <w:iCs w:val="0"/>
                <w:color w:val="262626"/>
                <w:sz w:val="21"/>
                <w:szCs w:val="28"/>
                <w:u w:val="none"/>
              </w:rPr>
            </w:pPr>
          </w:p>
        </w:tc>
        <w:tc>
          <w:tcPr>
            <w:tcW w:w="69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634D329">
            <w:pPr>
              <w:snapToGrid w:val="0"/>
              <w:ind w:left="0" w:leftChars="0" w:right="0" w:rightChars="0" w:firstLine="0" w:firstLineChars="0"/>
              <w:jc w:val="right"/>
              <w:rPr>
                <w:rFonts w:hint="eastAsia" w:ascii="宋体" w:hAnsi="宋体" w:eastAsia="宋体" w:cs="宋体"/>
                <w:i w:val="0"/>
                <w:iCs w:val="0"/>
                <w:color w:val="262626"/>
                <w:sz w:val="21"/>
                <w:szCs w:val="28"/>
                <w:u w:val="none"/>
              </w:rPr>
            </w:pPr>
          </w:p>
        </w:tc>
        <w:tc>
          <w:tcPr>
            <w:tcW w:w="82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0F96B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1块</w:t>
            </w:r>
          </w:p>
        </w:tc>
        <w:tc>
          <w:tcPr>
            <w:tcW w:w="93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7240A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4"/>
                <w:u w:val="none"/>
              </w:rPr>
            </w:pPr>
            <w:r>
              <w:rPr>
                <w:rFonts w:hint="eastAsia" w:ascii="宋体" w:hAnsi="宋体" w:eastAsia="宋体" w:cs="宋体"/>
                <w:i w:val="0"/>
                <w:iCs w:val="0"/>
                <w:color w:val="000000"/>
                <w:kern w:val="0"/>
                <w:sz w:val="21"/>
                <w:szCs w:val="24"/>
                <w:u w:val="none"/>
                <w:lang w:val="en-US" w:eastAsia="zh-CN" w:bidi="ar"/>
              </w:rPr>
              <w:t>1</w:t>
            </w:r>
          </w:p>
        </w:tc>
        <w:tc>
          <w:tcPr>
            <w:tcW w:w="69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537BCE7">
            <w:pPr>
              <w:snapToGrid w:val="0"/>
              <w:ind w:left="0" w:leftChars="0" w:right="0" w:rightChars="0" w:firstLine="0" w:firstLineChars="0"/>
              <w:jc w:val="right"/>
              <w:rPr>
                <w:rFonts w:hint="eastAsia" w:ascii="宋体" w:hAnsi="宋体" w:eastAsia="宋体" w:cs="宋体"/>
                <w:i w:val="0"/>
                <w:iCs w:val="0"/>
                <w:color w:val="000000"/>
                <w:sz w:val="21"/>
                <w:szCs w:val="24"/>
                <w:u w:val="none"/>
              </w:rPr>
            </w:pPr>
          </w:p>
        </w:tc>
        <w:tc>
          <w:tcPr>
            <w:tcW w:w="69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97F6FA8">
            <w:pPr>
              <w:snapToGrid w:val="0"/>
              <w:ind w:left="0" w:leftChars="0" w:right="0" w:rightChars="0" w:firstLine="0" w:firstLineChars="0"/>
              <w:jc w:val="right"/>
              <w:rPr>
                <w:rFonts w:hint="eastAsia" w:ascii="宋体" w:hAnsi="宋体" w:eastAsia="宋体" w:cs="宋体"/>
                <w:i w:val="0"/>
                <w:iCs w:val="0"/>
                <w:color w:val="000000"/>
                <w:sz w:val="21"/>
                <w:szCs w:val="24"/>
                <w:u w:val="none"/>
              </w:rPr>
            </w:pPr>
          </w:p>
        </w:tc>
      </w:tr>
    </w:tbl>
    <w:p w14:paraId="612AA406">
      <w:pPr>
        <w:pStyle w:val="78"/>
        <w:rPr>
          <w:rFonts w:hint="default" w:eastAsia="宋体"/>
          <w:b/>
          <w:bCs/>
          <w:lang w:val="en-US" w:eastAsia="zh-CN"/>
        </w:rPr>
      </w:pPr>
    </w:p>
    <w:p w14:paraId="4E48010E">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ascii="黑体" w:hAnsi="黑体" w:eastAsia="黑体"/>
          <w:b/>
          <w:bCs/>
          <w:highlight w:val="none"/>
        </w:rPr>
      </w:pPr>
      <w:bookmarkStart w:id="13" w:name="_Toc47976609"/>
      <w:r>
        <w:rPr>
          <w:rFonts w:hint="eastAsia" w:ascii="黑体" w:hAnsi="黑体" w:eastAsia="黑体" w:cstheme="minorBidi"/>
          <w:b/>
          <w:bCs/>
          <w:szCs w:val="22"/>
          <w:highlight w:val="none"/>
          <w:lang w:val="en-US" w:eastAsia="zh-CN"/>
        </w:rPr>
        <w:t>二</w:t>
      </w:r>
      <w:r>
        <w:rPr>
          <w:rFonts w:hint="eastAsia" w:ascii="黑体" w:hAnsi="黑体" w:eastAsia="黑体" w:cstheme="minorBidi"/>
          <w:b/>
          <w:bCs/>
          <w:szCs w:val="22"/>
          <w:highlight w:val="none"/>
        </w:rPr>
        <w:t>、</w:t>
      </w:r>
      <w:r>
        <w:rPr>
          <w:rFonts w:hint="eastAsia" w:ascii="黑体" w:hAnsi="黑体" w:eastAsia="黑体" w:cstheme="minorBidi"/>
          <w:b/>
          <w:bCs/>
          <w:szCs w:val="22"/>
          <w:highlight w:val="none"/>
          <w:lang w:val="en-US" w:eastAsia="zh-CN"/>
        </w:rPr>
        <w:t>相关</w:t>
      </w:r>
      <w:r>
        <w:rPr>
          <w:rFonts w:hint="eastAsia" w:ascii="黑体" w:hAnsi="黑体" w:eastAsia="黑体" w:cstheme="minorBidi"/>
          <w:b/>
          <w:bCs/>
          <w:szCs w:val="22"/>
          <w:highlight w:val="none"/>
        </w:rPr>
        <w:t>要求</w:t>
      </w:r>
    </w:p>
    <w:p w14:paraId="3BA3961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Courier New" w:eastAsia="宋体"/>
          <w:sz w:val="24"/>
          <w:szCs w:val="24"/>
          <w:highlight w:val="none"/>
        </w:rPr>
      </w:pPr>
      <w:r>
        <w:rPr>
          <w:rFonts w:hint="eastAsia" w:ascii="宋体" w:hAnsi="Courier New" w:eastAsia="宋体"/>
          <w:highlight w:val="none"/>
          <w:lang w:eastAsia="zh-CN"/>
        </w:rPr>
        <w:t>（</w:t>
      </w:r>
      <w:r>
        <w:rPr>
          <w:rFonts w:hint="eastAsia" w:ascii="宋体" w:hAnsi="Courier New" w:eastAsia="宋体"/>
          <w:sz w:val="24"/>
          <w:szCs w:val="24"/>
          <w:highlight w:val="none"/>
          <w:lang w:val="en-US" w:eastAsia="zh-CN"/>
        </w:rPr>
        <w:t>1</w:t>
      </w:r>
      <w:r>
        <w:rPr>
          <w:rFonts w:hint="eastAsia" w:ascii="宋体" w:hAnsi="Courier New" w:eastAsia="宋体"/>
          <w:sz w:val="24"/>
          <w:szCs w:val="24"/>
          <w:highlight w:val="none"/>
          <w:lang w:eastAsia="zh-CN"/>
        </w:rPr>
        <w:t>）</w:t>
      </w:r>
      <w:r>
        <w:rPr>
          <w:rFonts w:hint="eastAsia" w:ascii="宋体" w:hAnsi="Courier New" w:eastAsia="宋体"/>
          <w:sz w:val="24"/>
          <w:szCs w:val="24"/>
          <w:highlight w:val="none"/>
        </w:rPr>
        <w:t>卖方提供的货物涉及的所有售后服务均由卖方负责。如果发生问题并且收到通知，卖方应当在2小时内予以答复。</w:t>
      </w:r>
    </w:p>
    <w:p w14:paraId="36EE35E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sz w:val="24"/>
          <w:szCs w:val="24"/>
          <w:highlight w:val="none"/>
        </w:rPr>
      </w:pPr>
      <w:r>
        <w:rPr>
          <w:rFonts w:hint="eastAsia" w:ascii="宋体" w:hAnsi="Courier New" w:eastAsia="宋体"/>
          <w:sz w:val="24"/>
          <w:szCs w:val="24"/>
          <w:highlight w:val="none"/>
          <w:lang w:eastAsia="zh-CN"/>
        </w:rPr>
        <w:t>（</w:t>
      </w:r>
      <w:r>
        <w:rPr>
          <w:rFonts w:hint="eastAsia" w:ascii="宋体" w:hAnsi="Courier New" w:eastAsia="宋体"/>
          <w:sz w:val="24"/>
          <w:szCs w:val="24"/>
          <w:highlight w:val="none"/>
          <w:lang w:val="en-US" w:eastAsia="zh-CN"/>
        </w:rPr>
        <w:t>2</w:t>
      </w:r>
      <w:r>
        <w:rPr>
          <w:rFonts w:hint="eastAsia" w:ascii="宋体" w:hAnsi="Courier New" w:eastAsia="宋体"/>
          <w:sz w:val="24"/>
          <w:szCs w:val="24"/>
          <w:highlight w:val="none"/>
          <w:lang w:eastAsia="zh-CN"/>
        </w:rPr>
        <w:t>）</w:t>
      </w:r>
      <w:r>
        <w:rPr>
          <w:rFonts w:hint="eastAsia" w:ascii="宋体" w:hAnsi="Courier New" w:eastAsia="宋体"/>
          <w:sz w:val="24"/>
          <w:szCs w:val="24"/>
          <w:highlight w:val="none"/>
        </w:rPr>
        <w:t>如发现所提供的货物存在问题，需要卖方解决或配合解决时：在质保期之内，应在接到通知后</w:t>
      </w:r>
      <w:r>
        <w:rPr>
          <w:rFonts w:hint="eastAsia" w:ascii="宋体" w:hAnsi="Courier New" w:eastAsia="宋体"/>
          <w:sz w:val="24"/>
          <w:szCs w:val="24"/>
          <w:highlight w:val="none"/>
          <w:lang w:val="en-US" w:eastAsia="zh-CN"/>
        </w:rPr>
        <w:t>24</w:t>
      </w:r>
      <w:r>
        <w:rPr>
          <w:rFonts w:hint="eastAsia" w:ascii="宋体" w:hAnsi="Courier New" w:eastAsia="宋体"/>
          <w:sz w:val="24"/>
          <w:szCs w:val="24"/>
          <w:highlight w:val="none"/>
        </w:rPr>
        <w:t>小时内派有关人员到达现场；在质保期之外，应在接到通知后</w:t>
      </w:r>
      <w:r>
        <w:rPr>
          <w:rFonts w:hint="eastAsia" w:ascii="宋体" w:hAnsi="Courier New" w:eastAsia="宋体"/>
          <w:sz w:val="24"/>
          <w:szCs w:val="24"/>
          <w:highlight w:val="none"/>
          <w:lang w:val="en-US" w:eastAsia="zh-CN"/>
        </w:rPr>
        <w:t>72</w:t>
      </w:r>
      <w:r>
        <w:rPr>
          <w:rFonts w:hint="eastAsia" w:ascii="宋体" w:hAnsi="Courier New" w:eastAsia="宋体"/>
          <w:sz w:val="24"/>
          <w:szCs w:val="24"/>
          <w:highlight w:val="none"/>
        </w:rPr>
        <w:t>小时内派有关人员到达现场。</w:t>
      </w:r>
    </w:p>
    <w:p w14:paraId="6F8D7EA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eastAsia="宋体"/>
          <w:sz w:val="24"/>
          <w:szCs w:val="24"/>
          <w:highlight w:val="none"/>
        </w:rPr>
      </w:pPr>
      <w:r>
        <w:rPr>
          <w:rFonts w:hint="eastAsia" w:ascii="宋体" w:hAnsi="Courier New" w:eastAsia="宋体"/>
          <w:sz w:val="24"/>
          <w:szCs w:val="24"/>
          <w:highlight w:val="none"/>
          <w:lang w:eastAsia="zh-CN"/>
        </w:rPr>
        <w:t>（</w:t>
      </w:r>
      <w:r>
        <w:rPr>
          <w:rFonts w:hint="eastAsia" w:ascii="宋体" w:hAnsi="Courier New" w:eastAsia="宋体"/>
          <w:sz w:val="24"/>
          <w:szCs w:val="24"/>
          <w:highlight w:val="none"/>
          <w:lang w:val="en-US" w:eastAsia="zh-CN"/>
        </w:rPr>
        <w:t>3</w:t>
      </w:r>
      <w:r>
        <w:rPr>
          <w:rFonts w:hint="eastAsia" w:ascii="宋体" w:hAnsi="Courier New" w:eastAsia="宋体"/>
          <w:sz w:val="24"/>
          <w:szCs w:val="24"/>
          <w:highlight w:val="none"/>
          <w:lang w:eastAsia="zh-CN"/>
        </w:rPr>
        <w:t>）</w:t>
      </w:r>
      <w:r>
        <w:rPr>
          <w:rFonts w:hint="eastAsia" w:ascii="宋体" w:hAnsi="Courier New" w:eastAsia="宋体"/>
          <w:sz w:val="24"/>
          <w:szCs w:val="24"/>
          <w:highlight w:val="none"/>
        </w:rPr>
        <w:t>卖方派往买方使用现场的人员，应具有较高的业务素质；现场解决问题时，不得无故拖延或推迟，应为买方提供最佳的服务。</w:t>
      </w:r>
    </w:p>
    <w:p w14:paraId="547BC8E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Courier New"/>
          <w:sz w:val="24"/>
          <w:szCs w:val="24"/>
          <w:highlight w:val="none"/>
        </w:rPr>
      </w:pPr>
      <w:r>
        <w:rPr>
          <w:rFonts w:hint="eastAsia" w:ascii="宋体" w:hAnsi="Courier New"/>
          <w:sz w:val="24"/>
          <w:szCs w:val="24"/>
          <w:highlight w:val="none"/>
        </w:rPr>
        <w:t>（</w:t>
      </w:r>
      <w:r>
        <w:rPr>
          <w:rFonts w:hint="eastAsia" w:ascii="宋体" w:hAnsi="Courier New"/>
          <w:sz w:val="24"/>
          <w:szCs w:val="24"/>
          <w:highlight w:val="none"/>
          <w:lang w:val="en-US" w:eastAsia="zh-CN"/>
        </w:rPr>
        <w:t>4</w:t>
      </w:r>
      <w:r>
        <w:rPr>
          <w:rFonts w:hint="eastAsia" w:ascii="宋体" w:hAnsi="Courier New"/>
          <w:sz w:val="24"/>
          <w:szCs w:val="24"/>
          <w:highlight w:val="none"/>
        </w:rPr>
        <w:t>）未尽事宜本着友好协商原则办理。</w:t>
      </w:r>
    </w:p>
    <w:p w14:paraId="0B1D6EC2">
      <w:pPr>
        <w:pStyle w:val="17"/>
        <w:rPr>
          <w:rFonts w:hint="eastAsia"/>
        </w:rPr>
      </w:pPr>
    </w:p>
    <w:p w14:paraId="0E3885EE">
      <w:pPr>
        <w:rPr>
          <w:rFonts w:hint="eastAsia"/>
        </w:rPr>
      </w:pPr>
    </w:p>
    <w:p w14:paraId="5871DF53">
      <w:pPr>
        <w:pStyle w:val="73"/>
        <w:numPr>
          <w:ilvl w:val="0"/>
          <w:numId w:val="30"/>
        </w:numPr>
        <w:rPr>
          <w:rFonts w:hint="eastAsia"/>
        </w:rPr>
      </w:pPr>
      <w:bookmarkStart w:id="14" w:name="_Toc8030"/>
      <w:r>
        <w:rPr>
          <w:rFonts w:hint="eastAsia"/>
        </w:rPr>
        <w:t>合同主要条款</w:t>
      </w:r>
      <w:bookmarkEnd w:id="13"/>
      <w:bookmarkEnd w:id="14"/>
    </w:p>
    <w:p w14:paraId="56105630">
      <w:pPr>
        <w:wordWrap w:val="0"/>
        <w:adjustRightInd w:val="0"/>
        <w:snapToGrid w:val="0"/>
        <w:spacing w:line="360" w:lineRule="auto"/>
        <w:jc w:val="right"/>
        <w:rPr>
          <w:rFonts w:ascii="宋体" w:hAnsi="宋体"/>
          <w:b/>
          <w:sz w:val="28"/>
          <w:szCs w:val="28"/>
        </w:rPr>
      </w:pPr>
    </w:p>
    <w:p w14:paraId="23914DBE">
      <w:pPr>
        <w:pStyle w:val="74"/>
        <w:numPr>
          <w:ilvl w:val="0"/>
          <w:numId w:val="31"/>
        </w:numPr>
        <w:ind w:left="420"/>
      </w:pPr>
      <w:bookmarkStart w:id="15" w:name="_Toc47976610"/>
      <w:bookmarkStart w:id="16" w:name="_Toc47976615"/>
      <w:r>
        <w:rPr>
          <w:rFonts w:hint="eastAsia"/>
          <w:lang w:val="en-US" w:eastAsia="zh-CN"/>
        </w:rPr>
        <w:t>标的、数量、</w:t>
      </w:r>
      <w:r>
        <w:rPr>
          <w:rFonts w:hint="eastAsia"/>
        </w:rPr>
        <w:t>交货期</w:t>
      </w:r>
      <w:bookmarkEnd w:id="15"/>
    </w:p>
    <w:p w14:paraId="18603CA8">
      <w:pPr>
        <w:pStyle w:val="74"/>
      </w:pPr>
      <w:bookmarkStart w:id="17" w:name="_Toc47976611"/>
      <w:r>
        <w:rPr>
          <w:rFonts w:hint="eastAsia"/>
        </w:rPr>
        <w:t>交货地点</w:t>
      </w:r>
      <w:bookmarkEnd w:id="17"/>
    </w:p>
    <w:p w14:paraId="3F03A936">
      <w:pPr>
        <w:pStyle w:val="74"/>
      </w:pPr>
      <w:bookmarkStart w:id="18" w:name="_Toc47976612"/>
      <w:r>
        <w:rPr>
          <w:rFonts w:hint="eastAsia"/>
          <w:lang w:val="en-US" w:eastAsia="zh-CN"/>
        </w:rPr>
        <w:t>价款及</w:t>
      </w:r>
      <w:r>
        <w:rPr>
          <w:rFonts w:hint="eastAsia"/>
        </w:rPr>
        <w:t>付款方式</w:t>
      </w:r>
      <w:bookmarkEnd w:id="18"/>
    </w:p>
    <w:p w14:paraId="0A7F4E98">
      <w:pPr>
        <w:pStyle w:val="74"/>
      </w:pPr>
      <w:bookmarkStart w:id="19" w:name="_Toc47976613"/>
      <w:r>
        <w:rPr>
          <w:rFonts w:hint="eastAsia"/>
          <w:lang w:val="en-US" w:eastAsia="zh-CN"/>
        </w:rPr>
        <w:t>质量要求、</w:t>
      </w:r>
      <w:r>
        <w:rPr>
          <w:rFonts w:hint="eastAsia"/>
        </w:rPr>
        <w:t>保修期及售后服务</w:t>
      </w:r>
      <w:bookmarkEnd w:id="19"/>
    </w:p>
    <w:p w14:paraId="50F6C5C1">
      <w:pPr>
        <w:pStyle w:val="74"/>
      </w:pPr>
      <w:bookmarkStart w:id="20" w:name="_Toc47976614"/>
      <w:r>
        <w:rPr>
          <w:rFonts w:hint="eastAsia"/>
        </w:rPr>
        <w:t>安装、调试及验收要求</w:t>
      </w:r>
      <w:bookmarkEnd w:id="20"/>
    </w:p>
    <w:p w14:paraId="7FDA440C">
      <w:pPr>
        <w:pStyle w:val="74"/>
      </w:pPr>
      <w:r>
        <w:rPr>
          <w:rFonts w:hint="eastAsia"/>
          <w:lang w:val="en-US" w:eastAsia="zh-CN"/>
        </w:rPr>
        <w:t>违约责任</w:t>
      </w:r>
    </w:p>
    <w:p w14:paraId="7B4D50AD">
      <w:pPr>
        <w:pStyle w:val="74"/>
      </w:pPr>
      <w:r>
        <w:rPr>
          <w:rFonts w:hint="eastAsia"/>
          <w:lang w:val="en-US" w:eastAsia="zh-CN"/>
        </w:rPr>
        <w:t>争议解决方式</w:t>
      </w:r>
    </w:p>
    <w:p w14:paraId="504FA1DC">
      <w:pPr>
        <w:rPr>
          <w:rFonts w:hint="eastAsia"/>
        </w:rPr>
      </w:pPr>
    </w:p>
    <w:p w14:paraId="1A67A1AE">
      <w:pPr>
        <w:rPr>
          <w:rFonts w:hint="eastAsia"/>
        </w:rPr>
      </w:pPr>
      <w:r>
        <w:rPr>
          <w:rFonts w:hint="eastAsia"/>
        </w:rPr>
        <w:br w:type="page"/>
      </w:r>
    </w:p>
    <w:p w14:paraId="50D9D845">
      <w:pPr>
        <w:pStyle w:val="73"/>
        <w:rPr>
          <w:rFonts w:ascii="黑体" w:hAnsi="Calibri" w:eastAsia="黑体" w:cs="Times New Roman"/>
          <w:color w:val="000000"/>
          <w:sz w:val="24"/>
          <w:szCs w:val="24"/>
        </w:rPr>
      </w:pPr>
      <w:bookmarkStart w:id="21" w:name="_Toc16500"/>
      <w:r>
        <w:rPr>
          <w:rFonts w:hint="eastAsia"/>
        </w:rPr>
        <w:t>第四部分　</w:t>
      </w:r>
      <w:bookmarkEnd w:id="16"/>
      <w:r>
        <w:rPr>
          <w:rFonts w:hint="eastAsia"/>
          <w:lang w:val="en-US" w:eastAsia="zh-CN"/>
        </w:rPr>
        <w:t>投标文件附件</w:t>
      </w:r>
      <w:bookmarkEnd w:id="21"/>
    </w:p>
    <w:p w14:paraId="32681108">
      <w:pPr>
        <w:jc w:val="both"/>
        <w:rPr>
          <w:rFonts w:ascii="宋体"/>
          <w:b/>
          <w:color w:val="000000"/>
          <w:szCs w:val="24"/>
        </w:rPr>
      </w:pPr>
    </w:p>
    <w:p w14:paraId="6220DDA8">
      <w:pPr>
        <w:pStyle w:val="17"/>
      </w:pPr>
    </w:p>
    <w:p w14:paraId="34291980">
      <w:pPr>
        <w:pStyle w:val="74"/>
        <w:numPr>
          <w:ilvl w:val="0"/>
          <w:numId w:val="0"/>
        </w:numPr>
        <w:ind w:leftChars="0"/>
        <w:outlineLvl w:val="1"/>
        <w:rPr>
          <w:rFonts w:hint="default" w:ascii="宋体" w:hAnsi="宋体" w:eastAsia="宋体" w:cs="宋体"/>
          <w:sz w:val="32"/>
          <w:szCs w:val="32"/>
          <w:highlight w:val="yellow"/>
          <w:lang w:val="en-US" w:eastAsia="zh-CN"/>
        </w:rPr>
      </w:pPr>
      <w:bookmarkStart w:id="22" w:name="_Toc47976618"/>
      <w:bookmarkStart w:id="23" w:name="_Toc29366869"/>
      <w:bookmarkStart w:id="24" w:name="_Toc29366865"/>
      <w:r>
        <w:rPr>
          <w:rFonts w:hint="eastAsia" w:ascii="宋体" w:hAnsi="宋体" w:eastAsia="宋体" w:cs="宋体"/>
          <w:sz w:val="32"/>
          <w:szCs w:val="32"/>
          <w:highlight w:val="none"/>
          <w:lang w:val="en-US" w:eastAsia="zh-CN"/>
        </w:rPr>
        <w:t>附件1 法定代表人授权委托书</w:t>
      </w:r>
    </w:p>
    <w:bookmarkEnd w:id="22"/>
    <w:p w14:paraId="5121093B">
      <w:pPr>
        <w:spacing w:line="360" w:lineRule="auto"/>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法定代表人授权委托书</w:t>
      </w:r>
    </w:p>
    <w:p w14:paraId="180342E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集团办公室LED年度维保采购项目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F8F578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0B7C1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A69F347">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427685B">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6609A01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73B5E5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6F6925F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585FAE3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6A49D1B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374AA84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2D6CAE40">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FFC5B98">
      <w:pPr>
        <w:spacing w:line="460" w:lineRule="exact"/>
        <w:ind w:firstLine="5520" w:firstLineChars="2300"/>
        <w:rPr>
          <w:rFonts w:ascii="宋体" w:hAnsi="Calibri" w:eastAsia="宋体" w:cs="Times New Roman"/>
          <w:sz w:val="24"/>
          <w:szCs w:val="20"/>
          <w:u w:val="single"/>
        </w:rPr>
      </w:pPr>
    </w:p>
    <w:p w14:paraId="436DB774">
      <w:pPr>
        <w:rPr>
          <w:rFonts w:ascii="Calibri" w:hAnsi="Calibri" w:eastAsia="黑体" w:cs="Times New Roman"/>
          <w:b/>
          <w:bCs/>
          <w:color w:val="000000"/>
          <w:sz w:val="28"/>
          <w:szCs w:val="20"/>
        </w:rPr>
      </w:pPr>
    </w:p>
    <w:p w14:paraId="45335BFE">
      <w:pPr>
        <w:pStyle w:val="17"/>
        <w:rPr>
          <w:rFonts w:ascii="Calibri" w:hAnsi="Calibri" w:eastAsia="黑体" w:cs="Times New Roman"/>
          <w:b/>
          <w:bCs/>
          <w:color w:val="000000"/>
          <w:sz w:val="28"/>
          <w:szCs w:val="20"/>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p>
    <w:p w14:paraId="396A5D81">
      <w:pPr>
        <w:pStyle w:val="74"/>
        <w:numPr>
          <w:ilvl w:val="0"/>
          <w:numId w:val="0"/>
        </w:numPr>
        <w:ind w:leftChars="0"/>
        <w:outlineLvl w:val="1"/>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附件2 投标人基本情况及资产情况汇总表</w:t>
      </w:r>
    </w:p>
    <w:p w14:paraId="58088325">
      <w:pPr>
        <w:spacing w:line="360" w:lineRule="auto"/>
        <w:jc w:val="left"/>
        <w:outlineLvl w:val="3"/>
        <w:rPr>
          <w:rFonts w:hint="eastAsia" w:ascii="宋体" w:hAnsi="宋体" w:eastAsia="宋体" w:cs="宋体"/>
          <w:b/>
          <w:bCs/>
          <w:color w:val="000000"/>
          <w:sz w:val="32"/>
          <w:szCs w:val="32"/>
        </w:rPr>
      </w:pPr>
      <w:r>
        <w:rPr>
          <w:rFonts w:hint="eastAsia" w:ascii="宋体" w:hAnsi="宋体" w:eastAsia="宋体" w:cs="宋体"/>
          <w:b/>
          <w:bCs/>
          <w:color w:val="000000"/>
          <w:sz w:val="32"/>
          <w:szCs w:val="32"/>
        </w:rPr>
        <w:t>表 1 投标人基本情况表</w:t>
      </w:r>
    </w:p>
    <w:p w14:paraId="0144CA54">
      <w:pPr>
        <w:spacing w:line="360" w:lineRule="auto"/>
        <w:jc w:val="center"/>
        <w:outlineLvl w:val="9"/>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投标人基本情况表</w:t>
      </w:r>
    </w:p>
    <w:tbl>
      <w:tblPr>
        <w:tblStyle w:val="115"/>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4DE00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467A997E">
            <w:pPr>
              <w:pStyle w:val="114"/>
              <w:spacing w:before="114"/>
              <w:ind w:left="720"/>
            </w:pPr>
            <w:r>
              <w:t xml:space="preserve">企业名称 </w:t>
            </w:r>
          </w:p>
        </w:tc>
        <w:tc>
          <w:tcPr>
            <w:tcW w:w="4680" w:type="dxa"/>
            <w:gridSpan w:val="4"/>
            <w:vAlign w:val="center"/>
          </w:tcPr>
          <w:p w14:paraId="095B8201">
            <w:pPr>
              <w:widowControl/>
              <w:jc w:val="center"/>
              <w:textAlignment w:val="center"/>
              <w:rPr>
                <w:rFonts w:ascii="宋体" w:hAnsi="宋体" w:eastAsia="宋体" w:cs="宋体"/>
                <w:color w:val="000000"/>
              </w:rPr>
            </w:pPr>
          </w:p>
        </w:tc>
        <w:tc>
          <w:tcPr>
            <w:tcW w:w="1310" w:type="dxa"/>
          </w:tcPr>
          <w:p w14:paraId="57DCA48F">
            <w:pPr>
              <w:pStyle w:val="114"/>
              <w:spacing w:before="106"/>
              <w:ind w:left="154" w:right="26"/>
              <w:jc w:val="center"/>
              <w:rPr>
                <w:color w:val="000000"/>
              </w:rPr>
            </w:pPr>
            <w:r>
              <w:rPr>
                <w:color w:val="000000"/>
              </w:rPr>
              <w:t xml:space="preserve">联系人 </w:t>
            </w:r>
          </w:p>
        </w:tc>
        <w:tc>
          <w:tcPr>
            <w:tcW w:w="1510" w:type="dxa"/>
            <w:vAlign w:val="center"/>
          </w:tcPr>
          <w:p w14:paraId="4819903C">
            <w:pPr>
              <w:widowControl/>
              <w:jc w:val="center"/>
              <w:textAlignment w:val="center"/>
              <w:rPr>
                <w:rFonts w:ascii="宋体" w:hAnsi="宋体" w:eastAsia="宋体" w:cs="宋体"/>
                <w:color w:val="000000"/>
                <w:szCs w:val="21"/>
              </w:rPr>
            </w:pPr>
          </w:p>
        </w:tc>
      </w:tr>
      <w:tr w14:paraId="54F0B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1A13248D">
            <w:pPr>
              <w:pStyle w:val="114"/>
              <w:spacing w:before="114"/>
              <w:ind w:left="720"/>
            </w:pPr>
            <w:r>
              <w:t xml:space="preserve">企业地址 </w:t>
            </w:r>
          </w:p>
        </w:tc>
        <w:tc>
          <w:tcPr>
            <w:tcW w:w="4680" w:type="dxa"/>
            <w:gridSpan w:val="4"/>
            <w:vAlign w:val="center"/>
          </w:tcPr>
          <w:p w14:paraId="4009A84D">
            <w:pPr>
              <w:widowControl/>
              <w:jc w:val="center"/>
              <w:textAlignment w:val="center"/>
              <w:rPr>
                <w:rFonts w:ascii="宋体" w:hAnsi="宋体" w:eastAsia="宋体" w:cs="宋体"/>
                <w:color w:val="000000"/>
              </w:rPr>
            </w:pPr>
          </w:p>
        </w:tc>
        <w:tc>
          <w:tcPr>
            <w:tcW w:w="1310" w:type="dxa"/>
          </w:tcPr>
          <w:p w14:paraId="0BA48AC5">
            <w:pPr>
              <w:pStyle w:val="114"/>
              <w:spacing w:before="106"/>
              <w:ind w:left="154" w:right="26"/>
              <w:jc w:val="center"/>
              <w:rPr>
                <w:color w:val="000000"/>
              </w:rPr>
            </w:pPr>
            <w:r>
              <w:rPr>
                <w:color w:val="000000"/>
              </w:rPr>
              <w:t xml:space="preserve">联系人电话 </w:t>
            </w:r>
          </w:p>
        </w:tc>
        <w:tc>
          <w:tcPr>
            <w:tcW w:w="1510" w:type="dxa"/>
            <w:vAlign w:val="center"/>
          </w:tcPr>
          <w:p w14:paraId="7E3EEDA2">
            <w:pPr>
              <w:widowControl/>
              <w:jc w:val="center"/>
              <w:textAlignment w:val="center"/>
              <w:rPr>
                <w:rFonts w:ascii="宋体" w:hAnsi="宋体" w:eastAsia="宋体" w:cs="宋体"/>
                <w:color w:val="000000"/>
                <w:szCs w:val="21"/>
              </w:rPr>
            </w:pPr>
          </w:p>
        </w:tc>
      </w:tr>
      <w:tr w14:paraId="16B4E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6" w:hRule="atLeast"/>
        </w:trPr>
        <w:tc>
          <w:tcPr>
            <w:tcW w:w="1956" w:type="dxa"/>
          </w:tcPr>
          <w:p w14:paraId="4551FB39">
            <w:pPr>
              <w:pStyle w:val="114"/>
              <w:spacing w:before="111"/>
              <w:ind w:left="720"/>
            </w:pPr>
            <w:r>
              <w:t xml:space="preserve">企业性质 </w:t>
            </w:r>
          </w:p>
        </w:tc>
        <w:tc>
          <w:tcPr>
            <w:tcW w:w="4680" w:type="dxa"/>
            <w:gridSpan w:val="4"/>
            <w:vAlign w:val="center"/>
          </w:tcPr>
          <w:p w14:paraId="5B648FE9">
            <w:pPr>
              <w:widowControl/>
              <w:jc w:val="center"/>
              <w:textAlignment w:val="center"/>
              <w:rPr>
                <w:rFonts w:ascii="宋体" w:hAnsi="宋体" w:eastAsia="宋体" w:cs="宋体"/>
                <w:color w:val="000000"/>
              </w:rPr>
            </w:pPr>
          </w:p>
        </w:tc>
        <w:tc>
          <w:tcPr>
            <w:tcW w:w="1310" w:type="dxa"/>
          </w:tcPr>
          <w:p w14:paraId="022012E2">
            <w:pPr>
              <w:pStyle w:val="114"/>
              <w:spacing w:before="103"/>
              <w:ind w:left="154" w:right="26"/>
              <w:jc w:val="center"/>
              <w:rPr>
                <w:color w:val="000000"/>
              </w:rPr>
            </w:pPr>
            <w:r>
              <w:rPr>
                <w:rFonts w:hint="eastAsia"/>
                <w:color w:val="000000"/>
              </w:rPr>
              <w:t>注册时间</w:t>
            </w:r>
            <w:r>
              <w:rPr>
                <w:color w:val="000000"/>
              </w:rPr>
              <w:t xml:space="preserve"> </w:t>
            </w:r>
          </w:p>
        </w:tc>
        <w:tc>
          <w:tcPr>
            <w:tcW w:w="1510" w:type="dxa"/>
            <w:vAlign w:val="center"/>
          </w:tcPr>
          <w:p w14:paraId="3FA7830C">
            <w:pPr>
              <w:widowControl/>
              <w:jc w:val="center"/>
              <w:textAlignment w:val="center"/>
              <w:rPr>
                <w:rFonts w:ascii="宋体" w:hAnsi="宋体" w:eastAsia="宋体" w:cs="宋体"/>
                <w:color w:val="000000"/>
                <w:szCs w:val="21"/>
              </w:rPr>
            </w:pPr>
          </w:p>
        </w:tc>
      </w:tr>
      <w:tr w14:paraId="7E91A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17C1A7A9">
            <w:pPr>
              <w:pStyle w:val="114"/>
              <w:spacing w:before="111"/>
              <w:ind w:left="509"/>
              <w:rPr>
                <w:highlight w:val="yellow"/>
              </w:rPr>
            </w:pPr>
            <w:r>
              <w:t xml:space="preserve">企业法人代表  </w:t>
            </w:r>
          </w:p>
        </w:tc>
        <w:tc>
          <w:tcPr>
            <w:tcW w:w="4680" w:type="dxa"/>
            <w:gridSpan w:val="4"/>
          </w:tcPr>
          <w:p w14:paraId="4B5F8599">
            <w:pPr>
              <w:pStyle w:val="5"/>
              <w:keepNext w:val="0"/>
              <w:keepLines w:val="0"/>
              <w:widowControl/>
              <w:shd w:val="clear" w:color="auto" w:fill="FFFFFF"/>
              <w:spacing w:before="0" w:after="0" w:line="450" w:lineRule="atLeast"/>
              <w:rPr>
                <w:rFonts w:ascii="宋体" w:hAnsi="宋体" w:cs="宋体"/>
                <w:color w:val="000000"/>
              </w:rPr>
            </w:pPr>
          </w:p>
        </w:tc>
        <w:tc>
          <w:tcPr>
            <w:tcW w:w="1310" w:type="dxa"/>
          </w:tcPr>
          <w:p w14:paraId="6D04B196">
            <w:pPr>
              <w:pStyle w:val="114"/>
              <w:spacing w:before="103"/>
              <w:ind w:right="26"/>
              <w:jc w:val="center"/>
              <w:rPr>
                <w:color w:val="000000"/>
              </w:rPr>
            </w:pPr>
            <w:r>
              <w:rPr>
                <w:color w:val="000000"/>
              </w:rPr>
              <w:t>企业资质</w:t>
            </w:r>
          </w:p>
        </w:tc>
        <w:tc>
          <w:tcPr>
            <w:tcW w:w="1510" w:type="dxa"/>
            <w:vAlign w:val="center"/>
          </w:tcPr>
          <w:p w14:paraId="475B8BC0">
            <w:pPr>
              <w:widowControl/>
              <w:jc w:val="center"/>
              <w:textAlignment w:val="center"/>
              <w:rPr>
                <w:rFonts w:ascii="宋体" w:hAnsi="宋体" w:eastAsia="宋体" w:cs="宋体"/>
                <w:color w:val="000000"/>
                <w:szCs w:val="21"/>
              </w:rPr>
            </w:pPr>
          </w:p>
        </w:tc>
      </w:tr>
      <w:tr w14:paraId="55A7F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619303D">
            <w:pPr>
              <w:pStyle w:val="114"/>
              <w:spacing w:before="114"/>
              <w:ind w:left="720"/>
            </w:pPr>
            <w:r>
              <w:t xml:space="preserve">品牌区分 </w:t>
            </w:r>
          </w:p>
        </w:tc>
        <w:tc>
          <w:tcPr>
            <w:tcW w:w="7500" w:type="dxa"/>
            <w:gridSpan w:val="6"/>
          </w:tcPr>
          <w:p w14:paraId="3BAE0FF2">
            <w:pPr>
              <w:pStyle w:val="114"/>
              <w:spacing w:before="106"/>
              <w:ind w:left="401"/>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1E453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7D05C8BF">
            <w:pPr>
              <w:pStyle w:val="114"/>
              <w:spacing w:before="178"/>
              <w:ind w:left="720"/>
            </w:pPr>
            <w:r>
              <w:t xml:space="preserve">品牌名称 </w:t>
            </w:r>
          </w:p>
        </w:tc>
        <w:tc>
          <w:tcPr>
            <w:tcW w:w="3583" w:type="dxa"/>
            <w:gridSpan w:val="3"/>
            <w:vAlign w:val="center"/>
          </w:tcPr>
          <w:p w14:paraId="454E744B">
            <w:pPr>
              <w:widowControl/>
              <w:rPr>
                <w:rFonts w:ascii="宋体" w:hAnsi="宋体" w:eastAsia="方正仿宋_GB2312"/>
                <w:kern w:val="0"/>
                <w:szCs w:val="21"/>
              </w:rPr>
            </w:pPr>
          </w:p>
        </w:tc>
        <w:tc>
          <w:tcPr>
            <w:tcW w:w="1097" w:type="dxa"/>
          </w:tcPr>
          <w:p w14:paraId="089ADBEF">
            <w:pPr>
              <w:pStyle w:val="114"/>
              <w:spacing w:before="15"/>
              <w:ind w:left="279"/>
            </w:pPr>
            <w:r>
              <w:rPr>
                <w:spacing w:val="-2"/>
              </w:rPr>
              <w:t>质量</w:t>
            </w:r>
            <w:r>
              <w:t xml:space="preserve"> </w:t>
            </w:r>
          </w:p>
          <w:p w14:paraId="38F7D920">
            <w:pPr>
              <w:pStyle w:val="114"/>
              <w:spacing w:before="30" w:line="277" w:lineRule="exact"/>
              <w:ind w:left="279"/>
            </w:pPr>
            <w:r>
              <w:rPr>
                <w:rFonts w:hint="eastAsia"/>
              </w:rPr>
              <w:t>体系</w:t>
            </w:r>
          </w:p>
        </w:tc>
        <w:tc>
          <w:tcPr>
            <w:tcW w:w="2820" w:type="dxa"/>
            <w:gridSpan w:val="2"/>
          </w:tcPr>
          <w:p w14:paraId="53E9DAB1">
            <w:pPr>
              <w:pStyle w:val="114"/>
              <w:spacing w:before="158"/>
              <w:jc w:val="center"/>
              <w:rPr>
                <w:sz w:val="24"/>
              </w:rPr>
            </w:pPr>
          </w:p>
        </w:tc>
      </w:tr>
      <w:tr w14:paraId="335D3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0063BA57">
            <w:pPr>
              <w:pStyle w:val="114"/>
              <w:spacing w:before="149"/>
              <w:ind w:left="3345" w:right="3223"/>
              <w:jc w:val="center"/>
            </w:pPr>
            <w:r>
              <w:rPr>
                <w:rFonts w:hint="eastAsia"/>
                <w:szCs w:val="21"/>
              </w:rPr>
              <w:t>单位概况</w:t>
            </w:r>
          </w:p>
        </w:tc>
      </w:tr>
      <w:tr w14:paraId="6ECE5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1A7F5E61">
            <w:pPr>
              <w:widowControl/>
              <w:jc w:val="center"/>
              <w:textAlignment w:val="center"/>
              <w:rPr>
                <w:rFonts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516C369F">
            <w:pPr>
              <w:widowControl/>
              <w:textAlignment w:val="center"/>
              <w:rPr>
                <w:rFonts w:ascii="宋体" w:hAnsi="宋体" w:eastAsia="宋体" w:cs="宋体"/>
                <w:szCs w:val="21"/>
              </w:rPr>
            </w:pPr>
          </w:p>
        </w:tc>
        <w:tc>
          <w:tcPr>
            <w:tcW w:w="1530" w:type="dxa"/>
            <w:vAlign w:val="center"/>
          </w:tcPr>
          <w:p w14:paraId="4DE1BDA9">
            <w:pPr>
              <w:widowControl/>
              <w:jc w:val="center"/>
              <w:textAlignment w:val="center"/>
              <w:rPr>
                <w:rFonts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590EE67E">
            <w:pPr>
              <w:widowControl/>
              <w:jc w:val="center"/>
              <w:textAlignment w:val="center"/>
              <w:rPr>
                <w:rFonts w:ascii="宋体" w:hAnsi="宋体" w:eastAsia="宋体" w:cs="宋体"/>
                <w:szCs w:val="21"/>
              </w:rPr>
            </w:pPr>
          </w:p>
        </w:tc>
        <w:tc>
          <w:tcPr>
            <w:tcW w:w="1097" w:type="dxa"/>
            <w:vAlign w:val="center"/>
          </w:tcPr>
          <w:p w14:paraId="7957444F">
            <w:pPr>
              <w:widowControl/>
              <w:textAlignment w:val="center"/>
              <w:rPr>
                <w:rFonts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4637678A">
            <w:pPr>
              <w:widowControl/>
              <w:jc w:val="center"/>
              <w:textAlignment w:val="center"/>
              <w:rPr>
                <w:rFonts w:ascii="宋体" w:hAnsi="宋体" w:eastAsia="宋体" w:cs="宋体"/>
                <w:szCs w:val="21"/>
              </w:rPr>
            </w:pPr>
          </w:p>
        </w:tc>
      </w:tr>
      <w:tr w14:paraId="45DD2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2A1B389F">
            <w:pPr>
              <w:widowControl/>
              <w:jc w:val="center"/>
              <w:textAlignment w:val="center"/>
              <w:rPr>
                <w:rFonts w:ascii="宋体" w:hAnsi="宋体" w:eastAsia="宋体" w:cs="宋体"/>
                <w:szCs w:val="21"/>
              </w:rPr>
            </w:pPr>
            <w:r>
              <w:rPr>
                <w:rFonts w:hint="eastAsia" w:ascii="宋体" w:hAnsi="宋体" w:eastAsia="宋体" w:cs="宋体"/>
                <w:kern w:val="0"/>
                <w:szCs w:val="21"/>
              </w:rPr>
              <w:t>企业优势、关键产品特点</w:t>
            </w:r>
          </w:p>
        </w:tc>
        <w:tc>
          <w:tcPr>
            <w:tcW w:w="7500" w:type="dxa"/>
            <w:gridSpan w:val="6"/>
            <w:vAlign w:val="center"/>
          </w:tcPr>
          <w:p w14:paraId="0DDABFCC">
            <w:pPr>
              <w:widowControl/>
              <w:jc w:val="left"/>
              <w:rPr>
                <w:rFonts w:ascii="宋体" w:hAnsi="宋体" w:eastAsia="宋体" w:cs="宋体"/>
                <w:szCs w:val="21"/>
              </w:rPr>
            </w:pPr>
            <w:r>
              <w:rPr>
                <w:rFonts w:hint="eastAsia" w:ascii="宋体" w:hAnsi="宋体" w:eastAsia="宋体" w:cs="宋体"/>
                <w:kern w:val="0"/>
                <w:szCs w:val="21"/>
              </w:rPr>
              <w:t>　</w:t>
            </w:r>
          </w:p>
        </w:tc>
      </w:tr>
      <w:tr w14:paraId="14197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60569FD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企业行业水平及行业口碑</w:t>
            </w:r>
          </w:p>
        </w:tc>
        <w:tc>
          <w:tcPr>
            <w:tcW w:w="7500" w:type="dxa"/>
            <w:gridSpan w:val="6"/>
            <w:vAlign w:val="center"/>
          </w:tcPr>
          <w:p w14:paraId="2D9B58CA">
            <w:pPr>
              <w:widowControl/>
              <w:jc w:val="left"/>
              <w:rPr>
                <w:rFonts w:ascii="宋体" w:hAnsi="宋体" w:eastAsia="宋体" w:cs="宋体"/>
                <w:szCs w:val="21"/>
              </w:rPr>
            </w:pPr>
            <w:r>
              <w:rPr>
                <w:rFonts w:hint="eastAsia" w:ascii="宋体" w:hAnsi="宋体" w:eastAsia="宋体" w:cs="宋体"/>
                <w:kern w:val="0"/>
                <w:szCs w:val="21"/>
              </w:rPr>
              <w:t>　</w:t>
            </w:r>
          </w:p>
        </w:tc>
      </w:tr>
      <w:tr w14:paraId="0FE72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1B730ABC">
            <w:pPr>
              <w:widowControl/>
              <w:jc w:val="center"/>
              <w:textAlignment w:val="center"/>
              <w:rPr>
                <w:rFonts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1C36C38C">
            <w:pPr>
              <w:widowControl/>
              <w:jc w:val="left"/>
              <w:rPr>
                <w:rFonts w:ascii="宋体" w:hAnsi="宋体" w:eastAsia="宋体" w:cs="宋体"/>
                <w:szCs w:val="21"/>
              </w:rPr>
            </w:pPr>
            <w:r>
              <w:rPr>
                <w:rFonts w:hint="eastAsia" w:ascii="宋体" w:hAnsi="宋体" w:eastAsia="宋体" w:cs="宋体"/>
                <w:kern w:val="0"/>
                <w:szCs w:val="21"/>
              </w:rPr>
              <w:t>　</w:t>
            </w:r>
          </w:p>
        </w:tc>
      </w:tr>
      <w:tr w14:paraId="27D5C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5E0FED42">
            <w:pPr>
              <w:widowControl/>
              <w:jc w:val="center"/>
              <w:textAlignment w:val="center"/>
              <w:rPr>
                <w:rFonts w:ascii="宋体" w:hAnsi="宋体" w:eastAsia="宋体" w:cs="宋体"/>
                <w:szCs w:val="21"/>
              </w:rPr>
            </w:pPr>
            <w:r>
              <w:rPr>
                <w:rFonts w:hint="eastAsia" w:ascii="宋体" w:hAnsi="宋体" w:eastAsia="宋体" w:cs="宋体"/>
                <w:kern w:val="0"/>
                <w:szCs w:val="21"/>
              </w:rPr>
              <w:t>近三或五年企业类似业绩及履约情况</w:t>
            </w:r>
          </w:p>
        </w:tc>
        <w:tc>
          <w:tcPr>
            <w:tcW w:w="7500" w:type="dxa"/>
            <w:gridSpan w:val="6"/>
            <w:vAlign w:val="center"/>
          </w:tcPr>
          <w:p w14:paraId="37D8D7C4">
            <w:pPr>
              <w:widowControl/>
              <w:jc w:val="left"/>
              <w:rPr>
                <w:rFonts w:ascii="宋体" w:hAnsi="宋体" w:eastAsia="宋体" w:cs="宋体"/>
                <w:szCs w:val="21"/>
              </w:rPr>
            </w:pPr>
            <w:r>
              <w:rPr>
                <w:rFonts w:hint="eastAsia" w:ascii="宋体" w:hAnsi="宋体" w:eastAsia="宋体" w:cs="宋体"/>
                <w:kern w:val="0"/>
                <w:szCs w:val="21"/>
              </w:rPr>
              <w:t>　</w:t>
            </w:r>
          </w:p>
        </w:tc>
      </w:tr>
      <w:tr w14:paraId="65BFB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062E87F0">
            <w:pPr>
              <w:widowControl/>
              <w:jc w:val="center"/>
              <w:textAlignment w:val="center"/>
              <w:rPr>
                <w:rFonts w:ascii="宋体" w:hAnsi="宋体" w:eastAsia="宋体" w:cs="宋体"/>
                <w:szCs w:val="21"/>
              </w:rPr>
            </w:pPr>
            <w:r>
              <w:rPr>
                <w:rFonts w:hint="eastAsia" w:ascii="宋体" w:hAnsi="宋体" w:eastAsia="宋体" w:cs="宋体"/>
                <w:kern w:val="0"/>
                <w:szCs w:val="21"/>
              </w:rPr>
              <w:t>售后服务及质量</w:t>
            </w:r>
          </w:p>
        </w:tc>
        <w:tc>
          <w:tcPr>
            <w:tcW w:w="7500" w:type="dxa"/>
            <w:gridSpan w:val="6"/>
            <w:vAlign w:val="center"/>
          </w:tcPr>
          <w:p w14:paraId="2F1DFF56">
            <w:pPr>
              <w:widowControl/>
              <w:jc w:val="left"/>
              <w:rPr>
                <w:rFonts w:ascii="宋体" w:hAnsi="宋体" w:eastAsia="宋体" w:cs="宋体"/>
                <w:szCs w:val="21"/>
              </w:rPr>
            </w:pPr>
            <w:r>
              <w:rPr>
                <w:rFonts w:hint="eastAsia" w:ascii="宋体" w:hAnsi="宋体" w:eastAsia="宋体" w:cs="宋体"/>
                <w:kern w:val="0"/>
                <w:szCs w:val="21"/>
              </w:rPr>
              <w:t>　</w:t>
            </w:r>
          </w:p>
        </w:tc>
      </w:tr>
      <w:tr w14:paraId="45160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21206BEF">
            <w:pPr>
              <w:widowControl/>
              <w:textAlignment w:val="center"/>
              <w:rPr>
                <w:rFonts w:ascii="宋体" w:hAnsi="宋体" w:eastAsia="宋体" w:cs="宋体"/>
                <w:kern w:val="0"/>
                <w:szCs w:val="21"/>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4107F0DC">
            <w:pPr>
              <w:widowControl/>
              <w:jc w:val="left"/>
              <w:rPr>
                <w:rFonts w:ascii="宋体" w:hAnsi="宋体" w:eastAsia="宋体" w:cs="宋体"/>
                <w:kern w:val="0"/>
                <w:szCs w:val="21"/>
              </w:rPr>
            </w:pPr>
          </w:p>
        </w:tc>
      </w:tr>
    </w:tbl>
    <w:p w14:paraId="108F8C63">
      <w:pPr>
        <w:pStyle w:val="17"/>
        <w:rPr>
          <w:rFonts w:ascii="Times New Roman" w:hAnsi="Times New Roman" w:eastAsia="宋体" w:cs="Times New Roman"/>
          <w:b/>
          <w:bCs/>
          <w:color w:val="000000"/>
          <w:sz w:val="24"/>
          <w:szCs w:val="24"/>
        </w:rPr>
      </w:pPr>
    </w:p>
    <w:p w14:paraId="37100778">
      <w:pPr>
        <w:pStyle w:val="17"/>
        <w:rPr>
          <w:rFonts w:ascii="Times New Roman" w:hAnsi="Times New Roman" w:eastAsia="宋体" w:cs="Times New Roman"/>
          <w:b/>
          <w:bCs/>
          <w:color w:val="000000"/>
          <w:sz w:val="24"/>
          <w:szCs w:val="24"/>
        </w:rPr>
      </w:pPr>
    </w:p>
    <w:p w14:paraId="39756F36">
      <w:pPr>
        <w:pStyle w:val="17"/>
        <w:rPr>
          <w:rFonts w:ascii="Times New Roman" w:hAnsi="Times New Roman" w:eastAsia="宋体" w:cs="Times New Roman"/>
          <w:b/>
          <w:bCs/>
          <w:color w:val="000000"/>
          <w:sz w:val="24"/>
          <w:szCs w:val="24"/>
        </w:rPr>
      </w:pPr>
    </w:p>
    <w:p w14:paraId="527F4C72">
      <w:pPr>
        <w:pStyle w:val="17"/>
        <w:rPr>
          <w:rFonts w:ascii="Times New Roman" w:hAnsi="Times New Roman" w:eastAsia="宋体" w:cs="Times New Roman"/>
          <w:b/>
          <w:bCs/>
          <w:color w:val="000000"/>
          <w:sz w:val="24"/>
          <w:szCs w:val="24"/>
        </w:rPr>
      </w:pPr>
    </w:p>
    <w:p w14:paraId="0FDAE4A3">
      <w:pPr>
        <w:spacing w:line="360" w:lineRule="auto"/>
        <w:jc w:val="left"/>
        <w:outlineLvl w:val="3"/>
        <w:rPr>
          <w:rFonts w:hint="eastAsia" w:ascii="宋体" w:hAnsi="宋体" w:eastAsia="宋体" w:cs="宋体"/>
          <w:b/>
          <w:bCs/>
          <w:color w:val="000000"/>
          <w:sz w:val="32"/>
          <w:szCs w:val="32"/>
        </w:rPr>
      </w:pPr>
      <w:r>
        <w:rPr>
          <w:rFonts w:hint="eastAsia" w:ascii="宋体" w:hAnsi="宋体" w:eastAsia="宋体" w:cs="宋体"/>
          <w:b/>
          <w:bCs/>
          <w:color w:val="000000"/>
          <w:sz w:val="32"/>
          <w:szCs w:val="32"/>
        </w:rPr>
        <w:t>表 2 资产情况汇总表</w:t>
      </w:r>
    </w:p>
    <w:p w14:paraId="54D6387F">
      <w:pPr>
        <w:spacing w:line="360" w:lineRule="auto"/>
        <w:jc w:val="center"/>
        <w:outlineLvl w:val="9"/>
        <w:rPr>
          <w:rFonts w:hint="eastAsia" w:ascii="宋体" w:hAnsi="宋体" w:eastAsia="宋体" w:cs="宋体"/>
          <w:b/>
          <w:bCs/>
          <w:color w:val="000000"/>
          <w:sz w:val="32"/>
          <w:szCs w:val="32"/>
        </w:rPr>
      </w:pPr>
      <w:r>
        <w:rPr>
          <w:rFonts w:hint="eastAsia" w:ascii="宋体" w:hAnsi="宋体" w:eastAsia="宋体" w:cs="宋体"/>
          <w:b/>
          <w:bCs/>
          <w:color w:val="000000"/>
          <w:sz w:val="32"/>
          <w:szCs w:val="32"/>
        </w:rPr>
        <w:t>资产情况汇总表</w:t>
      </w:r>
    </w:p>
    <w:p w14:paraId="14935736">
      <w:pPr>
        <w:bidi w:val="0"/>
        <w:rPr>
          <w:rFonts w:hint="eastAsia"/>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2928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49" w:type="dxa"/>
            <w:gridSpan w:val="4"/>
            <w:vAlign w:val="center"/>
          </w:tcPr>
          <w:p w14:paraId="36F67D10">
            <w:pPr>
              <w:spacing w:line="440" w:lineRule="exact"/>
              <w:jc w:val="center"/>
              <w:rPr>
                <w:rFonts w:ascii="宋体" w:hAnsi="宋体"/>
                <w:szCs w:val="24"/>
                <w:highlight w:val="none"/>
              </w:rPr>
            </w:pPr>
            <w:r>
              <w:rPr>
                <w:rFonts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公司资产情况汇总表</w:t>
            </w:r>
          </w:p>
        </w:tc>
      </w:tr>
      <w:tr w14:paraId="727B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13AD9074">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注册资金（万元）</w:t>
            </w:r>
          </w:p>
        </w:tc>
        <w:tc>
          <w:tcPr>
            <w:tcW w:w="3865" w:type="dxa"/>
            <w:gridSpan w:val="3"/>
          </w:tcPr>
          <w:p w14:paraId="048B63AC">
            <w:pPr>
              <w:spacing w:line="440" w:lineRule="exact"/>
              <w:jc w:val="center"/>
              <w:rPr>
                <w:rFonts w:ascii="宋体" w:hAnsi="宋体"/>
                <w:color w:val="000000"/>
                <w:sz w:val="24"/>
                <w:szCs w:val="24"/>
                <w:highlight w:val="none"/>
              </w:rPr>
            </w:pPr>
          </w:p>
        </w:tc>
      </w:tr>
      <w:tr w14:paraId="1271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05083AC6">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实收资金（万元）</w:t>
            </w:r>
          </w:p>
        </w:tc>
        <w:tc>
          <w:tcPr>
            <w:tcW w:w="3865" w:type="dxa"/>
            <w:gridSpan w:val="3"/>
          </w:tcPr>
          <w:p w14:paraId="27C3827E">
            <w:pPr>
              <w:spacing w:line="440" w:lineRule="exact"/>
              <w:jc w:val="center"/>
              <w:rPr>
                <w:rFonts w:ascii="宋体" w:hAnsi="宋体"/>
                <w:color w:val="000000"/>
                <w:sz w:val="24"/>
                <w:szCs w:val="24"/>
                <w:highlight w:val="none"/>
              </w:rPr>
            </w:pPr>
          </w:p>
        </w:tc>
      </w:tr>
      <w:tr w14:paraId="4390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3450AE9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年度资产情况</w:t>
            </w:r>
          </w:p>
        </w:tc>
        <w:tc>
          <w:tcPr>
            <w:tcW w:w="1287" w:type="dxa"/>
            <w:vAlign w:val="center"/>
          </w:tcPr>
          <w:p w14:paraId="164720DD">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2</w:t>
            </w:r>
            <w:r>
              <w:rPr>
                <w:rFonts w:hint="eastAsia" w:ascii="宋体" w:hAnsi="宋体" w:eastAsia="宋体"/>
                <w:color w:val="000000"/>
                <w:sz w:val="24"/>
                <w:szCs w:val="24"/>
                <w:highlight w:val="none"/>
              </w:rPr>
              <w:t>年</w:t>
            </w:r>
          </w:p>
        </w:tc>
        <w:tc>
          <w:tcPr>
            <w:tcW w:w="1288" w:type="dxa"/>
            <w:vAlign w:val="center"/>
          </w:tcPr>
          <w:p w14:paraId="41C48CB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3</w:t>
            </w:r>
            <w:r>
              <w:rPr>
                <w:rFonts w:hint="eastAsia" w:ascii="宋体" w:hAnsi="宋体" w:eastAsia="宋体"/>
                <w:color w:val="000000"/>
                <w:sz w:val="24"/>
                <w:szCs w:val="24"/>
                <w:highlight w:val="none"/>
              </w:rPr>
              <w:t>年</w:t>
            </w:r>
          </w:p>
        </w:tc>
        <w:tc>
          <w:tcPr>
            <w:tcW w:w="1288" w:type="dxa"/>
            <w:vAlign w:val="center"/>
          </w:tcPr>
          <w:p w14:paraId="2C57E8F5">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4</w:t>
            </w:r>
            <w:r>
              <w:rPr>
                <w:rFonts w:hint="eastAsia" w:ascii="宋体" w:hAnsi="宋体" w:eastAsia="宋体"/>
                <w:color w:val="000000"/>
                <w:sz w:val="24"/>
                <w:szCs w:val="24"/>
                <w:highlight w:val="none"/>
              </w:rPr>
              <w:t>年</w:t>
            </w:r>
          </w:p>
        </w:tc>
      </w:tr>
      <w:tr w14:paraId="08B3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22ED956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流动资产（万元）</w:t>
            </w:r>
          </w:p>
        </w:tc>
        <w:tc>
          <w:tcPr>
            <w:tcW w:w="1287" w:type="dxa"/>
          </w:tcPr>
          <w:p w14:paraId="0F8980BD">
            <w:pPr>
              <w:spacing w:line="440" w:lineRule="exact"/>
              <w:jc w:val="center"/>
              <w:rPr>
                <w:rFonts w:ascii="宋体" w:hAnsi="宋体"/>
                <w:color w:val="000000"/>
                <w:sz w:val="24"/>
                <w:szCs w:val="24"/>
                <w:highlight w:val="none"/>
              </w:rPr>
            </w:pPr>
          </w:p>
        </w:tc>
        <w:tc>
          <w:tcPr>
            <w:tcW w:w="1288" w:type="dxa"/>
          </w:tcPr>
          <w:p w14:paraId="291C90DA">
            <w:pPr>
              <w:spacing w:line="440" w:lineRule="exact"/>
              <w:jc w:val="center"/>
              <w:rPr>
                <w:rFonts w:ascii="宋体" w:hAnsi="宋体"/>
                <w:color w:val="000000"/>
                <w:sz w:val="24"/>
                <w:szCs w:val="24"/>
                <w:highlight w:val="none"/>
              </w:rPr>
            </w:pPr>
          </w:p>
        </w:tc>
        <w:tc>
          <w:tcPr>
            <w:tcW w:w="1288" w:type="dxa"/>
          </w:tcPr>
          <w:p w14:paraId="47EDCBE5">
            <w:pPr>
              <w:spacing w:line="440" w:lineRule="exact"/>
              <w:jc w:val="center"/>
              <w:rPr>
                <w:rFonts w:ascii="宋体" w:hAnsi="宋体"/>
                <w:color w:val="000000"/>
                <w:sz w:val="24"/>
                <w:szCs w:val="24"/>
                <w:highlight w:val="none"/>
              </w:rPr>
            </w:pPr>
          </w:p>
        </w:tc>
      </w:tr>
      <w:tr w14:paraId="7D7D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7700FF47">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非流动资产（万元）</w:t>
            </w:r>
          </w:p>
        </w:tc>
        <w:tc>
          <w:tcPr>
            <w:tcW w:w="1287" w:type="dxa"/>
          </w:tcPr>
          <w:p w14:paraId="7C4E3409">
            <w:pPr>
              <w:spacing w:line="440" w:lineRule="exact"/>
              <w:jc w:val="center"/>
              <w:rPr>
                <w:rFonts w:ascii="宋体" w:hAnsi="宋体"/>
                <w:color w:val="000000"/>
                <w:sz w:val="24"/>
                <w:szCs w:val="24"/>
                <w:highlight w:val="none"/>
              </w:rPr>
            </w:pPr>
          </w:p>
        </w:tc>
        <w:tc>
          <w:tcPr>
            <w:tcW w:w="1288" w:type="dxa"/>
          </w:tcPr>
          <w:p w14:paraId="5F2F372D">
            <w:pPr>
              <w:spacing w:line="440" w:lineRule="exact"/>
              <w:jc w:val="center"/>
              <w:rPr>
                <w:rFonts w:ascii="宋体" w:hAnsi="宋体"/>
                <w:color w:val="000000"/>
                <w:sz w:val="24"/>
                <w:szCs w:val="24"/>
                <w:highlight w:val="none"/>
              </w:rPr>
            </w:pPr>
          </w:p>
        </w:tc>
        <w:tc>
          <w:tcPr>
            <w:tcW w:w="1288" w:type="dxa"/>
          </w:tcPr>
          <w:p w14:paraId="3164A792">
            <w:pPr>
              <w:spacing w:line="440" w:lineRule="exact"/>
              <w:jc w:val="center"/>
              <w:rPr>
                <w:rFonts w:ascii="宋体" w:hAnsi="宋体"/>
                <w:color w:val="000000"/>
                <w:sz w:val="24"/>
                <w:szCs w:val="24"/>
                <w:highlight w:val="none"/>
              </w:rPr>
            </w:pPr>
          </w:p>
        </w:tc>
      </w:tr>
      <w:tr w14:paraId="3784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4A170FD2">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营业收入（万元）</w:t>
            </w:r>
          </w:p>
        </w:tc>
        <w:tc>
          <w:tcPr>
            <w:tcW w:w="1287" w:type="dxa"/>
          </w:tcPr>
          <w:p w14:paraId="71C6D2C3">
            <w:pPr>
              <w:spacing w:line="440" w:lineRule="exact"/>
              <w:jc w:val="center"/>
              <w:rPr>
                <w:rFonts w:ascii="宋体" w:hAnsi="宋体"/>
                <w:color w:val="000000"/>
                <w:sz w:val="24"/>
                <w:szCs w:val="24"/>
                <w:highlight w:val="none"/>
              </w:rPr>
            </w:pPr>
          </w:p>
        </w:tc>
        <w:tc>
          <w:tcPr>
            <w:tcW w:w="1288" w:type="dxa"/>
          </w:tcPr>
          <w:p w14:paraId="73907D1F">
            <w:pPr>
              <w:spacing w:line="440" w:lineRule="exact"/>
              <w:jc w:val="center"/>
              <w:rPr>
                <w:rFonts w:ascii="宋体" w:hAnsi="宋体"/>
                <w:color w:val="000000"/>
                <w:sz w:val="24"/>
                <w:szCs w:val="24"/>
                <w:highlight w:val="none"/>
              </w:rPr>
            </w:pPr>
          </w:p>
        </w:tc>
        <w:tc>
          <w:tcPr>
            <w:tcW w:w="1288" w:type="dxa"/>
          </w:tcPr>
          <w:p w14:paraId="091CF8E3">
            <w:pPr>
              <w:spacing w:line="440" w:lineRule="exact"/>
              <w:jc w:val="center"/>
              <w:rPr>
                <w:rFonts w:ascii="宋体" w:hAnsi="宋体"/>
                <w:color w:val="000000"/>
                <w:sz w:val="24"/>
                <w:szCs w:val="24"/>
                <w:highlight w:val="none"/>
              </w:rPr>
            </w:pPr>
          </w:p>
        </w:tc>
      </w:tr>
      <w:tr w14:paraId="4294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7FE782A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年底资产总值（万元）</w:t>
            </w:r>
          </w:p>
        </w:tc>
        <w:tc>
          <w:tcPr>
            <w:tcW w:w="1287" w:type="dxa"/>
          </w:tcPr>
          <w:p w14:paraId="6F8CAB6A">
            <w:pPr>
              <w:spacing w:line="440" w:lineRule="exact"/>
              <w:jc w:val="center"/>
              <w:rPr>
                <w:rFonts w:ascii="宋体" w:hAnsi="宋体"/>
                <w:color w:val="000000"/>
                <w:sz w:val="24"/>
                <w:szCs w:val="24"/>
                <w:highlight w:val="none"/>
              </w:rPr>
            </w:pPr>
          </w:p>
        </w:tc>
        <w:tc>
          <w:tcPr>
            <w:tcW w:w="1288" w:type="dxa"/>
          </w:tcPr>
          <w:p w14:paraId="029904DC">
            <w:pPr>
              <w:spacing w:line="440" w:lineRule="exact"/>
              <w:jc w:val="center"/>
              <w:rPr>
                <w:rFonts w:ascii="宋体" w:hAnsi="宋体"/>
                <w:color w:val="000000"/>
                <w:sz w:val="24"/>
                <w:szCs w:val="24"/>
                <w:highlight w:val="none"/>
              </w:rPr>
            </w:pPr>
          </w:p>
        </w:tc>
        <w:tc>
          <w:tcPr>
            <w:tcW w:w="1288" w:type="dxa"/>
          </w:tcPr>
          <w:p w14:paraId="435C2F6F">
            <w:pPr>
              <w:spacing w:line="440" w:lineRule="exact"/>
              <w:jc w:val="center"/>
              <w:rPr>
                <w:rFonts w:ascii="宋体" w:hAnsi="宋体"/>
                <w:color w:val="000000"/>
                <w:sz w:val="24"/>
                <w:szCs w:val="24"/>
                <w:highlight w:val="none"/>
              </w:rPr>
            </w:pPr>
          </w:p>
        </w:tc>
      </w:tr>
      <w:tr w14:paraId="078D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564E1D90">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年底负债总值（万元）</w:t>
            </w:r>
          </w:p>
        </w:tc>
        <w:tc>
          <w:tcPr>
            <w:tcW w:w="1287" w:type="dxa"/>
          </w:tcPr>
          <w:p w14:paraId="0DD10C49">
            <w:pPr>
              <w:spacing w:line="440" w:lineRule="exact"/>
              <w:jc w:val="center"/>
              <w:rPr>
                <w:rFonts w:ascii="宋体" w:hAnsi="宋体"/>
                <w:color w:val="000000"/>
                <w:sz w:val="24"/>
                <w:szCs w:val="24"/>
                <w:highlight w:val="none"/>
              </w:rPr>
            </w:pPr>
          </w:p>
        </w:tc>
        <w:tc>
          <w:tcPr>
            <w:tcW w:w="1288" w:type="dxa"/>
          </w:tcPr>
          <w:p w14:paraId="27D1005F">
            <w:pPr>
              <w:spacing w:line="440" w:lineRule="exact"/>
              <w:jc w:val="center"/>
              <w:rPr>
                <w:rFonts w:ascii="宋体" w:hAnsi="宋体"/>
                <w:color w:val="000000"/>
                <w:sz w:val="24"/>
                <w:szCs w:val="24"/>
                <w:highlight w:val="none"/>
              </w:rPr>
            </w:pPr>
          </w:p>
        </w:tc>
        <w:tc>
          <w:tcPr>
            <w:tcW w:w="1288" w:type="dxa"/>
          </w:tcPr>
          <w:p w14:paraId="18080AAA">
            <w:pPr>
              <w:spacing w:line="440" w:lineRule="exact"/>
              <w:jc w:val="center"/>
              <w:rPr>
                <w:rFonts w:ascii="宋体" w:hAnsi="宋体"/>
                <w:color w:val="000000"/>
                <w:sz w:val="24"/>
                <w:szCs w:val="24"/>
                <w:highlight w:val="none"/>
              </w:rPr>
            </w:pPr>
          </w:p>
        </w:tc>
      </w:tr>
      <w:tr w14:paraId="6AE3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68EC0498">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资产负债率</w:t>
            </w:r>
            <w:r>
              <w:rPr>
                <w:rFonts w:hint="eastAsia" w:ascii="宋体" w:hAnsi="宋体" w:eastAsia="宋体"/>
                <w:color w:val="000000"/>
                <w:sz w:val="24"/>
                <w:szCs w:val="24"/>
                <w:highlight w:val="none"/>
              </w:rPr>
              <w:t>（  %）</w:t>
            </w:r>
          </w:p>
        </w:tc>
        <w:tc>
          <w:tcPr>
            <w:tcW w:w="1287" w:type="dxa"/>
          </w:tcPr>
          <w:p w14:paraId="41791BBA">
            <w:pPr>
              <w:spacing w:line="440" w:lineRule="exact"/>
              <w:jc w:val="center"/>
              <w:rPr>
                <w:rFonts w:ascii="宋体" w:hAnsi="宋体"/>
                <w:color w:val="000000"/>
                <w:sz w:val="24"/>
                <w:szCs w:val="24"/>
                <w:highlight w:val="none"/>
              </w:rPr>
            </w:pPr>
          </w:p>
        </w:tc>
        <w:tc>
          <w:tcPr>
            <w:tcW w:w="1288" w:type="dxa"/>
          </w:tcPr>
          <w:p w14:paraId="5E29869C">
            <w:pPr>
              <w:spacing w:line="440" w:lineRule="exact"/>
              <w:jc w:val="center"/>
              <w:rPr>
                <w:rFonts w:ascii="宋体" w:hAnsi="宋体"/>
                <w:color w:val="000000"/>
                <w:sz w:val="24"/>
                <w:szCs w:val="24"/>
                <w:highlight w:val="none"/>
              </w:rPr>
            </w:pPr>
          </w:p>
        </w:tc>
        <w:tc>
          <w:tcPr>
            <w:tcW w:w="1288" w:type="dxa"/>
          </w:tcPr>
          <w:p w14:paraId="7A1DF8EB">
            <w:pPr>
              <w:spacing w:line="440" w:lineRule="exact"/>
              <w:jc w:val="center"/>
              <w:rPr>
                <w:rFonts w:ascii="宋体" w:hAnsi="宋体"/>
                <w:color w:val="000000"/>
                <w:sz w:val="24"/>
                <w:szCs w:val="24"/>
                <w:highlight w:val="none"/>
              </w:rPr>
            </w:pPr>
          </w:p>
        </w:tc>
      </w:tr>
      <w:tr w14:paraId="6A65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2AF268D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净利润（万元）</w:t>
            </w:r>
          </w:p>
        </w:tc>
        <w:tc>
          <w:tcPr>
            <w:tcW w:w="1287" w:type="dxa"/>
          </w:tcPr>
          <w:p w14:paraId="30AD9A83">
            <w:pPr>
              <w:spacing w:line="440" w:lineRule="exact"/>
              <w:jc w:val="center"/>
              <w:rPr>
                <w:rFonts w:ascii="宋体" w:hAnsi="宋体"/>
                <w:color w:val="000000"/>
                <w:sz w:val="24"/>
                <w:szCs w:val="24"/>
                <w:highlight w:val="none"/>
              </w:rPr>
            </w:pPr>
          </w:p>
        </w:tc>
        <w:tc>
          <w:tcPr>
            <w:tcW w:w="1288" w:type="dxa"/>
          </w:tcPr>
          <w:p w14:paraId="0F0D5E39">
            <w:pPr>
              <w:spacing w:line="440" w:lineRule="exact"/>
              <w:jc w:val="center"/>
              <w:rPr>
                <w:rFonts w:ascii="宋体" w:hAnsi="宋体"/>
                <w:color w:val="000000"/>
                <w:sz w:val="24"/>
                <w:szCs w:val="24"/>
                <w:highlight w:val="none"/>
              </w:rPr>
            </w:pPr>
          </w:p>
        </w:tc>
        <w:tc>
          <w:tcPr>
            <w:tcW w:w="1288" w:type="dxa"/>
          </w:tcPr>
          <w:p w14:paraId="0EE460E4">
            <w:pPr>
              <w:spacing w:line="440" w:lineRule="exact"/>
              <w:jc w:val="center"/>
              <w:rPr>
                <w:rFonts w:ascii="宋体" w:hAnsi="宋体"/>
                <w:color w:val="000000"/>
                <w:sz w:val="24"/>
                <w:szCs w:val="24"/>
                <w:highlight w:val="none"/>
              </w:rPr>
            </w:pPr>
          </w:p>
        </w:tc>
      </w:tr>
      <w:tr w14:paraId="0A60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5B14B596">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未分配利润（万元）</w:t>
            </w:r>
          </w:p>
        </w:tc>
        <w:tc>
          <w:tcPr>
            <w:tcW w:w="1287" w:type="dxa"/>
          </w:tcPr>
          <w:p w14:paraId="44871F99">
            <w:pPr>
              <w:spacing w:line="440" w:lineRule="exact"/>
              <w:jc w:val="center"/>
              <w:rPr>
                <w:rFonts w:ascii="宋体" w:hAnsi="宋体"/>
                <w:color w:val="000000"/>
                <w:sz w:val="24"/>
                <w:szCs w:val="24"/>
                <w:highlight w:val="none"/>
              </w:rPr>
            </w:pPr>
          </w:p>
        </w:tc>
        <w:tc>
          <w:tcPr>
            <w:tcW w:w="1288" w:type="dxa"/>
          </w:tcPr>
          <w:p w14:paraId="0ED3FDD6">
            <w:pPr>
              <w:spacing w:line="440" w:lineRule="exact"/>
              <w:jc w:val="center"/>
              <w:rPr>
                <w:rFonts w:ascii="宋体" w:hAnsi="宋体"/>
                <w:color w:val="000000"/>
                <w:sz w:val="24"/>
                <w:szCs w:val="24"/>
                <w:highlight w:val="none"/>
              </w:rPr>
            </w:pPr>
          </w:p>
        </w:tc>
        <w:tc>
          <w:tcPr>
            <w:tcW w:w="1288" w:type="dxa"/>
          </w:tcPr>
          <w:p w14:paraId="75BDB8A1">
            <w:pPr>
              <w:spacing w:line="440" w:lineRule="exact"/>
              <w:jc w:val="center"/>
              <w:rPr>
                <w:rFonts w:ascii="宋体" w:hAnsi="宋体"/>
                <w:color w:val="000000"/>
                <w:sz w:val="24"/>
                <w:szCs w:val="24"/>
                <w:highlight w:val="none"/>
              </w:rPr>
            </w:pPr>
          </w:p>
        </w:tc>
      </w:tr>
      <w:tr w14:paraId="46E3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45652DB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营运</w:t>
            </w:r>
            <w:r>
              <w:rPr>
                <w:rFonts w:ascii="宋体" w:hAnsi="宋体" w:eastAsia="宋体"/>
                <w:color w:val="000000"/>
                <w:sz w:val="24"/>
                <w:szCs w:val="24"/>
                <w:highlight w:val="none"/>
              </w:rPr>
              <w:t>资</w:t>
            </w:r>
            <w:r>
              <w:rPr>
                <w:rFonts w:hint="eastAsia" w:ascii="宋体" w:hAnsi="宋体" w:eastAsia="宋体"/>
                <w:color w:val="000000"/>
                <w:sz w:val="24"/>
                <w:szCs w:val="24"/>
                <w:highlight w:val="none"/>
              </w:rPr>
              <w:t>金</w:t>
            </w:r>
          </w:p>
        </w:tc>
        <w:tc>
          <w:tcPr>
            <w:tcW w:w="1287" w:type="dxa"/>
          </w:tcPr>
          <w:p w14:paraId="5597CEC0">
            <w:pPr>
              <w:spacing w:line="440" w:lineRule="exact"/>
              <w:jc w:val="center"/>
              <w:rPr>
                <w:rFonts w:ascii="宋体" w:hAnsi="宋体"/>
                <w:color w:val="000000"/>
                <w:sz w:val="24"/>
                <w:szCs w:val="24"/>
                <w:highlight w:val="none"/>
              </w:rPr>
            </w:pPr>
          </w:p>
        </w:tc>
        <w:tc>
          <w:tcPr>
            <w:tcW w:w="1288" w:type="dxa"/>
          </w:tcPr>
          <w:p w14:paraId="3BE36C99">
            <w:pPr>
              <w:spacing w:line="440" w:lineRule="exact"/>
              <w:jc w:val="center"/>
              <w:rPr>
                <w:rFonts w:ascii="宋体" w:hAnsi="宋体"/>
                <w:color w:val="000000"/>
                <w:sz w:val="24"/>
                <w:szCs w:val="24"/>
                <w:highlight w:val="none"/>
              </w:rPr>
            </w:pPr>
          </w:p>
        </w:tc>
        <w:tc>
          <w:tcPr>
            <w:tcW w:w="1288" w:type="dxa"/>
          </w:tcPr>
          <w:p w14:paraId="1ECA030C">
            <w:pPr>
              <w:spacing w:line="440" w:lineRule="exact"/>
              <w:jc w:val="center"/>
              <w:rPr>
                <w:rFonts w:ascii="宋体" w:hAnsi="宋体"/>
                <w:color w:val="000000"/>
                <w:sz w:val="24"/>
                <w:szCs w:val="24"/>
                <w:highlight w:val="none"/>
              </w:rPr>
            </w:pPr>
          </w:p>
        </w:tc>
      </w:tr>
      <w:tr w14:paraId="4009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584" w:type="dxa"/>
            <w:vAlign w:val="center"/>
          </w:tcPr>
          <w:p w14:paraId="292BE73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（本年营业收入-上年营业收入）÷上年营业收入</w:t>
            </w:r>
          </w:p>
        </w:tc>
        <w:tc>
          <w:tcPr>
            <w:tcW w:w="1287" w:type="dxa"/>
          </w:tcPr>
          <w:p w14:paraId="14521BB3">
            <w:pPr>
              <w:spacing w:line="440" w:lineRule="exact"/>
              <w:jc w:val="center"/>
              <w:rPr>
                <w:rFonts w:ascii="宋体" w:hAnsi="宋体"/>
                <w:color w:val="000000"/>
                <w:sz w:val="24"/>
                <w:szCs w:val="24"/>
                <w:highlight w:val="none"/>
              </w:rPr>
            </w:pPr>
          </w:p>
        </w:tc>
        <w:tc>
          <w:tcPr>
            <w:tcW w:w="1288" w:type="dxa"/>
          </w:tcPr>
          <w:p w14:paraId="2CFD5907">
            <w:pPr>
              <w:spacing w:line="440" w:lineRule="exact"/>
              <w:jc w:val="center"/>
              <w:rPr>
                <w:rFonts w:ascii="宋体" w:hAnsi="宋体"/>
                <w:color w:val="000000"/>
                <w:sz w:val="24"/>
                <w:szCs w:val="24"/>
                <w:highlight w:val="none"/>
              </w:rPr>
            </w:pPr>
          </w:p>
        </w:tc>
        <w:tc>
          <w:tcPr>
            <w:tcW w:w="1288" w:type="dxa"/>
          </w:tcPr>
          <w:p w14:paraId="0E4D2176">
            <w:pPr>
              <w:spacing w:line="440" w:lineRule="exact"/>
              <w:jc w:val="center"/>
              <w:rPr>
                <w:rFonts w:ascii="宋体" w:hAnsi="宋体"/>
                <w:color w:val="000000"/>
                <w:sz w:val="24"/>
                <w:szCs w:val="24"/>
                <w:highlight w:val="none"/>
              </w:rPr>
            </w:pPr>
          </w:p>
        </w:tc>
      </w:tr>
    </w:tbl>
    <w:p w14:paraId="31D18E00">
      <w:pPr>
        <w:keepNext w:val="0"/>
        <w:keepLines w:val="0"/>
        <w:pageBreakBefore w:val="0"/>
        <w:widowControl w:val="0"/>
        <w:kinsoku/>
        <w:wordWrap/>
        <w:overflowPunct/>
        <w:topLinePunct w:val="0"/>
        <w:autoSpaceDE/>
        <w:autoSpaceDN/>
        <w:bidi w:val="0"/>
        <w:adjustRightInd/>
        <w:snapToGrid/>
        <w:spacing w:line="660" w:lineRule="exact"/>
        <w:ind w:firstLine="240" w:firstLineChars="100"/>
        <w:textAlignment w:val="auto"/>
        <w:rPr>
          <w:rFonts w:ascii="宋体" w:hAnsi="Calibri" w:eastAsia="宋体" w:cs="Times New Roman"/>
          <w:sz w:val="24"/>
          <w:szCs w:val="20"/>
        </w:rPr>
      </w:pPr>
      <w:r>
        <w:rPr>
          <w:rFonts w:hint="eastAsia" w:ascii="宋体" w:hAnsi="宋体" w:eastAsia="宋体" w:cs="Times New Roman"/>
          <w:sz w:val="24"/>
          <w:szCs w:val="20"/>
        </w:rPr>
        <w:t>投标人：（盖章）</w:t>
      </w:r>
    </w:p>
    <w:p w14:paraId="4DAB8C93">
      <w:pPr>
        <w:keepNext w:val="0"/>
        <w:keepLines w:val="0"/>
        <w:pageBreakBefore w:val="0"/>
        <w:widowControl w:val="0"/>
        <w:kinsoku/>
        <w:wordWrap/>
        <w:overflowPunct/>
        <w:topLinePunct w:val="0"/>
        <w:autoSpaceDE/>
        <w:autoSpaceDN/>
        <w:bidi w:val="0"/>
        <w:adjustRightInd/>
        <w:snapToGrid/>
        <w:spacing w:line="660" w:lineRule="exact"/>
        <w:ind w:firstLine="240" w:firstLineChars="100"/>
        <w:textAlignment w:val="auto"/>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264188AE">
      <w:pPr>
        <w:keepNext w:val="0"/>
        <w:keepLines w:val="0"/>
        <w:pageBreakBefore w:val="0"/>
        <w:widowControl w:val="0"/>
        <w:kinsoku/>
        <w:wordWrap/>
        <w:overflowPunct/>
        <w:topLinePunct w:val="0"/>
        <w:autoSpaceDE/>
        <w:autoSpaceDN/>
        <w:bidi w:val="0"/>
        <w:adjustRightInd/>
        <w:snapToGrid/>
        <w:spacing w:line="660" w:lineRule="exact"/>
        <w:ind w:firstLine="240" w:firstLineChars="100"/>
        <w:textAlignment w:val="auto"/>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CED532F">
      <w:pPr>
        <w:rPr>
          <w:rFonts w:ascii="宋体" w:hAnsi="Calibri" w:eastAsia="宋体" w:cs="宋体"/>
          <w:b/>
          <w:bCs/>
          <w:color w:val="000000"/>
          <w:sz w:val="28"/>
          <w:szCs w:val="20"/>
        </w:rPr>
        <w:sectPr>
          <w:footerReference r:id="rId11" w:type="first"/>
          <w:footerReference r:id="rId10" w:type="default"/>
          <w:pgSz w:w="11906" w:h="16838"/>
          <w:pgMar w:top="1588" w:right="1418" w:bottom="1134" w:left="1418" w:header="851" w:footer="992" w:gutter="0"/>
          <w:cols w:space="720" w:num="1"/>
          <w:titlePg/>
          <w:docGrid w:type="lines" w:linePitch="312" w:charSpace="0"/>
        </w:sectPr>
      </w:pPr>
    </w:p>
    <w:p w14:paraId="6B20C6DF">
      <w:pPr>
        <w:pStyle w:val="74"/>
        <w:numPr>
          <w:ilvl w:val="0"/>
          <w:numId w:val="0"/>
        </w:numPr>
        <w:ind w:leftChars="0"/>
        <w:outlineLvl w:val="1"/>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附件3 保密承诺函</w:t>
      </w:r>
    </w:p>
    <w:p w14:paraId="0F4E083F">
      <w:pPr>
        <w:spacing w:line="360" w:lineRule="auto"/>
        <w:jc w:val="center"/>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保密承诺函</w:t>
      </w:r>
    </w:p>
    <w:p w14:paraId="4EBD3B8F">
      <w:pPr>
        <w:spacing w:line="240" w:lineRule="exact"/>
        <w:jc w:val="center"/>
        <w:rPr>
          <w:rFonts w:ascii="宋体" w:hAnsi="Calibri" w:eastAsia="宋体" w:cs="Times New Roman"/>
          <w:b/>
          <w:bCs/>
          <w:sz w:val="36"/>
          <w:szCs w:val="20"/>
        </w:rPr>
      </w:pPr>
    </w:p>
    <w:p w14:paraId="280BEAC4">
      <w:pPr>
        <w:spacing w:line="360" w:lineRule="auto"/>
        <w:rPr>
          <w:rFonts w:hint="eastAsia" w:ascii="宋体" w:hAnsi="宋体" w:cs="宋体"/>
          <w:b/>
          <w:bCs/>
          <w:sz w:val="24"/>
          <w:szCs w:val="24"/>
          <w:highlight w:val="none"/>
          <w:u w:val="single"/>
          <w:lang w:val="en-US" w:eastAsia="zh-CN"/>
        </w:rPr>
      </w:pPr>
      <w:r>
        <w:rPr>
          <w:rFonts w:hint="eastAsia" w:ascii="宋体" w:hAnsi="宋体" w:eastAsia="宋体" w:cs="Times New Roman"/>
          <w:sz w:val="24"/>
          <w:szCs w:val="20"/>
        </w:rPr>
        <w:t>项目名称：</w:t>
      </w:r>
      <w:r>
        <w:rPr>
          <w:rFonts w:hint="eastAsia" w:ascii="宋体" w:hAnsi="宋体" w:cs="宋体"/>
          <w:b w:val="0"/>
          <w:bCs w:val="0"/>
          <w:sz w:val="24"/>
          <w:szCs w:val="24"/>
          <w:highlight w:val="none"/>
          <w:u w:val="single"/>
          <w:lang w:val="en-US" w:eastAsia="zh-CN"/>
        </w:rPr>
        <w:t>集团办公室LED屏幕年度维保采购项目</w:t>
      </w:r>
    </w:p>
    <w:p w14:paraId="2D225539">
      <w:pPr>
        <w:spacing w:line="360" w:lineRule="auto"/>
        <w:rPr>
          <w:rFonts w:ascii="宋体" w:hAnsi="Calibri" w:eastAsia="宋体" w:cs="Times New Roman"/>
          <w:b/>
          <w:bCs/>
          <w:sz w:val="24"/>
          <w:szCs w:val="20"/>
        </w:rPr>
      </w:pPr>
      <w:r>
        <w:rPr>
          <w:rFonts w:hint="eastAsia" w:ascii="宋体" w:hAnsi="宋体" w:cs="Times New Roman"/>
          <w:b/>
          <w:bCs/>
          <w:sz w:val="24"/>
          <w:szCs w:val="20"/>
          <w:highlight w:val="none"/>
          <w:lang w:eastAsia="zh-CN"/>
        </w:rPr>
        <w:t>中国重汽集团济南动力有限公司</w:t>
      </w:r>
      <w:r>
        <w:rPr>
          <w:rFonts w:hint="eastAsia" w:ascii="宋体" w:hAnsi="宋体" w:eastAsia="宋体" w:cs="Times New Roman"/>
          <w:b/>
          <w:bCs/>
          <w:sz w:val="24"/>
          <w:szCs w:val="20"/>
        </w:rPr>
        <w:t>：</w:t>
      </w:r>
    </w:p>
    <w:p w14:paraId="5C82D927">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w:t>
      </w:r>
      <w:r>
        <w:rPr>
          <w:rFonts w:hint="eastAsia" w:ascii="宋体" w:hAnsi="宋体" w:eastAsia="宋体" w:cs="Times New Roman"/>
          <w:sz w:val="24"/>
          <w:szCs w:val="20"/>
          <w:highlight w:val="none"/>
          <w:u w:val="single"/>
        </w:rPr>
        <w:t>投标单位名称</w:t>
      </w:r>
      <w:r>
        <w:rPr>
          <w:rFonts w:hint="eastAsia" w:ascii="宋体" w:hAnsi="宋体" w:eastAsia="宋体" w:cs="Times New Roman"/>
          <w:sz w:val="24"/>
          <w:szCs w:val="20"/>
        </w:rPr>
        <w:t>）对招标人的商业秘密作如下承诺：</w:t>
      </w:r>
    </w:p>
    <w:p w14:paraId="4898C179">
      <w:pPr>
        <w:spacing w:line="360" w:lineRule="auto"/>
        <w:ind w:left="479" w:leftChars="228"/>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516FF49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20D74D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3932F6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7E012EF">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B4417CC">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209126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8E2ADA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9DE823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69E11B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DB1FADE">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7790580">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745FBF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4F442F6">
      <w:pPr>
        <w:spacing w:line="360" w:lineRule="auto"/>
        <w:ind w:firstLine="480" w:firstLineChars="200"/>
        <w:rPr>
          <w:rFonts w:ascii="宋体" w:hAnsi="宋体" w:eastAsia="宋体" w:cs="Times New Roman"/>
          <w:sz w:val="24"/>
          <w:szCs w:val="20"/>
          <w:u w:val="single"/>
        </w:rPr>
      </w:pPr>
    </w:p>
    <w:p w14:paraId="5E34C75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71CB54F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7966A3D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bookmarkEnd w:id="23"/>
    <w:bookmarkEnd w:id="24"/>
    <w:p w14:paraId="38EF994B">
      <w:pPr>
        <w:rPr>
          <w:rFonts w:hint="eastAsia" w:ascii="宋体" w:hAnsi="宋体" w:eastAsia="宋体" w:cs="宋体"/>
          <w:sz w:val="32"/>
          <w:szCs w:val="32"/>
          <w:highlight w:val="none"/>
          <w:lang w:val="en-US" w:eastAsia="zh-CN"/>
        </w:rPr>
      </w:pPr>
    </w:p>
    <w:p w14:paraId="46A8E032">
      <w:pPr>
        <w:pStyle w:val="74"/>
        <w:numPr>
          <w:ilvl w:val="0"/>
          <w:numId w:val="0"/>
        </w:numPr>
        <w:ind w:leftChars="0"/>
        <w:rPr>
          <w:rFonts w:hint="default" w:ascii="宋体" w:hAnsi="宋体" w:eastAsia="宋体" w:cs="宋体"/>
          <w:sz w:val="32"/>
          <w:szCs w:val="32"/>
          <w:highlight w:val="none"/>
          <w:lang w:val="en-US" w:eastAsia="zh-CN"/>
        </w:rPr>
      </w:pPr>
      <w:r>
        <w:rPr>
          <w:rFonts w:hint="default" w:ascii="宋体" w:hAnsi="宋体" w:eastAsia="宋体" w:cs="宋体"/>
          <w:sz w:val="32"/>
          <w:szCs w:val="32"/>
          <w:highlight w:val="none"/>
          <w:lang w:val="en-US" w:eastAsia="zh-CN"/>
        </w:rPr>
        <w:t>附件</w:t>
      </w:r>
      <w:r>
        <w:rPr>
          <w:rFonts w:hint="eastAsia" w:ascii="宋体" w:hAnsi="宋体" w:eastAsia="宋体" w:cs="宋体"/>
          <w:sz w:val="32"/>
          <w:szCs w:val="32"/>
          <w:highlight w:val="none"/>
          <w:lang w:val="en-US" w:eastAsia="zh-CN"/>
        </w:rPr>
        <w:t>4</w:t>
      </w:r>
      <w:r>
        <w:rPr>
          <w:rFonts w:hint="default" w:ascii="宋体" w:hAnsi="宋体" w:eastAsia="宋体" w:cs="宋体"/>
          <w:sz w:val="32"/>
          <w:szCs w:val="32"/>
          <w:highlight w:val="none"/>
          <w:lang w:val="en-US" w:eastAsia="zh-CN"/>
        </w:rPr>
        <w:t xml:space="preserve"> 技术规格偏离表</w:t>
      </w:r>
    </w:p>
    <w:p w14:paraId="25FBE266">
      <w:pPr>
        <w:spacing w:line="360" w:lineRule="auto"/>
        <w:ind w:firstLine="480" w:firstLineChars="200"/>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项目名称：</w:t>
      </w:r>
      <w:r>
        <w:rPr>
          <w:rFonts w:hint="eastAsia" w:ascii="宋体" w:hAnsi="宋体" w:cs="宋体"/>
          <w:b w:val="0"/>
          <w:bCs w:val="0"/>
          <w:sz w:val="24"/>
          <w:szCs w:val="24"/>
          <w:highlight w:val="none"/>
          <w:u w:val="single"/>
          <w:lang w:val="en-US" w:eastAsia="zh-CN"/>
        </w:rPr>
        <w:t>集团办公室LED屏幕年度维保采购项目</w:t>
      </w:r>
      <w:r>
        <w:rPr>
          <w:rFonts w:hint="default" w:ascii="Times New Roman" w:hAnsi="Times New Roman" w:eastAsia="宋体" w:cs="Times New Roman"/>
          <w:color w:val="000000"/>
          <w:sz w:val="24"/>
          <w:szCs w:val="24"/>
        </w:rPr>
        <w:t xml:space="preserve">                                                           </w:t>
      </w:r>
    </w:p>
    <w:tbl>
      <w:tblPr>
        <w:tblStyle w:val="32"/>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222D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593DBE98">
            <w:pPr>
              <w:jc w:val="both"/>
              <w:rPr>
                <w:rFonts w:hint="default" w:ascii="Times New Roman" w:hAnsi="Times New Roman" w:eastAsia="宋体" w:cs="Times New Roman"/>
                <w:b/>
                <w:szCs w:val="20"/>
              </w:rPr>
            </w:pPr>
            <w:r>
              <w:rPr>
                <w:rFonts w:hint="default" w:ascii="Times New Roman" w:hAnsi="Times New Roman" w:eastAsia="宋体" w:cs="Times New Roman"/>
                <w:b/>
                <w:szCs w:val="20"/>
              </w:rPr>
              <w:t>序号</w:t>
            </w:r>
          </w:p>
        </w:tc>
        <w:tc>
          <w:tcPr>
            <w:tcW w:w="3449" w:type="dxa"/>
            <w:vAlign w:val="center"/>
          </w:tcPr>
          <w:p w14:paraId="611360DB">
            <w:pPr>
              <w:jc w:val="both"/>
              <w:rPr>
                <w:rFonts w:hint="default" w:ascii="Times New Roman" w:hAnsi="Times New Roman" w:eastAsia="宋体" w:cs="Times New Roman"/>
                <w:b/>
                <w:szCs w:val="20"/>
              </w:rPr>
            </w:pPr>
            <w:r>
              <w:rPr>
                <w:rFonts w:hint="default" w:ascii="Times New Roman" w:hAnsi="Times New Roman" w:eastAsia="宋体" w:cs="Times New Roman"/>
                <w:b/>
                <w:szCs w:val="20"/>
              </w:rPr>
              <w:t>招标要求</w:t>
            </w:r>
          </w:p>
        </w:tc>
        <w:tc>
          <w:tcPr>
            <w:tcW w:w="2414" w:type="dxa"/>
            <w:vAlign w:val="center"/>
          </w:tcPr>
          <w:p w14:paraId="14D8E09C">
            <w:pPr>
              <w:jc w:val="both"/>
              <w:rPr>
                <w:rFonts w:hint="default" w:ascii="Times New Roman" w:hAnsi="Times New Roman" w:eastAsia="宋体" w:cs="Times New Roman"/>
                <w:b/>
                <w:szCs w:val="20"/>
              </w:rPr>
            </w:pPr>
            <w:r>
              <w:rPr>
                <w:rFonts w:hint="default" w:ascii="Times New Roman" w:hAnsi="Times New Roman" w:eastAsia="宋体" w:cs="Times New Roman"/>
                <w:b/>
                <w:szCs w:val="20"/>
              </w:rPr>
              <w:t>响应规格</w:t>
            </w:r>
          </w:p>
        </w:tc>
        <w:tc>
          <w:tcPr>
            <w:tcW w:w="1608" w:type="dxa"/>
            <w:vAlign w:val="center"/>
          </w:tcPr>
          <w:p w14:paraId="31ECEA0F">
            <w:pPr>
              <w:jc w:val="both"/>
              <w:rPr>
                <w:rFonts w:hint="default" w:ascii="Times New Roman" w:hAnsi="Times New Roman" w:eastAsia="宋体" w:cs="Times New Roman"/>
                <w:b/>
                <w:szCs w:val="20"/>
              </w:rPr>
            </w:pPr>
            <w:r>
              <w:rPr>
                <w:rFonts w:hint="default" w:ascii="Times New Roman" w:hAnsi="Times New Roman" w:eastAsia="宋体" w:cs="Times New Roman"/>
                <w:b/>
                <w:szCs w:val="20"/>
              </w:rPr>
              <w:t>是否偏离</w:t>
            </w:r>
          </w:p>
        </w:tc>
      </w:tr>
      <w:tr w14:paraId="4159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60FC00E">
            <w:pPr>
              <w:jc w:val="both"/>
              <w:rPr>
                <w:rFonts w:hint="default" w:ascii="Times New Roman" w:hAnsi="Times New Roman" w:eastAsia="宋体" w:cs="Times New Roman"/>
                <w:b/>
                <w:sz w:val="24"/>
                <w:szCs w:val="20"/>
              </w:rPr>
            </w:pPr>
          </w:p>
        </w:tc>
        <w:tc>
          <w:tcPr>
            <w:tcW w:w="3449" w:type="dxa"/>
          </w:tcPr>
          <w:p w14:paraId="20C07C60">
            <w:pPr>
              <w:jc w:val="both"/>
              <w:rPr>
                <w:rFonts w:hint="default" w:ascii="Times New Roman" w:hAnsi="Times New Roman" w:eastAsia="宋体" w:cs="Times New Roman"/>
                <w:b/>
                <w:sz w:val="24"/>
                <w:szCs w:val="20"/>
              </w:rPr>
            </w:pPr>
          </w:p>
        </w:tc>
        <w:tc>
          <w:tcPr>
            <w:tcW w:w="2414" w:type="dxa"/>
          </w:tcPr>
          <w:p w14:paraId="1CEBD4A3">
            <w:pPr>
              <w:jc w:val="both"/>
              <w:rPr>
                <w:rFonts w:hint="default" w:ascii="Times New Roman" w:hAnsi="Times New Roman" w:eastAsia="宋体" w:cs="Times New Roman"/>
                <w:b/>
                <w:sz w:val="24"/>
                <w:szCs w:val="20"/>
              </w:rPr>
            </w:pPr>
          </w:p>
        </w:tc>
        <w:tc>
          <w:tcPr>
            <w:tcW w:w="1608" w:type="dxa"/>
          </w:tcPr>
          <w:p w14:paraId="0F776BDA">
            <w:pPr>
              <w:jc w:val="both"/>
              <w:rPr>
                <w:rFonts w:hint="default" w:ascii="Times New Roman" w:hAnsi="Times New Roman" w:eastAsia="宋体" w:cs="Times New Roman"/>
                <w:b/>
                <w:sz w:val="24"/>
                <w:szCs w:val="20"/>
              </w:rPr>
            </w:pPr>
          </w:p>
        </w:tc>
      </w:tr>
      <w:tr w14:paraId="28FF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32C925A">
            <w:pPr>
              <w:jc w:val="both"/>
              <w:rPr>
                <w:rFonts w:hint="default" w:ascii="Times New Roman" w:hAnsi="Times New Roman" w:eastAsia="宋体" w:cs="Times New Roman"/>
                <w:b/>
                <w:sz w:val="24"/>
                <w:szCs w:val="20"/>
              </w:rPr>
            </w:pPr>
          </w:p>
        </w:tc>
        <w:tc>
          <w:tcPr>
            <w:tcW w:w="3449" w:type="dxa"/>
          </w:tcPr>
          <w:p w14:paraId="231CF809">
            <w:pPr>
              <w:jc w:val="both"/>
              <w:rPr>
                <w:rFonts w:hint="default" w:ascii="Times New Roman" w:hAnsi="Times New Roman" w:eastAsia="宋体" w:cs="Times New Roman"/>
                <w:b/>
                <w:sz w:val="24"/>
                <w:szCs w:val="20"/>
              </w:rPr>
            </w:pPr>
          </w:p>
        </w:tc>
        <w:tc>
          <w:tcPr>
            <w:tcW w:w="2414" w:type="dxa"/>
          </w:tcPr>
          <w:p w14:paraId="74D50EA6">
            <w:pPr>
              <w:jc w:val="both"/>
              <w:rPr>
                <w:rFonts w:hint="default" w:ascii="Times New Roman" w:hAnsi="Times New Roman" w:eastAsia="宋体" w:cs="Times New Roman"/>
                <w:b/>
                <w:sz w:val="24"/>
                <w:szCs w:val="20"/>
              </w:rPr>
            </w:pPr>
          </w:p>
        </w:tc>
        <w:tc>
          <w:tcPr>
            <w:tcW w:w="1608" w:type="dxa"/>
          </w:tcPr>
          <w:p w14:paraId="72654247">
            <w:pPr>
              <w:jc w:val="both"/>
              <w:rPr>
                <w:rFonts w:hint="default" w:ascii="Times New Roman" w:hAnsi="Times New Roman" w:eastAsia="宋体" w:cs="Times New Roman"/>
                <w:b/>
                <w:sz w:val="24"/>
                <w:szCs w:val="20"/>
              </w:rPr>
            </w:pPr>
          </w:p>
        </w:tc>
      </w:tr>
      <w:tr w14:paraId="7D3D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5C81234">
            <w:pPr>
              <w:jc w:val="both"/>
              <w:rPr>
                <w:rFonts w:hint="default" w:ascii="Times New Roman" w:hAnsi="Times New Roman" w:eastAsia="宋体" w:cs="Times New Roman"/>
                <w:b/>
                <w:sz w:val="24"/>
                <w:szCs w:val="20"/>
              </w:rPr>
            </w:pPr>
          </w:p>
        </w:tc>
        <w:tc>
          <w:tcPr>
            <w:tcW w:w="3449" w:type="dxa"/>
          </w:tcPr>
          <w:p w14:paraId="33D4BD5E">
            <w:pPr>
              <w:jc w:val="both"/>
              <w:rPr>
                <w:rFonts w:hint="default" w:ascii="Times New Roman" w:hAnsi="Times New Roman" w:eastAsia="宋体" w:cs="Times New Roman"/>
                <w:b/>
                <w:sz w:val="24"/>
                <w:szCs w:val="20"/>
              </w:rPr>
            </w:pPr>
          </w:p>
        </w:tc>
        <w:tc>
          <w:tcPr>
            <w:tcW w:w="2414" w:type="dxa"/>
          </w:tcPr>
          <w:p w14:paraId="66B35AA7">
            <w:pPr>
              <w:jc w:val="both"/>
              <w:rPr>
                <w:rFonts w:hint="default" w:ascii="Times New Roman" w:hAnsi="Times New Roman" w:eastAsia="宋体" w:cs="Times New Roman"/>
                <w:b/>
                <w:sz w:val="24"/>
                <w:szCs w:val="20"/>
              </w:rPr>
            </w:pPr>
          </w:p>
        </w:tc>
        <w:tc>
          <w:tcPr>
            <w:tcW w:w="1608" w:type="dxa"/>
          </w:tcPr>
          <w:p w14:paraId="08834B45">
            <w:pPr>
              <w:jc w:val="both"/>
              <w:rPr>
                <w:rFonts w:hint="default" w:ascii="Times New Roman" w:hAnsi="Times New Roman" w:eastAsia="宋体" w:cs="Times New Roman"/>
                <w:b/>
                <w:sz w:val="24"/>
                <w:szCs w:val="20"/>
              </w:rPr>
            </w:pPr>
          </w:p>
        </w:tc>
      </w:tr>
      <w:tr w14:paraId="210E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3C9530CA">
            <w:pPr>
              <w:jc w:val="both"/>
              <w:rPr>
                <w:rFonts w:hint="default" w:ascii="Times New Roman" w:hAnsi="Times New Roman" w:eastAsia="宋体" w:cs="Times New Roman"/>
                <w:b/>
                <w:sz w:val="24"/>
                <w:szCs w:val="20"/>
              </w:rPr>
            </w:pPr>
          </w:p>
        </w:tc>
        <w:tc>
          <w:tcPr>
            <w:tcW w:w="3449" w:type="dxa"/>
          </w:tcPr>
          <w:p w14:paraId="729C4B3A">
            <w:pPr>
              <w:jc w:val="both"/>
              <w:rPr>
                <w:rFonts w:hint="default" w:ascii="Times New Roman" w:hAnsi="Times New Roman" w:eastAsia="宋体" w:cs="Times New Roman"/>
                <w:b/>
                <w:sz w:val="24"/>
                <w:szCs w:val="20"/>
              </w:rPr>
            </w:pPr>
          </w:p>
        </w:tc>
        <w:tc>
          <w:tcPr>
            <w:tcW w:w="2414" w:type="dxa"/>
          </w:tcPr>
          <w:p w14:paraId="527E0F9E">
            <w:pPr>
              <w:jc w:val="both"/>
              <w:rPr>
                <w:rFonts w:hint="default" w:ascii="Times New Roman" w:hAnsi="Times New Roman" w:eastAsia="宋体" w:cs="Times New Roman"/>
                <w:b/>
                <w:sz w:val="24"/>
                <w:szCs w:val="20"/>
              </w:rPr>
            </w:pPr>
          </w:p>
        </w:tc>
        <w:tc>
          <w:tcPr>
            <w:tcW w:w="1608" w:type="dxa"/>
          </w:tcPr>
          <w:p w14:paraId="69301EF3">
            <w:pPr>
              <w:jc w:val="both"/>
              <w:rPr>
                <w:rFonts w:hint="default" w:ascii="Times New Roman" w:hAnsi="Times New Roman" w:eastAsia="宋体" w:cs="Times New Roman"/>
                <w:b/>
                <w:sz w:val="24"/>
                <w:szCs w:val="20"/>
              </w:rPr>
            </w:pPr>
          </w:p>
        </w:tc>
      </w:tr>
      <w:tr w14:paraId="0D4F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09FCFC1">
            <w:pPr>
              <w:jc w:val="both"/>
              <w:rPr>
                <w:rFonts w:hint="default" w:ascii="Times New Roman" w:hAnsi="Times New Roman" w:eastAsia="宋体" w:cs="Times New Roman"/>
                <w:b/>
                <w:sz w:val="24"/>
                <w:szCs w:val="20"/>
              </w:rPr>
            </w:pPr>
          </w:p>
        </w:tc>
        <w:tc>
          <w:tcPr>
            <w:tcW w:w="3449" w:type="dxa"/>
          </w:tcPr>
          <w:p w14:paraId="773F42A1">
            <w:pPr>
              <w:jc w:val="both"/>
              <w:rPr>
                <w:rFonts w:hint="default" w:ascii="Times New Roman" w:hAnsi="Times New Roman" w:eastAsia="宋体" w:cs="Times New Roman"/>
                <w:b/>
                <w:sz w:val="24"/>
                <w:szCs w:val="20"/>
              </w:rPr>
            </w:pPr>
          </w:p>
        </w:tc>
        <w:tc>
          <w:tcPr>
            <w:tcW w:w="2414" w:type="dxa"/>
          </w:tcPr>
          <w:p w14:paraId="355AC3F1">
            <w:pPr>
              <w:jc w:val="both"/>
              <w:rPr>
                <w:rFonts w:hint="default" w:ascii="Times New Roman" w:hAnsi="Times New Roman" w:eastAsia="宋体" w:cs="Times New Roman"/>
                <w:b/>
                <w:sz w:val="24"/>
                <w:szCs w:val="20"/>
              </w:rPr>
            </w:pPr>
          </w:p>
        </w:tc>
        <w:tc>
          <w:tcPr>
            <w:tcW w:w="1608" w:type="dxa"/>
          </w:tcPr>
          <w:p w14:paraId="7AD90859">
            <w:pPr>
              <w:jc w:val="both"/>
              <w:rPr>
                <w:rFonts w:hint="default" w:ascii="Times New Roman" w:hAnsi="Times New Roman" w:eastAsia="宋体" w:cs="Times New Roman"/>
                <w:b/>
                <w:sz w:val="24"/>
                <w:szCs w:val="20"/>
              </w:rPr>
            </w:pPr>
          </w:p>
        </w:tc>
      </w:tr>
      <w:tr w14:paraId="2E88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7646ED3">
            <w:pPr>
              <w:jc w:val="both"/>
              <w:rPr>
                <w:rFonts w:hint="default" w:ascii="Times New Roman" w:hAnsi="Times New Roman" w:eastAsia="宋体" w:cs="Times New Roman"/>
                <w:b/>
                <w:sz w:val="24"/>
                <w:szCs w:val="20"/>
              </w:rPr>
            </w:pPr>
          </w:p>
        </w:tc>
        <w:tc>
          <w:tcPr>
            <w:tcW w:w="3449" w:type="dxa"/>
          </w:tcPr>
          <w:p w14:paraId="4479F36E">
            <w:pPr>
              <w:jc w:val="both"/>
              <w:rPr>
                <w:rFonts w:hint="default" w:ascii="Times New Roman" w:hAnsi="Times New Roman" w:eastAsia="宋体" w:cs="Times New Roman"/>
                <w:b/>
                <w:sz w:val="24"/>
                <w:szCs w:val="20"/>
              </w:rPr>
            </w:pPr>
          </w:p>
        </w:tc>
        <w:tc>
          <w:tcPr>
            <w:tcW w:w="2414" w:type="dxa"/>
          </w:tcPr>
          <w:p w14:paraId="0DFE62A4">
            <w:pPr>
              <w:jc w:val="both"/>
              <w:rPr>
                <w:rFonts w:hint="default" w:ascii="Times New Roman" w:hAnsi="Times New Roman" w:eastAsia="宋体" w:cs="Times New Roman"/>
                <w:b/>
                <w:sz w:val="24"/>
                <w:szCs w:val="20"/>
              </w:rPr>
            </w:pPr>
          </w:p>
        </w:tc>
        <w:tc>
          <w:tcPr>
            <w:tcW w:w="1608" w:type="dxa"/>
          </w:tcPr>
          <w:p w14:paraId="76635A8F">
            <w:pPr>
              <w:jc w:val="both"/>
              <w:rPr>
                <w:rFonts w:hint="default" w:ascii="Times New Roman" w:hAnsi="Times New Roman" w:eastAsia="宋体" w:cs="Times New Roman"/>
                <w:b/>
                <w:sz w:val="24"/>
                <w:szCs w:val="20"/>
              </w:rPr>
            </w:pPr>
          </w:p>
        </w:tc>
      </w:tr>
      <w:tr w14:paraId="7534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DC61C07">
            <w:pPr>
              <w:jc w:val="both"/>
              <w:rPr>
                <w:rFonts w:hint="default" w:ascii="Times New Roman" w:hAnsi="Times New Roman" w:eastAsia="宋体" w:cs="Times New Roman"/>
                <w:b/>
                <w:sz w:val="24"/>
                <w:szCs w:val="20"/>
              </w:rPr>
            </w:pPr>
          </w:p>
        </w:tc>
        <w:tc>
          <w:tcPr>
            <w:tcW w:w="3449" w:type="dxa"/>
          </w:tcPr>
          <w:p w14:paraId="799B32B4">
            <w:pPr>
              <w:jc w:val="both"/>
              <w:rPr>
                <w:rFonts w:hint="default" w:ascii="Times New Roman" w:hAnsi="Times New Roman" w:eastAsia="宋体" w:cs="Times New Roman"/>
                <w:b/>
                <w:sz w:val="24"/>
                <w:szCs w:val="20"/>
              </w:rPr>
            </w:pPr>
          </w:p>
        </w:tc>
        <w:tc>
          <w:tcPr>
            <w:tcW w:w="2414" w:type="dxa"/>
          </w:tcPr>
          <w:p w14:paraId="2252CE08">
            <w:pPr>
              <w:jc w:val="both"/>
              <w:rPr>
                <w:rFonts w:hint="default" w:ascii="Times New Roman" w:hAnsi="Times New Roman" w:eastAsia="宋体" w:cs="Times New Roman"/>
                <w:b/>
                <w:sz w:val="24"/>
                <w:szCs w:val="20"/>
              </w:rPr>
            </w:pPr>
          </w:p>
        </w:tc>
        <w:tc>
          <w:tcPr>
            <w:tcW w:w="1608" w:type="dxa"/>
          </w:tcPr>
          <w:p w14:paraId="0960F772">
            <w:pPr>
              <w:jc w:val="both"/>
              <w:rPr>
                <w:rFonts w:hint="default" w:ascii="Times New Roman" w:hAnsi="Times New Roman" w:eastAsia="宋体" w:cs="Times New Roman"/>
                <w:b/>
                <w:sz w:val="24"/>
                <w:szCs w:val="20"/>
              </w:rPr>
            </w:pPr>
          </w:p>
        </w:tc>
      </w:tr>
      <w:tr w14:paraId="3FE2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D7F0670">
            <w:pPr>
              <w:jc w:val="both"/>
              <w:rPr>
                <w:rFonts w:hint="default" w:ascii="Times New Roman" w:hAnsi="Times New Roman" w:eastAsia="宋体" w:cs="Times New Roman"/>
                <w:b/>
                <w:sz w:val="24"/>
                <w:szCs w:val="20"/>
              </w:rPr>
            </w:pPr>
          </w:p>
        </w:tc>
        <w:tc>
          <w:tcPr>
            <w:tcW w:w="3449" w:type="dxa"/>
          </w:tcPr>
          <w:p w14:paraId="3EA03324">
            <w:pPr>
              <w:jc w:val="both"/>
              <w:rPr>
                <w:rFonts w:hint="default" w:ascii="Times New Roman" w:hAnsi="Times New Roman" w:eastAsia="宋体" w:cs="Times New Roman"/>
                <w:b/>
                <w:sz w:val="24"/>
                <w:szCs w:val="20"/>
              </w:rPr>
            </w:pPr>
          </w:p>
        </w:tc>
        <w:tc>
          <w:tcPr>
            <w:tcW w:w="2414" w:type="dxa"/>
          </w:tcPr>
          <w:p w14:paraId="19AC5926">
            <w:pPr>
              <w:jc w:val="both"/>
              <w:rPr>
                <w:rFonts w:hint="default" w:ascii="Times New Roman" w:hAnsi="Times New Roman" w:eastAsia="宋体" w:cs="Times New Roman"/>
                <w:b/>
                <w:sz w:val="24"/>
                <w:szCs w:val="20"/>
              </w:rPr>
            </w:pPr>
          </w:p>
        </w:tc>
        <w:tc>
          <w:tcPr>
            <w:tcW w:w="1608" w:type="dxa"/>
          </w:tcPr>
          <w:p w14:paraId="7B747AB6">
            <w:pPr>
              <w:jc w:val="both"/>
              <w:rPr>
                <w:rFonts w:hint="default" w:ascii="Times New Roman" w:hAnsi="Times New Roman" w:eastAsia="宋体" w:cs="Times New Roman"/>
                <w:b/>
                <w:sz w:val="24"/>
                <w:szCs w:val="20"/>
              </w:rPr>
            </w:pPr>
          </w:p>
        </w:tc>
      </w:tr>
      <w:tr w14:paraId="77CC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7892A28">
            <w:pPr>
              <w:jc w:val="both"/>
              <w:rPr>
                <w:rFonts w:hint="default" w:ascii="Times New Roman" w:hAnsi="Times New Roman" w:eastAsia="宋体" w:cs="Times New Roman"/>
                <w:b/>
                <w:sz w:val="24"/>
                <w:szCs w:val="20"/>
              </w:rPr>
            </w:pPr>
          </w:p>
        </w:tc>
        <w:tc>
          <w:tcPr>
            <w:tcW w:w="3449" w:type="dxa"/>
          </w:tcPr>
          <w:p w14:paraId="510C7AA3">
            <w:pPr>
              <w:jc w:val="both"/>
              <w:rPr>
                <w:rFonts w:hint="default" w:ascii="Times New Roman" w:hAnsi="Times New Roman" w:eastAsia="宋体" w:cs="Times New Roman"/>
                <w:b/>
                <w:sz w:val="24"/>
                <w:szCs w:val="20"/>
              </w:rPr>
            </w:pPr>
          </w:p>
        </w:tc>
        <w:tc>
          <w:tcPr>
            <w:tcW w:w="2414" w:type="dxa"/>
          </w:tcPr>
          <w:p w14:paraId="7F78DFC9">
            <w:pPr>
              <w:jc w:val="both"/>
              <w:rPr>
                <w:rFonts w:hint="default" w:ascii="Times New Roman" w:hAnsi="Times New Roman" w:eastAsia="宋体" w:cs="Times New Roman"/>
                <w:b/>
                <w:sz w:val="24"/>
                <w:szCs w:val="20"/>
              </w:rPr>
            </w:pPr>
          </w:p>
        </w:tc>
        <w:tc>
          <w:tcPr>
            <w:tcW w:w="1608" w:type="dxa"/>
          </w:tcPr>
          <w:p w14:paraId="0B9A8CEE">
            <w:pPr>
              <w:jc w:val="both"/>
              <w:rPr>
                <w:rFonts w:hint="default" w:ascii="Times New Roman" w:hAnsi="Times New Roman" w:eastAsia="宋体" w:cs="Times New Roman"/>
                <w:b/>
                <w:sz w:val="24"/>
                <w:szCs w:val="20"/>
              </w:rPr>
            </w:pPr>
          </w:p>
        </w:tc>
      </w:tr>
      <w:tr w14:paraId="3420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2F569CA">
            <w:pPr>
              <w:jc w:val="both"/>
              <w:rPr>
                <w:rFonts w:hint="default" w:ascii="Times New Roman" w:hAnsi="Times New Roman" w:eastAsia="宋体" w:cs="Times New Roman"/>
                <w:b/>
                <w:sz w:val="24"/>
                <w:szCs w:val="20"/>
              </w:rPr>
            </w:pPr>
          </w:p>
        </w:tc>
        <w:tc>
          <w:tcPr>
            <w:tcW w:w="3449" w:type="dxa"/>
          </w:tcPr>
          <w:p w14:paraId="34549BC9">
            <w:pPr>
              <w:jc w:val="both"/>
              <w:rPr>
                <w:rFonts w:hint="default" w:ascii="Times New Roman" w:hAnsi="Times New Roman" w:eastAsia="宋体" w:cs="Times New Roman"/>
                <w:b/>
                <w:sz w:val="24"/>
                <w:szCs w:val="20"/>
              </w:rPr>
            </w:pPr>
          </w:p>
        </w:tc>
        <w:tc>
          <w:tcPr>
            <w:tcW w:w="2414" w:type="dxa"/>
          </w:tcPr>
          <w:p w14:paraId="0A42E9DF">
            <w:pPr>
              <w:jc w:val="both"/>
              <w:rPr>
                <w:rFonts w:hint="default" w:ascii="Times New Roman" w:hAnsi="Times New Roman" w:eastAsia="宋体" w:cs="Times New Roman"/>
                <w:b/>
                <w:sz w:val="24"/>
                <w:szCs w:val="20"/>
              </w:rPr>
            </w:pPr>
          </w:p>
        </w:tc>
        <w:tc>
          <w:tcPr>
            <w:tcW w:w="1608" w:type="dxa"/>
          </w:tcPr>
          <w:p w14:paraId="054C1744">
            <w:pPr>
              <w:jc w:val="both"/>
              <w:rPr>
                <w:rFonts w:hint="default" w:ascii="Times New Roman" w:hAnsi="Times New Roman" w:eastAsia="宋体" w:cs="Times New Roman"/>
                <w:b/>
                <w:sz w:val="24"/>
                <w:szCs w:val="20"/>
              </w:rPr>
            </w:pPr>
          </w:p>
        </w:tc>
      </w:tr>
      <w:tr w14:paraId="1512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A45330A">
            <w:pPr>
              <w:jc w:val="both"/>
              <w:rPr>
                <w:rFonts w:hint="default" w:ascii="Times New Roman" w:hAnsi="Times New Roman" w:eastAsia="宋体" w:cs="Times New Roman"/>
                <w:b/>
                <w:sz w:val="24"/>
                <w:szCs w:val="20"/>
              </w:rPr>
            </w:pPr>
          </w:p>
        </w:tc>
        <w:tc>
          <w:tcPr>
            <w:tcW w:w="3449" w:type="dxa"/>
          </w:tcPr>
          <w:p w14:paraId="03E0638E">
            <w:pPr>
              <w:jc w:val="both"/>
              <w:rPr>
                <w:rFonts w:hint="default" w:ascii="Times New Roman" w:hAnsi="Times New Roman" w:eastAsia="宋体" w:cs="Times New Roman"/>
                <w:b/>
                <w:sz w:val="24"/>
                <w:szCs w:val="20"/>
              </w:rPr>
            </w:pPr>
          </w:p>
        </w:tc>
        <w:tc>
          <w:tcPr>
            <w:tcW w:w="2414" w:type="dxa"/>
          </w:tcPr>
          <w:p w14:paraId="63250C13">
            <w:pPr>
              <w:jc w:val="both"/>
              <w:rPr>
                <w:rFonts w:hint="default" w:ascii="Times New Roman" w:hAnsi="Times New Roman" w:eastAsia="宋体" w:cs="Times New Roman"/>
                <w:b/>
                <w:sz w:val="24"/>
                <w:szCs w:val="20"/>
              </w:rPr>
            </w:pPr>
          </w:p>
        </w:tc>
        <w:tc>
          <w:tcPr>
            <w:tcW w:w="1608" w:type="dxa"/>
          </w:tcPr>
          <w:p w14:paraId="50350005">
            <w:pPr>
              <w:jc w:val="both"/>
              <w:rPr>
                <w:rFonts w:hint="default" w:ascii="Times New Roman" w:hAnsi="Times New Roman" w:eastAsia="宋体" w:cs="Times New Roman"/>
                <w:b/>
                <w:sz w:val="24"/>
                <w:szCs w:val="20"/>
              </w:rPr>
            </w:pPr>
          </w:p>
        </w:tc>
      </w:tr>
      <w:tr w14:paraId="6817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CE45805">
            <w:pPr>
              <w:jc w:val="both"/>
              <w:rPr>
                <w:rFonts w:hint="default" w:ascii="Times New Roman" w:hAnsi="Times New Roman" w:eastAsia="宋体" w:cs="Times New Roman"/>
                <w:b/>
                <w:sz w:val="24"/>
                <w:szCs w:val="20"/>
              </w:rPr>
            </w:pPr>
          </w:p>
        </w:tc>
        <w:tc>
          <w:tcPr>
            <w:tcW w:w="3449" w:type="dxa"/>
          </w:tcPr>
          <w:p w14:paraId="7C69147C">
            <w:pPr>
              <w:jc w:val="both"/>
              <w:rPr>
                <w:rFonts w:hint="default" w:ascii="Times New Roman" w:hAnsi="Times New Roman" w:eastAsia="宋体" w:cs="Times New Roman"/>
                <w:b/>
                <w:sz w:val="24"/>
                <w:szCs w:val="20"/>
              </w:rPr>
            </w:pPr>
          </w:p>
        </w:tc>
        <w:tc>
          <w:tcPr>
            <w:tcW w:w="2414" w:type="dxa"/>
          </w:tcPr>
          <w:p w14:paraId="7C271385">
            <w:pPr>
              <w:jc w:val="both"/>
              <w:rPr>
                <w:rFonts w:hint="default" w:ascii="Times New Roman" w:hAnsi="Times New Roman" w:eastAsia="宋体" w:cs="Times New Roman"/>
                <w:b/>
                <w:sz w:val="24"/>
                <w:szCs w:val="20"/>
              </w:rPr>
            </w:pPr>
          </w:p>
        </w:tc>
        <w:tc>
          <w:tcPr>
            <w:tcW w:w="1608" w:type="dxa"/>
          </w:tcPr>
          <w:p w14:paraId="52E4D7DE">
            <w:pPr>
              <w:jc w:val="both"/>
              <w:rPr>
                <w:rFonts w:hint="default" w:ascii="Times New Roman" w:hAnsi="Times New Roman" w:eastAsia="宋体" w:cs="Times New Roman"/>
                <w:b/>
                <w:sz w:val="24"/>
                <w:szCs w:val="20"/>
              </w:rPr>
            </w:pPr>
          </w:p>
        </w:tc>
      </w:tr>
      <w:tr w14:paraId="3E3C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5E7A023">
            <w:pPr>
              <w:jc w:val="both"/>
              <w:rPr>
                <w:rFonts w:hint="default" w:ascii="Times New Roman" w:hAnsi="Times New Roman" w:eastAsia="宋体" w:cs="Times New Roman"/>
                <w:b/>
                <w:sz w:val="24"/>
                <w:szCs w:val="20"/>
              </w:rPr>
            </w:pPr>
          </w:p>
        </w:tc>
        <w:tc>
          <w:tcPr>
            <w:tcW w:w="3449" w:type="dxa"/>
          </w:tcPr>
          <w:p w14:paraId="44805680">
            <w:pPr>
              <w:jc w:val="both"/>
              <w:rPr>
                <w:rFonts w:hint="default" w:ascii="Times New Roman" w:hAnsi="Times New Roman" w:eastAsia="宋体" w:cs="Times New Roman"/>
                <w:b/>
                <w:sz w:val="24"/>
                <w:szCs w:val="20"/>
              </w:rPr>
            </w:pPr>
          </w:p>
        </w:tc>
        <w:tc>
          <w:tcPr>
            <w:tcW w:w="2414" w:type="dxa"/>
          </w:tcPr>
          <w:p w14:paraId="3EC5CB98">
            <w:pPr>
              <w:jc w:val="both"/>
              <w:rPr>
                <w:rFonts w:hint="default" w:ascii="Times New Roman" w:hAnsi="Times New Roman" w:eastAsia="宋体" w:cs="Times New Roman"/>
                <w:b/>
                <w:sz w:val="24"/>
                <w:szCs w:val="20"/>
              </w:rPr>
            </w:pPr>
          </w:p>
        </w:tc>
        <w:tc>
          <w:tcPr>
            <w:tcW w:w="1608" w:type="dxa"/>
          </w:tcPr>
          <w:p w14:paraId="192AC3B0">
            <w:pPr>
              <w:jc w:val="both"/>
              <w:rPr>
                <w:rFonts w:hint="default" w:ascii="Times New Roman" w:hAnsi="Times New Roman" w:eastAsia="宋体" w:cs="Times New Roman"/>
                <w:b/>
                <w:sz w:val="24"/>
                <w:szCs w:val="20"/>
              </w:rPr>
            </w:pPr>
          </w:p>
        </w:tc>
      </w:tr>
      <w:tr w14:paraId="2DBA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7A866BE">
            <w:pPr>
              <w:jc w:val="both"/>
              <w:rPr>
                <w:rFonts w:hint="default" w:ascii="Times New Roman" w:hAnsi="Times New Roman" w:eastAsia="宋体" w:cs="Times New Roman"/>
                <w:b/>
                <w:sz w:val="24"/>
                <w:szCs w:val="20"/>
              </w:rPr>
            </w:pPr>
          </w:p>
        </w:tc>
        <w:tc>
          <w:tcPr>
            <w:tcW w:w="3449" w:type="dxa"/>
          </w:tcPr>
          <w:p w14:paraId="4AECDF26">
            <w:pPr>
              <w:jc w:val="both"/>
              <w:rPr>
                <w:rFonts w:hint="default" w:ascii="Times New Roman" w:hAnsi="Times New Roman" w:eastAsia="宋体" w:cs="Times New Roman"/>
                <w:b/>
                <w:sz w:val="24"/>
                <w:szCs w:val="20"/>
              </w:rPr>
            </w:pPr>
          </w:p>
        </w:tc>
        <w:tc>
          <w:tcPr>
            <w:tcW w:w="2414" w:type="dxa"/>
          </w:tcPr>
          <w:p w14:paraId="168A64D4">
            <w:pPr>
              <w:jc w:val="both"/>
              <w:rPr>
                <w:rFonts w:hint="default" w:ascii="Times New Roman" w:hAnsi="Times New Roman" w:eastAsia="宋体" w:cs="Times New Roman"/>
                <w:b/>
                <w:sz w:val="24"/>
                <w:szCs w:val="20"/>
              </w:rPr>
            </w:pPr>
          </w:p>
        </w:tc>
        <w:tc>
          <w:tcPr>
            <w:tcW w:w="1608" w:type="dxa"/>
          </w:tcPr>
          <w:p w14:paraId="30A162FA">
            <w:pPr>
              <w:jc w:val="both"/>
              <w:rPr>
                <w:rFonts w:hint="default" w:ascii="Times New Roman" w:hAnsi="Times New Roman" w:eastAsia="宋体" w:cs="Times New Roman"/>
                <w:b/>
                <w:sz w:val="24"/>
                <w:szCs w:val="20"/>
              </w:rPr>
            </w:pPr>
          </w:p>
        </w:tc>
      </w:tr>
    </w:tbl>
    <w:p w14:paraId="7089172F">
      <w:pPr>
        <w:spacing w:line="660" w:lineRule="exact"/>
        <w:jc w:val="both"/>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10D3ED05">
      <w:pPr>
        <w:rPr>
          <w:rFonts w:hint="eastAsia" w:ascii="宋体" w:hAnsi="宋体" w:eastAsia="宋体" w:cs="宋体"/>
          <w:sz w:val="32"/>
          <w:szCs w:val="32"/>
          <w:highlight w:val="none"/>
          <w:lang w:val="en-US" w:eastAsia="zh-CN"/>
        </w:rPr>
      </w:pPr>
      <w:r>
        <w:rPr>
          <w:rFonts w:hint="default" w:ascii="Times New Roman" w:hAnsi="Times New Roman" w:eastAsia="宋体" w:cs="Times New Roman"/>
          <w:sz w:val="24"/>
          <w:szCs w:val="20"/>
        </w:rPr>
        <w:t>法定代表人（委托代理人）：（签字）</w:t>
      </w:r>
      <w:r>
        <w:rPr>
          <w:rFonts w:hint="eastAsia" w:ascii="宋体" w:hAnsi="宋体" w:eastAsia="宋体" w:cs="宋体"/>
          <w:sz w:val="32"/>
          <w:szCs w:val="32"/>
          <w:highlight w:val="none"/>
          <w:lang w:val="en-US" w:eastAsia="zh-CN"/>
        </w:rPr>
        <w:br w:type="page"/>
      </w:r>
    </w:p>
    <w:p w14:paraId="53E6B306">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附件5 开标一览表</w:t>
      </w:r>
    </w:p>
    <w:p w14:paraId="769BF465">
      <w:pPr>
        <w:spacing w:line="360" w:lineRule="auto"/>
        <w:jc w:val="center"/>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开标一览表</w:t>
      </w:r>
    </w:p>
    <w:p w14:paraId="71C63D3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hint="eastAsia" w:ascii="宋体" w:hAnsi="宋体" w:cs="宋体"/>
          <w:b w:val="0"/>
          <w:bCs w:val="0"/>
          <w:sz w:val="24"/>
          <w:szCs w:val="24"/>
          <w:highlight w:val="none"/>
          <w:u w:val="single"/>
          <w:lang w:val="en-US" w:eastAsia="zh-CN"/>
        </w:rPr>
        <w:t>集团办公室LED屏幕年度维保采购项目</w:t>
      </w:r>
      <w:r>
        <w:rPr>
          <w:rFonts w:ascii="宋体" w:hAnsi="宋体" w:eastAsia="宋体" w:cs="Times New Roman"/>
          <w:color w:val="000000"/>
          <w:sz w:val="24"/>
          <w:szCs w:val="24"/>
        </w:rPr>
        <w:t xml:space="preserve">                                                       </w:t>
      </w:r>
    </w:p>
    <w:tbl>
      <w:tblPr>
        <w:tblStyle w:val="32"/>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1518"/>
        <w:gridCol w:w="848"/>
        <w:gridCol w:w="2270"/>
        <w:gridCol w:w="705"/>
        <w:gridCol w:w="1835"/>
      </w:tblGrid>
      <w:tr w14:paraId="07BA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1287" w:type="dxa"/>
            <w:vAlign w:val="center"/>
          </w:tcPr>
          <w:p w14:paraId="1B2BAAFF">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0CB9085E">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7FD1C6AE">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7E8CB28F">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705" w:type="dxa"/>
            <w:vAlign w:val="center"/>
          </w:tcPr>
          <w:p w14:paraId="669E8072">
            <w:pPr>
              <w:jc w:val="center"/>
              <w:rPr>
                <w:rFonts w:hint="default" w:ascii="Times New Roman" w:hAnsi="Times New Roman" w:eastAsia="宋体" w:cs="Times New Roman"/>
                <w:b/>
                <w:szCs w:val="20"/>
                <w:lang w:val="en-US" w:eastAsia="zh-CN"/>
              </w:rPr>
            </w:pPr>
            <w:r>
              <w:rPr>
                <w:rFonts w:hint="eastAsia" w:cs="Times New Roman"/>
                <w:b/>
                <w:szCs w:val="20"/>
                <w:lang w:val="en-US" w:eastAsia="zh-CN"/>
              </w:rPr>
              <w:t>付款方式及比例如何响应</w:t>
            </w:r>
          </w:p>
        </w:tc>
        <w:tc>
          <w:tcPr>
            <w:tcW w:w="1835" w:type="dxa"/>
            <w:vAlign w:val="center"/>
          </w:tcPr>
          <w:p w14:paraId="0DA60CF4">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035C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1287" w:type="dxa"/>
            <w:vAlign w:val="center"/>
          </w:tcPr>
          <w:p w14:paraId="6D0E9BE6">
            <w:pPr>
              <w:jc w:val="center"/>
              <w:rPr>
                <w:rFonts w:ascii="Times New Roman" w:hAnsi="Times New Roman" w:eastAsia="宋体" w:cs="Times New Roman"/>
                <w:b/>
                <w:szCs w:val="20"/>
              </w:rPr>
            </w:pPr>
          </w:p>
        </w:tc>
        <w:tc>
          <w:tcPr>
            <w:tcW w:w="1518" w:type="dxa"/>
            <w:vAlign w:val="center"/>
          </w:tcPr>
          <w:p w14:paraId="0451C9A7">
            <w:pPr>
              <w:spacing w:line="360" w:lineRule="auto"/>
              <w:rPr>
                <w:rFonts w:hint="eastAsia" w:ascii="宋体" w:hAnsi="宋体" w:cs="Times New Roman"/>
                <w:b/>
                <w:bCs/>
                <w:color w:val="000000"/>
                <w:sz w:val="24"/>
                <w:szCs w:val="24"/>
                <w:u w:val="single"/>
                <w:lang w:val="en-US" w:eastAsia="zh-CN"/>
              </w:rPr>
            </w:pPr>
            <w:r>
              <w:rPr>
                <w:rFonts w:hint="eastAsia" w:ascii="宋体" w:hAnsi="宋体" w:cs="Times New Roman"/>
                <w:b/>
                <w:bCs/>
                <w:color w:val="000000"/>
                <w:sz w:val="24"/>
                <w:szCs w:val="24"/>
                <w:u w:val="single"/>
                <w:lang w:val="en-US" w:eastAsia="zh-CN"/>
              </w:rPr>
              <w:t>（填写投标项目名称）</w:t>
            </w:r>
          </w:p>
          <w:p w14:paraId="456CDFB3">
            <w:pPr>
              <w:jc w:val="center"/>
              <w:rPr>
                <w:rFonts w:hint="eastAsia" w:ascii="Times New Roman" w:hAnsi="Times New Roman" w:eastAsia="宋体" w:cs="Times New Roman"/>
                <w:b/>
                <w:szCs w:val="20"/>
                <w:lang w:eastAsia="zh-CN"/>
              </w:rPr>
            </w:pPr>
          </w:p>
        </w:tc>
        <w:tc>
          <w:tcPr>
            <w:tcW w:w="848" w:type="dxa"/>
            <w:vAlign w:val="center"/>
          </w:tcPr>
          <w:p w14:paraId="5754ED5A">
            <w:pPr>
              <w:jc w:val="center"/>
              <w:rPr>
                <w:rFonts w:hint="default" w:ascii="Times New Roman" w:hAnsi="Times New Roman" w:eastAsia="宋体" w:cs="Times New Roman"/>
                <w:b/>
                <w:szCs w:val="20"/>
                <w:lang w:val="en-US" w:eastAsia="zh-CN"/>
              </w:rPr>
            </w:pPr>
            <w:r>
              <w:rPr>
                <w:rFonts w:hint="eastAsia" w:cs="Times New Roman"/>
                <w:b/>
                <w:szCs w:val="20"/>
                <w:lang w:val="en-US" w:eastAsia="zh-CN"/>
              </w:rPr>
              <w:t>1</w:t>
            </w:r>
          </w:p>
        </w:tc>
        <w:tc>
          <w:tcPr>
            <w:tcW w:w="2270" w:type="dxa"/>
            <w:vAlign w:val="center"/>
          </w:tcPr>
          <w:p w14:paraId="63A1C48D">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6C6D0F49">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34B462C2">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705" w:type="dxa"/>
            <w:vAlign w:val="center"/>
          </w:tcPr>
          <w:p w14:paraId="60D1E483">
            <w:pPr>
              <w:jc w:val="center"/>
              <w:rPr>
                <w:rFonts w:ascii="Times New Roman" w:hAnsi="Times New Roman" w:eastAsia="宋体" w:cs="Times New Roman"/>
                <w:b/>
                <w:szCs w:val="20"/>
              </w:rPr>
            </w:pPr>
          </w:p>
        </w:tc>
        <w:tc>
          <w:tcPr>
            <w:tcW w:w="1835" w:type="dxa"/>
            <w:vAlign w:val="center"/>
          </w:tcPr>
          <w:p w14:paraId="14D620AB">
            <w:pPr>
              <w:jc w:val="center"/>
              <w:rPr>
                <w:rFonts w:ascii="Times New Roman" w:hAnsi="Times New Roman" w:eastAsia="宋体" w:cs="Times New Roman"/>
                <w:b/>
                <w:szCs w:val="20"/>
              </w:rPr>
            </w:pPr>
          </w:p>
        </w:tc>
      </w:tr>
    </w:tbl>
    <w:p w14:paraId="0757677E">
      <w:pPr>
        <w:rPr>
          <w:rFonts w:ascii="宋体" w:hAnsi="Arial" w:eastAsia="宋体" w:cs="Times New Roman"/>
          <w:sz w:val="24"/>
          <w:szCs w:val="24"/>
        </w:rPr>
      </w:pPr>
    </w:p>
    <w:p w14:paraId="0B093042">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40943D3">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4A5EE63D">
      <w:pPr>
        <w:spacing w:line="300" w:lineRule="auto"/>
        <w:rPr>
          <w:rFonts w:hint="eastAsia"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6381D8BE">
      <w:pPr>
        <w:spacing w:line="300" w:lineRule="auto"/>
        <w:rPr>
          <w:rFonts w:hint="eastAsia" w:ascii="宋体" w:hAnsi="宋体" w:eastAsia="宋体" w:cs="宋体"/>
          <w:b/>
          <w:szCs w:val="20"/>
          <w:lang w:val="en-US" w:eastAsia="zh-CN"/>
        </w:rPr>
      </w:pPr>
      <w:r>
        <w:rPr>
          <w:rFonts w:hint="eastAsia" w:ascii="宋体" w:hAnsi="宋体" w:eastAsia="宋体" w:cs="宋体"/>
          <w:b/>
          <w:szCs w:val="20"/>
          <w:lang w:val="en-US" w:eastAsia="zh-CN"/>
        </w:rPr>
        <w:t>3</w:t>
      </w:r>
      <w:r>
        <w:rPr>
          <w:rFonts w:hint="eastAsia" w:ascii="宋体" w:hAnsi="宋体" w:eastAsia="宋体" w:cs="宋体"/>
          <w:b/>
          <w:szCs w:val="20"/>
        </w:rPr>
        <w:t>.投标总价包括设备费、调试费、备品备件、特殊工具、运杂费、装卸费、技术服务费、保险费及增值税和其它税费。</w:t>
      </w:r>
    </w:p>
    <w:p w14:paraId="7CA9A866">
      <w:pPr>
        <w:pStyle w:val="17"/>
        <w:rPr>
          <w:rFonts w:hint="eastAsia" w:hAnsi="宋体" w:eastAsia="宋体" w:cs="Times New Roman"/>
          <w:b/>
          <w:bCs/>
          <w:szCs w:val="21"/>
          <w:highlight w:val="yellow"/>
        </w:rPr>
      </w:pPr>
    </w:p>
    <w:p w14:paraId="31061A95">
      <w:pPr>
        <w:pStyle w:val="17"/>
        <w:rPr>
          <w:rFonts w:hint="eastAsia" w:hAnsi="宋体" w:eastAsia="宋体" w:cs="Times New Roman"/>
          <w:b/>
          <w:bCs/>
          <w:szCs w:val="21"/>
          <w:highlight w:val="yellow"/>
        </w:rPr>
      </w:pPr>
    </w:p>
    <w:p w14:paraId="5A2F2EC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3B316BD5">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E5A5D5F">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0B2C361">
      <w:pPr>
        <w:pStyle w:val="78"/>
        <w:bidi w:val="0"/>
      </w:pPr>
      <w:r>
        <w:t xml:space="preserve"> </w:t>
      </w:r>
    </w:p>
    <w:p w14:paraId="36B9F02A">
      <w:pPr>
        <w:pStyle w:val="78"/>
        <w:bidi w:val="0"/>
      </w:pPr>
    </w:p>
    <w:p w14:paraId="6E7F97B7">
      <w:pPr>
        <w:pStyle w:val="78"/>
        <w:bidi w:val="0"/>
      </w:pPr>
    </w:p>
    <w:p w14:paraId="0A484835">
      <w:pPr>
        <w:rPr>
          <w:rFonts w:hint="eastAsia" w:ascii="宋体" w:hAnsi="宋体" w:eastAsia="宋体" w:cs="宋体"/>
          <w:sz w:val="32"/>
          <w:szCs w:val="32"/>
          <w:highlight w:val="none"/>
          <w:lang w:val="en-US" w:eastAsia="zh-CN"/>
        </w:rPr>
      </w:pPr>
      <w:bookmarkStart w:id="25" w:name="_Toc4225"/>
      <w:bookmarkStart w:id="26" w:name="_Toc47976616"/>
      <w:r>
        <w:rPr>
          <w:rFonts w:hint="eastAsia" w:ascii="宋体" w:hAnsi="宋体" w:eastAsia="宋体" w:cs="宋体"/>
          <w:sz w:val="32"/>
          <w:szCs w:val="32"/>
          <w:highlight w:val="none"/>
          <w:lang w:val="en-US" w:eastAsia="zh-CN"/>
        </w:rPr>
        <w:br w:type="page"/>
      </w:r>
    </w:p>
    <w:p w14:paraId="230754D8">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w:t>
      </w:r>
      <w:bookmarkEnd w:id="25"/>
      <w:bookmarkEnd w:id="26"/>
      <w:r>
        <w:rPr>
          <w:rFonts w:hint="eastAsia" w:ascii="宋体" w:hAnsi="宋体" w:eastAsia="宋体" w:cs="宋体"/>
          <w:sz w:val="32"/>
          <w:szCs w:val="32"/>
          <w:highlight w:val="none"/>
          <w:lang w:val="en-US" w:eastAsia="zh-CN"/>
        </w:rPr>
        <w:t>6 投标函</w:t>
      </w:r>
    </w:p>
    <w:p w14:paraId="78BEF19D">
      <w:pPr>
        <w:spacing w:line="360" w:lineRule="auto"/>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1A7AA2F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w:t>
      </w:r>
      <w:r>
        <w:rPr>
          <w:rFonts w:hint="eastAsia" w:ascii="宋体" w:hAnsi="宋体" w:cs="Times New Roman"/>
          <w:color w:val="000000"/>
          <w:sz w:val="24"/>
          <w:szCs w:val="24"/>
          <w:highlight w:val="none"/>
          <w:lang w:eastAsia="zh-CN"/>
        </w:rPr>
        <w:t>中国重汽集团济南动力有限公司</w:t>
      </w:r>
      <w:r>
        <w:rPr>
          <w:rFonts w:hint="eastAsia" w:ascii="宋体" w:hAnsi="宋体" w:eastAsia="宋体" w:cs="Times New Roman"/>
          <w:color w:val="000000"/>
          <w:sz w:val="24"/>
          <w:szCs w:val="24"/>
        </w:rPr>
        <w:t>：</w:t>
      </w:r>
    </w:p>
    <w:p w14:paraId="251C176C">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lang w:val="en-US" w:eastAsia="zh-CN"/>
        </w:rPr>
        <w:t xml:space="preserve"> </w:t>
      </w:r>
      <w:r>
        <w:rPr>
          <w:rFonts w:hint="eastAsia" w:ascii="宋体" w:hAnsi="宋体" w:cs="宋体"/>
          <w:b w:val="0"/>
          <w:bCs w:val="0"/>
          <w:sz w:val="24"/>
          <w:szCs w:val="24"/>
          <w:highlight w:val="none"/>
          <w:u w:val="single"/>
          <w:lang w:val="en-US" w:eastAsia="zh-CN"/>
        </w:rPr>
        <w:t xml:space="preserve">集团办公室LED屏幕年度维保采购项目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w:t>
      </w:r>
      <w:r>
        <w:rPr>
          <w:rFonts w:hint="default" w:ascii="Times New Roman" w:hAnsi="Times New Roman" w:eastAsia="宋体" w:cs="Times New Roman"/>
          <w:color w:val="000000"/>
          <w:sz w:val="24"/>
          <w:szCs w:val="24"/>
          <w:highlight w:val="none"/>
        </w:rPr>
        <w:t>纸质投标文件：资质证明文件、商务文件和技术文件正本一份；</w:t>
      </w:r>
      <w:r>
        <w:rPr>
          <w:rFonts w:hint="eastAsia" w:ascii="宋体" w:hAnsi="宋体" w:cs="Times New Roman"/>
          <w:color w:val="000000"/>
          <w:sz w:val="24"/>
          <w:szCs w:val="24"/>
          <w:highlight w:val="none"/>
          <w:lang w:val="en-US" w:eastAsia="zh-CN"/>
        </w:rPr>
        <w:t>电子版</w:t>
      </w:r>
      <w:r>
        <w:rPr>
          <w:rFonts w:hint="eastAsia" w:ascii="宋体" w:hAnsi="宋体" w:eastAsia="宋体" w:cs="Times New Roman"/>
          <w:color w:val="000000"/>
          <w:sz w:val="24"/>
          <w:szCs w:val="24"/>
          <w:highlight w:val="none"/>
        </w:rPr>
        <w:t>投标文件</w:t>
      </w:r>
      <w:r>
        <w:rPr>
          <w:rFonts w:hint="default" w:ascii="Times New Roman" w:hAnsi="Times New Roman" w:eastAsia="宋体" w:cs="Times New Roman"/>
          <w:color w:val="000000"/>
          <w:sz w:val="24"/>
          <w:szCs w:val="24"/>
          <w:highlight w:val="none"/>
        </w:rPr>
        <w:t>一份</w:t>
      </w:r>
      <w:r>
        <w:rPr>
          <w:rFonts w:hint="eastAsia" w:ascii="宋体" w:hAnsi="宋体" w:eastAsia="宋体" w:cs="Times New Roman"/>
          <w:color w:val="000000"/>
          <w:sz w:val="24"/>
          <w:szCs w:val="24"/>
          <w:highlight w:val="none"/>
        </w:rPr>
        <w:t>：资质证明文件、商务文件和技术文件。</w:t>
      </w:r>
    </w:p>
    <w:p w14:paraId="65C45EA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14:paraId="10880B3E">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60660118">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45B0FEC9">
      <w:pPr>
        <w:spacing w:line="360" w:lineRule="auto"/>
        <w:ind w:firstLine="480" w:firstLineChars="200"/>
        <w:rPr>
          <w:rFonts w:hint="eastAsia" w:ascii="宋体" w:hAnsi="宋体" w:eastAsia="宋体" w:cs="Times New Roman"/>
          <w:color w:val="000000"/>
          <w:sz w:val="24"/>
          <w:szCs w:val="24"/>
          <w:lang w:eastAsia="zh-CN"/>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p>
    <w:p w14:paraId="48E1E958">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474B6890">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62D730F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0D70DD7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15A1378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642217A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64E7D1C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6770A28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076E3F3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696EA9C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006F507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348E15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3391EAE8">
      <w:pPr>
        <w:pStyle w:val="78"/>
        <w:bidi w:val="0"/>
      </w:pPr>
    </w:p>
    <w:p w14:paraId="32C9A5BE">
      <w:pPr>
        <w:rPr>
          <w:rFonts w:hint="eastAsia" w:ascii="宋体" w:hAnsi="宋体" w:eastAsia="宋体" w:cs="宋体"/>
          <w:sz w:val="32"/>
          <w:szCs w:val="32"/>
          <w:highlight w:val="none"/>
          <w:lang w:val="en-US" w:eastAsia="zh-CN"/>
        </w:rPr>
      </w:pPr>
    </w:p>
    <w:p w14:paraId="67214EB0">
      <w:pPr>
        <w:pStyle w:val="74"/>
        <w:numPr>
          <w:ilvl w:val="0"/>
          <w:numId w:val="0"/>
        </w:numPr>
        <w:ind w:leftChars="0"/>
        <w:rPr>
          <w:rFonts w:hint="default" w:ascii="宋体" w:hAnsi="宋体" w:eastAsia="宋体" w:cs="宋体"/>
          <w:sz w:val="32"/>
          <w:szCs w:val="32"/>
          <w:highlight w:val="none"/>
          <w:lang w:val="en-US" w:eastAsia="zh-CN"/>
        </w:rPr>
      </w:pPr>
      <w:r>
        <w:rPr>
          <w:rFonts w:hint="default" w:ascii="宋体" w:hAnsi="宋体" w:eastAsia="宋体" w:cs="宋体"/>
          <w:sz w:val="32"/>
          <w:szCs w:val="32"/>
          <w:highlight w:val="none"/>
          <w:lang w:val="en-US" w:eastAsia="zh-CN"/>
        </w:rPr>
        <w:t>附件</w:t>
      </w:r>
      <w:r>
        <w:rPr>
          <w:rFonts w:hint="eastAsia" w:ascii="宋体" w:hAnsi="宋体" w:eastAsia="宋体" w:cs="宋体"/>
          <w:sz w:val="32"/>
          <w:szCs w:val="32"/>
          <w:highlight w:val="none"/>
          <w:lang w:val="en-US" w:eastAsia="zh-CN"/>
        </w:rPr>
        <w:t>7</w:t>
      </w:r>
      <w:r>
        <w:rPr>
          <w:rFonts w:hint="default" w:ascii="宋体" w:hAnsi="宋体" w:eastAsia="宋体" w:cs="宋体"/>
          <w:sz w:val="32"/>
          <w:szCs w:val="32"/>
          <w:highlight w:val="none"/>
          <w:lang w:val="en-US" w:eastAsia="zh-CN"/>
        </w:rPr>
        <w:t xml:space="preserve"> 服务承诺函</w:t>
      </w:r>
    </w:p>
    <w:p w14:paraId="7E180CB3">
      <w:pPr>
        <w:spacing w:line="240" w:lineRule="exact"/>
        <w:jc w:val="both"/>
        <w:rPr>
          <w:rFonts w:hint="default" w:ascii="Times New Roman" w:hAnsi="Times New Roman" w:eastAsia="宋体" w:cs="Times New Roman"/>
          <w:b/>
          <w:bCs/>
          <w:sz w:val="36"/>
          <w:szCs w:val="20"/>
        </w:rPr>
      </w:pPr>
    </w:p>
    <w:p w14:paraId="006C53F8">
      <w:pPr>
        <w:spacing w:line="360" w:lineRule="auto"/>
        <w:jc w:val="both"/>
        <w:rPr>
          <w:rFonts w:hint="default" w:ascii="Times New Roman" w:hAnsi="Times New Roman" w:eastAsia="宋体" w:cs="Times New Roman"/>
          <w:b w:val="0"/>
          <w:bCs w:val="0"/>
          <w:sz w:val="24"/>
          <w:szCs w:val="20"/>
        </w:rPr>
      </w:pPr>
      <w:r>
        <w:rPr>
          <w:rFonts w:hint="default" w:ascii="Times New Roman" w:hAnsi="Times New Roman" w:eastAsia="宋体" w:cs="Times New Roman"/>
          <w:sz w:val="24"/>
          <w:szCs w:val="20"/>
        </w:rPr>
        <w:t>项目名称：</w:t>
      </w:r>
      <w:r>
        <w:rPr>
          <w:rFonts w:hint="eastAsia" w:ascii="宋体" w:hAnsi="宋体" w:cs="宋体"/>
          <w:b w:val="0"/>
          <w:bCs w:val="0"/>
          <w:sz w:val="24"/>
          <w:szCs w:val="24"/>
          <w:highlight w:val="none"/>
          <w:u w:val="single"/>
          <w:lang w:val="en-US" w:eastAsia="zh-CN"/>
        </w:rPr>
        <w:t>集团办公室LED屏幕年度维保采购项目</w:t>
      </w:r>
    </w:p>
    <w:p w14:paraId="10308AC3">
      <w:pPr>
        <w:spacing w:line="360" w:lineRule="auto"/>
        <w:jc w:val="both"/>
        <w:rPr>
          <w:rFonts w:hint="default" w:ascii="Times New Roman" w:hAnsi="Times New Roman" w:eastAsia="宋体" w:cs="Times New Roman"/>
          <w:b/>
          <w:bCs/>
          <w:sz w:val="24"/>
          <w:szCs w:val="20"/>
        </w:rPr>
      </w:pPr>
      <w:r>
        <w:rPr>
          <w:rFonts w:hint="eastAsia"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653A453F">
      <w:pPr>
        <w:spacing w:line="360" w:lineRule="auto"/>
        <w:ind w:firstLine="480"/>
        <w:jc w:val="both"/>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w:t>
      </w:r>
      <w:r>
        <w:rPr>
          <w:rFonts w:hint="default" w:ascii="Times New Roman" w:hAnsi="Times New Roman" w:eastAsia="宋体" w:cs="Times New Roman"/>
          <w:sz w:val="24"/>
          <w:szCs w:val="20"/>
          <w:lang w:eastAsia="zh-CN"/>
        </w:rPr>
        <w:t>投标人</w:t>
      </w:r>
      <w:r>
        <w:rPr>
          <w:rFonts w:hint="default" w:ascii="Times New Roman" w:hAnsi="Times New Roman" w:eastAsia="宋体" w:cs="Times New Roman"/>
          <w:sz w:val="24"/>
          <w:szCs w:val="20"/>
        </w:rPr>
        <w:t>名称）对中标合同产品的服务作如下承诺：</w:t>
      </w:r>
    </w:p>
    <w:p w14:paraId="39C7681B">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4B31E44A">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12A8186">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1AB823B">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1D92CDF">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BD8E353">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407A1E51">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54ECF59B">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EE1086A">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DEAA583">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57D7F67">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500D3D42">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95FC43D">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96D4396">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41E0902">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4250196">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4A4554B">
      <w:pPr>
        <w:spacing w:line="360" w:lineRule="auto"/>
        <w:ind w:firstLine="480" w:firstLineChars="200"/>
        <w:jc w:val="both"/>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44E3E895">
      <w:pPr>
        <w:spacing w:line="360" w:lineRule="auto"/>
        <w:ind w:firstLine="480" w:firstLineChars="200"/>
        <w:jc w:val="both"/>
        <w:rPr>
          <w:rFonts w:hint="default" w:ascii="Times New Roman" w:hAnsi="Times New Roman" w:eastAsia="宋体" w:cs="Times New Roman"/>
          <w:sz w:val="24"/>
          <w:szCs w:val="20"/>
          <w:u w:val="single"/>
        </w:rPr>
      </w:pPr>
    </w:p>
    <w:p w14:paraId="3A8CE099">
      <w:pPr>
        <w:spacing w:line="360" w:lineRule="auto"/>
        <w:ind w:firstLine="480" w:firstLineChars="200"/>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投标人：（盖章）</w:t>
      </w:r>
    </w:p>
    <w:p w14:paraId="0ECD7EDC">
      <w:pPr>
        <w:spacing w:line="360" w:lineRule="auto"/>
        <w:ind w:firstLine="480" w:firstLineChars="200"/>
        <w:jc w:val="both"/>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法定代表人（委托代理人）：（签字）</w:t>
      </w:r>
    </w:p>
    <w:p w14:paraId="5399ED64">
      <w:pPr>
        <w:rPr>
          <w:rFonts w:hint="eastAsia" w:ascii="宋体" w:hAnsi="宋体" w:eastAsia="宋体" w:cs="宋体"/>
          <w:sz w:val="32"/>
          <w:szCs w:val="32"/>
          <w:highlight w:val="none"/>
          <w:lang w:val="en-US" w:eastAsia="zh-CN"/>
        </w:rPr>
      </w:pPr>
      <w:r>
        <w:rPr>
          <w:rFonts w:hint="default" w:ascii="Times New Roman" w:hAnsi="Times New Roman" w:eastAsia="宋体" w:cs="Times New Roman"/>
          <w:color w:val="000000"/>
          <w:sz w:val="24"/>
          <w:szCs w:val="24"/>
        </w:rPr>
        <w:t>日  期：       年    月    日</w:t>
      </w:r>
      <w:r>
        <w:rPr>
          <w:rFonts w:hint="eastAsia" w:ascii="宋体" w:hAnsi="宋体" w:eastAsia="宋体" w:cs="宋体"/>
          <w:sz w:val="32"/>
          <w:szCs w:val="32"/>
          <w:highlight w:val="none"/>
          <w:lang w:val="en-US" w:eastAsia="zh-CN"/>
        </w:rPr>
        <w:br w:type="page"/>
      </w:r>
    </w:p>
    <w:p w14:paraId="4E91CA03">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附件8 商务条款偏离表</w:t>
      </w:r>
    </w:p>
    <w:p w14:paraId="38D36224">
      <w:pPr>
        <w:spacing w:line="360" w:lineRule="auto"/>
        <w:jc w:val="center"/>
        <w:rPr>
          <w:rFonts w:hint="eastAsia" w:ascii="宋体" w:hAnsi="宋体" w:cs="宋体"/>
          <w:b/>
          <w:bCs/>
          <w:color w:val="000000"/>
          <w:sz w:val="32"/>
          <w:szCs w:val="32"/>
          <w:lang w:val="en-US" w:eastAsia="zh-CN"/>
        </w:rPr>
      </w:pPr>
      <w:r>
        <w:rPr>
          <w:rFonts w:hint="eastAsia" w:ascii="宋体" w:hAnsi="宋体" w:cs="宋体"/>
          <w:b/>
          <w:bCs/>
          <w:color w:val="000000"/>
          <w:sz w:val="32"/>
          <w:szCs w:val="32"/>
          <w:lang w:val="en-US" w:eastAsia="zh-CN"/>
        </w:rPr>
        <w:t>商务条款偏离表</w:t>
      </w:r>
    </w:p>
    <w:tbl>
      <w:tblPr>
        <w:tblStyle w:val="32"/>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66A31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EAA7D60">
            <w:pPr>
              <w:jc w:val="center"/>
              <w:rPr>
                <w:rFonts w:hint="default" w:ascii="Times New Roman" w:hAnsi="Times New Roman" w:eastAsia="宋体" w:cs="Times New Roman"/>
                <w:b w:val="0"/>
                <w:bCs w:val="0"/>
                <w:szCs w:val="20"/>
                <w:lang w:val="en-US"/>
              </w:rPr>
            </w:pPr>
            <w:r>
              <w:rPr>
                <w:rFonts w:hint="eastAsia" w:ascii="宋体" w:hAnsi="宋体" w:cs="宋体"/>
                <w:b w:val="0"/>
                <w:bCs w:val="0"/>
                <w:sz w:val="24"/>
                <w:szCs w:val="24"/>
                <w:highlight w:val="none"/>
                <w:u w:val="single"/>
                <w:lang w:val="en-US" w:eastAsia="zh-CN"/>
              </w:rPr>
              <w:t>集团办公室LED屏幕年度维保采购项目</w:t>
            </w:r>
          </w:p>
        </w:tc>
        <w:tc>
          <w:tcPr>
            <w:tcW w:w="2875" w:type="dxa"/>
            <w:tcBorders>
              <w:top w:val="single" w:color="auto" w:sz="4" w:space="0"/>
              <w:left w:val="single" w:color="auto" w:sz="4" w:space="0"/>
              <w:bottom w:val="single" w:color="auto" w:sz="4" w:space="0"/>
              <w:right w:val="single" w:color="auto" w:sz="4" w:space="0"/>
            </w:tcBorders>
            <w:vAlign w:val="center"/>
          </w:tcPr>
          <w:p w14:paraId="11CC7152">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1938DE94">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2EA137BC">
            <w:pPr>
              <w:jc w:val="center"/>
              <w:rPr>
                <w:rFonts w:ascii="Times New Roman" w:hAnsi="Times New Roman" w:eastAsia="宋体" w:cs="Times New Roman"/>
                <w:b/>
                <w:szCs w:val="20"/>
              </w:rPr>
            </w:pPr>
            <w:r>
              <w:rPr>
                <w:rFonts w:hint="eastAsia" w:ascii="宋体" w:hAnsi="宋体" w:eastAsia="宋体" w:cs="宋体"/>
                <w:b/>
                <w:szCs w:val="20"/>
              </w:rPr>
              <w:t>是否偏离</w:t>
            </w:r>
          </w:p>
          <w:p w14:paraId="695C9B64">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5D3B8B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63008E0">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51AB607E">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479390B">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84F2FF5">
            <w:pPr>
              <w:jc w:val="center"/>
              <w:rPr>
                <w:rFonts w:ascii="Times New Roman" w:hAnsi="Times New Roman" w:eastAsia="宋体" w:cs="Times New Roman"/>
                <w:b/>
                <w:szCs w:val="20"/>
              </w:rPr>
            </w:pPr>
          </w:p>
        </w:tc>
      </w:tr>
      <w:tr w14:paraId="0E4AF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D873810">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6C8F3FAA">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72EB4DF">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1084D158">
            <w:pPr>
              <w:jc w:val="center"/>
              <w:rPr>
                <w:rFonts w:ascii="Times New Roman" w:hAnsi="Times New Roman" w:eastAsia="宋体" w:cs="Times New Roman"/>
                <w:b/>
                <w:szCs w:val="21"/>
              </w:rPr>
            </w:pPr>
          </w:p>
        </w:tc>
      </w:tr>
      <w:tr w14:paraId="5C0B8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69D4069E">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4964D6D4">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0CC919F8">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61DA3E96">
            <w:pPr>
              <w:jc w:val="center"/>
              <w:rPr>
                <w:rFonts w:ascii="Times New Roman" w:hAnsi="Times New Roman" w:eastAsia="宋体" w:cs="Times New Roman"/>
                <w:b/>
                <w:szCs w:val="20"/>
              </w:rPr>
            </w:pPr>
          </w:p>
        </w:tc>
      </w:tr>
      <w:tr w14:paraId="2D16E8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3D5B77B">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099352AA">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7FFCFD26">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0F93773C">
            <w:pPr>
              <w:jc w:val="center"/>
              <w:rPr>
                <w:rFonts w:ascii="Times New Roman" w:hAnsi="Times New Roman" w:eastAsia="宋体" w:cs="Times New Roman"/>
                <w:b/>
                <w:szCs w:val="21"/>
              </w:rPr>
            </w:pPr>
          </w:p>
          <w:p w14:paraId="2311C360">
            <w:pPr>
              <w:jc w:val="center"/>
              <w:rPr>
                <w:rFonts w:ascii="Times New Roman" w:hAnsi="Times New Roman" w:eastAsia="宋体" w:cs="Times New Roman"/>
                <w:b/>
                <w:szCs w:val="21"/>
              </w:rPr>
            </w:pPr>
          </w:p>
          <w:p w14:paraId="7FD0011A">
            <w:pPr>
              <w:jc w:val="center"/>
              <w:rPr>
                <w:rFonts w:ascii="Times New Roman" w:hAnsi="Times New Roman" w:eastAsia="宋体" w:cs="Times New Roman"/>
                <w:b/>
                <w:szCs w:val="21"/>
              </w:rPr>
            </w:pPr>
          </w:p>
          <w:p w14:paraId="7E133CE2">
            <w:pPr>
              <w:jc w:val="center"/>
              <w:rPr>
                <w:rFonts w:ascii="Times New Roman" w:hAnsi="Times New Roman" w:eastAsia="宋体" w:cs="Times New Roman"/>
                <w:b/>
                <w:szCs w:val="21"/>
              </w:rPr>
            </w:pPr>
          </w:p>
          <w:p w14:paraId="51AC5346">
            <w:pPr>
              <w:jc w:val="center"/>
              <w:rPr>
                <w:rFonts w:ascii="Times New Roman" w:hAnsi="Times New Roman" w:eastAsia="宋体" w:cs="Times New Roman"/>
                <w:b/>
                <w:szCs w:val="21"/>
              </w:rPr>
            </w:pPr>
          </w:p>
          <w:p w14:paraId="2BC45769">
            <w:pPr>
              <w:jc w:val="center"/>
              <w:rPr>
                <w:rFonts w:ascii="Times New Roman" w:hAnsi="Times New Roman" w:eastAsia="宋体" w:cs="Times New Roman"/>
                <w:b/>
                <w:szCs w:val="21"/>
              </w:rPr>
            </w:pPr>
          </w:p>
          <w:p w14:paraId="76CE503C">
            <w:pPr>
              <w:jc w:val="center"/>
              <w:rPr>
                <w:rFonts w:ascii="Times New Roman" w:hAnsi="Times New Roman" w:eastAsia="宋体" w:cs="Times New Roman"/>
                <w:b/>
                <w:szCs w:val="21"/>
              </w:rPr>
            </w:pPr>
          </w:p>
          <w:p w14:paraId="085D6DBC">
            <w:pPr>
              <w:jc w:val="center"/>
              <w:rPr>
                <w:rFonts w:ascii="Times New Roman" w:hAnsi="Times New Roman" w:eastAsia="宋体" w:cs="Times New Roman"/>
                <w:b/>
                <w:szCs w:val="21"/>
              </w:rPr>
            </w:pPr>
          </w:p>
          <w:p w14:paraId="1571192F">
            <w:pPr>
              <w:jc w:val="center"/>
              <w:rPr>
                <w:rFonts w:ascii="Times New Roman" w:hAnsi="Times New Roman" w:eastAsia="宋体" w:cs="Times New Roman"/>
                <w:b/>
                <w:szCs w:val="21"/>
              </w:rPr>
            </w:pPr>
          </w:p>
          <w:p w14:paraId="7D15E4F6">
            <w:pPr>
              <w:jc w:val="center"/>
              <w:rPr>
                <w:rFonts w:ascii="Times New Roman" w:hAnsi="Times New Roman" w:eastAsia="宋体" w:cs="Times New Roman"/>
                <w:b/>
                <w:szCs w:val="21"/>
              </w:rPr>
            </w:pPr>
          </w:p>
          <w:p w14:paraId="4542552C">
            <w:pPr>
              <w:jc w:val="center"/>
              <w:rPr>
                <w:rFonts w:ascii="Times New Roman" w:hAnsi="Times New Roman" w:eastAsia="宋体" w:cs="Times New Roman"/>
                <w:b/>
                <w:szCs w:val="21"/>
              </w:rPr>
            </w:pPr>
          </w:p>
          <w:p w14:paraId="53820639">
            <w:pPr>
              <w:jc w:val="center"/>
              <w:rPr>
                <w:rFonts w:ascii="Times New Roman" w:hAnsi="Times New Roman" w:eastAsia="宋体" w:cs="Times New Roman"/>
                <w:b/>
                <w:szCs w:val="21"/>
              </w:rPr>
            </w:pPr>
          </w:p>
          <w:p w14:paraId="58C55B20">
            <w:pPr>
              <w:jc w:val="center"/>
              <w:rPr>
                <w:rFonts w:ascii="Times New Roman" w:hAnsi="Times New Roman" w:eastAsia="宋体" w:cs="Times New Roman"/>
                <w:b/>
                <w:szCs w:val="21"/>
              </w:rPr>
            </w:pPr>
          </w:p>
          <w:p w14:paraId="0214A778">
            <w:pPr>
              <w:jc w:val="center"/>
              <w:rPr>
                <w:rFonts w:ascii="Times New Roman" w:hAnsi="Times New Roman" w:eastAsia="宋体" w:cs="Times New Roman"/>
                <w:b/>
                <w:szCs w:val="21"/>
              </w:rPr>
            </w:pPr>
          </w:p>
          <w:p w14:paraId="6EFAB8EF">
            <w:pPr>
              <w:jc w:val="center"/>
              <w:rPr>
                <w:rFonts w:ascii="Times New Roman" w:hAnsi="Times New Roman" w:eastAsia="宋体" w:cs="Times New Roman"/>
                <w:b/>
                <w:szCs w:val="21"/>
              </w:rPr>
            </w:pPr>
          </w:p>
          <w:p w14:paraId="576EE7F4">
            <w:pPr>
              <w:jc w:val="center"/>
              <w:rPr>
                <w:rFonts w:ascii="Times New Roman" w:hAnsi="Times New Roman" w:eastAsia="宋体" w:cs="Times New Roman"/>
                <w:b/>
                <w:szCs w:val="21"/>
              </w:rPr>
            </w:pPr>
          </w:p>
          <w:p w14:paraId="1C6A0C58">
            <w:pPr>
              <w:jc w:val="center"/>
              <w:rPr>
                <w:rFonts w:ascii="Times New Roman" w:hAnsi="Times New Roman" w:eastAsia="宋体" w:cs="Times New Roman"/>
                <w:b/>
                <w:szCs w:val="20"/>
              </w:rPr>
            </w:pPr>
          </w:p>
        </w:tc>
      </w:tr>
      <w:tr w14:paraId="026C4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568D7A9">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6D9879D6">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69E4C958">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66DF1D53">
            <w:pPr>
              <w:jc w:val="center"/>
              <w:rPr>
                <w:rFonts w:ascii="Times New Roman" w:hAnsi="Times New Roman" w:eastAsia="宋体" w:cs="Times New Roman"/>
                <w:b/>
                <w:szCs w:val="20"/>
              </w:rPr>
            </w:pPr>
          </w:p>
        </w:tc>
      </w:tr>
    </w:tbl>
    <w:p w14:paraId="1D46FAD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2ACA508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14A64866">
      <w:pPr>
        <w:pStyle w:val="14"/>
        <w:rPr>
          <w:rFonts w:hint="default"/>
          <w:lang w:val="en-US" w:eastAsia="zh-CN"/>
        </w:rPr>
      </w:pPr>
    </w:p>
    <w:p w14:paraId="0D0184EF">
      <w:pPr>
        <w:pStyle w:val="78"/>
        <w:rPr>
          <w:rFonts w:hint="default" w:hAnsi="宋体"/>
          <w:sz w:val="24"/>
          <w:lang w:val="en-US"/>
        </w:rPr>
      </w:pPr>
    </w:p>
    <w:p w14:paraId="25341579">
      <w:pPr>
        <w:pStyle w:val="78"/>
        <w:rPr>
          <w:rFonts w:hint="default" w:hAnsi="宋体"/>
          <w:sz w:val="24"/>
          <w:lang w:val="en-US"/>
        </w:rPr>
      </w:pPr>
    </w:p>
    <w:p w14:paraId="3D42EF00">
      <w:pPr>
        <w:pStyle w:val="78"/>
        <w:rPr>
          <w:rFonts w:hint="default" w:hAnsi="宋体"/>
          <w:sz w:val="24"/>
          <w:lang w:val="en-US"/>
        </w:rPr>
      </w:pPr>
    </w:p>
    <w:p w14:paraId="17A40735">
      <w:pPr>
        <w:rPr>
          <w:rFonts w:hint="eastAsia"/>
          <w:lang w:val="en-US" w:eastAsia="zh-CN"/>
        </w:rPr>
      </w:pPr>
      <w:r>
        <w:rPr>
          <w:rFonts w:hint="eastAsia" w:ascii="宋体" w:hAnsi="宋体" w:eastAsia="宋体" w:cs="宋体"/>
          <w:sz w:val="32"/>
          <w:szCs w:val="32"/>
          <w:highlight w:val="none"/>
          <w:lang w:val="en-US" w:eastAsia="zh-CN"/>
        </w:rPr>
        <w:br w:type="page"/>
      </w:r>
    </w:p>
    <w:p w14:paraId="690158EE">
      <w:pPr>
        <w:rPr>
          <w:rFonts w:hint="default" w:hAnsi="宋体"/>
          <w:sz w:val="24"/>
          <w:lang w:val="en-US"/>
        </w:rPr>
      </w:pPr>
    </w:p>
    <w:p w14:paraId="6FEFF112">
      <w:pPr>
        <w:pStyle w:val="74"/>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附件9 SRM系统供应商用户手册</w:t>
      </w:r>
    </w:p>
    <w:p w14:paraId="0134D920">
      <w:pPr>
        <w:adjustRightInd w:val="0"/>
        <w:snapToGrid w:val="0"/>
        <w:spacing w:line="360" w:lineRule="auto"/>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浏览器中输入地址;</w:t>
      </w:r>
    </w:p>
    <w:p w14:paraId="637A60B0">
      <w:pPr>
        <w:adjustRightInd w:val="0"/>
        <w:snapToGrid w:val="0"/>
        <w:spacing w:line="360" w:lineRule="auto"/>
        <w:jc w:val="left"/>
        <w:rPr>
          <w:rFonts w:hint="eastAsia" w:ascii="微软雅黑" w:hAnsi="微软雅黑" w:eastAsia="微软雅黑" w:cs="微软雅黑"/>
          <w:sz w:val="24"/>
          <w:szCs w:val="24"/>
        </w:rPr>
      </w:pPr>
      <w:r>
        <w:fldChar w:fldCharType="begin"/>
      </w:r>
      <w:r>
        <w:instrText xml:space="preserve"> HYPERLINK "http://ecaitong.sinotruk.com:8012/" \l "/login" \t "dlt" </w:instrText>
      </w:r>
      <w:r>
        <w:fldChar w:fldCharType="separate"/>
      </w:r>
      <w:r>
        <w:rPr>
          <w:rFonts w:hint="eastAsia" w:ascii="微软雅黑" w:hAnsi="微软雅黑" w:eastAsia="微软雅黑" w:cs="微软雅黑"/>
          <w:sz w:val="24"/>
          <w:szCs w:val="24"/>
        </w:rPr>
        <w:t>https://ecaitong.sinotruk.com:8012/#/login</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rPr>
        <w:br w:type="textWrapping"/>
      </w:r>
      <w:r>
        <w:rPr>
          <w:rFonts w:hint="eastAsia" w:ascii="微软雅黑" w:hAnsi="微软雅黑" w:eastAsia="微软雅黑" w:cs="微软雅黑"/>
          <w:b/>
          <w:bCs/>
          <w:sz w:val="24"/>
          <w:szCs w:val="24"/>
        </w:rPr>
        <w:t>注：登录页面可下载《供应商用户手册》</w:t>
      </w:r>
    </w:p>
    <w:p w14:paraId="68DC2564">
      <w:pPr>
        <w:adjustRightInd w:val="0"/>
        <w:snapToGrid w:val="0"/>
        <w:spacing w:line="360" w:lineRule="auto"/>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1.点击立即注册</w:t>
      </w:r>
    </w:p>
    <w:p w14:paraId="60935062">
      <w:pPr>
        <w:snapToGrid w:val="0"/>
        <w:spacing w:line="312" w:lineRule="auto"/>
        <w:rPr>
          <w:rFonts w:hint="eastAsia" w:ascii="微软雅黑" w:hAnsi="微软雅黑" w:eastAsia="微软雅黑" w:cs="微软雅黑"/>
        </w:rPr>
      </w:pPr>
      <w:r>
        <w:rPr>
          <w:rFonts w:hint="eastAsia" w:ascii="微软雅黑" w:hAnsi="微软雅黑" w:eastAsia="微软雅黑" w:cs="微软雅黑"/>
        </w:rPr>
        <w:drawing>
          <wp:inline distT="0" distB="0" distL="0" distR="0">
            <wp:extent cx="5760085" cy="2933065"/>
            <wp:effectExtent l="0" t="0" r="5715" b="133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6" cstate="print"/>
                    <a:srcRect/>
                    <a:stretch>
                      <a:fillRect/>
                    </a:stretch>
                  </pic:blipFill>
                  <pic:spPr>
                    <a:xfrm>
                      <a:off x="0" y="0"/>
                      <a:ext cx="5760085" cy="2933065"/>
                    </a:xfrm>
                    <a:prstGeom prst="rect">
                      <a:avLst/>
                    </a:prstGeom>
                  </pic:spPr>
                </pic:pic>
              </a:graphicData>
            </a:graphic>
          </wp:inline>
        </w:drawing>
      </w:r>
    </w:p>
    <w:p w14:paraId="0E7F9E64">
      <w:pPr>
        <w:spacing w:line="360" w:lineRule="auto"/>
        <w:rPr>
          <w:rFonts w:hint="eastAsia" w:ascii="微软雅黑" w:hAnsi="微软雅黑" w:eastAsia="微软雅黑" w:cs="微软雅黑"/>
          <w:sz w:val="24"/>
          <w:szCs w:val="28"/>
        </w:rPr>
      </w:pPr>
      <w:r>
        <w:rPr>
          <w:rFonts w:hint="eastAsia" w:ascii="微软雅黑" w:hAnsi="微软雅黑" w:eastAsia="微软雅黑" w:cs="微软雅黑"/>
          <w:color w:val="000000"/>
          <w:sz w:val="24"/>
          <w:szCs w:val="28"/>
        </w:rPr>
        <w:t>2.填写手机号码（没有注册过的）</w:t>
      </w:r>
    </w:p>
    <w:p w14:paraId="50EC0D30">
      <w:pPr>
        <w:snapToGrid w:val="0"/>
        <w:spacing w:line="312" w:lineRule="auto"/>
        <w:rPr>
          <w:rFonts w:hint="eastAsia" w:ascii="微软雅黑" w:hAnsi="微软雅黑" w:eastAsia="微软雅黑" w:cs="微软雅黑"/>
        </w:rPr>
      </w:pPr>
      <w:r>
        <w:rPr>
          <w:rFonts w:hint="eastAsia" w:ascii="微软雅黑" w:hAnsi="微软雅黑" w:eastAsia="微软雅黑" w:cs="微软雅黑"/>
        </w:rP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7" cstate="print"/>
                    <a:srcRect/>
                    <a:stretch>
                      <a:fillRect/>
                    </a:stretch>
                  </pic:blipFill>
                  <pic:spPr>
                    <a:xfrm>
                      <a:off x="0" y="0"/>
                      <a:ext cx="5760085" cy="2766695"/>
                    </a:xfrm>
                    <a:prstGeom prst="rect">
                      <a:avLst/>
                    </a:prstGeom>
                  </pic:spPr>
                </pic:pic>
              </a:graphicData>
            </a:graphic>
          </wp:inline>
        </w:drawing>
      </w:r>
    </w:p>
    <w:p w14:paraId="0AC2C062">
      <w:pPr>
        <w:spacing w:line="360" w:lineRule="auto"/>
        <w:rPr>
          <w:rFonts w:hint="eastAsia" w:ascii="微软雅黑" w:hAnsi="微软雅黑" w:eastAsia="微软雅黑" w:cs="微软雅黑"/>
          <w:sz w:val="24"/>
          <w:szCs w:val="28"/>
        </w:rPr>
      </w:pPr>
      <w:r>
        <w:rPr>
          <w:rFonts w:hint="eastAsia" w:ascii="微软雅黑" w:hAnsi="微软雅黑" w:eastAsia="微软雅黑" w:cs="微软雅黑"/>
          <w:color w:val="000000"/>
          <w:sz w:val="24"/>
          <w:szCs w:val="28"/>
        </w:rPr>
        <w:t>3.注册成功登录这个手机号码的账号进入系统，点击供应商注册</w:t>
      </w:r>
    </w:p>
    <w:p w14:paraId="6C5B3030">
      <w:pPr>
        <w:snapToGrid w:val="0"/>
        <w:spacing w:line="312" w:lineRule="auto"/>
        <w:rPr>
          <w:rFonts w:hint="eastAsia" w:ascii="微软雅黑" w:hAnsi="微软雅黑" w:eastAsia="微软雅黑" w:cs="微软雅黑"/>
        </w:rPr>
      </w:pPr>
      <w:r>
        <w:rPr>
          <w:rFonts w:hint="eastAsia" w:ascii="微软雅黑" w:hAnsi="微软雅黑" w:eastAsia="微软雅黑" w:cs="微软雅黑"/>
        </w:rP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8" cstate="print"/>
                    <a:srcRect/>
                    <a:stretch>
                      <a:fillRect/>
                    </a:stretch>
                  </pic:blipFill>
                  <pic:spPr>
                    <a:xfrm>
                      <a:off x="0" y="0"/>
                      <a:ext cx="5760085" cy="2869565"/>
                    </a:xfrm>
                    <a:prstGeom prst="rect">
                      <a:avLst/>
                    </a:prstGeom>
                  </pic:spPr>
                </pic:pic>
              </a:graphicData>
            </a:graphic>
          </wp:inline>
        </w:drawing>
      </w:r>
    </w:p>
    <w:p w14:paraId="0154914F">
      <w:pPr>
        <w:spacing w:line="360" w:lineRule="auto"/>
        <w:rPr>
          <w:rFonts w:hint="eastAsia" w:ascii="微软雅黑" w:hAnsi="微软雅黑" w:eastAsia="微软雅黑" w:cs="微软雅黑"/>
          <w:sz w:val="24"/>
          <w:szCs w:val="28"/>
        </w:rPr>
      </w:pPr>
      <w:r>
        <w:rPr>
          <w:rFonts w:hint="eastAsia" w:ascii="微软雅黑" w:hAnsi="微软雅黑" w:eastAsia="微软雅黑" w:cs="微软雅黑"/>
          <w:color w:val="000000"/>
          <w:sz w:val="24"/>
          <w:szCs w:val="28"/>
        </w:rPr>
        <w:t>4.点击新增</w:t>
      </w:r>
    </w:p>
    <w:p w14:paraId="24573E85">
      <w:pPr>
        <w:snapToGrid w:val="0"/>
        <w:spacing w:line="312" w:lineRule="auto"/>
        <w:rPr>
          <w:rFonts w:hint="eastAsia" w:ascii="微软雅黑" w:hAnsi="微软雅黑" w:eastAsia="微软雅黑" w:cs="微软雅黑"/>
        </w:rPr>
      </w:pPr>
      <w:r>
        <w:rPr>
          <w:rFonts w:hint="eastAsia" w:ascii="微软雅黑" w:hAnsi="微软雅黑" w:eastAsia="微软雅黑" w:cs="微软雅黑"/>
        </w:rPr>
        <w:drawing>
          <wp:inline distT="0" distB="0" distL="0" distR="0">
            <wp:extent cx="5760085" cy="2853055"/>
            <wp:effectExtent l="0" t="0" r="5715" b="171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9" cstate="print"/>
                    <a:srcRect/>
                    <a:stretch>
                      <a:fillRect/>
                    </a:stretch>
                  </pic:blipFill>
                  <pic:spPr>
                    <a:xfrm>
                      <a:off x="0" y="0"/>
                      <a:ext cx="5760085" cy="2853055"/>
                    </a:xfrm>
                    <a:prstGeom prst="rect">
                      <a:avLst/>
                    </a:prstGeom>
                  </pic:spPr>
                </pic:pic>
              </a:graphicData>
            </a:graphic>
          </wp:inline>
        </w:drawing>
      </w:r>
    </w:p>
    <w:p w14:paraId="42063E59">
      <w:pPr>
        <w:numPr>
          <w:ilvl w:val="0"/>
          <w:numId w:val="32"/>
        </w:numPr>
        <w:spacing w:line="360" w:lineRule="auto"/>
        <w:rPr>
          <w:rFonts w:hint="eastAsia" w:ascii="微软雅黑" w:hAnsi="微软雅黑" w:eastAsia="微软雅黑" w:cs="微软雅黑"/>
          <w:color w:val="000000"/>
          <w:sz w:val="24"/>
          <w:szCs w:val="28"/>
        </w:rPr>
      </w:pPr>
      <w:r>
        <w:rPr>
          <w:rFonts w:hint="eastAsia" w:ascii="微软雅黑" w:hAnsi="微软雅黑" w:eastAsia="微软雅黑" w:cs="微软雅黑"/>
          <w:color w:val="000000"/>
          <w:sz w:val="24"/>
          <w:szCs w:val="28"/>
        </w:rPr>
        <w:t>按要求填写所有信息，注意非生产类要填写合作单位，最后提交审批</w:t>
      </w:r>
    </w:p>
    <w:p w14:paraId="0492ACFF">
      <w:pPr>
        <w:pStyle w:val="17"/>
        <w:rPr>
          <w:rFonts w:hint="eastAsia" w:ascii="微软雅黑" w:hAnsi="微软雅黑" w:eastAsia="微软雅黑" w:cs="微软雅黑"/>
        </w:rPr>
      </w:pPr>
    </w:p>
    <w:p w14:paraId="0A03678A">
      <w:pPr>
        <w:rPr>
          <w:rFonts w:hint="eastAsia" w:ascii="微软雅黑" w:hAnsi="微软雅黑" w:eastAsia="微软雅黑" w:cs="微软雅黑"/>
          <w:color w:val="000000"/>
        </w:rPr>
      </w:pPr>
    </w:p>
    <w:p w14:paraId="3FA7D5C0">
      <w:pPr>
        <w:rPr>
          <w:rFonts w:hint="eastAsia" w:ascii="微软雅黑" w:hAnsi="微软雅黑" w:eastAsia="微软雅黑" w:cs="微软雅黑"/>
        </w:rPr>
      </w:pPr>
      <w:r>
        <w:rPr>
          <w:rFonts w:hint="eastAsia" w:ascii="微软雅黑" w:hAnsi="微软雅黑" w:eastAsia="微软雅黑" w:cs="微软雅黑"/>
        </w:rP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0" cstate="print"/>
                    <a:srcRect/>
                    <a:stretch>
                      <a:fillRect/>
                    </a:stretch>
                  </pic:blipFill>
                  <pic:spPr>
                    <a:xfrm>
                      <a:off x="0" y="0"/>
                      <a:ext cx="5760085" cy="2809875"/>
                    </a:xfrm>
                    <a:prstGeom prst="rect">
                      <a:avLst/>
                    </a:prstGeom>
                  </pic:spPr>
                </pic:pic>
              </a:graphicData>
            </a:graphic>
          </wp:inline>
        </w:drawing>
      </w:r>
    </w:p>
    <w:p w14:paraId="24BFFE91">
      <w:pPr>
        <w:pStyle w:val="17"/>
        <w:rPr>
          <w:rFonts w:hint="eastAsia" w:ascii="微软雅黑" w:hAnsi="微软雅黑" w:eastAsia="微软雅黑" w:cs="微软雅黑"/>
        </w:rPr>
      </w:pPr>
      <w:r>
        <w:rPr>
          <w:rFonts w:hint="eastAsia" w:ascii="微软雅黑" w:hAnsi="微软雅黑" w:eastAsia="微软雅黑" w:cs="微软雅黑"/>
        </w:rPr>
        <w:drawing>
          <wp:inline distT="0" distB="0" distL="0" distR="0">
            <wp:extent cx="5760085" cy="2820035"/>
            <wp:effectExtent l="0" t="0" r="5715" b="247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21" cstate="print"/>
                    <a:srcRect/>
                    <a:stretch>
                      <a:fillRect/>
                    </a:stretch>
                  </pic:blipFill>
                  <pic:spPr>
                    <a:xfrm>
                      <a:off x="0" y="0"/>
                      <a:ext cx="5760085" cy="2820035"/>
                    </a:xfrm>
                    <a:prstGeom prst="rect">
                      <a:avLst/>
                    </a:prstGeom>
                  </pic:spPr>
                </pic:pic>
              </a:graphicData>
            </a:graphic>
          </wp:inline>
        </w:drawing>
      </w:r>
    </w:p>
    <w:p w14:paraId="7495D604">
      <w:pPr>
        <w:pStyle w:val="17"/>
        <w:rPr>
          <w:rFonts w:hint="eastAsia" w:ascii="微软雅黑" w:hAnsi="微软雅黑" w:eastAsia="微软雅黑" w:cs="微软雅黑"/>
        </w:rPr>
      </w:pPr>
    </w:p>
    <w:p w14:paraId="33405363">
      <w:pPr>
        <w:pStyle w:val="17"/>
        <w:rPr>
          <w:rFonts w:hint="eastAsia" w:ascii="微软雅黑" w:hAnsi="微软雅黑" w:eastAsia="微软雅黑" w:cs="微软雅黑"/>
        </w:rPr>
      </w:pPr>
    </w:p>
    <w:p w14:paraId="45CBC139">
      <w:pPr>
        <w:rPr>
          <w:rFonts w:hint="eastAsia" w:ascii="微软雅黑" w:hAnsi="微软雅黑" w:eastAsia="微软雅黑" w:cs="微软雅黑"/>
          <w:b/>
          <w:bCs/>
          <w:color w:val="000000"/>
          <w:sz w:val="24"/>
          <w:szCs w:val="28"/>
        </w:rPr>
      </w:pPr>
      <w:r>
        <w:rPr>
          <w:rFonts w:hint="eastAsia" w:ascii="微软雅黑" w:hAnsi="微软雅黑" w:eastAsia="微软雅黑" w:cs="微软雅黑"/>
          <w:b/>
          <w:bCs/>
          <w:color w:val="000000"/>
          <w:sz w:val="24"/>
          <w:szCs w:val="28"/>
        </w:rPr>
        <w:t>注：</w:t>
      </w:r>
    </w:p>
    <w:p w14:paraId="34C093C1">
      <w:pPr>
        <w:rPr>
          <w:rFonts w:hint="eastAsia" w:ascii="微软雅黑" w:hAnsi="微软雅黑" w:eastAsia="微软雅黑" w:cs="微软雅黑"/>
          <w:b/>
          <w:bCs/>
          <w:color w:val="000000"/>
          <w:sz w:val="24"/>
          <w:szCs w:val="28"/>
        </w:rPr>
      </w:pPr>
      <w:r>
        <w:rPr>
          <w:rFonts w:hint="eastAsia" w:ascii="微软雅黑" w:hAnsi="微软雅黑" w:eastAsia="微软雅黑" w:cs="微软雅黑"/>
          <w:b/>
          <w:bCs/>
          <w:color w:val="000000"/>
          <w:sz w:val="24"/>
          <w:szCs w:val="28"/>
        </w:rPr>
        <w:t>1.</w:t>
      </w:r>
      <w:r>
        <w:rPr>
          <w:rFonts w:hint="eastAsia" w:ascii="微软雅黑" w:hAnsi="微软雅黑" w:eastAsia="微软雅黑" w:cs="微软雅黑"/>
          <w:b/>
          <w:bCs/>
        </w:rPr>
        <w:t>“项目名称”和“采购形式编号”见招标文件内容；</w:t>
      </w:r>
    </w:p>
    <w:p w14:paraId="5AF12A1B">
      <w:pPr>
        <w:pStyle w:val="17"/>
        <w:rPr>
          <w:rFonts w:hint="eastAsia" w:ascii="微软雅黑" w:hAnsi="微软雅黑" w:eastAsia="微软雅黑" w:cs="微软雅黑"/>
          <w:b/>
          <w:bCs/>
        </w:rPr>
      </w:pPr>
      <w:r>
        <w:rPr>
          <w:rFonts w:hint="eastAsia" w:ascii="微软雅黑" w:hAnsi="微软雅黑" w:eastAsia="微软雅黑" w:cs="微软雅黑"/>
          <w:b/>
          <w:bCs/>
        </w:rPr>
        <w:t>2.配套能力“供货类别”填“直管单位非生产招标/ 信息化 / 信息化技术服务”，业务主管部门选择“数智化转型发展部”。</w:t>
      </w:r>
    </w:p>
    <w:p w14:paraId="3B419E81">
      <w:pPr>
        <w:spacing w:line="360" w:lineRule="auto"/>
      </w:pPr>
    </w:p>
    <w:p w14:paraId="4E35C53D">
      <w:pPr>
        <w:rPr>
          <w:rFonts w:hint="default" w:hAnsi="宋体"/>
          <w:sz w:val="24"/>
          <w:lang w:val="en-US"/>
        </w:rPr>
      </w:pPr>
    </w:p>
    <w:sectPr>
      <w:headerReference r:id="rId12" w:type="first"/>
      <w:footerReference r:id="rId14" w:type="first"/>
      <w:footerReference r:id="rId13"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E80792C-FDF0-4F47-BA24-F45ABFB271DF}"/>
  </w:font>
  <w:font w:name="黑体">
    <w:panose1 w:val="02010609060101010101"/>
    <w:charset w:val="86"/>
    <w:family w:val="auto"/>
    <w:pitch w:val="default"/>
    <w:sig w:usb0="800002BF" w:usb1="38CF7CFA" w:usb2="00000016" w:usb3="00000000" w:csb0="00040001" w:csb1="00000000"/>
    <w:embedRegular r:id="rId2" w:fontKey="{CE073AEF-DBCC-429C-A09D-3955EEE22E9E}"/>
  </w:font>
  <w:font w:name="Courier New">
    <w:panose1 w:val="02070309020205020404"/>
    <w:charset w:val="01"/>
    <w:family w:val="modern"/>
    <w:pitch w:val="default"/>
    <w:sig w:usb0="E0002EFF" w:usb1="C0007843" w:usb2="00000009" w:usb3="00000000" w:csb0="400001FF" w:csb1="FFFF0000"/>
    <w:embedRegular r:id="rId3" w:fontKey="{F9424B71-E4DE-4800-86AF-59E0621E84D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6D6F4F5B-54A5-4819-A275-48F51031F695}"/>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embedRegular r:id="rId5" w:fontKey="{981462FD-4C9A-418F-987A-A9EDD68127A9}"/>
  </w:font>
  <w:font w:name="方正仿宋_GB2312">
    <w:panose1 w:val="02000000000000000000"/>
    <w:charset w:val="86"/>
    <w:family w:val="auto"/>
    <w:pitch w:val="default"/>
    <w:sig w:usb0="A00002BF" w:usb1="184F6CFA" w:usb2="00000012" w:usb3="00000000" w:csb0="00040001" w:csb1="00000000"/>
    <w:embedRegular r:id="rId6" w:fontKey="{5A1651CE-2ACA-43DE-9AE2-7D0F1ACBF906}"/>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yyb">
    <w:altName w:val="宋体"/>
    <w:panose1 w:val="020B0200000000000000"/>
    <w:charset w:val="86"/>
    <w:family w:val="auto"/>
    <w:pitch w:val="default"/>
    <w:sig w:usb0="00000000" w:usb1="00000000" w:usb2="00000016" w:usb3="00000000" w:csb0="60060107"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7" w:fontKey="{35CE7DBA-5C45-486F-BE71-D2379CB6EA6C}"/>
  </w:font>
  <w:font w:name="Wingdings 2">
    <w:panose1 w:val="05020102010507070707"/>
    <w:charset w:val="02"/>
    <w:family w:val="roman"/>
    <w:pitch w:val="default"/>
    <w:sig w:usb0="00000000" w:usb1="00000000" w:usb2="00000000" w:usb3="00000000" w:csb0="80000000" w:csb1="00000000"/>
    <w:embedRegular r:id="rId8" w:fontKey="{6CCB5134-0922-4FE8-8B07-896FC3AE972B}"/>
  </w:font>
  <w:font w:name="等线">
    <w:panose1 w:val="02010600030101010101"/>
    <w:charset w:val="86"/>
    <w:family w:val="auto"/>
    <w:pitch w:val="default"/>
    <w:sig w:usb0="A00002BF" w:usb1="38CF7CFA" w:usb2="00000016" w:usb3="00000000" w:csb0="0004000F" w:csb1="00000000"/>
    <w:embedRegular r:id="rId9" w:fontKey="{0E8265BD-7832-4768-9D58-510AAEB4AAD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21"/>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21"/>
      <w:framePr w:wrap="around" w:vAnchor="text" w:hAnchor="margin" w:xAlign="center" w:y="1"/>
      <w:rPr>
        <w:rStyle w:val="36"/>
      </w:rPr>
    </w:pPr>
    <w:r>
      <w:fldChar w:fldCharType="begin"/>
    </w:r>
    <w:r>
      <w:rPr>
        <w:rStyle w:val="36"/>
      </w:rPr>
      <w:instrText xml:space="preserve">PAGE  </w:instrText>
    </w:r>
    <w:r>
      <w:fldChar w:fldCharType="end"/>
    </w:r>
  </w:p>
  <w:p w14:paraId="7AD47F75">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2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21"/>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2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2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21"/>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2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2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84C72">
    <w:pPr>
      <w:pStyle w:val="21"/>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4" name="文本框 10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F383292">
                          <w:pPr>
                            <w:pStyle w:val="2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d0knKMwBAACUAwAADgAAAAAAAAABACAAAAAfAQAAZHJzL2Uy&#10;b0RvYy54bWxQSwUGAAAAAAYABgBZAQAAXQUAAAAA&#10;">
              <v:fill on="f" focussize="0,0"/>
              <v:stroke on="f"/>
              <v:imagedata o:title=""/>
              <o:lock v:ext="edit" aspectratio="f"/>
              <v:textbox inset="0mm,0mm,0mm,0mm" style="mso-fit-shape-to-text:t;">
                <w:txbxContent>
                  <w:p w14:paraId="0F383292">
                    <w:pPr>
                      <w:pStyle w:val="2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4BB72">
    <w:pPr>
      <w:pStyle w:val="21"/>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5" name="文本框 10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2C7F0CB">
                          <w:pPr>
                            <w:pStyle w:val="2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lHSZgMwBAACUAwAADgAAAAAAAAABACAAAAAfAQAAZHJzL2Uy&#10;b0RvYy54bWxQSwUGAAAAAAYABgBZAQAAXQUAAAAA&#10;">
              <v:fill on="f" focussize="0,0"/>
              <v:stroke on="f"/>
              <v:imagedata o:title=""/>
              <o:lock v:ext="edit" aspectratio="f"/>
              <v:textbox inset="0mm,0mm,0mm,0mm" style="mso-fit-shape-to-text:t;">
                <w:txbxContent>
                  <w:p w14:paraId="42C7F0CB">
                    <w:pPr>
                      <w:pStyle w:val="2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F351B">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0DB97">
                          <w:pPr>
                            <w:pStyle w:val="21"/>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2640DB97">
                    <w:pPr>
                      <w:pStyle w:val="21"/>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21"/>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21"/>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2"/>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2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A55531A4"/>
    <w:multiLevelType w:val="singleLevel"/>
    <w:tmpl w:val="A55531A4"/>
    <w:lvl w:ilvl="0" w:tentative="0">
      <w:start w:val="1"/>
      <w:numFmt w:val="decimal"/>
      <w:suff w:val="nothing"/>
      <w:lvlText w:val="%1、"/>
      <w:lvlJc w:val="left"/>
    </w:lvl>
  </w:abstractNum>
  <w:abstractNum w:abstractNumId="2">
    <w:nsid w:val="B20830A4"/>
    <w:multiLevelType w:val="multilevel"/>
    <w:tmpl w:val="B20830A4"/>
    <w:lvl w:ilvl="0" w:tentative="0">
      <w:start w:val="1"/>
      <w:numFmt w:val="decimal"/>
      <w:suff w:val="nothing"/>
      <w:lvlText w:val="%1."/>
      <w:lvlJc w:val="left"/>
      <w:pPr>
        <w:ind w:left="0" w:leftChars="0" w:firstLine="0" w:firstLineChars="0"/>
      </w:pPr>
      <w:rPr>
        <w:rFonts w:hint="default"/>
      </w:rPr>
    </w:lvl>
    <w:lvl w:ilvl="1" w:tentative="0">
      <w:start w:val="1"/>
      <w:numFmt w:val="decimal"/>
      <w:suff w:val="nothing"/>
      <w:lvlText w:val="%1.%2."/>
      <w:lvlJc w:val="left"/>
      <w:pPr>
        <w:ind w:left="0" w:leftChars="0" w:firstLine="0" w:firstLineChars="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leftChars="0" w:firstLine="0" w:firstLineChars="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leftChars="0" w:firstLine="0" w:firstLineChars="0"/>
      </w:pPr>
      <w:rPr>
        <w:rFonts w:hint="default"/>
      </w:rPr>
    </w:lvl>
    <w:lvl w:ilvl="2" w:tentative="0">
      <w:start w:val="1"/>
      <w:numFmt w:val="decimal"/>
      <w:suff w:val="nothing"/>
      <w:lvlText w:val="%1.%2.%3."/>
      <w:lvlJc w:val="left"/>
      <w:pPr>
        <w:ind w:left="0" w:leftChars="0" w:firstLine="0" w:firstLineChars="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5">
    <w:nsid w:val="C680BC7B"/>
    <w:multiLevelType w:val="singleLevel"/>
    <w:tmpl w:val="C680BC7B"/>
    <w:lvl w:ilvl="0" w:tentative="0">
      <w:start w:val="1"/>
      <w:numFmt w:val="decimal"/>
      <w:suff w:val="space"/>
      <w:lvlText w:val="%1."/>
      <w:lvlJc w:val="left"/>
      <w:pPr>
        <w:ind w:left="0" w:leftChars="0" w:firstLine="420" w:firstLineChars="0"/>
      </w:pPr>
      <w:rPr>
        <w:rFonts w:hint="default"/>
        <w:b w:val="0"/>
        <w:bCs w:val="0"/>
        <w:color w:val="auto"/>
        <w:highlight w:val="none"/>
      </w:rPr>
    </w:lvl>
  </w:abstractNum>
  <w:abstractNum w:abstractNumId="6">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7">
    <w:nsid w:val="D05F1A21"/>
    <w:multiLevelType w:val="multilevel"/>
    <w:tmpl w:val="D05F1A21"/>
    <w:lvl w:ilvl="0" w:tentative="0">
      <w:start w:val="1"/>
      <w:numFmt w:val="decimal"/>
      <w:suff w:val="nothing"/>
      <w:lvlText w:val="%1."/>
      <w:lvlJc w:val="left"/>
      <w:pPr>
        <w:ind w:left="0" w:leftChars="0" w:firstLine="0" w:firstLineChars="0"/>
      </w:pPr>
      <w:rPr>
        <w:rFonts w:hint="default"/>
      </w:rPr>
    </w:lvl>
    <w:lvl w:ilvl="1" w:tentative="0">
      <w:start w:val="1"/>
      <w:numFmt w:val="decimal"/>
      <w:suff w:val="nothing"/>
      <w:lvlText w:val="%1.%2."/>
      <w:lvlJc w:val="left"/>
      <w:pPr>
        <w:ind w:left="0" w:leftChars="0" w:firstLine="0" w:firstLineChars="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8">
    <w:nsid w:val="D87ECBDD"/>
    <w:multiLevelType w:val="multilevel"/>
    <w:tmpl w:val="D87ECBDD"/>
    <w:lvl w:ilvl="0" w:tentative="0">
      <w:start w:val="1"/>
      <w:numFmt w:val="decimal"/>
      <w:suff w:val="nothing"/>
      <w:lvlText w:val="%1."/>
      <w:lvlJc w:val="left"/>
      <w:pPr>
        <w:ind w:left="0" w:leftChars="0" w:firstLine="0" w:firstLineChars="0"/>
      </w:pPr>
      <w:rPr>
        <w:rFonts w:hint="default"/>
      </w:rPr>
    </w:lvl>
    <w:lvl w:ilvl="1" w:tentative="0">
      <w:start w:val="1"/>
      <w:numFmt w:val="decimal"/>
      <w:suff w:val="nothing"/>
      <w:lvlText w:val="%1.%2."/>
      <w:lvlJc w:val="left"/>
      <w:pPr>
        <w:ind w:left="0" w:leftChars="0" w:firstLine="0" w:firstLineChars="0"/>
      </w:pPr>
      <w:rPr>
        <w:rFonts w:hint="default" w:ascii="Times New Roman" w:hAnsi="Times New Roman" w:cs="Times New Roman"/>
        <w:b w:val="0"/>
        <w:bCs w:val="0"/>
        <w:color w:val="000000" w:themeColor="text1"/>
        <w:sz w:val="20"/>
        <w:szCs w:val="20"/>
        <w14:textFill>
          <w14:solidFill>
            <w14:schemeClr w14:val="tx1"/>
          </w14:solidFill>
        </w14:textFill>
      </w:rPr>
    </w:lvl>
    <w:lvl w:ilvl="2" w:tentative="0">
      <w:start w:val="1"/>
      <w:numFmt w:val="decimal"/>
      <w:suff w:val="nothing"/>
      <w:lvlText w:val="%1.%2.%3."/>
      <w:lvlJc w:val="left"/>
      <w:pPr>
        <w:ind w:left="0" w:leftChars="0" w:firstLine="0" w:firstLineChars="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9">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0">
    <w:nsid w:val="00000003"/>
    <w:multiLevelType w:val="singleLevel"/>
    <w:tmpl w:val="00000003"/>
    <w:lvl w:ilvl="0" w:tentative="0">
      <w:start w:val="5"/>
      <w:numFmt w:val="decimal"/>
      <w:lvlText w:val="%1."/>
      <w:lvlJc w:val="left"/>
      <w:pPr>
        <w:tabs>
          <w:tab w:val="left" w:pos="312"/>
        </w:tabs>
      </w:pPr>
    </w:lvl>
  </w:abstractNum>
  <w:abstractNum w:abstractNumId="11">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3">
    <w:nsid w:val="11906048"/>
    <w:multiLevelType w:val="multilevel"/>
    <w:tmpl w:val="11906048"/>
    <w:lvl w:ilvl="0" w:tentative="0">
      <w:start w:val="1"/>
      <w:numFmt w:val="decimal"/>
      <w:suff w:val="nothing"/>
      <w:lvlText w:val="%1."/>
      <w:lvlJc w:val="left"/>
      <w:pPr>
        <w:ind w:left="0" w:leftChars="0" w:firstLine="0" w:firstLineChars="0"/>
      </w:pPr>
      <w:rPr>
        <w:rFonts w:hint="default"/>
      </w:rPr>
    </w:lvl>
    <w:lvl w:ilvl="1" w:tentative="0">
      <w:start w:val="1"/>
      <w:numFmt w:val="decimal"/>
      <w:suff w:val="space"/>
      <w:lvlText w:val="(%2)"/>
      <w:lvlJc w:val="left"/>
      <w:pPr>
        <w:ind w:left="0" w:leftChars="0" w:firstLine="420" w:firstLineChars="0"/>
      </w:pPr>
      <w:rPr>
        <w:rFonts w:hint="default"/>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4">
    <w:nsid w:val="12D9A626"/>
    <w:multiLevelType w:val="singleLevel"/>
    <w:tmpl w:val="12D9A626"/>
    <w:lvl w:ilvl="0" w:tentative="0">
      <w:start w:val="3"/>
      <w:numFmt w:val="chineseCounting"/>
      <w:suff w:val="nothing"/>
      <w:lvlText w:val="第%1部分　"/>
      <w:lvlJc w:val="left"/>
      <w:rPr>
        <w:rFonts w:hint="eastAsia"/>
      </w:rPr>
    </w:lvl>
  </w:abstractNum>
  <w:abstractNum w:abstractNumId="15">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leftChars="0" w:hanging="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6">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7">
    <w:nsid w:val="199F58C0"/>
    <w:multiLevelType w:val="multilevel"/>
    <w:tmpl w:val="199F58C0"/>
    <w:lvl w:ilvl="0" w:tentative="0">
      <w:start w:val="1"/>
      <w:numFmt w:val="decimal"/>
      <w:suff w:val="nothing"/>
      <w:lvlText w:val="%1."/>
      <w:lvlJc w:val="left"/>
      <w:pPr>
        <w:ind w:left="0" w:leftChars="0" w:firstLine="0" w:firstLineChars="0"/>
      </w:pPr>
      <w:rPr>
        <w:rFonts w:hint="default"/>
      </w:rPr>
    </w:lvl>
    <w:lvl w:ilvl="1" w:tentative="0">
      <w:start w:val="1"/>
      <w:numFmt w:val="decimal"/>
      <w:suff w:val="nothing"/>
      <w:lvlText w:val="%1.%2."/>
      <w:lvlJc w:val="left"/>
      <w:pPr>
        <w:ind w:left="0" w:leftChars="0" w:firstLine="0" w:firstLineChars="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8">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9">
    <w:nsid w:val="2B8672BE"/>
    <w:multiLevelType w:val="singleLevel"/>
    <w:tmpl w:val="2B8672BE"/>
    <w:lvl w:ilvl="0" w:tentative="0">
      <w:start w:val="1"/>
      <w:numFmt w:val="decimal"/>
      <w:lvlText w:val="%1."/>
      <w:lvlJc w:val="left"/>
      <w:pPr>
        <w:ind w:left="425" w:hanging="425"/>
      </w:pPr>
      <w:rPr>
        <w:rFonts w:hint="default"/>
      </w:rPr>
    </w:lvl>
  </w:abstractNum>
  <w:abstractNum w:abstractNumId="20">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leftChars="0" w:firstLine="0" w:firstLineChars="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1">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5">
    <w:nsid w:val="58A803A7"/>
    <w:multiLevelType w:val="singleLevel"/>
    <w:tmpl w:val="58A803A7"/>
    <w:lvl w:ilvl="0" w:tentative="0">
      <w:start w:val="1"/>
      <w:numFmt w:val="decimal"/>
      <w:suff w:val="nothing"/>
      <w:lvlText w:val="%1."/>
      <w:lvlJc w:val="left"/>
      <w:pPr>
        <w:ind w:left="454" w:leftChars="0" w:hanging="454" w:firstLineChars="0"/>
      </w:pPr>
      <w:rPr>
        <w:rFonts w:hint="default"/>
      </w:rPr>
    </w:lvl>
  </w:abstractNum>
  <w:abstractNum w:abstractNumId="26">
    <w:nsid w:val="5A6836EF"/>
    <w:multiLevelType w:val="singleLevel"/>
    <w:tmpl w:val="5A6836EF"/>
    <w:lvl w:ilvl="0" w:tentative="0">
      <w:start w:val="1"/>
      <w:numFmt w:val="decimal"/>
      <w:suff w:val="nothing"/>
      <w:lvlText w:val="%1."/>
      <w:lvlJc w:val="left"/>
      <w:pPr>
        <w:ind w:left="0" w:firstLine="0"/>
      </w:pPr>
    </w:lvl>
  </w:abstractNum>
  <w:abstractNum w:abstractNumId="27">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leftChars="0" w:firstLine="0" w:firstLineChars="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8">
    <w:nsid w:val="5EEE3A7E"/>
    <w:multiLevelType w:val="multilevel"/>
    <w:tmpl w:val="5EEE3A7E"/>
    <w:lvl w:ilvl="0" w:tentative="0">
      <w:start w:val="1"/>
      <w:numFmt w:val="bullet"/>
      <w:suff w:val="nothing"/>
      <w:lvlText w:val=""/>
      <w:lvlJc w:val="left"/>
      <w:pPr>
        <w:ind w:left="0" w:leftChars="0" w:firstLine="0" w:firstLineChars="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9">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0">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21"/>
  </w:num>
  <w:num w:numId="2">
    <w:abstractNumId w:val="29"/>
  </w:num>
  <w:num w:numId="3">
    <w:abstractNumId w:val="24"/>
  </w:num>
  <w:num w:numId="4">
    <w:abstractNumId w:val="22"/>
  </w:num>
  <w:num w:numId="5">
    <w:abstractNumId w:val="11"/>
  </w:num>
  <w:num w:numId="6">
    <w:abstractNumId w:val="16"/>
  </w:num>
  <w:num w:numId="7">
    <w:abstractNumId w:val="18"/>
  </w:num>
  <w:num w:numId="8">
    <w:abstractNumId w:val="23"/>
  </w:num>
  <w:num w:numId="9">
    <w:abstractNumId w:val="25"/>
  </w:num>
  <w:num w:numId="10">
    <w:abstractNumId w:val="15"/>
  </w:num>
  <w:num w:numId="11">
    <w:abstractNumId w:val="5"/>
  </w:num>
  <w:num w:numId="12">
    <w:abstractNumId w:val="13"/>
  </w:num>
  <w:num w:numId="13">
    <w:abstractNumId w:val="30"/>
  </w:num>
  <w:num w:numId="14">
    <w:abstractNumId w:val="0"/>
  </w:num>
  <w:num w:numId="15">
    <w:abstractNumId w:val="6"/>
  </w:num>
  <w:num w:numId="16">
    <w:abstractNumId w:val="7"/>
  </w:num>
  <w:num w:numId="17">
    <w:abstractNumId w:val="4"/>
  </w:num>
  <w:num w:numId="18">
    <w:abstractNumId w:val="12"/>
  </w:num>
  <w:num w:numId="19">
    <w:abstractNumId w:val="17"/>
  </w:num>
  <w:num w:numId="20">
    <w:abstractNumId w:val="3"/>
  </w:num>
  <w:num w:numId="21">
    <w:abstractNumId w:val="28"/>
  </w:num>
  <w:num w:numId="22">
    <w:abstractNumId w:val="8"/>
  </w:num>
  <w:num w:numId="23">
    <w:abstractNumId w:val="27"/>
  </w:num>
  <w:num w:numId="24">
    <w:abstractNumId w:val="9"/>
  </w:num>
  <w:num w:numId="25">
    <w:abstractNumId w:val="1"/>
  </w:num>
  <w:num w:numId="26">
    <w:abstractNumId w:val="2"/>
  </w:num>
  <w:num w:numId="27">
    <w:abstractNumId w:val="20"/>
  </w:num>
  <w:num w:numId="28">
    <w:abstractNumId w:val="26"/>
  </w:num>
  <w:num w:numId="29">
    <w:abstractNumId w:val="19"/>
  </w:num>
  <w:num w:numId="30">
    <w:abstractNumId w:val="14"/>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ZmODEyODUwNWQ3ZjgzYTk0N2Q3Y2Y4MzdlNGEyN2E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3BE3"/>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4B9"/>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161381"/>
    <w:rsid w:val="011B40D3"/>
    <w:rsid w:val="01563B79"/>
    <w:rsid w:val="02173A21"/>
    <w:rsid w:val="026E723B"/>
    <w:rsid w:val="02CC3DCA"/>
    <w:rsid w:val="02FE76EF"/>
    <w:rsid w:val="034E1239"/>
    <w:rsid w:val="03F033B0"/>
    <w:rsid w:val="03FD05D6"/>
    <w:rsid w:val="051E25B2"/>
    <w:rsid w:val="053C512E"/>
    <w:rsid w:val="05612989"/>
    <w:rsid w:val="057C1D39"/>
    <w:rsid w:val="05891259"/>
    <w:rsid w:val="0599432F"/>
    <w:rsid w:val="05D554DB"/>
    <w:rsid w:val="0654565B"/>
    <w:rsid w:val="066E1CEE"/>
    <w:rsid w:val="06B31420"/>
    <w:rsid w:val="07253DF6"/>
    <w:rsid w:val="07613623"/>
    <w:rsid w:val="08633479"/>
    <w:rsid w:val="0869448C"/>
    <w:rsid w:val="093C74AB"/>
    <w:rsid w:val="09630A6C"/>
    <w:rsid w:val="0A63147A"/>
    <w:rsid w:val="0ADB2EF0"/>
    <w:rsid w:val="0ADD4CBE"/>
    <w:rsid w:val="0AF3628F"/>
    <w:rsid w:val="0B065FC2"/>
    <w:rsid w:val="0B415BB4"/>
    <w:rsid w:val="0C83309C"/>
    <w:rsid w:val="0CB51572"/>
    <w:rsid w:val="0D01045C"/>
    <w:rsid w:val="0DE73E36"/>
    <w:rsid w:val="0E4D31E3"/>
    <w:rsid w:val="0E530E38"/>
    <w:rsid w:val="10DC2AA3"/>
    <w:rsid w:val="10FA7C8C"/>
    <w:rsid w:val="11A26319"/>
    <w:rsid w:val="11CF1A7B"/>
    <w:rsid w:val="12174CE2"/>
    <w:rsid w:val="121D1E44"/>
    <w:rsid w:val="12F64B6E"/>
    <w:rsid w:val="130B198F"/>
    <w:rsid w:val="13FA68E0"/>
    <w:rsid w:val="14CF5677"/>
    <w:rsid w:val="1534197E"/>
    <w:rsid w:val="15BB1367"/>
    <w:rsid w:val="1695644C"/>
    <w:rsid w:val="16A918E4"/>
    <w:rsid w:val="17AF1790"/>
    <w:rsid w:val="17D966D6"/>
    <w:rsid w:val="18100480"/>
    <w:rsid w:val="18146E94"/>
    <w:rsid w:val="18945E62"/>
    <w:rsid w:val="18CF5DF2"/>
    <w:rsid w:val="19517BDA"/>
    <w:rsid w:val="19581095"/>
    <w:rsid w:val="199F6C5D"/>
    <w:rsid w:val="19AE68D1"/>
    <w:rsid w:val="19E33213"/>
    <w:rsid w:val="1A463A67"/>
    <w:rsid w:val="1B481CDF"/>
    <w:rsid w:val="1BA3160C"/>
    <w:rsid w:val="1BC71D3B"/>
    <w:rsid w:val="1C1222ED"/>
    <w:rsid w:val="1C59115B"/>
    <w:rsid w:val="1D596BD7"/>
    <w:rsid w:val="1DB93368"/>
    <w:rsid w:val="1DFE17D9"/>
    <w:rsid w:val="1E296445"/>
    <w:rsid w:val="1E2A7DC2"/>
    <w:rsid w:val="1EFD1680"/>
    <w:rsid w:val="1F5F3A9B"/>
    <w:rsid w:val="1F6C766B"/>
    <w:rsid w:val="1F6D42D7"/>
    <w:rsid w:val="1FB23E60"/>
    <w:rsid w:val="1FBA79B4"/>
    <w:rsid w:val="1FCB2EDF"/>
    <w:rsid w:val="20523600"/>
    <w:rsid w:val="20796DDF"/>
    <w:rsid w:val="21183ED7"/>
    <w:rsid w:val="212F23EA"/>
    <w:rsid w:val="21F50ADF"/>
    <w:rsid w:val="2225345A"/>
    <w:rsid w:val="225C2514"/>
    <w:rsid w:val="226A2E83"/>
    <w:rsid w:val="227640E7"/>
    <w:rsid w:val="227F2CA6"/>
    <w:rsid w:val="22837AA1"/>
    <w:rsid w:val="22C5630B"/>
    <w:rsid w:val="23D902C0"/>
    <w:rsid w:val="23E17175"/>
    <w:rsid w:val="23EC0BA6"/>
    <w:rsid w:val="24701A48"/>
    <w:rsid w:val="247E07FE"/>
    <w:rsid w:val="24AB04CD"/>
    <w:rsid w:val="25113A8A"/>
    <w:rsid w:val="25EC6AF8"/>
    <w:rsid w:val="268B0052"/>
    <w:rsid w:val="26CF6817"/>
    <w:rsid w:val="26E5017A"/>
    <w:rsid w:val="272A6A1B"/>
    <w:rsid w:val="27743C90"/>
    <w:rsid w:val="27B358EA"/>
    <w:rsid w:val="27D35027"/>
    <w:rsid w:val="283931F7"/>
    <w:rsid w:val="284A307C"/>
    <w:rsid w:val="28B55739"/>
    <w:rsid w:val="28E079FB"/>
    <w:rsid w:val="29CA2459"/>
    <w:rsid w:val="2AE632C3"/>
    <w:rsid w:val="2B271A58"/>
    <w:rsid w:val="2B4D164C"/>
    <w:rsid w:val="2B6304A7"/>
    <w:rsid w:val="2BFFE02B"/>
    <w:rsid w:val="2C5166A9"/>
    <w:rsid w:val="2C642D3E"/>
    <w:rsid w:val="2CD930DF"/>
    <w:rsid w:val="2CF6734C"/>
    <w:rsid w:val="2D4D284A"/>
    <w:rsid w:val="2D663463"/>
    <w:rsid w:val="2DC00514"/>
    <w:rsid w:val="2E112A52"/>
    <w:rsid w:val="2E255933"/>
    <w:rsid w:val="2EDD38C8"/>
    <w:rsid w:val="2EF96EE4"/>
    <w:rsid w:val="2EFB779B"/>
    <w:rsid w:val="2F2131FE"/>
    <w:rsid w:val="2F8512FC"/>
    <w:rsid w:val="2FBC2844"/>
    <w:rsid w:val="2FF10008"/>
    <w:rsid w:val="302C3D0E"/>
    <w:rsid w:val="307551E0"/>
    <w:rsid w:val="30C9346B"/>
    <w:rsid w:val="316D2048"/>
    <w:rsid w:val="317E4255"/>
    <w:rsid w:val="31E37A09"/>
    <w:rsid w:val="32C207BF"/>
    <w:rsid w:val="3380787D"/>
    <w:rsid w:val="33822A0F"/>
    <w:rsid w:val="34F565DC"/>
    <w:rsid w:val="352E7115"/>
    <w:rsid w:val="35CB558F"/>
    <w:rsid w:val="35D271A0"/>
    <w:rsid w:val="36254FE4"/>
    <w:rsid w:val="367D2D2D"/>
    <w:rsid w:val="36AA39B8"/>
    <w:rsid w:val="372F61E0"/>
    <w:rsid w:val="39322FCA"/>
    <w:rsid w:val="398C5148"/>
    <w:rsid w:val="39BDB14C"/>
    <w:rsid w:val="3A503E1E"/>
    <w:rsid w:val="3AB90991"/>
    <w:rsid w:val="3B706131"/>
    <w:rsid w:val="3BDF1D94"/>
    <w:rsid w:val="3BF833EC"/>
    <w:rsid w:val="3C8E02FC"/>
    <w:rsid w:val="3D3346FD"/>
    <w:rsid w:val="3DE11DF4"/>
    <w:rsid w:val="3E6F041E"/>
    <w:rsid w:val="3E846635"/>
    <w:rsid w:val="3EC02A3D"/>
    <w:rsid w:val="3F9D2397"/>
    <w:rsid w:val="40AC20A0"/>
    <w:rsid w:val="40C96B6F"/>
    <w:rsid w:val="40CB28E7"/>
    <w:rsid w:val="41A5482C"/>
    <w:rsid w:val="4275481E"/>
    <w:rsid w:val="428B617A"/>
    <w:rsid w:val="42CE288A"/>
    <w:rsid w:val="43056584"/>
    <w:rsid w:val="433D7BDC"/>
    <w:rsid w:val="437E1813"/>
    <w:rsid w:val="43A427AA"/>
    <w:rsid w:val="43E96A97"/>
    <w:rsid w:val="444E2202"/>
    <w:rsid w:val="45354CBC"/>
    <w:rsid w:val="45BB117C"/>
    <w:rsid w:val="45BD47FC"/>
    <w:rsid w:val="45CC5FB2"/>
    <w:rsid w:val="45D65FB6"/>
    <w:rsid w:val="464652D5"/>
    <w:rsid w:val="4694464B"/>
    <w:rsid w:val="46957C1F"/>
    <w:rsid w:val="469F45FA"/>
    <w:rsid w:val="46A55988"/>
    <w:rsid w:val="46B75BA8"/>
    <w:rsid w:val="46E91D19"/>
    <w:rsid w:val="476E5648"/>
    <w:rsid w:val="47DE0683"/>
    <w:rsid w:val="48427933"/>
    <w:rsid w:val="48C97955"/>
    <w:rsid w:val="48D805C0"/>
    <w:rsid w:val="492E2C7C"/>
    <w:rsid w:val="493C0826"/>
    <w:rsid w:val="497A134E"/>
    <w:rsid w:val="49880C8F"/>
    <w:rsid w:val="49AD34D2"/>
    <w:rsid w:val="4A0155CC"/>
    <w:rsid w:val="4A1A43A3"/>
    <w:rsid w:val="4A2007F8"/>
    <w:rsid w:val="4A8835F7"/>
    <w:rsid w:val="4AA140DC"/>
    <w:rsid w:val="4AB619BA"/>
    <w:rsid w:val="4B592E71"/>
    <w:rsid w:val="4B667DDC"/>
    <w:rsid w:val="4BE156B5"/>
    <w:rsid w:val="4BFA7044"/>
    <w:rsid w:val="4C8D1398"/>
    <w:rsid w:val="4CDD40CE"/>
    <w:rsid w:val="4DBDE8BB"/>
    <w:rsid w:val="4DF75369"/>
    <w:rsid w:val="4E9E572E"/>
    <w:rsid w:val="4EA23B01"/>
    <w:rsid w:val="4EB0217D"/>
    <w:rsid w:val="4F3E697A"/>
    <w:rsid w:val="4F7DE5ED"/>
    <w:rsid w:val="4F8B220C"/>
    <w:rsid w:val="4FCC0532"/>
    <w:rsid w:val="50004A96"/>
    <w:rsid w:val="504F4EAF"/>
    <w:rsid w:val="50F6575E"/>
    <w:rsid w:val="516C4BAA"/>
    <w:rsid w:val="51D51447"/>
    <w:rsid w:val="52B9239A"/>
    <w:rsid w:val="52D52A7F"/>
    <w:rsid w:val="54287EA1"/>
    <w:rsid w:val="54316AAD"/>
    <w:rsid w:val="54BD78FD"/>
    <w:rsid w:val="54E0475B"/>
    <w:rsid w:val="552260BA"/>
    <w:rsid w:val="552A3C28"/>
    <w:rsid w:val="555A2DA3"/>
    <w:rsid w:val="555B06B0"/>
    <w:rsid w:val="56901A99"/>
    <w:rsid w:val="56B51C18"/>
    <w:rsid w:val="571B2939"/>
    <w:rsid w:val="578D66F1"/>
    <w:rsid w:val="581925FA"/>
    <w:rsid w:val="58A86DDE"/>
    <w:rsid w:val="58BE3005"/>
    <w:rsid w:val="59154AD7"/>
    <w:rsid w:val="592F5CB1"/>
    <w:rsid w:val="59DF6902"/>
    <w:rsid w:val="5A542AB4"/>
    <w:rsid w:val="5A946975"/>
    <w:rsid w:val="5ADF548D"/>
    <w:rsid w:val="5B3C64FD"/>
    <w:rsid w:val="5B9F2D9B"/>
    <w:rsid w:val="5BAF4E87"/>
    <w:rsid w:val="5BEC3933"/>
    <w:rsid w:val="5BF95104"/>
    <w:rsid w:val="5C4627AE"/>
    <w:rsid w:val="5C9249CA"/>
    <w:rsid w:val="5CED3EB9"/>
    <w:rsid w:val="5D5C60B4"/>
    <w:rsid w:val="5DA23E51"/>
    <w:rsid w:val="5E5B22B9"/>
    <w:rsid w:val="5F768B95"/>
    <w:rsid w:val="5F9B694B"/>
    <w:rsid w:val="5FF6B7CD"/>
    <w:rsid w:val="60027C70"/>
    <w:rsid w:val="605E6D10"/>
    <w:rsid w:val="60651FB9"/>
    <w:rsid w:val="61314591"/>
    <w:rsid w:val="614E12EC"/>
    <w:rsid w:val="616D6769"/>
    <w:rsid w:val="61897F29"/>
    <w:rsid w:val="62BD60DC"/>
    <w:rsid w:val="63161AF5"/>
    <w:rsid w:val="63690012"/>
    <w:rsid w:val="63C33BC6"/>
    <w:rsid w:val="63F04A69"/>
    <w:rsid w:val="646A3D0C"/>
    <w:rsid w:val="64835103"/>
    <w:rsid w:val="64A82747"/>
    <w:rsid w:val="65336B29"/>
    <w:rsid w:val="65442AE4"/>
    <w:rsid w:val="664C6DCA"/>
    <w:rsid w:val="66526AE4"/>
    <w:rsid w:val="66A50B1E"/>
    <w:rsid w:val="67095CF1"/>
    <w:rsid w:val="674E3DF4"/>
    <w:rsid w:val="67B2063C"/>
    <w:rsid w:val="67C97AC3"/>
    <w:rsid w:val="67D5595A"/>
    <w:rsid w:val="67E30EC1"/>
    <w:rsid w:val="681A5D7E"/>
    <w:rsid w:val="68B735CD"/>
    <w:rsid w:val="695452C0"/>
    <w:rsid w:val="695D046C"/>
    <w:rsid w:val="6A4E3B2B"/>
    <w:rsid w:val="6A505A87"/>
    <w:rsid w:val="6A7B1191"/>
    <w:rsid w:val="6A835E5D"/>
    <w:rsid w:val="6AC838A9"/>
    <w:rsid w:val="6AD93CCF"/>
    <w:rsid w:val="6AED682D"/>
    <w:rsid w:val="6B481C3B"/>
    <w:rsid w:val="6B875383"/>
    <w:rsid w:val="6C1331A3"/>
    <w:rsid w:val="6C691082"/>
    <w:rsid w:val="6C765676"/>
    <w:rsid w:val="6CA84BC1"/>
    <w:rsid w:val="6CB4349D"/>
    <w:rsid w:val="6D170ADE"/>
    <w:rsid w:val="6D3E4756"/>
    <w:rsid w:val="6EC1645C"/>
    <w:rsid w:val="6ECD9FF4"/>
    <w:rsid w:val="6F12155D"/>
    <w:rsid w:val="6FC523EB"/>
    <w:rsid w:val="6FE22646"/>
    <w:rsid w:val="6FFD0AF9"/>
    <w:rsid w:val="70825D63"/>
    <w:rsid w:val="710475CC"/>
    <w:rsid w:val="7164006A"/>
    <w:rsid w:val="71FE41EB"/>
    <w:rsid w:val="725E51FF"/>
    <w:rsid w:val="72895F2E"/>
    <w:rsid w:val="729F72F3"/>
    <w:rsid w:val="72C02EBE"/>
    <w:rsid w:val="72C507AD"/>
    <w:rsid w:val="72D028D8"/>
    <w:rsid w:val="73234831"/>
    <w:rsid w:val="73C3551C"/>
    <w:rsid w:val="745D47C3"/>
    <w:rsid w:val="74937A40"/>
    <w:rsid w:val="75341FA7"/>
    <w:rsid w:val="755404B8"/>
    <w:rsid w:val="75894508"/>
    <w:rsid w:val="75CA033B"/>
    <w:rsid w:val="75CC48EF"/>
    <w:rsid w:val="764F7753"/>
    <w:rsid w:val="76567B0F"/>
    <w:rsid w:val="76AC3757"/>
    <w:rsid w:val="76BA7A62"/>
    <w:rsid w:val="76BF6607"/>
    <w:rsid w:val="77D4005C"/>
    <w:rsid w:val="78292927"/>
    <w:rsid w:val="788A485A"/>
    <w:rsid w:val="78B35AFC"/>
    <w:rsid w:val="78D12489"/>
    <w:rsid w:val="78D35C78"/>
    <w:rsid w:val="78D62583"/>
    <w:rsid w:val="78F33EC6"/>
    <w:rsid w:val="78F37D6B"/>
    <w:rsid w:val="791223C2"/>
    <w:rsid w:val="79425135"/>
    <w:rsid w:val="79430976"/>
    <w:rsid w:val="79F768D8"/>
    <w:rsid w:val="7A6B48EE"/>
    <w:rsid w:val="7AE959A8"/>
    <w:rsid w:val="7AEC5358"/>
    <w:rsid w:val="7AFFEBCB"/>
    <w:rsid w:val="7B8A3D70"/>
    <w:rsid w:val="7BDBD58D"/>
    <w:rsid w:val="7C3306E2"/>
    <w:rsid w:val="7C6021A7"/>
    <w:rsid w:val="7CAB4D9F"/>
    <w:rsid w:val="7CB93F8E"/>
    <w:rsid w:val="7CED7FF7"/>
    <w:rsid w:val="7CF66B46"/>
    <w:rsid w:val="7D185B2A"/>
    <w:rsid w:val="7D4A0A5C"/>
    <w:rsid w:val="7D97125D"/>
    <w:rsid w:val="7DA57A41"/>
    <w:rsid w:val="7DB618B0"/>
    <w:rsid w:val="7DBD28BA"/>
    <w:rsid w:val="7E736B66"/>
    <w:rsid w:val="7EE64005"/>
    <w:rsid w:val="7EEE33A0"/>
    <w:rsid w:val="9BCDA154"/>
    <w:rsid w:val="B3E745AE"/>
    <w:rsid w:val="BADFB9F9"/>
    <w:rsid w:val="C937A891"/>
    <w:rsid w:val="D7E985D2"/>
    <w:rsid w:val="D92776B9"/>
    <w:rsid w:val="F77663A1"/>
    <w:rsid w:val="F9FF79C9"/>
    <w:rsid w:val="FBDE1938"/>
    <w:rsid w:val="FD7F0A37"/>
    <w:rsid w:val="FEFD8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iPriority="99"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qFormat="1" w:unhideWhenUsed="0" w:uiPriority="0" w:semiHidden="0"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3"/>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13"/>
    <w:semiHidden/>
    <w:qFormat/>
    <w:uiPriority w:val="0"/>
    <w:pPr>
      <w:keepNext/>
      <w:keepLines/>
      <w:spacing w:line="416" w:lineRule="auto"/>
      <w:outlineLvl w:val="2"/>
    </w:pPr>
    <w:rPr>
      <w:b/>
      <w:bCs/>
      <w:sz w:val="32"/>
      <w:szCs w:val="32"/>
    </w:rPr>
  </w:style>
  <w:style w:type="paragraph" w:styleId="6">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7">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8">
    <w:name w:val="E-mail Signature"/>
    <w:basedOn w:val="1"/>
    <w:link w:val="106"/>
    <w:semiHidden/>
    <w:qFormat/>
    <w:uiPriority w:val="99"/>
    <w:pPr>
      <w:spacing w:after="200" w:line="276" w:lineRule="auto"/>
      <w:jc w:val="left"/>
    </w:pPr>
    <w:rPr>
      <w:rFonts w:ascii="Calibri" w:hAnsi="Calibri"/>
      <w:kern w:val="0"/>
      <w:szCs w:val="21"/>
    </w:rPr>
  </w:style>
  <w:style w:type="paragraph" w:styleId="9">
    <w:name w:val="Normal Indent"/>
    <w:basedOn w:val="1"/>
    <w:qFormat/>
    <w:uiPriority w:val="0"/>
    <w:pPr>
      <w:ind w:firstLine="200" w:firstLineChars="200"/>
    </w:pPr>
  </w:style>
  <w:style w:type="paragraph" w:styleId="10">
    <w:name w:val="caption"/>
    <w:basedOn w:val="1"/>
    <w:next w:val="1"/>
    <w:semiHidden/>
    <w:qFormat/>
    <w:uiPriority w:val="98"/>
    <w:pPr>
      <w:spacing w:before="152" w:after="160"/>
    </w:pPr>
    <w:rPr>
      <w:rFonts w:ascii="Arial" w:hAnsi="Arial" w:eastAsia="黑体" w:cs="Arial"/>
      <w:sz w:val="20"/>
    </w:rPr>
  </w:style>
  <w:style w:type="paragraph" w:styleId="11">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2">
    <w:name w:val="annotation text"/>
    <w:basedOn w:val="1"/>
    <w:link w:val="48"/>
    <w:qFormat/>
    <w:uiPriority w:val="99"/>
    <w:pPr>
      <w:jc w:val="left"/>
    </w:pPr>
  </w:style>
  <w:style w:type="paragraph" w:styleId="13">
    <w:name w:val="index 6"/>
    <w:basedOn w:val="1"/>
    <w:next w:val="1"/>
    <w:unhideWhenUsed/>
    <w:qFormat/>
    <w:uiPriority w:val="99"/>
    <w:pPr>
      <w:jc w:val="center"/>
    </w:pPr>
    <w:rPr>
      <w:rFonts w:ascii="黑体" w:hAnsi="黑体" w:eastAsia="黑体" w:cs="微软雅黑"/>
      <w:sz w:val="36"/>
      <w:szCs w:val="36"/>
    </w:rPr>
  </w:style>
  <w:style w:type="paragraph" w:styleId="14">
    <w:name w:val="Body Text"/>
    <w:basedOn w:val="1"/>
    <w:next w:val="1"/>
    <w:link w:val="44"/>
    <w:semiHidden/>
    <w:qFormat/>
    <w:uiPriority w:val="98"/>
    <w:rPr>
      <w:rFonts w:ascii="方正仿宋_GB2312" w:eastAsia="方正仿宋_GB2312"/>
      <w:sz w:val="32"/>
    </w:rPr>
  </w:style>
  <w:style w:type="paragraph" w:styleId="15">
    <w:name w:val="Body Text Indent"/>
    <w:basedOn w:val="1"/>
    <w:next w:val="1"/>
    <w:link w:val="51"/>
    <w:semiHidden/>
    <w:qFormat/>
    <w:uiPriority w:val="0"/>
    <w:pPr>
      <w:spacing w:after="120"/>
      <w:ind w:left="420" w:leftChars="200"/>
    </w:pPr>
    <w:rPr>
      <w:rFonts w:ascii="Calibri" w:hAnsi="Calibri"/>
      <w:szCs w:val="22"/>
    </w:rPr>
  </w:style>
  <w:style w:type="paragraph" w:styleId="16">
    <w:name w:val="toc 3"/>
    <w:basedOn w:val="1"/>
    <w:next w:val="1"/>
    <w:semiHidden/>
    <w:qFormat/>
    <w:uiPriority w:val="39"/>
    <w:pPr>
      <w:adjustRightInd w:val="0"/>
      <w:spacing w:line="312" w:lineRule="atLeast"/>
      <w:ind w:left="840" w:leftChars="400"/>
      <w:textAlignment w:val="baseline"/>
    </w:pPr>
    <w:rPr>
      <w:kern w:val="0"/>
      <w:sz w:val="24"/>
    </w:rPr>
  </w:style>
  <w:style w:type="paragraph" w:styleId="17">
    <w:name w:val="Plain Text"/>
    <w:basedOn w:val="1"/>
    <w:link w:val="53"/>
    <w:qFormat/>
    <w:uiPriority w:val="0"/>
    <w:rPr>
      <w:rFonts w:ascii="宋体" w:hAnsi="Courier New"/>
    </w:rPr>
  </w:style>
  <w:style w:type="paragraph" w:styleId="18">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9">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20">
    <w:name w:val="Balloon Text"/>
    <w:basedOn w:val="1"/>
    <w:link w:val="50"/>
    <w:semiHidden/>
    <w:qFormat/>
    <w:uiPriority w:val="0"/>
    <w:rPr>
      <w:sz w:val="18"/>
      <w:szCs w:val="18"/>
    </w:rPr>
  </w:style>
  <w:style w:type="paragraph" w:styleId="21">
    <w:name w:val="footer"/>
    <w:basedOn w:val="1"/>
    <w:link w:val="45"/>
    <w:semiHidden/>
    <w:qFormat/>
    <w:uiPriority w:val="0"/>
    <w:pPr>
      <w:tabs>
        <w:tab w:val="center" w:pos="4153"/>
        <w:tab w:val="right" w:pos="8306"/>
      </w:tabs>
      <w:snapToGrid w:val="0"/>
      <w:jc w:val="left"/>
    </w:pPr>
    <w:rPr>
      <w:sz w:val="18"/>
      <w:szCs w:val="18"/>
    </w:rPr>
  </w:style>
  <w:style w:type="paragraph" w:styleId="22">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3">
    <w:name w:val="List"/>
    <w:basedOn w:val="1"/>
    <w:qFormat/>
    <w:uiPriority w:val="0"/>
    <w:pPr>
      <w:ind w:left="200" w:hanging="200" w:hangingChars="200"/>
    </w:pPr>
    <w:rPr>
      <w:szCs w:val="21"/>
    </w:rPr>
  </w:style>
  <w:style w:type="paragraph" w:styleId="24">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5">
    <w:name w:val="index 9"/>
    <w:basedOn w:val="1"/>
    <w:next w:val="1"/>
    <w:autoRedefine/>
    <w:semiHidden/>
    <w:qFormat/>
    <w:uiPriority w:val="98"/>
    <w:pPr>
      <w:ind w:left="1600" w:leftChars="1600"/>
    </w:pPr>
  </w:style>
  <w:style w:type="paragraph" w:styleId="26">
    <w:name w:val="toc 2"/>
    <w:basedOn w:val="1"/>
    <w:next w:val="1"/>
    <w:qFormat/>
    <w:uiPriority w:val="39"/>
    <w:pPr>
      <w:ind w:left="420" w:leftChars="200"/>
    </w:pPr>
  </w:style>
  <w:style w:type="paragraph" w:styleId="27">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8">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9">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0">
    <w:name w:val="annotation subject"/>
    <w:basedOn w:val="12"/>
    <w:next w:val="12"/>
    <w:link w:val="56"/>
    <w:semiHidden/>
    <w:qFormat/>
    <w:uiPriority w:val="98"/>
    <w:rPr>
      <w:b/>
      <w:bCs/>
    </w:rPr>
  </w:style>
  <w:style w:type="paragraph" w:styleId="31">
    <w:name w:val="Body Text First Indent 2"/>
    <w:basedOn w:val="15"/>
    <w:next w:val="26"/>
    <w:qFormat/>
    <w:uiPriority w:val="0"/>
    <w:pPr>
      <w:spacing w:line="276" w:lineRule="auto"/>
      <w:ind w:left="200" w:firstLine="200" w:firstLineChars="200"/>
      <w:jc w:val="left"/>
    </w:p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semiHidden/>
    <w:qFormat/>
    <w:uiPriority w:val="98"/>
    <w:rPr>
      <w:b/>
    </w:rPr>
  </w:style>
  <w:style w:type="character" w:styleId="36">
    <w:name w:val="page number"/>
    <w:basedOn w:val="34"/>
    <w:semiHidden/>
    <w:qFormat/>
    <w:uiPriority w:val="0"/>
  </w:style>
  <w:style w:type="character" w:styleId="37">
    <w:name w:val="FollowedHyperlink"/>
    <w:semiHidden/>
    <w:qFormat/>
    <w:uiPriority w:val="98"/>
    <w:rPr>
      <w:color w:val="800080"/>
      <w:u w:val="single"/>
    </w:rPr>
  </w:style>
  <w:style w:type="character" w:styleId="38">
    <w:name w:val="Emphasis"/>
    <w:semiHidden/>
    <w:qFormat/>
    <w:uiPriority w:val="98"/>
    <w:rPr>
      <w:i/>
      <w:iCs/>
    </w:rPr>
  </w:style>
  <w:style w:type="character" w:styleId="39">
    <w:name w:val="Hyperlink"/>
    <w:basedOn w:val="34"/>
    <w:qFormat/>
    <w:uiPriority w:val="99"/>
    <w:rPr>
      <w:rFonts w:cs="Times New Roman"/>
      <w:color w:val="1F4F88"/>
      <w:u w:val="none"/>
    </w:rPr>
  </w:style>
  <w:style w:type="character" w:styleId="40">
    <w:name w:val="annotation reference"/>
    <w:semiHidden/>
    <w:qFormat/>
    <w:uiPriority w:val="98"/>
    <w:rPr>
      <w:sz w:val="21"/>
      <w:szCs w:val="21"/>
    </w:rPr>
  </w:style>
  <w:style w:type="paragraph" w:customStyle="1" w:styleId="41">
    <w:name w:val="Default"/>
    <w:qFormat/>
    <w:uiPriority w:val="0"/>
    <w:pPr>
      <w:widowControl w:val="0"/>
      <w:autoSpaceDE w:val="0"/>
      <w:autoSpaceDN w:val="0"/>
      <w:adjustRightInd w:val="0"/>
    </w:pPr>
    <w:rPr>
      <w:rFonts w:ascii="方正仿宋_GB2312" w:hAnsi="Calibri" w:eastAsia="方正仿宋_GB2312" w:cs="方正仿宋_GB2312"/>
      <w:color w:val="000000"/>
      <w:sz w:val="24"/>
      <w:szCs w:val="24"/>
      <w:lang w:val="en-US" w:eastAsia="zh-CN" w:bidi="ar-SA"/>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14"/>
    <w:semiHidden/>
    <w:qFormat/>
    <w:uiPriority w:val="98"/>
    <w:rPr>
      <w:rFonts w:ascii="方正仿宋_GB2312" w:eastAsia="方正仿宋_GB2312"/>
      <w:kern w:val="2"/>
      <w:sz w:val="32"/>
    </w:rPr>
  </w:style>
  <w:style w:type="character" w:customStyle="1" w:styleId="45">
    <w:name w:val="页脚 字符"/>
    <w:link w:val="21"/>
    <w:semiHidden/>
    <w:qFormat/>
    <w:uiPriority w:val="0"/>
    <w:rPr>
      <w:kern w:val="2"/>
      <w:sz w:val="18"/>
      <w:szCs w:val="18"/>
    </w:rPr>
  </w:style>
  <w:style w:type="character" w:customStyle="1" w:styleId="46">
    <w:name w:val="标题 3 字符"/>
    <w:link w:val="5"/>
    <w:semiHidden/>
    <w:qFormat/>
    <w:uiPriority w:val="0"/>
    <w:rPr>
      <w:b/>
      <w:bCs/>
      <w:kern w:val="2"/>
      <w:sz w:val="32"/>
      <w:szCs w:val="32"/>
    </w:rPr>
  </w:style>
  <w:style w:type="character" w:customStyle="1" w:styleId="47">
    <w:name w:val="正文文本 Char"/>
    <w:semiHidden/>
    <w:qFormat/>
    <w:uiPriority w:val="98"/>
    <w:rPr>
      <w:rFonts w:ascii="方正仿宋_GB2312" w:eastAsia="方正仿宋_GB2312"/>
      <w:kern w:val="2"/>
      <w:sz w:val="32"/>
    </w:rPr>
  </w:style>
  <w:style w:type="character" w:customStyle="1" w:styleId="48">
    <w:name w:val="批注文字 字符"/>
    <w:link w:val="12"/>
    <w:qFormat/>
    <w:uiPriority w:val="99"/>
    <w:rPr>
      <w:kern w:val="2"/>
      <w:sz w:val="21"/>
    </w:rPr>
  </w:style>
  <w:style w:type="character" w:customStyle="1" w:styleId="49">
    <w:name w:val="apple-converted-space"/>
    <w:basedOn w:val="34"/>
    <w:semiHidden/>
    <w:qFormat/>
    <w:uiPriority w:val="98"/>
  </w:style>
  <w:style w:type="character" w:customStyle="1" w:styleId="50">
    <w:name w:val="批注框文本 字符"/>
    <w:link w:val="20"/>
    <w:semiHidden/>
    <w:qFormat/>
    <w:uiPriority w:val="98"/>
    <w:rPr>
      <w:kern w:val="2"/>
      <w:sz w:val="18"/>
      <w:szCs w:val="18"/>
    </w:rPr>
  </w:style>
  <w:style w:type="character" w:customStyle="1" w:styleId="51">
    <w:name w:val="正文文本缩进 字符"/>
    <w:link w:val="15"/>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7"/>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2"/>
    <w:semiHidden/>
    <w:qFormat/>
    <w:uiPriority w:val="0"/>
    <w:rPr>
      <w:kern w:val="2"/>
      <w:sz w:val="18"/>
      <w:szCs w:val="18"/>
    </w:rPr>
  </w:style>
  <w:style w:type="character" w:customStyle="1" w:styleId="56">
    <w:name w:val="批注主题 字符"/>
    <w:link w:val="30"/>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4"/>
    <w:link w:val="3"/>
    <w:semiHidden/>
    <w:qFormat/>
    <w:uiPriority w:val="0"/>
    <w:rPr>
      <w:b/>
      <w:bCs/>
      <w:kern w:val="44"/>
      <w:sz w:val="44"/>
      <w:szCs w:val="44"/>
    </w:rPr>
  </w:style>
  <w:style w:type="paragraph" w:customStyle="1" w:styleId="70">
    <w:name w:val="TOC 标题1"/>
    <w:basedOn w:val="3"/>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4"/>
    <w:link w:val="4"/>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4"/>
    <w:link w:val="29"/>
    <w:semiHidden/>
    <w:qFormat/>
    <w:uiPriority w:val="0"/>
    <w:rPr>
      <w:rFonts w:eastAsia="黑体" w:asciiTheme="majorHAnsi" w:hAnsiTheme="majorHAnsi" w:cstheme="majorBidi"/>
      <w:b/>
      <w:bCs/>
      <w:kern w:val="2"/>
      <w:sz w:val="36"/>
      <w:szCs w:val="32"/>
    </w:rPr>
  </w:style>
  <w:style w:type="paragraph" w:customStyle="1" w:styleId="73">
    <w:name w:val="章节"/>
    <w:basedOn w:val="17"/>
    <w:qFormat/>
    <w:uiPriority w:val="0"/>
    <w:pPr>
      <w:spacing w:line="360" w:lineRule="auto"/>
      <w:jc w:val="center"/>
      <w:outlineLvl w:val="0"/>
    </w:pPr>
    <w:rPr>
      <w:rFonts w:ascii="黑体" w:eastAsia="黑体"/>
      <w:b/>
      <w:bCs/>
      <w:sz w:val="36"/>
      <w:szCs w:val="36"/>
    </w:rPr>
  </w:style>
  <w:style w:type="paragraph" w:customStyle="1" w:styleId="74">
    <w:name w:val="一级标题"/>
    <w:basedOn w:val="17"/>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7"/>
    <w:qFormat/>
    <w:uiPriority w:val="2"/>
    <w:pPr>
      <w:numPr>
        <w:ilvl w:val="0"/>
        <w:numId w:val="3"/>
      </w:numPr>
      <w:spacing w:line="360" w:lineRule="auto"/>
      <w:outlineLvl w:val="2"/>
    </w:pPr>
    <w:rPr>
      <w:b/>
    </w:rPr>
  </w:style>
  <w:style w:type="paragraph" w:customStyle="1" w:styleId="76">
    <w:name w:val="3级标题"/>
    <w:basedOn w:val="17"/>
    <w:link w:val="104"/>
    <w:qFormat/>
    <w:uiPriority w:val="3"/>
    <w:pPr>
      <w:numPr>
        <w:ilvl w:val="0"/>
        <w:numId w:val="4"/>
      </w:numPr>
      <w:spacing w:line="360" w:lineRule="auto"/>
      <w:outlineLvl w:val="3"/>
    </w:pPr>
    <w:rPr>
      <w:b/>
    </w:rPr>
  </w:style>
  <w:style w:type="paragraph" w:customStyle="1" w:styleId="77">
    <w:name w:val="（4）级标题"/>
    <w:basedOn w:val="17"/>
    <w:qFormat/>
    <w:uiPriority w:val="8"/>
    <w:pPr>
      <w:numPr>
        <w:ilvl w:val="0"/>
        <w:numId w:val="5"/>
      </w:numPr>
      <w:spacing w:line="360" w:lineRule="auto"/>
      <w:outlineLvl w:val="4"/>
    </w:pPr>
  </w:style>
  <w:style w:type="paragraph" w:customStyle="1" w:styleId="78">
    <w:name w:val="标书正文"/>
    <w:basedOn w:val="17"/>
    <w:link w:val="99"/>
    <w:qFormat/>
    <w:uiPriority w:val="9"/>
    <w:pPr>
      <w:spacing w:line="360" w:lineRule="auto"/>
      <w:jc w:val="left"/>
    </w:pPr>
  </w:style>
  <w:style w:type="character" w:customStyle="1" w:styleId="79">
    <w:name w:val="标题 4 字符"/>
    <w:basedOn w:val="34"/>
    <w:link w:val="6"/>
    <w:semiHidden/>
    <w:qFormat/>
    <w:uiPriority w:val="0"/>
    <w:rPr>
      <w:rFonts w:ascii="Arial" w:hAnsi="Arial"/>
      <w:b/>
      <w:bCs/>
      <w:kern w:val="2"/>
      <w:sz w:val="21"/>
      <w:szCs w:val="28"/>
    </w:rPr>
  </w:style>
  <w:style w:type="character" w:customStyle="1" w:styleId="80">
    <w:name w:val="标题 5 字符"/>
    <w:basedOn w:val="34"/>
    <w:link w:val="7"/>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yyb" w:hAnsi="yyb"/>
      <w:sz w:val="21"/>
      <w:szCs w:val="21"/>
    </w:rPr>
  </w:style>
  <w:style w:type="character" w:customStyle="1" w:styleId="83">
    <w:name w:val="标题 2 Char"/>
    <w:link w:val="4"/>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4"/>
    <w:link w:val="24"/>
    <w:semiHidden/>
    <w:qFormat/>
    <w:uiPriority w:val="0"/>
    <w:rPr>
      <w:rFonts w:ascii="宋体" w:hAnsi="宋体"/>
      <w:color w:val="FF0000"/>
      <w:kern w:val="2"/>
      <w:sz w:val="24"/>
      <w:szCs w:val="24"/>
    </w:rPr>
  </w:style>
  <w:style w:type="paragraph" w:customStyle="1" w:styleId="86">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4"/>
    <w:link w:val="19"/>
    <w:semiHidden/>
    <w:qFormat/>
    <w:uiPriority w:val="0"/>
    <w:rPr>
      <w:sz w:val="24"/>
    </w:rPr>
  </w:style>
  <w:style w:type="character" w:customStyle="1" w:styleId="89">
    <w:name w:val="日期 字符"/>
    <w:basedOn w:val="34"/>
    <w:link w:val="18"/>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yyb" w:hAnsi="yyb"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4"/>
    <w:semiHidden/>
    <w:qFormat/>
    <w:uiPriority w:val="98"/>
    <w:rPr>
      <w:rFonts w:ascii="Microsoft YaHei UI" w:eastAsia="Microsoft YaHei UI"/>
      <w:kern w:val="2"/>
      <w:sz w:val="18"/>
      <w:szCs w:val="18"/>
    </w:rPr>
  </w:style>
  <w:style w:type="character" w:customStyle="1" w:styleId="95">
    <w:name w:val="文档结构图 字符1"/>
    <w:basedOn w:val="34"/>
    <w:link w:val="11"/>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4"/>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5"/>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Subtle Emphasis"/>
    <w:basedOn w:val="34"/>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8"/>
    <w:semiHidden/>
    <w:qFormat/>
    <w:locked/>
    <w:uiPriority w:val="99"/>
    <w:rPr>
      <w:sz w:val="21"/>
      <w:szCs w:val="21"/>
    </w:rPr>
  </w:style>
  <w:style w:type="character" w:customStyle="1" w:styleId="107">
    <w:name w:val="电子邮件签名 字符1"/>
    <w:basedOn w:val="34"/>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7"/>
    <w:semiHidden/>
    <w:qFormat/>
    <w:locked/>
    <w:uiPriority w:val="99"/>
    <w:rPr>
      <w:rFonts w:ascii="Cambria" w:hAnsi="Cambria" w:cs="Cambria"/>
      <w:sz w:val="24"/>
      <w:szCs w:val="24"/>
      <w:shd w:val="pct20" w:color="auto" w:fill="auto"/>
    </w:rPr>
  </w:style>
  <w:style w:type="character" w:customStyle="1" w:styleId="111">
    <w:name w:val="信息标题 字符1"/>
    <w:basedOn w:val="34"/>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character" w:customStyle="1" w:styleId="113">
    <w:name w:val="标题 3 Char"/>
    <w:link w:val="5"/>
    <w:qFormat/>
    <w:uiPriority w:val="0"/>
    <w:rPr>
      <w:b/>
      <w:sz w:val="32"/>
    </w:rPr>
  </w:style>
  <w:style w:type="paragraph" w:customStyle="1" w:styleId="114">
    <w:name w:val="Table Paragraph"/>
    <w:basedOn w:val="1"/>
    <w:autoRedefine/>
    <w:qFormat/>
    <w:uiPriority w:val="1"/>
    <w:rPr>
      <w:rFonts w:ascii="宋体" w:hAnsi="宋体" w:eastAsia="宋体" w:cs="宋体"/>
    </w:rPr>
  </w:style>
  <w:style w:type="table" w:customStyle="1" w:styleId="115">
    <w:name w:val="Table Normal"/>
    <w:autoRedefine/>
    <w:qFormat/>
    <w:uiPriority w:val="0"/>
    <w:tblPr>
      <w:tblCellMar>
        <w:top w:w="0" w:type="dxa"/>
        <w:left w:w="0" w:type="dxa"/>
        <w:bottom w:w="0" w:type="dxa"/>
        <w:right w:w="0" w:type="dxa"/>
      </w:tblCellMar>
    </w:tblPr>
  </w:style>
  <w:style w:type="character" w:customStyle="1" w:styleId="116">
    <w:name w:val="font21"/>
    <w:basedOn w:val="34"/>
    <w:qFormat/>
    <w:uiPriority w:val="0"/>
    <w:rPr>
      <w:rFonts w:hint="default" w:ascii="Times New Roman" w:hAnsi="Times New Roman" w:cs="Times New Roman"/>
      <w:color w:val="000000"/>
      <w:sz w:val="24"/>
      <w:szCs w:val="24"/>
      <w:u w:val="none"/>
    </w:rPr>
  </w:style>
  <w:style w:type="character" w:customStyle="1" w:styleId="117">
    <w:name w:val="font31"/>
    <w:basedOn w:val="34"/>
    <w:qFormat/>
    <w:uiPriority w:val="0"/>
    <w:rPr>
      <w:rFonts w:ascii="宋体" w:hAnsi="宋体" w:eastAsia="宋体" w:cs="宋体"/>
      <w:b/>
      <w:bCs/>
      <w:color w:val="000000"/>
      <w:sz w:val="22"/>
      <w:szCs w:val="22"/>
      <w:u w:val="none"/>
    </w:rPr>
  </w:style>
  <w:style w:type="character" w:customStyle="1" w:styleId="118">
    <w:name w:val="font41"/>
    <w:basedOn w:val="34"/>
    <w:qFormat/>
    <w:uiPriority w:val="0"/>
    <w:rPr>
      <w:rFonts w:hint="default" w:ascii="Times New Roman" w:hAnsi="Times New Roman" w:cs="Times New Roman"/>
      <w:color w:val="000000"/>
      <w:sz w:val="21"/>
      <w:szCs w:val="21"/>
      <w:u w:val="none"/>
    </w:rPr>
  </w:style>
  <w:style w:type="character" w:customStyle="1" w:styleId="119">
    <w:name w:val="font71"/>
    <w:basedOn w:val="34"/>
    <w:qFormat/>
    <w:uiPriority w:val="0"/>
    <w:rPr>
      <w:rFonts w:hint="eastAsia" w:ascii="宋体" w:hAnsi="宋体" w:eastAsia="宋体" w:cs="宋体"/>
      <w:color w:val="000000"/>
      <w:sz w:val="21"/>
      <w:szCs w:val="21"/>
      <w:u w:val="none"/>
    </w:rPr>
  </w:style>
  <w:style w:type="character" w:customStyle="1" w:styleId="120">
    <w:name w:val="font51"/>
    <w:basedOn w:val="34"/>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33</Pages>
  <Words>2134</Words>
  <Characters>2251</Characters>
  <Lines>127</Lines>
  <Paragraphs>35</Paragraphs>
  <TotalTime>176</TotalTime>
  <ScaleCrop>false</ScaleCrop>
  <LinksUpToDate>false</LinksUpToDate>
  <CharactersWithSpaces>2283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2020-07-01T08:26:00Z</dcterms:created>
  <dc:creator>微软用户</dc:creator>
  <cp:lastModifiedBy>灰色与青</cp:lastModifiedBy>
  <cp:lastPrinted>2026-07-21T00:59:00Z</cp:lastPrinted>
  <dcterms:modified xsi:type="dcterms:W3CDTF">2026-07-27T09:20:03Z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55476F11632C4B93B6DE615707E92ECF_13</vt:lpwstr>
  </property>
  <property fmtid="{D5CDD505-2E9C-101B-9397-08002B2CF9AE}" pid="4" name="KSOTemplateDocerSaveRecord">
    <vt:lpwstr>eyJoZGlkIjoiN2UwOWQwOWU4M2YzYjc0YmY3NzliN2RlNTliN2NlOTUiLCJ1c2VySWQiOiI1Nzg5NzI1MzYifQ==</vt:lpwstr>
  </property>
</Properties>
</file>