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4EC42E">
      <w:pPr>
        <w:pStyle w:val="2"/>
        <w:widowControl/>
        <w:jc w:val="center"/>
        <w:rPr>
          <w:rFonts w:hint="eastAsia" w:cs="宋体"/>
          <w:i w:val="0"/>
          <w:iCs/>
          <w:sz w:val="32"/>
          <w:szCs w:val="32"/>
          <w:lang w:val="en-US" w:eastAsia="zh-CN"/>
        </w:rPr>
      </w:pPr>
      <w:bookmarkStart w:id="0" w:name="_Toc12866"/>
      <w:r>
        <w:rPr>
          <w:rFonts w:hint="eastAsia" w:cs="宋体"/>
          <w:i w:val="0"/>
          <w:iCs/>
          <w:sz w:val="32"/>
          <w:szCs w:val="32"/>
          <w:lang w:val="en-US" w:eastAsia="zh-CN"/>
        </w:rPr>
        <w:t>山东重工集团2026年汉诺威车展</w:t>
      </w:r>
    </w:p>
    <w:p w14:paraId="70EB68A1">
      <w:pPr>
        <w:pStyle w:val="2"/>
        <w:widowControl/>
        <w:jc w:val="center"/>
        <w:rPr>
          <w:i w:val="0"/>
          <w:iCs/>
          <w:sz w:val="32"/>
          <w:szCs w:val="32"/>
          <w:lang w:val="en-US"/>
        </w:rPr>
      </w:pPr>
      <w:r>
        <w:rPr>
          <w:rFonts w:hint="eastAsia" w:cs="宋体"/>
          <w:i w:val="0"/>
          <w:iCs/>
          <w:sz w:val="32"/>
          <w:szCs w:val="32"/>
          <w:lang w:val="en-US" w:eastAsia="zh-CN"/>
        </w:rPr>
        <w:t>展位搭建项目招标公告</w:t>
      </w:r>
      <w:bookmarkEnd w:id="0"/>
    </w:p>
    <w:p w14:paraId="1EBE2D1A">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ZBGL2026060081</w:t>
      </w:r>
      <w:r>
        <w:rPr>
          <w:rFonts w:hint="eastAsia" w:ascii="Cambria" w:hAnsi="Cambria" w:eastAsia="宋体" w:cs="宋体"/>
          <w:b/>
          <w:bCs/>
          <w:i w:val="0"/>
          <w:iCs/>
          <w:sz w:val="22"/>
          <w:szCs w:val="22"/>
          <w:highlight w:val="none"/>
          <w:lang w:eastAsia="zh-CN"/>
        </w:rPr>
        <w:t>）</w:t>
      </w:r>
      <w:bookmarkEnd w:id="1"/>
    </w:p>
    <w:p w14:paraId="20BDA0D9">
      <w:pPr>
        <w:rPr>
          <w:rFonts w:hint="eastAsia" w:asciiTheme="majorEastAsia" w:hAnsiTheme="majorEastAsia" w:eastAsiaTheme="majorEastAsia" w:cstheme="majorEastAsia"/>
          <w:b/>
          <w:bCs/>
          <w:sz w:val="24"/>
          <w:szCs w:val="24"/>
        </w:rPr>
      </w:pPr>
    </w:p>
    <w:p w14:paraId="474C137B">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677DE7B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6FB91D9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06EEAF26">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2026-06-9</w:t>
            </w:r>
          </w:p>
        </w:tc>
        <w:tc>
          <w:tcPr>
            <w:tcW w:w="2200" w:type="dxa"/>
            <w:shd w:val="clear" w:color="auto" w:fill="DEDEDE"/>
            <w:vAlign w:val="center"/>
          </w:tcPr>
          <w:p w14:paraId="09883BE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66EF447B">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2026-06-18</w:t>
            </w:r>
          </w:p>
        </w:tc>
      </w:tr>
    </w:tbl>
    <w:p w14:paraId="3891D99F">
      <w:pPr>
        <w:rPr>
          <w:rFonts w:hint="eastAsia" w:asciiTheme="majorEastAsia" w:hAnsiTheme="majorEastAsia" w:eastAsiaTheme="majorEastAsia" w:cstheme="majorEastAsia"/>
          <w:b/>
          <w:bCs/>
          <w:sz w:val="24"/>
          <w:szCs w:val="24"/>
        </w:rPr>
      </w:pPr>
    </w:p>
    <w:p w14:paraId="22A1DC92">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5A429297">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2026年9月，汉诺威国际商用车博览会（IAA）将在德国举办。本次搭建服务需在设计标成果基础上完成展位实体落地，确保展示效果、工程安全、境外合规、展期维护和撤展交付，全面满足招标人及展馆方要求。</w:t>
      </w:r>
    </w:p>
    <w:p w14:paraId="45DF493C">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展位搭建及相关配套服务，包括但不限于施工搭建、材料采购制作、国际/境外物流协调运输、现场搭建、AV/灯光/电气/网络/给排水集成、展品及互动设备安装配合、展期运维保障、撤展清场及资料归档等。</w:t>
      </w:r>
    </w:p>
    <w:p w14:paraId="34DE45B1">
      <w:pPr>
        <w:ind w:firstLine="480"/>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highlight w:val="yellow"/>
          <w:lang w:val="en-US" w:eastAsia="zh-CN"/>
        </w:rPr>
        <w:t>（若需详情，请联系技术联系人，或应标后见招标文件技术标书）</w:t>
      </w:r>
    </w:p>
    <w:p w14:paraId="36BF1B5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755D5F2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项目名称：山东重工集团2026年汉诺威车展展位搭建项目</w:t>
      </w:r>
    </w:p>
    <w:p w14:paraId="4610D852">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直管单位非生产招标/服务/品牌宣传</w:t>
      </w:r>
    </w:p>
    <w:p w14:paraId="3B9A1FEF">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77801997">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4.项目等级：A级</w:t>
      </w:r>
    </w:p>
    <w:p w14:paraId="26BCDC17">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05527527">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Cs/>
          <w:sz w:val="24"/>
          <w:szCs w:val="24"/>
          <w:lang w:bidi="ar"/>
        </w:rPr>
      </w:pPr>
      <w:r>
        <w:rPr>
          <w:rFonts w:hint="eastAsia" w:ascii="宋体" w:hAnsi="宋体" w:eastAsia="宋体" w:cs="宋体"/>
          <w:sz w:val="24"/>
          <w:szCs w:val="24"/>
        </w:rPr>
        <w:t xml:space="preserve"> </w:t>
      </w:r>
      <w:r>
        <w:rPr>
          <w:rFonts w:hint="eastAsia" w:ascii="宋体" w:hAnsi="宋体" w:eastAsia="宋体" w:cs="宋体"/>
          <w:bCs/>
          <w:sz w:val="24"/>
          <w:szCs w:val="24"/>
          <w:lang w:bidi="ar"/>
        </w:rPr>
        <w:t>1．投标人应遵守《中华人民共和国招标投标法》及有关的法律和法规。具备独立法人资格，具有独立承担民事责任能力、良好的财务状况、一定的垫资能力，经营稳定，资质符合项目要求，具有全面履约能力。</w:t>
      </w:r>
    </w:p>
    <w:p w14:paraId="47650201">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Cs/>
          <w:sz w:val="24"/>
          <w:szCs w:val="24"/>
          <w:lang w:bidi="ar"/>
        </w:rPr>
      </w:pPr>
      <w:r>
        <w:rPr>
          <w:rFonts w:hint="eastAsia" w:ascii="宋体" w:hAnsi="宋体" w:eastAsia="宋体" w:cs="宋体"/>
          <w:bCs/>
          <w:sz w:val="24"/>
          <w:szCs w:val="24"/>
          <w:lang w:bidi="ar"/>
        </w:rPr>
        <w:t>2．投标人的注册资金不低于500万元，营业执照在有效期内并且经营范围满足招标人需求，注册三年以上（以营业执照成立日期到开标当日计算）。</w:t>
      </w:r>
    </w:p>
    <w:p w14:paraId="090AB9FB">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Cs/>
          <w:sz w:val="24"/>
          <w:szCs w:val="24"/>
          <w:lang w:bidi="ar"/>
        </w:rPr>
      </w:pPr>
      <w:r>
        <w:rPr>
          <w:rFonts w:hint="eastAsia" w:ascii="宋体" w:hAnsi="宋体" w:eastAsia="宋体" w:cs="宋体"/>
          <w:bCs/>
          <w:sz w:val="24"/>
          <w:szCs w:val="24"/>
          <w:lang w:bidi="ar"/>
        </w:rPr>
        <w:t>3．投标人在国家企业信用信息公示系统中有不良记录、近三年的公司财务报表异常、存在严重违规或被列入招标人“黑名单”的，招标人有权取消其投标资格。</w:t>
      </w:r>
    </w:p>
    <w:p w14:paraId="7B8D8EF2">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Cs/>
          <w:sz w:val="24"/>
          <w:szCs w:val="24"/>
          <w:lang w:bidi="ar"/>
        </w:rPr>
      </w:pPr>
      <w:r>
        <w:rPr>
          <w:rFonts w:hint="eastAsia" w:ascii="宋体" w:hAnsi="宋体" w:eastAsia="宋体" w:cs="宋体"/>
          <w:bCs/>
          <w:sz w:val="24"/>
          <w:szCs w:val="24"/>
          <w:lang w:bidi="ar"/>
        </w:rPr>
        <w:t>4．投标方的直接或间接股东、法定代表人、董事、监事、高管非山东重工集团内员工及其亲属。</w:t>
      </w:r>
    </w:p>
    <w:p w14:paraId="00B1E60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Cs/>
          <w:sz w:val="24"/>
          <w:szCs w:val="24"/>
          <w:lang w:bidi="ar"/>
        </w:rPr>
      </w:pPr>
      <w:r>
        <w:rPr>
          <w:rFonts w:hint="eastAsia" w:ascii="宋体" w:hAnsi="宋体" w:eastAsia="宋体" w:cs="宋体"/>
          <w:bCs/>
          <w:sz w:val="24"/>
          <w:szCs w:val="24"/>
          <w:lang w:bidi="ar"/>
        </w:rPr>
        <w:t>5．招标方无招标违规、谎报年度报告信息、提供虚假资质资料等行为或其他行政处罚记录。</w:t>
      </w:r>
    </w:p>
    <w:p w14:paraId="43D28E2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Cs/>
          <w:sz w:val="24"/>
          <w:szCs w:val="24"/>
          <w:lang w:bidi="ar"/>
        </w:rPr>
      </w:pPr>
      <w:r>
        <w:rPr>
          <w:rFonts w:hint="eastAsia" w:ascii="宋体" w:hAnsi="宋体" w:eastAsia="宋体" w:cs="宋体"/>
          <w:bCs/>
          <w:sz w:val="24"/>
          <w:szCs w:val="24"/>
          <w:lang w:bidi="ar"/>
        </w:rPr>
        <w:t>6.投标方之间必须具有充分的竞争关系。</w:t>
      </w:r>
    </w:p>
    <w:p w14:paraId="7FA478C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Cs/>
          <w:sz w:val="24"/>
          <w:szCs w:val="24"/>
          <w:lang w:bidi="ar"/>
        </w:rPr>
      </w:pPr>
      <w:r>
        <w:rPr>
          <w:rFonts w:hint="eastAsia" w:ascii="宋体" w:hAnsi="宋体" w:eastAsia="宋体" w:cs="宋体"/>
          <w:bCs/>
          <w:sz w:val="24"/>
          <w:szCs w:val="24"/>
          <w:lang w:bidi="ar"/>
        </w:rPr>
        <w:t>7.投标人应具备海外大型展会特装展台搭建经验，近三年内</w:t>
      </w:r>
      <w:r>
        <w:rPr>
          <w:rFonts w:hint="eastAsia" w:ascii="宋体" w:hAnsi="宋体" w:eastAsia="宋体" w:cs="宋体"/>
          <w:bCs/>
          <w:sz w:val="24"/>
          <w:szCs w:val="24"/>
          <w:lang w:eastAsia="zh-CN" w:bidi="ar"/>
        </w:rPr>
        <w:t>（</w:t>
      </w:r>
      <w:r>
        <w:rPr>
          <w:rFonts w:hint="eastAsia" w:ascii="宋体" w:hAnsi="宋体" w:eastAsia="宋体" w:cs="宋体"/>
          <w:bCs/>
          <w:sz w:val="24"/>
          <w:szCs w:val="24"/>
          <w:lang w:val="en-US" w:eastAsia="zh-CN" w:bidi="ar"/>
        </w:rPr>
        <w:t>2023年5月1日起至今</w:t>
      </w:r>
      <w:r>
        <w:rPr>
          <w:rFonts w:hint="eastAsia" w:ascii="宋体" w:hAnsi="宋体" w:eastAsia="宋体" w:cs="宋体"/>
          <w:bCs/>
          <w:sz w:val="24"/>
          <w:szCs w:val="24"/>
          <w:lang w:eastAsia="zh-CN" w:bidi="ar"/>
        </w:rPr>
        <w:t>）</w:t>
      </w:r>
      <w:r>
        <w:rPr>
          <w:rFonts w:hint="eastAsia" w:ascii="宋体" w:hAnsi="宋体" w:eastAsia="宋体" w:cs="宋体"/>
          <w:bCs/>
          <w:sz w:val="24"/>
          <w:szCs w:val="24"/>
          <w:lang w:bidi="ar"/>
        </w:rPr>
        <w:t>至少具有1个</w:t>
      </w:r>
      <w:r>
        <w:rPr>
          <w:rFonts w:hint="eastAsia" w:ascii="宋体" w:hAnsi="宋体" w:eastAsia="宋体" w:cs="宋体"/>
          <w:bCs/>
          <w:sz w:val="24"/>
          <w:szCs w:val="24"/>
          <w:lang w:val="en-US" w:eastAsia="zh-CN" w:bidi="ar"/>
        </w:rPr>
        <w:t>海外发达国家展会施工搭建项目成功案例</w:t>
      </w:r>
      <w:r>
        <w:rPr>
          <w:rFonts w:hint="eastAsia" w:ascii="宋体" w:hAnsi="宋体" w:eastAsia="宋体" w:cs="宋体"/>
          <w:bCs/>
          <w:sz w:val="24"/>
          <w:szCs w:val="24"/>
          <w:lang w:bidi="ar"/>
        </w:rPr>
        <w:t>（展区面积不小于</w:t>
      </w:r>
      <w:r>
        <w:rPr>
          <w:rFonts w:hint="eastAsia" w:ascii="宋体" w:hAnsi="宋体" w:eastAsia="宋体" w:cs="宋体"/>
          <w:bCs/>
          <w:sz w:val="24"/>
          <w:szCs w:val="24"/>
          <w:lang w:val="en-US" w:eastAsia="zh-CN" w:bidi="ar"/>
        </w:rPr>
        <w:t>3</w:t>
      </w:r>
      <w:r>
        <w:rPr>
          <w:rFonts w:hint="eastAsia" w:ascii="宋体" w:hAnsi="宋体" w:eastAsia="宋体" w:cs="宋体"/>
          <w:bCs/>
          <w:sz w:val="24"/>
          <w:szCs w:val="24"/>
          <w:lang w:bidi="ar"/>
        </w:rPr>
        <w:t>00㎡）；具有良好的风险应对能力，能够认可招标人的工作指令，包括节、假日能正常开展工作等要求，并在开标时携带以往项目策划执行资料、企业资信材料、财务报表及完税证明等备查。</w:t>
      </w:r>
    </w:p>
    <w:p w14:paraId="63BA9DAB">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Cs/>
          <w:sz w:val="24"/>
          <w:szCs w:val="24"/>
          <w:lang w:bidi="ar"/>
        </w:rPr>
      </w:pPr>
      <w:r>
        <w:rPr>
          <w:rFonts w:hint="eastAsia" w:ascii="宋体" w:hAnsi="宋体" w:eastAsia="宋体" w:cs="宋体"/>
          <w:bCs/>
          <w:sz w:val="24"/>
          <w:szCs w:val="24"/>
          <w:lang w:bidi="ar"/>
        </w:rPr>
        <w:t>8．资格审查方式：资格预审，合格制。投标人应编制资格预审文件，否则视为放弃投标，内容包括：</w:t>
      </w:r>
    </w:p>
    <w:p w14:paraId="093FA3A2">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Cs/>
          <w:sz w:val="24"/>
          <w:szCs w:val="24"/>
          <w:lang w:bidi="ar"/>
        </w:rPr>
      </w:pPr>
      <w:r>
        <w:rPr>
          <w:rFonts w:hint="eastAsia" w:ascii="宋体" w:hAnsi="宋体" w:eastAsia="宋体" w:cs="宋体"/>
          <w:bCs/>
          <w:sz w:val="24"/>
          <w:szCs w:val="24"/>
          <w:lang w:bidi="ar"/>
        </w:rPr>
        <w:t>（1）投标人基本情况表，附带投标人营业执照副本及复印件（加盖单位公章）。</w:t>
      </w:r>
    </w:p>
    <w:p w14:paraId="697530A7">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Cs/>
          <w:sz w:val="24"/>
          <w:szCs w:val="24"/>
          <w:lang w:bidi="ar"/>
        </w:rPr>
      </w:pPr>
      <w:r>
        <w:rPr>
          <w:rFonts w:hint="eastAsia" w:ascii="宋体" w:hAnsi="宋体" w:eastAsia="宋体" w:cs="宋体"/>
          <w:bCs/>
          <w:sz w:val="24"/>
          <w:szCs w:val="24"/>
          <w:lang w:bidi="ar"/>
        </w:rPr>
        <w:t>（2）法定代表人身份证复印件，若法定代表人不能出席，需有法定代表人授权委托书（附件1）及被委托人身份证（加盖单位公章）。有特殊情况请额外说明，经招标方审核后方可正常投标。</w:t>
      </w:r>
    </w:p>
    <w:p w14:paraId="4FD8565A">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Cs/>
          <w:sz w:val="24"/>
          <w:szCs w:val="24"/>
          <w:lang w:bidi="ar"/>
        </w:rPr>
      </w:pPr>
      <w:r>
        <w:rPr>
          <w:rFonts w:hint="eastAsia" w:ascii="宋体" w:hAnsi="宋体" w:eastAsia="宋体" w:cs="宋体"/>
          <w:bCs/>
          <w:sz w:val="24"/>
          <w:szCs w:val="24"/>
          <w:lang w:bidi="ar"/>
        </w:rPr>
        <w:t>（3）财务状况报告，依法缴纳税收相关材料复印件加盖公章（财务状况报告：近三年审计报告，包括但不限于报告页、经审计的资产负债表、利润表、现金流量表及报表附注；或提供投标文件开启时间前6个月以内银行出具的资信证明（提供复印件加盖单位公章）；如公司规模小，无审计报告，可提供近三年财务报表，包括但不限于资产负债表、利润表、现金流量表；税收材料：税收完税凭证或税务部门出具的纳税证明）。有特殊情况请额外说明，经招标方审核后方可正常投标。</w:t>
      </w:r>
    </w:p>
    <w:p w14:paraId="397592D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Cs/>
          <w:sz w:val="24"/>
          <w:szCs w:val="24"/>
          <w:lang w:bidi="ar"/>
        </w:rPr>
      </w:pPr>
      <w:r>
        <w:rPr>
          <w:rFonts w:hint="eastAsia" w:ascii="宋体" w:hAnsi="宋体" w:eastAsia="宋体" w:cs="宋体"/>
          <w:bCs/>
          <w:sz w:val="24"/>
          <w:szCs w:val="24"/>
          <w:lang w:bidi="ar"/>
        </w:rPr>
        <w:t>（4）无重大违法记录的书面声明原件（加盖单位公章）。</w:t>
      </w:r>
    </w:p>
    <w:p w14:paraId="6E8E006A">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Cs/>
          <w:sz w:val="24"/>
          <w:szCs w:val="24"/>
          <w:lang w:bidi="ar"/>
        </w:rPr>
      </w:pPr>
      <w:r>
        <w:rPr>
          <w:rFonts w:hint="eastAsia" w:ascii="宋体" w:hAnsi="宋体" w:eastAsia="宋体" w:cs="宋体"/>
          <w:bCs/>
          <w:sz w:val="24"/>
          <w:szCs w:val="24"/>
          <w:lang w:bidi="ar"/>
        </w:rPr>
        <w:t>（5）信用承诺书（加盖单位公章）。</w:t>
      </w:r>
    </w:p>
    <w:p w14:paraId="58B2CDF4">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Cs/>
          <w:sz w:val="24"/>
          <w:szCs w:val="24"/>
          <w:lang w:bidi="ar"/>
        </w:rPr>
      </w:pPr>
      <w:r>
        <w:rPr>
          <w:rFonts w:hint="eastAsia" w:ascii="宋体" w:hAnsi="宋体" w:eastAsia="宋体" w:cs="宋体"/>
          <w:bCs/>
          <w:sz w:val="24"/>
          <w:szCs w:val="24"/>
          <w:lang w:bidi="ar"/>
        </w:rPr>
        <w:t>（6）企业对外担保说明（写明贵单位对外有无对外担保和质押业务，需加盖单位公章）。</w:t>
      </w:r>
    </w:p>
    <w:p w14:paraId="5E93F5C3">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Cs/>
          <w:sz w:val="24"/>
          <w:szCs w:val="24"/>
          <w:lang w:bidi="ar"/>
        </w:rPr>
      </w:pPr>
      <w:r>
        <w:rPr>
          <w:rFonts w:hint="eastAsia" w:ascii="宋体" w:hAnsi="宋体" w:eastAsia="宋体" w:cs="宋体"/>
          <w:bCs/>
          <w:sz w:val="24"/>
          <w:szCs w:val="24"/>
          <w:lang w:bidi="ar"/>
        </w:rPr>
        <w:t>（7）近三年内</w:t>
      </w:r>
      <w:r>
        <w:rPr>
          <w:rFonts w:hint="eastAsia" w:ascii="宋体" w:hAnsi="宋体" w:eastAsia="宋体" w:cs="宋体"/>
          <w:bCs/>
          <w:sz w:val="24"/>
          <w:szCs w:val="24"/>
          <w:lang w:eastAsia="zh-CN" w:bidi="ar"/>
        </w:rPr>
        <w:t>（</w:t>
      </w:r>
      <w:r>
        <w:rPr>
          <w:rFonts w:hint="eastAsia" w:ascii="宋体" w:hAnsi="宋体" w:eastAsia="宋体" w:cs="宋体"/>
          <w:bCs/>
          <w:sz w:val="24"/>
          <w:szCs w:val="24"/>
          <w:lang w:val="en-US" w:eastAsia="zh-CN" w:bidi="ar"/>
        </w:rPr>
        <w:t>2023年5月1日起至今</w:t>
      </w:r>
      <w:r>
        <w:rPr>
          <w:rFonts w:hint="eastAsia" w:ascii="宋体" w:hAnsi="宋体" w:eastAsia="宋体" w:cs="宋体"/>
          <w:bCs/>
          <w:sz w:val="24"/>
          <w:szCs w:val="24"/>
          <w:lang w:eastAsia="zh-CN" w:bidi="ar"/>
        </w:rPr>
        <w:t>）</w:t>
      </w:r>
      <w:r>
        <w:rPr>
          <w:rFonts w:hint="eastAsia" w:ascii="宋体" w:hAnsi="宋体" w:eastAsia="宋体" w:cs="宋体"/>
          <w:bCs/>
          <w:sz w:val="24"/>
          <w:szCs w:val="24"/>
          <w:lang w:bidi="ar"/>
        </w:rPr>
        <w:t>至少1个</w:t>
      </w:r>
      <w:r>
        <w:rPr>
          <w:rFonts w:hint="eastAsia" w:ascii="宋体" w:hAnsi="宋体" w:eastAsia="宋体" w:cs="宋体"/>
          <w:bCs/>
          <w:sz w:val="24"/>
          <w:szCs w:val="24"/>
          <w:lang w:val="en-US" w:eastAsia="zh-CN" w:bidi="ar"/>
        </w:rPr>
        <w:t>海外发达国家</w:t>
      </w:r>
      <w:r>
        <w:rPr>
          <w:rFonts w:hint="eastAsia" w:ascii="宋体" w:hAnsi="宋体" w:eastAsia="宋体" w:cs="宋体"/>
          <w:bCs/>
          <w:sz w:val="24"/>
          <w:szCs w:val="24"/>
          <w:lang w:bidi="ar"/>
        </w:rPr>
        <w:t>（展区面积不小于</w:t>
      </w:r>
      <w:r>
        <w:rPr>
          <w:rFonts w:hint="eastAsia" w:ascii="宋体" w:hAnsi="宋体" w:eastAsia="宋体" w:cs="宋体"/>
          <w:bCs/>
          <w:sz w:val="24"/>
          <w:szCs w:val="24"/>
          <w:lang w:val="en-US" w:eastAsia="zh-CN" w:bidi="ar"/>
        </w:rPr>
        <w:t>3</w:t>
      </w:r>
      <w:r>
        <w:rPr>
          <w:rFonts w:hint="eastAsia" w:ascii="宋体" w:hAnsi="宋体" w:eastAsia="宋体" w:cs="宋体"/>
          <w:bCs/>
          <w:sz w:val="24"/>
          <w:szCs w:val="24"/>
          <w:lang w:bidi="ar"/>
        </w:rPr>
        <w:t>00㎡）展会</w:t>
      </w:r>
      <w:r>
        <w:rPr>
          <w:rFonts w:hint="eastAsia" w:ascii="宋体" w:hAnsi="宋体" w:eastAsia="宋体" w:cs="宋体"/>
          <w:bCs/>
          <w:sz w:val="24"/>
          <w:szCs w:val="24"/>
          <w:lang w:val="en-US" w:eastAsia="zh-CN" w:bidi="ar"/>
        </w:rPr>
        <w:t>施工</w:t>
      </w:r>
      <w:r>
        <w:rPr>
          <w:rFonts w:hint="eastAsia" w:ascii="宋体" w:hAnsi="宋体" w:eastAsia="宋体" w:cs="宋体"/>
          <w:bCs/>
          <w:sz w:val="24"/>
          <w:szCs w:val="24"/>
          <w:lang w:bidi="ar"/>
        </w:rPr>
        <w:t>搭建</w:t>
      </w:r>
      <w:r>
        <w:rPr>
          <w:rFonts w:hint="eastAsia" w:ascii="宋体" w:hAnsi="宋体" w:eastAsia="宋体" w:cs="宋体"/>
          <w:bCs/>
          <w:sz w:val="24"/>
          <w:szCs w:val="24"/>
          <w:lang w:val="en-US" w:eastAsia="zh-CN" w:bidi="ar"/>
        </w:rPr>
        <w:t>项目</w:t>
      </w:r>
      <w:r>
        <w:rPr>
          <w:rFonts w:hint="eastAsia" w:ascii="宋体" w:hAnsi="宋体" w:eastAsia="宋体" w:cs="宋体"/>
          <w:bCs/>
          <w:sz w:val="24"/>
          <w:szCs w:val="24"/>
          <w:lang w:bidi="ar"/>
        </w:rPr>
        <w:t>案例的合同关键页、项目成果照片、项目说明等。仅提供效果图或内部介绍无合同的，不作为有效材料。</w:t>
      </w:r>
    </w:p>
    <w:p w14:paraId="6D4817CC">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Cs/>
          <w:sz w:val="24"/>
          <w:szCs w:val="24"/>
          <w:lang w:bidi="ar"/>
        </w:rPr>
      </w:pPr>
      <w:r>
        <w:rPr>
          <w:rFonts w:hint="eastAsia" w:ascii="宋体" w:hAnsi="宋体" w:eastAsia="宋体" w:cs="宋体"/>
          <w:bCs/>
          <w:sz w:val="24"/>
          <w:szCs w:val="24"/>
          <w:lang w:bidi="ar"/>
        </w:rPr>
        <w:t>（8）保密协议。</w:t>
      </w:r>
    </w:p>
    <w:p w14:paraId="454A697B">
      <w:pPr>
        <w:ind w:firstLine="420" w:firstLineChars="0"/>
        <w:rPr>
          <w:rFonts w:hint="eastAsia" w:asciiTheme="majorEastAsia" w:hAnsiTheme="majorEastAsia" w:eastAsiaTheme="majorEastAsia" w:cstheme="majorEastAsia"/>
          <w:sz w:val="24"/>
          <w:szCs w:val="24"/>
        </w:rPr>
      </w:pPr>
    </w:p>
    <w:p w14:paraId="68291BED">
      <w:pPr>
        <w:ind w:firstLine="420" w:firstLineChars="0"/>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highlight w:val="yellow"/>
          <w:lang w:val="en-US" w:eastAsia="zh-CN"/>
        </w:rPr>
        <w:t>9.本次汉诺威展会施工招标，已中标设计标段单位及其股权关联、各类关联主体均不得参与投标，杜绝利益风险。</w:t>
      </w:r>
    </w:p>
    <w:p w14:paraId="5A0D4637">
      <w:pPr>
        <w:ind w:firstLine="420" w:firstLineChars="0"/>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highlight w:val="yellow"/>
          <w:lang w:val="en-US" w:eastAsia="zh-CN"/>
        </w:rPr>
        <w:t>*不允许代理商投标</w:t>
      </w:r>
    </w:p>
    <w:p w14:paraId="05FEE92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52EB194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1F6DACB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18</w:t>
      </w:r>
      <w:r>
        <w:rPr>
          <w:rFonts w:hint="eastAsia" w:asciiTheme="majorEastAsia" w:hAnsiTheme="majorEastAsia" w:eastAsiaTheme="majorEastAsia" w:cstheme="majorEastAsia"/>
          <w:sz w:val="24"/>
          <w:szCs w:val="24"/>
        </w:rPr>
        <w:t xml:space="preserve"> 17:00:00 </w:t>
      </w:r>
    </w:p>
    <w:p w14:paraId="4759D9F9">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重汽官网</w:t>
      </w:r>
    </w:p>
    <w:p w14:paraId="3A64C75D">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77BB3C9A">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14:paraId="6010EC64">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29</w:t>
      </w:r>
      <w:r>
        <w:rPr>
          <w:rFonts w:hint="eastAsia" w:asciiTheme="majorEastAsia" w:hAnsiTheme="majorEastAsia" w:eastAsiaTheme="majorEastAsia" w:cstheme="majorEastAsia"/>
          <w:sz w:val="24"/>
          <w:szCs w:val="24"/>
        </w:rPr>
        <w:t xml:space="preserve"> 09:00:00 </w:t>
      </w:r>
    </w:p>
    <w:p w14:paraId="756D49F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14:paraId="18836169">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14:paraId="47B3B62D">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29</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14:paraId="4EB316E7">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山东省济南市历城区华奥路777号重汽科技大厦</w:t>
      </w:r>
      <w:r>
        <w:rPr>
          <w:rFonts w:hint="eastAsia" w:asciiTheme="majorEastAsia" w:hAnsiTheme="majorEastAsia" w:eastAsiaTheme="majorEastAsia" w:cstheme="majorEastAsia"/>
          <w:sz w:val="24"/>
          <w:szCs w:val="24"/>
          <w:lang w:val="en-US" w:eastAsia="zh-CN"/>
        </w:rPr>
        <w:t>三楼会议室</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14:paraId="1FAC7C52">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0F0EE9FD">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7FBD0B0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533DA6B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CCCDBA5">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w:t>
      </w:r>
      <w:r>
        <w:rPr>
          <w:rFonts w:hint="eastAsia" w:ascii="宋体" w:hAnsi="宋体" w:eastAsia="宋体" w:cs="宋体"/>
          <w:bCs/>
          <w:sz w:val="24"/>
          <w:szCs w:val="24"/>
          <w:lang w:bidi="ar"/>
        </w:rPr>
        <w:t>中国重汽集团国际有限公司</w:t>
      </w:r>
      <w:bookmarkStart w:id="4" w:name="_GoBack"/>
      <w:bookmarkEnd w:id="4"/>
    </w:p>
    <w:p w14:paraId="25BF107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0B4B17B3">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Theme="majorEastAsia" w:hAnsiTheme="majorEastAsia" w:eastAsiaTheme="majorEastAsia" w:cstheme="majorEastAsia"/>
          <w:sz w:val="24"/>
          <w:szCs w:val="24"/>
          <w:lang w:val="en-US" w:eastAsia="zh-CN"/>
        </w:rPr>
        <w:t>李工</w:t>
      </w:r>
    </w:p>
    <w:p w14:paraId="5BB75B62">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17860605079</w:t>
      </w:r>
    </w:p>
    <w:p w14:paraId="2BBBFC11">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技术联系人：柴老师</w:t>
      </w:r>
    </w:p>
    <w:p w14:paraId="18B2FB9A">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联系电话：18615639061</w:t>
      </w:r>
    </w:p>
    <w:p w14:paraId="3B00F455">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61216B8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5B93320D">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14:paraId="317ABA5C">
      <w:pPr>
        <w:ind w:firstLine="480" w:firstLineChars="200"/>
        <w:rPr>
          <w:rFonts w:hint="eastAsia" w:asciiTheme="majorEastAsia" w:hAnsiTheme="majorEastAsia" w:eastAsiaTheme="majorEastAsia" w:cstheme="majorEastAsia"/>
          <w:sz w:val="24"/>
          <w:szCs w:val="24"/>
        </w:rPr>
      </w:pPr>
    </w:p>
    <w:p w14:paraId="232D9641">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14:paraId="12B5F7B5">
      <w:pPr>
        <w:ind w:left="479" w:leftChars="228" w:firstLine="0" w:firstLineChars="0"/>
        <w:rPr>
          <w:rFonts w:hint="eastAsia" w:asciiTheme="majorEastAsia" w:hAnsiTheme="majorEastAsia" w:eastAsiaTheme="majorEastAsia" w:cstheme="majorEastAsia"/>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且不许有空余，若因此造成应标不成功，后果由投标人自行承担。（更新路径：重汽e采通-供应商中心-供应商变更-供应商财务数据变更管理-右上角：发起变更；详见SRM系统供应商用户近三年财务数据更新附件3）</w:t>
      </w:r>
    </w:p>
    <w:p w14:paraId="07650A6C">
      <w:pPr>
        <w:ind w:left="479" w:leftChars="228" w:firstLine="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②开标过程概述：</w:t>
      </w:r>
    </w:p>
    <w:p w14:paraId="7711A2F2">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唱标流程：技术标唱标→技术标澄清→技术标评分→商务标唱标→价格澄清→商务标评审；</w:t>
      </w:r>
    </w:p>
    <w:p w14:paraId="7AAF900C">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开标过程A级项目进行三轮开标会，B级项目进行两轮开标会</w:t>
      </w:r>
      <w:r>
        <w:rPr>
          <w:rFonts w:hint="eastAsia" w:hAnsi="宋体" w:eastAsia="宋体" w:cs="宋体"/>
          <w:kern w:val="2"/>
          <w:sz w:val="24"/>
          <w:szCs w:val="24"/>
          <w:lang w:val="en-US" w:eastAsia="zh-CN" w:bidi="ar-SA"/>
        </w:rPr>
        <w:t>，每轮均可能淘汰投标方</w:t>
      </w:r>
      <w:r>
        <w:rPr>
          <w:rFonts w:hint="eastAsia" w:ascii="宋体" w:hAnsi="宋体" w:eastAsia="宋体" w:cs="宋体"/>
          <w:kern w:val="2"/>
          <w:sz w:val="24"/>
          <w:szCs w:val="24"/>
          <w:lang w:val="en-US" w:eastAsia="zh-CN" w:bidi="ar-SA"/>
        </w:rPr>
        <w:t>。</w:t>
      </w:r>
    </w:p>
    <w:p w14:paraId="737B5701">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第一轮包括技术标答辩和商务标报价环节</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67EDCC87">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第二轮由专家组审查第一轮的技术和商务情况，并决定是否继续进行商务报价</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163DB8D7">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A级项目第三轮由专家组审查前两轮的技术和商务报价情况。</w:t>
      </w:r>
    </w:p>
    <w:p w14:paraId="41AA7F72">
      <w:pPr>
        <w:rPr>
          <w:rFonts w:hint="eastAsia" w:asciiTheme="majorEastAsia" w:hAnsiTheme="majorEastAsia" w:eastAsiaTheme="majorEastAsia" w:cstheme="majorEastAsia"/>
          <w:sz w:val="22"/>
          <w:szCs w:val="22"/>
          <w:highlight w:val="yellow"/>
          <w:lang w:val="en-US" w:eastAsia="zh-CN"/>
        </w:rPr>
      </w:pPr>
      <w:r>
        <w:rPr>
          <w:rFonts w:hint="eastAsia" w:asciiTheme="majorEastAsia" w:hAnsiTheme="majorEastAsia" w:eastAsiaTheme="majorEastAsia" w:cstheme="majorEastAsia"/>
          <w:sz w:val="22"/>
          <w:szCs w:val="22"/>
          <w:highlight w:val="yellow"/>
          <w:lang w:val="en-US" w:eastAsia="zh-CN"/>
        </w:rPr>
        <w:t>以上招标过程概述为项目联系人对中国重汽招标流程概述，投标人若投标即认可该招标流程。</w:t>
      </w:r>
    </w:p>
    <w:p w14:paraId="7C6170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评审期间产生的技术</w:t>
      </w:r>
      <w:r>
        <w:rPr>
          <w:rFonts w:hint="eastAsia" w:ascii="宋体" w:hAnsi="宋体" w:eastAsia="宋体" w:cs="宋体"/>
          <w:color w:val="auto"/>
          <w:sz w:val="24"/>
          <w:szCs w:val="24"/>
          <w:highlight w:val="none"/>
          <w:lang w:val="en-US" w:eastAsia="zh-CN"/>
        </w:rPr>
        <w:t>和商务价格</w:t>
      </w:r>
      <w:r>
        <w:rPr>
          <w:rFonts w:hint="eastAsia" w:ascii="宋体" w:hAnsi="宋体" w:eastAsia="宋体" w:cs="宋体"/>
          <w:color w:val="auto"/>
          <w:sz w:val="24"/>
          <w:szCs w:val="24"/>
          <w:highlight w:val="none"/>
        </w:rPr>
        <w:t xml:space="preserve">澄清均由投标人在重汽e采通平台内完成提交；投标人均需自带笔记本电脑在重汽e采通平台自主进行投标和提交澄清函；投标和提交澄清函均有时间限制，超时未提交的按无效处理。  </w:t>
      </w:r>
    </w:p>
    <w:p w14:paraId="70331FFE">
      <w:pPr>
        <w:rPr>
          <w:rFonts w:hint="eastAsia" w:ascii="宋体" w:hAnsi="宋体" w:eastAsia="宋体" w:cs="宋体"/>
          <w:color w:val="auto"/>
          <w:sz w:val="24"/>
          <w:szCs w:val="24"/>
          <w:highlight w:val="none"/>
        </w:rPr>
      </w:pPr>
    </w:p>
    <w:p w14:paraId="5469D1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b/>
          <w:bCs/>
          <w:color w:val="000000"/>
          <w:sz w:val="24"/>
          <w:szCs w:val="24"/>
          <w:lang w:val="en-US" w:eastAsia="zh-CN"/>
        </w:rPr>
      </w:pPr>
      <w:r>
        <w:rPr>
          <w:rFonts w:hint="eastAsia" w:ascii="宋体" w:hAnsi="宋体" w:eastAsia="宋体" w:cs="宋体"/>
          <w:color w:val="auto"/>
          <w:sz w:val="24"/>
          <w:szCs w:val="24"/>
          <w:highlight w:val="none"/>
          <w:lang w:val="en-US" w:eastAsia="zh-CN"/>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注意：每一轮在重汽e采通提供澄清报价均有时间限制，未能在规定时间内提交澄清函及报价的视为放弃本次投标。</w:t>
      </w:r>
    </w:p>
    <w:p w14:paraId="429EA667">
      <w:pPr>
        <w:pStyle w:val="6"/>
        <w:outlineLvl w:val="2"/>
        <w:rPr>
          <w:rFonts w:hint="eastAsia" w:hAnsi="宋体" w:eastAsia="宋体" w:cs="宋体"/>
          <w:b/>
          <w:bCs/>
          <w:color w:val="000000"/>
          <w:sz w:val="24"/>
          <w:szCs w:val="24"/>
          <w:lang w:val="en-US" w:eastAsia="zh-CN"/>
        </w:rPr>
        <w:sectPr>
          <w:pgSz w:w="11906" w:h="16838"/>
          <w:pgMar w:top="1588" w:right="1418" w:bottom="1134" w:left="1418" w:header="851" w:footer="992" w:gutter="0"/>
          <w:cols w:space="720" w:num="1"/>
          <w:titlePg/>
          <w:docGrid w:type="lines" w:linePitch="312" w:charSpace="0"/>
        </w:sectPr>
      </w:pPr>
    </w:p>
    <w:p w14:paraId="01B5B7D9">
      <w:pPr>
        <w:pStyle w:val="6"/>
        <w:outlineLvl w:val="2"/>
        <w:rPr>
          <w:rFonts w:hint="eastAsia"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 授权书</w:t>
      </w:r>
    </w:p>
    <w:p w14:paraId="335ABA47">
      <w:pPr>
        <w:pStyle w:val="9"/>
        <w:spacing w:line="312" w:lineRule="auto"/>
        <w:jc w:val="center"/>
        <w:rPr>
          <w:rFonts w:hint="eastAsia" w:ascii="宋体" w:hAnsi="宋体" w:cs="宋体"/>
          <w:b/>
          <w:bCs/>
          <w:kern w:val="2"/>
          <w:sz w:val="44"/>
          <w:szCs w:val="44"/>
          <w:lang w:bidi="ar"/>
        </w:rPr>
      </w:pPr>
      <w:r>
        <w:rPr>
          <w:rFonts w:hint="eastAsia" w:ascii="宋体" w:hAnsi="宋体" w:cs="宋体"/>
          <w:b/>
          <w:bCs/>
          <w:kern w:val="2"/>
          <w:sz w:val="44"/>
          <w:szCs w:val="44"/>
          <w:lang w:bidi="ar"/>
        </w:rPr>
        <w:t>授权书</w:t>
      </w:r>
    </w:p>
    <w:p w14:paraId="3AA90359">
      <w:pPr>
        <w:spacing w:line="312" w:lineRule="auto"/>
        <w:jc w:val="center"/>
        <w:rPr>
          <w:rFonts w:hint="eastAsia" w:ascii="宋体" w:hAnsi="宋体" w:eastAsia="宋体" w:cs="宋体"/>
          <w:b/>
          <w:bCs/>
          <w:sz w:val="44"/>
          <w:szCs w:val="44"/>
          <w:lang w:bidi="ar"/>
        </w:rPr>
      </w:pPr>
    </w:p>
    <w:p w14:paraId="00F237BD">
      <w:pPr>
        <w:spacing w:after="193" w:afterLines="50" w:line="312" w:lineRule="auto"/>
        <w:ind w:firstLine="560" w:firstLineChars="200"/>
        <w:jc w:val="left"/>
        <w:rPr>
          <w:rFonts w:hint="eastAsia" w:ascii="楷体" w:hAnsi="楷体" w:eastAsia="楷体"/>
          <w:sz w:val="28"/>
          <w:szCs w:val="28"/>
        </w:rPr>
      </w:pPr>
      <w:r>
        <w:rPr>
          <w:rFonts w:hint="eastAsia" w:ascii="楷体" w:hAnsi="楷体" w:eastAsia="楷体" w:cs="楷体"/>
          <w:sz w:val="28"/>
          <w:szCs w:val="28"/>
          <w:lang w:bidi="ar"/>
        </w:rPr>
        <w:t>中国重汽集团国际有限公司</w:t>
      </w:r>
      <w:r>
        <w:rPr>
          <w:rFonts w:ascii="楷体" w:hAnsi="楷体" w:eastAsia="楷体" w:cs="楷体"/>
          <w:sz w:val="28"/>
          <w:szCs w:val="28"/>
          <w:lang w:bidi="ar"/>
        </w:rPr>
        <w:t>：</w:t>
      </w:r>
    </w:p>
    <w:p w14:paraId="67510F4C">
      <w:pPr>
        <w:spacing w:after="193" w:afterLines="50" w:line="312" w:lineRule="auto"/>
        <w:ind w:firstLine="560" w:firstLineChars="200"/>
        <w:jc w:val="left"/>
        <w:rPr>
          <w:rFonts w:hint="eastAsia" w:ascii="楷体" w:hAnsi="楷体" w:eastAsia="楷体"/>
          <w:sz w:val="28"/>
          <w:szCs w:val="28"/>
        </w:rPr>
      </w:pPr>
      <w:r>
        <w:rPr>
          <w:rFonts w:ascii="楷体" w:hAnsi="楷体" w:eastAsia="楷体" w:cs="楷体"/>
          <w:sz w:val="28"/>
          <w:szCs w:val="28"/>
          <w:lang w:bidi="ar"/>
        </w:rPr>
        <w:t>本人（姓名）系（对方单位名称）的法定代表人，现委托（姓名）为我方代理人。代理人根据授权，以我方名义签署合同、处理招标等相关事宜，其一切法律后果均由我方承担。</w:t>
      </w:r>
    </w:p>
    <w:p w14:paraId="2BC4B4F2">
      <w:pPr>
        <w:spacing w:after="193" w:afterLines="50" w:line="312" w:lineRule="auto"/>
        <w:ind w:firstLine="560" w:firstLineChars="200"/>
        <w:jc w:val="left"/>
        <w:rPr>
          <w:rFonts w:hint="eastAsia" w:ascii="楷体" w:hAnsi="楷体" w:eastAsia="楷体"/>
          <w:sz w:val="28"/>
          <w:szCs w:val="28"/>
        </w:rPr>
      </w:pPr>
      <w:r>
        <w:rPr>
          <w:rFonts w:ascii="楷体" w:hAnsi="楷体" w:eastAsia="楷体" w:cs="楷体"/>
          <w:sz w:val="28"/>
          <w:szCs w:val="28"/>
          <w:lang w:bidi="ar"/>
        </w:rPr>
        <w:t>委托期限：</w:t>
      </w:r>
    </w:p>
    <w:p w14:paraId="345E8128">
      <w:pPr>
        <w:spacing w:after="193" w:afterLines="50" w:line="312" w:lineRule="auto"/>
        <w:ind w:firstLine="560" w:firstLineChars="200"/>
        <w:jc w:val="left"/>
        <w:rPr>
          <w:rFonts w:hint="eastAsia" w:ascii="楷体" w:hAnsi="楷体" w:eastAsia="楷体"/>
          <w:sz w:val="28"/>
          <w:szCs w:val="28"/>
        </w:rPr>
      </w:pPr>
      <w:r>
        <w:rPr>
          <w:rFonts w:ascii="楷体" w:hAnsi="楷体" w:eastAsia="楷体" w:cs="楷体"/>
          <w:sz w:val="28"/>
          <w:szCs w:val="28"/>
          <w:lang w:bidi="ar"/>
        </w:rPr>
        <w:t>代理人无转委托权。</w:t>
      </w:r>
    </w:p>
    <w:p w14:paraId="288D9BD2">
      <w:pPr>
        <w:spacing w:after="193" w:afterLines="50" w:line="312" w:lineRule="auto"/>
        <w:ind w:firstLine="560" w:firstLineChars="200"/>
        <w:jc w:val="left"/>
        <w:rPr>
          <w:rFonts w:hint="eastAsia" w:ascii="楷体" w:hAnsi="楷体" w:eastAsia="楷体"/>
          <w:sz w:val="28"/>
          <w:szCs w:val="28"/>
        </w:rPr>
      </w:pPr>
      <w:r>
        <w:rPr>
          <w:rFonts w:ascii="楷体" w:hAnsi="楷体" w:eastAsia="楷体" w:cs="楷体"/>
          <w:sz w:val="28"/>
          <w:szCs w:val="28"/>
          <w:lang w:bidi="ar"/>
        </w:rPr>
        <w:t>附：</w:t>
      </w:r>
      <w:r>
        <w:rPr>
          <w:rFonts w:hint="eastAsia" w:ascii="楷体" w:hAnsi="楷体" w:eastAsia="楷体" w:cs="楷体"/>
          <w:sz w:val="28"/>
          <w:szCs w:val="28"/>
          <w:lang w:bidi="ar"/>
        </w:rPr>
        <w:t>法定代表人及</w:t>
      </w:r>
      <w:r>
        <w:rPr>
          <w:rFonts w:ascii="楷体" w:hAnsi="楷体" w:eastAsia="楷体" w:cs="楷体"/>
          <w:sz w:val="28"/>
          <w:szCs w:val="28"/>
          <w:lang w:bidi="ar"/>
        </w:rPr>
        <w:t>代理人身份证明</w:t>
      </w:r>
    </w:p>
    <w:p w14:paraId="5B9F9B48">
      <w:pPr>
        <w:spacing w:line="312" w:lineRule="auto"/>
        <w:rPr>
          <w:rFonts w:hint="eastAsia" w:ascii="仿宋_GB2312" w:hAnsi="仿宋_GB2312" w:eastAsia="仿宋_GB2312" w:cs="仿宋_GB2312"/>
          <w:b/>
          <w:sz w:val="32"/>
          <w:szCs w:val="32"/>
          <w:lang w:bidi="ar"/>
        </w:rPr>
      </w:pPr>
    </w:p>
    <w:p w14:paraId="15150AC0">
      <w:pPr>
        <w:spacing w:line="312" w:lineRule="auto"/>
        <w:rPr>
          <w:rFonts w:hint="eastAsia" w:ascii="仿宋_GB2312" w:hAnsi="仿宋_GB2312" w:eastAsia="仿宋_GB2312" w:cs="仿宋_GB2312"/>
          <w:sz w:val="32"/>
          <w:szCs w:val="32"/>
        </w:rPr>
      </w:pPr>
    </w:p>
    <w:p w14:paraId="634A294F">
      <w:pPr>
        <w:spacing w:line="312" w:lineRule="auto"/>
        <w:rPr>
          <w:rFonts w:hint="eastAsia" w:ascii="仿宋_GB2312" w:hAnsi="仿宋_GB2312" w:eastAsia="仿宋_GB2312" w:cs="仿宋_GB2312"/>
          <w:sz w:val="32"/>
          <w:szCs w:val="32"/>
        </w:rPr>
      </w:pPr>
    </w:p>
    <w:p w14:paraId="2F1FB96E">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6CC27335">
      <w:pPr>
        <w:pStyle w:val="6"/>
        <w:outlineLvl w:val="2"/>
        <w:rPr>
          <w:rFonts w:hint="eastAsia" w:hAnsi="宋体" w:eastAsia="宋体" w:cs="宋体"/>
          <w:b/>
          <w:bCs/>
          <w:color w:val="000000"/>
          <w:sz w:val="24"/>
          <w:szCs w:val="24"/>
          <w:lang w:val="en-US" w:eastAsia="zh-CN"/>
        </w:rPr>
        <w:sectPr>
          <w:pgSz w:w="11906" w:h="16838"/>
          <w:pgMar w:top="1588" w:right="1418" w:bottom="1134" w:left="1418" w:header="851" w:footer="992" w:gutter="0"/>
          <w:cols w:space="720" w:num="1"/>
          <w:titlePg/>
          <w:docGrid w:type="lines" w:linePitch="312" w:charSpace="0"/>
        </w:sectPr>
      </w:pPr>
    </w:p>
    <w:p w14:paraId="3499DBC9">
      <w:pPr>
        <w:pStyle w:val="6"/>
        <w:outlineLvl w:val="2"/>
        <w:rPr>
          <w:rFonts w:hint="default"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 保密协议</w:t>
      </w:r>
    </w:p>
    <w:p w14:paraId="0D918D55">
      <w:pPr>
        <w:adjustRightInd w:val="0"/>
        <w:snapToGrid w:val="0"/>
        <w:spacing w:line="360" w:lineRule="auto"/>
        <w:jc w:val="center"/>
        <w:rPr>
          <w:rFonts w:hint="eastAsia" w:ascii="黑体" w:hAnsi="黑体" w:eastAsia="黑体" w:cs="黑体"/>
          <w:bCs/>
          <w:sz w:val="52"/>
          <w:szCs w:val="52"/>
          <w:lang w:val="en-GB"/>
        </w:rPr>
      </w:pPr>
      <w:r>
        <w:rPr>
          <w:rFonts w:hint="eastAsia" w:ascii="黑体" w:hAnsi="黑体" w:eastAsia="黑体" w:cs="黑体"/>
          <w:bCs/>
          <w:sz w:val="52"/>
          <w:szCs w:val="52"/>
          <w:lang w:val="en-GB"/>
        </w:rPr>
        <w:t>保密协议</w:t>
      </w:r>
    </w:p>
    <w:p w14:paraId="23E7AB28">
      <w:pPr>
        <w:adjustRightInd w:val="0"/>
        <w:snapToGrid w:val="0"/>
        <w:spacing w:line="360" w:lineRule="auto"/>
        <w:jc w:val="center"/>
        <w:rPr>
          <w:rFonts w:hint="eastAsia" w:ascii="黑体" w:hAnsi="黑体" w:eastAsia="黑体" w:cs="黑体"/>
          <w:bCs/>
          <w:sz w:val="28"/>
          <w:szCs w:val="28"/>
          <w:lang w:val="en-GB"/>
        </w:rPr>
      </w:pPr>
    </w:p>
    <w:p w14:paraId="099DD6A1">
      <w:pPr>
        <w:adjustRightInd w:val="0"/>
        <w:snapToGrid w:val="0"/>
        <w:spacing w:line="360" w:lineRule="auto"/>
        <w:jc w:val="center"/>
        <w:rPr>
          <w:rFonts w:hint="eastAsia" w:ascii="黑体" w:hAnsi="黑体" w:eastAsia="黑体" w:cs="黑体"/>
          <w:bCs/>
          <w:sz w:val="28"/>
          <w:szCs w:val="28"/>
          <w:lang w:val="en-GB"/>
        </w:rPr>
      </w:pPr>
    </w:p>
    <w:p w14:paraId="073FA1B4">
      <w:pPr>
        <w:adjustRightInd w:val="0"/>
        <w:snapToGrid w:val="0"/>
        <w:spacing w:line="360" w:lineRule="auto"/>
        <w:rPr>
          <w:rFonts w:hint="eastAsia" w:ascii="黑体" w:hAnsi="黑体" w:eastAsia="黑体" w:cs="黑体"/>
          <w:bCs/>
          <w:sz w:val="28"/>
          <w:szCs w:val="28"/>
          <w:lang w:val="en-GB"/>
        </w:rPr>
      </w:pPr>
    </w:p>
    <w:p w14:paraId="2F2B273F">
      <w:pPr>
        <w:adjustRightInd w:val="0"/>
        <w:snapToGrid w:val="0"/>
        <w:spacing w:line="360" w:lineRule="auto"/>
        <w:jc w:val="center"/>
        <w:rPr>
          <w:rFonts w:hint="eastAsia" w:ascii="黑体" w:hAnsi="黑体" w:eastAsia="黑体" w:cs="黑体"/>
          <w:bCs/>
          <w:sz w:val="28"/>
          <w:szCs w:val="28"/>
          <w:lang w:val="en-GB"/>
        </w:rPr>
      </w:pPr>
    </w:p>
    <w:p w14:paraId="258D5FD9">
      <w:pPr>
        <w:adjustRightInd w:val="0"/>
        <w:snapToGrid w:val="0"/>
        <w:spacing w:line="360" w:lineRule="auto"/>
        <w:jc w:val="center"/>
        <w:rPr>
          <w:rFonts w:hint="eastAsia" w:ascii="黑体" w:hAnsi="黑体" w:eastAsia="黑体" w:cs="黑体"/>
          <w:bCs/>
          <w:sz w:val="28"/>
          <w:szCs w:val="28"/>
          <w:lang w:val="en-GB"/>
        </w:rPr>
      </w:pPr>
    </w:p>
    <w:p w14:paraId="3BA2D802">
      <w:pPr>
        <w:adjustRightInd w:val="0"/>
        <w:snapToGrid w:val="0"/>
        <w:spacing w:line="360" w:lineRule="auto"/>
        <w:ind w:firstLine="2520" w:firstLineChars="1050"/>
        <w:rPr>
          <w:rFonts w:hint="eastAsia" w:ascii="黑体" w:hAnsi="黑体" w:eastAsia="黑体" w:cs="黑体"/>
          <w:bCs/>
          <w:sz w:val="24"/>
        </w:rPr>
      </w:pPr>
      <w:r>
        <w:rPr>
          <w:rFonts w:hint="eastAsia" w:ascii="黑体" w:hAnsi="黑体" w:eastAsia="黑体" w:cs="黑体"/>
          <w:bCs/>
          <w:sz w:val="24"/>
          <w:lang w:val="en-GB"/>
        </w:rPr>
        <w:t>甲方：</w:t>
      </w:r>
      <w:r>
        <w:rPr>
          <w:rFonts w:hint="eastAsia" w:ascii="黑体" w:hAnsi="黑体" w:eastAsia="黑体" w:cs="黑体"/>
          <w:bCs/>
          <w:sz w:val="24"/>
        </w:rPr>
        <w:t>中国重汽集团国际有限公司</w:t>
      </w:r>
    </w:p>
    <w:p w14:paraId="714585D6">
      <w:pPr>
        <w:adjustRightInd w:val="0"/>
        <w:snapToGrid w:val="0"/>
        <w:spacing w:line="360" w:lineRule="auto"/>
        <w:ind w:firstLine="2660" w:firstLineChars="950"/>
        <w:rPr>
          <w:rFonts w:hint="eastAsia" w:ascii="黑体" w:hAnsi="黑体" w:eastAsia="黑体" w:cs="黑体"/>
          <w:bCs/>
          <w:sz w:val="28"/>
          <w:szCs w:val="28"/>
          <w:lang w:val="en-GB"/>
        </w:rPr>
      </w:pPr>
    </w:p>
    <w:p w14:paraId="132C5D07">
      <w:pPr>
        <w:adjustRightInd w:val="0"/>
        <w:snapToGrid w:val="0"/>
        <w:spacing w:line="360" w:lineRule="auto"/>
        <w:ind w:firstLine="2520" w:firstLineChars="1050"/>
        <w:rPr>
          <w:rFonts w:hint="eastAsia" w:ascii="方正小标宋简体" w:hAnsi="黑体" w:eastAsia="方正小标宋简体"/>
          <w:bCs/>
          <w:sz w:val="24"/>
          <w:lang w:val="en-GB"/>
        </w:rPr>
      </w:pPr>
      <w:r>
        <w:rPr>
          <w:rFonts w:hint="eastAsia" w:ascii="黑体" w:hAnsi="黑体" w:eastAsia="黑体" w:cs="黑体"/>
          <w:bCs/>
          <w:sz w:val="24"/>
          <w:lang w:val="en-GB"/>
        </w:rPr>
        <w:t>乙方：_________________________</w:t>
      </w:r>
    </w:p>
    <w:p w14:paraId="27F999CE">
      <w:pPr>
        <w:widowControl/>
        <w:jc w:val="left"/>
        <w:rPr>
          <w:rFonts w:hint="eastAsia" w:asciiTheme="minorEastAsia" w:hAnsiTheme="minorEastAsia" w:cstheme="minorEastAsia"/>
          <w:b/>
          <w:bCs/>
          <w:sz w:val="22"/>
        </w:rPr>
      </w:pPr>
    </w:p>
    <w:p w14:paraId="2D8E3985">
      <w:pPr>
        <w:spacing w:line="360" w:lineRule="auto"/>
        <w:rPr>
          <w:rFonts w:hint="eastAsia" w:ascii="仿宋_GB2312" w:eastAsia="仿宋_GB2312" w:hAnsiTheme="minorEastAsia" w:cstheme="minorEastAsia"/>
          <w:sz w:val="24"/>
        </w:rPr>
      </w:pPr>
    </w:p>
    <w:p w14:paraId="44417A4F">
      <w:pPr>
        <w:spacing w:line="360" w:lineRule="auto"/>
        <w:rPr>
          <w:rFonts w:hint="eastAsia" w:ascii="仿宋_GB2312" w:eastAsia="仿宋_GB2312" w:hAnsiTheme="minorEastAsia" w:cstheme="minorEastAsia"/>
          <w:sz w:val="24"/>
        </w:rPr>
      </w:pPr>
    </w:p>
    <w:p w14:paraId="1EFDFE1F">
      <w:pPr>
        <w:spacing w:line="360" w:lineRule="auto"/>
        <w:rPr>
          <w:rFonts w:hint="eastAsia" w:ascii="仿宋_GB2312" w:eastAsia="仿宋_GB2312" w:hAnsiTheme="minorEastAsia" w:cstheme="minorEastAsia"/>
          <w:sz w:val="24"/>
        </w:rPr>
      </w:pPr>
    </w:p>
    <w:p w14:paraId="110AA170">
      <w:pPr>
        <w:spacing w:line="360" w:lineRule="auto"/>
        <w:rPr>
          <w:rFonts w:hint="eastAsia" w:ascii="仿宋_GB2312" w:eastAsia="仿宋_GB2312" w:hAnsiTheme="minorEastAsia" w:cstheme="minorEastAsia"/>
          <w:sz w:val="24"/>
        </w:rPr>
      </w:pPr>
      <w:r>
        <w:rPr>
          <w:rFonts w:hint="eastAsia" w:ascii="仿宋_GB2312" w:eastAsia="仿宋_GB2312" w:hAnsiTheme="minorEastAsia" w:cstheme="minorEastAsia"/>
          <w:sz w:val="24"/>
        </w:rPr>
        <w:t>本协议由以下双方于</w:t>
      </w:r>
      <w:r>
        <w:rPr>
          <w:rFonts w:hint="eastAsia" w:ascii="仿宋_GB2312" w:eastAsia="仿宋_GB2312" w:hAnsiTheme="minorEastAsia" w:cstheme="minorEastAsia"/>
          <w:sz w:val="24"/>
          <w:u w:val="single"/>
        </w:rPr>
        <w:t>山东济南</w:t>
      </w:r>
      <w:r>
        <w:rPr>
          <w:rFonts w:hint="eastAsia" w:ascii="仿宋_GB2312" w:eastAsia="仿宋_GB2312" w:hAnsiTheme="minorEastAsia" w:cstheme="minorEastAsia"/>
          <w:sz w:val="24"/>
        </w:rPr>
        <w:t>共同签署：</w:t>
      </w:r>
    </w:p>
    <w:p w14:paraId="5FE005AD">
      <w:pPr>
        <w:spacing w:line="360" w:lineRule="auto"/>
        <w:rPr>
          <w:rFonts w:hint="eastAsia" w:ascii="仿宋_GB2312" w:hAnsi="宋体" w:eastAsia="仿宋_GB2312" w:cs="宋体"/>
          <w:sz w:val="24"/>
        </w:rPr>
      </w:pPr>
      <w:r>
        <w:rPr>
          <w:rFonts w:hint="eastAsia" w:ascii="仿宋_GB2312" w:hAnsi="宋体" w:eastAsia="仿宋_GB2312" w:cs="宋体"/>
          <w:sz w:val="24"/>
        </w:rPr>
        <w:t>甲方：中国重汽集团</w:t>
      </w:r>
      <w:r>
        <w:rPr>
          <w:rFonts w:hint="eastAsia" w:ascii="仿宋_GB2312" w:hAnsi="宋体" w:eastAsia="仿宋_GB2312" w:cs="宋体"/>
          <w:sz w:val="24"/>
          <w:u w:val="single"/>
        </w:rPr>
        <w:t>国际</w:t>
      </w:r>
      <w:r>
        <w:rPr>
          <w:rFonts w:hint="eastAsia" w:ascii="仿宋_GB2312" w:hAnsi="宋体" w:eastAsia="仿宋_GB2312" w:cs="宋体"/>
          <w:sz w:val="24"/>
        </w:rPr>
        <w:t>有限公司</w:t>
      </w:r>
    </w:p>
    <w:p w14:paraId="30469C55">
      <w:pPr>
        <w:spacing w:line="360" w:lineRule="auto"/>
        <w:rPr>
          <w:rFonts w:hint="eastAsia" w:ascii="仿宋_GB2312" w:hAnsi="宋体" w:eastAsia="仿宋_GB2312" w:cs="宋体"/>
          <w:sz w:val="24"/>
        </w:rPr>
      </w:pPr>
      <w:r>
        <w:rPr>
          <w:rFonts w:hint="eastAsia" w:ascii="仿宋_GB2312" w:hAnsi="宋体" w:eastAsia="仿宋_GB2312" w:cs="宋体"/>
          <w:sz w:val="24"/>
        </w:rPr>
        <w:t>公司住所：山东省济南市高新区华奥路777号中国重汽科技大厦</w:t>
      </w:r>
    </w:p>
    <w:p w14:paraId="1FE84498">
      <w:pPr>
        <w:spacing w:line="360" w:lineRule="auto"/>
        <w:rPr>
          <w:rFonts w:hint="eastAsia" w:ascii="仿宋_GB2312" w:hAnsi="宋体" w:eastAsia="仿宋_GB2312" w:cs="宋体"/>
          <w:sz w:val="24"/>
        </w:rPr>
      </w:pPr>
      <w:r>
        <w:rPr>
          <w:rFonts w:hint="eastAsia" w:ascii="仿宋_GB2312" w:hAnsi="宋体" w:eastAsia="仿宋_GB2312" w:cs="宋体"/>
          <w:sz w:val="24"/>
        </w:rPr>
        <w:t>法定代表人：赵华</w:t>
      </w:r>
    </w:p>
    <w:p w14:paraId="2C9C3B49">
      <w:pPr>
        <w:spacing w:line="360" w:lineRule="auto"/>
        <w:rPr>
          <w:rFonts w:hint="eastAsia" w:ascii="仿宋_GB2312" w:hAnsi="宋体" w:eastAsia="仿宋_GB2312" w:cs="宋体"/>
          <w:sz w:val="24"/>
        </w:rPr>
      </w:pPr>
    </w:p>
    <w:p w14:paraId="009B1E9D">
      <w:pPr>
        <w:spacing w:line="360" w:lineRule="auto"/>
        <w:rPr>
          <w:rFonts w:hint="eastAsia" w:ascii="仿宋_GB2312" w:hAnsi="宋体" w:eastAsia="仿宋_GB2312" w:cs="宋体"/>
          <w:sz w:val="24"/>
        </w:rPr>
      </w:pPr>
      <w:r>
        <w:rPr>
          <w:rFonts w:hint="eastAsia" w:ascii="仿宋_GB2312" w:hAnsi="宋体" w:eastAsia="仿宋_GB2312" w:cs="宋体"/>
          <w:sz w:val="24"/>
        </w:rPr>
        <w:t>乙方：</w:t>
      </w:r>
    </w:p>
    <w:p w14:paraId="59F21E43">
      <w:pPr>
        <w:spacing w:line="360" w:lineRule="auto"/>
        <w:rPr>
          <w:rFonts w:hint="eastAsia" w:ascii="仿宋_GB2312" w:hAnsi="宋体" w:eastAsia="仿宋_GB2312" w:cs="宋体"/>
          <w:sz w:val="24"/>
        </w:rPr>
      </w:pPr>
      <w:r>
        <w:rPr>
          <w:rFonts w:hint="eastAsia" w:ascii="仿宋_GB2312" w:hAnsi="宋体" w:eastAsia="仿宋_GB2312" w:cs="宋体"/>
          <w:sz w:val="24"/>
        </w:rPr>
        <w:t>公司住所：</w:t>
      </w:r>
    </w:p>
    <w:p w14:paraId="387FD725">
      <w:pPr>
        <w:spacing w:line="360" w:lineRule="auto"/>
        <w:rPr>
          <w:rFonts w:hint="eastAsia" w:ascii="仿宋_GB2312" w:hAnsi="宋体" w:eastAsia="仿宋_GB2312" w:cs="宋体"/>
          <w:sz w:val="24"/>
        </w:rPr>
      </w:pPr>
      <w:r>
        <w:rPr>
          <w:rFonts w:hint="eastAsia" w:ascii="仿宋_GB2312" w:hAnsi="宋体" w:eastAsia="仿宋_GB2312" w:cs="宋体"/>
          <w:sz w:val="24"/>
        </w:rPr>
        <w:t>法定代表人：</w:t>
      </w:r>
    </w:p>
    <w:p w14:paraId="1B6D6D7A">
      <w:pPr>
        <w:spacing w:line="360" w:lineRule="auto"/>
        <w:rPr>
          <w:rFonts w:hint="eastAsia" w:ascii="仿宋_GB2312" w:hAnsi="宋体" w:eastAsia="仿宋_GB2312" w:cs="宋体"/>
          <w:sz w:val="24"/>
          <w:lang w:val="en-GB"/>
        </w:rPr>
      </w:pPr>
    </w:p>
    <w:p w14:paraId="500D9C4A">
      <w:pPr>
        <w:spacing w:line="360" w:lineRule="auto"/>
        <w:rPr>
          <w:rFonts w:hint="eastAsia" w:ascii="仿宋_GB2312" w:hAnsi="宋体" w:eastAsia="仿宋_GB2312" w:cs="宋体"/>
          <w:sz w:val="24"/>
          <w:lang w:val="en-GB"/>
        </w:rPr>
      </w:pPr>
    </w:p>
    <w:p w14:paraId="35319ADA">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甲乙双方需开展</w:t>
      </w:r>
      <w:r>
        <w:rPr>
          <w:rFonts w:hint="eastAsia" w:ascii="仿宋_GB2312" w:eastAsia="仿宋_GB2312" w:hAnsiTheme="minorEastAsia" w:cstheme="minorEastAsia"/>
          <w:sz w:val="24"/>
          <w:u w:val="single"/>
        </w:rPr>
        <w:t>山东重工集团2026年汉诺威车展展位搭建项目</w:t>
      </w:r>
      <w:r>
        <w:rPr>
          <w:rFonts w:hint="eastAsia" w:ascii="仿宋_GB2312" w:eastAsia="仿宋_GB2312" w:hAnsiTheme="minorEastAsia" w:cstheme="minorEastAsia"/>
          <w:sz w:val="24"/>
        </w:rPr>
        <w:t>合作。出于该合作目的，甲方已经或将要向乙方提供有关项目的保密信息。经平等协商，双方自愿签订协议如下：</w:t>
      </w:r>
    </w:p>
    <w:p w14:paraId="4B0E5A1D">
      <w:pPr>
        <w:spacing w:line="360" w:lineRule="auto"/>
        <w:ind w:firstLine="560" w:firstLineChars="200"/>
        <w:rPr>
          <w:rFonts w:hint="eastAsia" w:ascii="黑体" w:hAnsi="黑体" w:eastAsia="黑体" w:cstheme="minorEastAsia"/>
          <w:bCs/>
          <w:sz w:val="28"/>
          <w:szCs w:val="28"/>
        </w:rPr>
      </w:pPr>
      <w:r>
        <w:rPr>
          <w:rFonts w:hint="eastAsia" w:ascii="黑体" w:hAnsi="黑体" w:eastAsia="黑体" w:cstheme="minorEastAsia"/>
          <w:bCs/>
          <w:sz w:val="28"/>
          <w:szCs w:val="28"/>
        </w:rPr>
        <w:t>第一条定义</w:t>
      </w:r>
    </w:p>
    <w:p w14:paraId="00A3D7DE">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1、“保密信息”指甲方现在或将来向乙方提供的</w:t>
      </w:r>
      <w:r>
        <w:rPr>
          <w:rFonts w:hint="eastAsia" w:ascii="仿宋_GB2312" w:eastAsia="仿宋_GB2312" w:hAnsiTheme="minorEastAsia" w:cstheme="minorEastAsia"/>
          <w:sz w:val="24"/>
          <w:lang w:val="en-GB"/>
        </w:rPr>
        <w:t>与本协议有关的任何信息和数据，包括但不限于任何类型的</w:t>
      </w:r>
      <w:r>
        <w:rPr>
          <w:rFonts w:hint="eastAsia" w:ascii="仿宋_GB2312" w:eastAsia="仿宋_GB2312" w:hAnsiTheme="minorEastAsia" w:cstheme="minorEastAsia"/>
          <w:sz w:val="24"/>
        </w:rPr>
        <w:t>经营信息、技术信息</w:t>
      </w:r>
      <w:r>
        <w:rPr>
          <w:rFonts w:hint="eastAsia" w:ascii="仿宋_GB2312" w:eastAsia="仿宋_GB2312" w:hAnsiTheme="minorEastAsia" w:cstheme="minorEastAsia"/>
          <w:sz w:val="24"/>
          <w:lang w:val="en-GB"/>
        </w:rPr>
        <w:t>、</w:t>
      </w:r>
      <w:r>
        <w:rPr>
          <w:rFonts w:hint="eastAsia" w:ascii="仿宋_GB2312" w:eastAsia="仿宋_GB2312" w:hAnsiTheme="minorEastAsia" w:cstheme="minorEastAsia"/>
          <w:sz w:val="24"/>
        </w:rPr>
        <w:t>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289CFE25">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2、信息提供方：甲方</w:t>
      </w:r>
    </w:p>
    <w:p w14:paraId="29CEA883">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3、信息接收方：乙方</w:t>
      </w:r>
    </w:p>
    <w:p w14:paraId="78236B1D">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4、第三方：指本协议双方之外的任何第三方。</w:t>
      </w:r>
    </w:p>
    <w:p w14:paraId="01D11E9A">
      <w:pPr>
        <w:spacing w:line="360" w:lineRule="auto"/>
        <w:ind w:firstLine="480" w:firstLineChars="200"/>
        <w:rPr>
          <w:rFonts w:hint="eastAsia" w:ascii="仿宋_GB2312" w:eastAsia="仿宋_GB2312" w:hAnsiTheme="minorEastAsia" w:cstheme="minorEastAsia"/>
          <w:sz w:val="24"/>
        </w:rPr>
      </w:pPr>
      <w:r>
        <w:rPr>
          <w:rFonts w:hint="eastAsia" w:ascii="仿宋_GB2312" w:hAnsi="宋体" w:eastAsia="仿宋_GB2312" w:cs="宋体"/>
          <w:sz w:val="24"/>
        </w:rPr>
        <w:t>5、</w:t>
      </w:r>
      <w:r>
        <w:rPr>
          <w:rFonts w:hint="eastAsia" w:ascii="仿宋_GB2312" w:hAnsi="宋体" w:eastAsia="仿宋_GB2312" w:cs="宋体"/>
          <w:sz w:val="24"/>
          <w:lang w:val="en-GB"/>
        </w:rPr>
        <w:t>关联</w:t>
      </w:r>
      <w:r>
        <w:rPr>
          <w:rFonts w:hint="eastAsia" w:ascii="仿宋_GB2312" w:hAnsi="宋体" w:eastAsia="仿宋_GB2312" w:cs="宋体"/>
          <w:sz w:val="24"/>
        </w:rPr>
        <w:t>公司</w:t>
      </w:r>
      <w:r>
        <w:rPr>
          <w:rFonts w:hint="eastAsia" w:ascii="仿宋_GB2312" w:hAnsi="宋体" w:eastAsia="仿宋_GB2312" w:cs="宋体"/>
          <w:sz w:val="24"/>
          <w:lang w:val="en-GB"/>
        </w:rPr>
        <w:t>：直接或间接控制</w:t>
      </w:r>
      <w:r>
        <w:rPr>
          <w:rFonts w:hint="eastAsia" w:ascii="仿宋_GB2312" w:hAnsi="宋体" w:eastAsia="仿宋_GB2312" w:cs="宋体"/>
          <w:sz w:val="24"/>
        </w:rPr>
        <w:t>一</w:t>
      </w:r>
      <w:r>
        <w:rPr>
          <w:rFonts w:hint="eastAsia" w:ascii="仿宋_GB2312" w:hAnsi="宋体" w:eastAsia="仿宋_GB2312" w:cs="宋体"/>
          <w:sz w:val="24"/>
          <w:lang w:val="en-GB"/>
        </w:rPr>
        <w:t>方，或者受控于</w:t>
      </w:r>
      <w:r>
        <w:rPr>
          <w:rFonts w:hint="eastAsia" w:ascii="仿宋_GB2312" w:hAnsi="宋体" w:eastAsia="仿宋_GB2312" w:cs="宋体"/>
          <w:sz w:val="24"/>
        </w:rPr>
        <w:t>该</w:t>
      </w:r>
      <w:r>
        <w:rPr>
          <w:rFonts w:hint="eastAsia" w:ascii="仿宋_GB2312" w:hAnsi="宋体" w:eastAsia="仿宋_GB2312" w:cs="宋体"/>
          <w:sz w:val="24"/>
          <w:lang w:val="en-GB"/>
        </w:rPr>
        <w:t>方，或者与</w:t>
      </w:r>
      <w:r>
        <w:rPr>
          <w:rFonts w:hint="eastAsia" w:ascii="仿宋_GB2312" w:hAnsi="宋体" w:eastAsia="仿宋_GB2312" w:cs="宋体"/>
          <w:sz w:val="24"/>
        </w:rPr>
        <w:t>该</w:t>
      </w:r>
      <w:r>
        <w:rPr>
          <w:rFonts w:hint="eastAsia" w:ascii="仿宋_GB2312" w:hAnsi="宋体" w:eastAsia="仿宋_GB2312" w:cs="宋体"/>
          <w:sz w:val="24"/>
          <w:lang w:val="en-GB"/>
        </w:rPr>
        <w:t>方共同处于控制之下的任何</w:t>
      </w:r>
      <w:r>
        <w:rPr>
          <w:rFonts w:hint="eastAsia" w:ascii="仿宋_GB2312" w:eastAsia="仿宋_GB2312" w:hAnsiTheme="minorEastAsia" w:cstheme="minorEastAsia"/>
          <w:sz w:val="24"/>
        </w:rPr>
        <w:t>第三方。</w:t>
      </w:r>
    </w:p>
    <w:p w14:paraId="4E8FBAC2">
      <w:pPr>
        <w:spacing w:line="360" w:lineRule="auto"/>
        <w:ind w:firstLine="560" w:firstLineChars="200"/>
        <w:rPr>
          <w:rFonts w:hint="eastAsia" w:ascii="黑体" w:hAnsi="黑体" w:eastAsia="黑体" w:cstheme="minorEastAsia"/>
          <w:bCs/>
          <w:sz w:val="28"/>
          <w:szCs w:val="28"/>
        </w:rPr>
      </w:pPr>
      <w:r>
        <w:rPr>
          <w:rFonts w:hint="eastAsia" w:ascii="黑体" w:hAnsi="黑体" w:eastAsia="黑体" w:cstheme="minorEastAsia"/>
          <w:bCs/>
          <w:sz w:val="28"/>
          <w:szCs w:val="28"/>
        </w:rPr>
        <w:t>第二条保密信息的提供</w:t>
      </w:r>
    </w:p>
    <w:p w14:paraId="7AFC82E3">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1、本协议所述之保密信息均由协议双方为洽谈合作事项之目的而提供。</w:t>
      </w:r>
    </w:p>
    <w:p w14:paraId="44362A36">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2、保密信息的所有权及知识产权归属于甲方或甲方具有合法来源。</w:t>
      </w:r>
    </w:p>
    <w:p w14:paraId="6CFE3B3F">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3、本协议任何条款均不视为将保密信息的所有权和其他权利转让给乙方。</w:t>
      </w:r>
    </w:p>
    <w:p w14:paraId="7033D3B9">
      <w:pPr>
        <w:spacing w:line="360" w:lineRule="auto"/>
        <w:ind w:firstLine="560" w:firstLineChars="200"/>
        <w:rPr>
          <w:rFonts w:hint="eastAsia" w:ascii="黑体" w:hAnsi="黑体" w:eastAsia="黑体" w:cstheme="minorEastAsia"/>
          <w:bCs/>
          <w:sz w:val="28"/>
          <w:szCs w:val="28"/>
        </w:rPr>
      </w:pPr>
      <w:r>
        <w:rPr>
          <w:rFonts w:hint="eastAsia" w:ascii="黑体" w:hAnsi="黑体" w:eastAsia="黑体" w:cstheme="minorEastAsia"/>
          <w:bCs/>
          <w:sz w:val="28"/>
          <w:szCs w:val="28"/>
        </w:rPr>
        <w:t>第三条保密义务</w:t>
      </w:r>
    </w:p>
    <w:p w14:paraId="0F4E5985">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1、乙方仅能将甲方提供的保密信息用于本协议所约定的项目并承担保密义务。</w:t>
      </w:r>
    </w:p>
    <w:p w14:paraId="4BCCF9CA">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露、被披露、被交流。</w:t>
      </w:r>
    </w:p>
    <w:p w14:paraId="11979640">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14:paraId="7F6BBCE2">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4、如乙方得悉甲方的任何保密信息遭到侵犯或疑似侵权，乙方应立即通知甲方。如果甲方决定就侵权行为进行起诉，或以其他方式停止或阻止该实际或可能发生的侵权行为，乙方应尽最大限度予以协助。</w:t>
      </w:r>
    </w:p>
    <w:p w14:paraId="633A2DAC">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5、乙方不得在世界任何地方就保密信息进行升级、变更和/或改进，亦不得直接或间接提交或促使提交专利或著作权或其他权利的申请，也不得以其名义取得或促使以其他人名义取得任何专利或其他权利注册。</w:t>
      </w:r>
    </w:p>
    <w:p w14:paraId="49F71E30">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6、乙方应遵从甲方不时发出的有关使用、处理和保管保密信息的任何指令或政策，并按照甲方的要求将本协议项下保密信息的使用情况向甲方汇报。</w:t>
      </w:r>
    </w:p>
    <w:p w14:paraId="284DF733">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7、乙方不得为第三方利益使用保密信息，不得非为实现双方合作目的使用保密信息，不得对保密信息采取任何反向工程、反向编译或反向分解等行为。</w:t>
      </w:r>
    </w:p>
    <w:p w14:paraId="5211183F">
      <w:pPr>
        <w:spacing w:line="360" w:lineRule="auto"/>
        <w:ind w:firstLine="480" w:firstLineChars="200"/>
        <w:rPr>
          <w:rFonts w:hint="eastAsia" w:ascii="仿宋_GB2312" w:eastAsia="仿宋_GB2312" w:hAnsiTheme="minorEastAsia" w:cstheme="minorEastAsia"/>
          <w:sz w:val="24"/>
          <w:highlight w:val="yellow"/>
        </w:rPr>
      </w:pPr>
      <w:r>
        <w:rPr>
          <w:rFonts w:hint="eastAsia" w:ascii="仿宋_GB2312" w:eastAsia="仿宋_GB2312" w:hAnsiTheme="minorEastAsia" w:cstheme="minorEastAsia"/>
          <w:sz w:val="24"/>
        </w:rPr>
        <w:t>8、双方合作期间形成的与本协议有关的任何信息和数据受本协议约束。</w:t>
      </w:r>
    </w:p>
    <w:p w14:paraId="74DC15FB">
      <w:pPr>
        <w:tabs>
          <w:tab w:val="left" w:pos="567"/>
        </w:tabs>
        <w:spacing w:line="360" w:lineRule="auto"/>
        <w:ind w:firstLine="480" w:firstLineChars="200"/>
        <w:rPr>
          <w:rFonts w:hint="eastAsia" w:ascii="仿宋_GB2312" w:hAnsi="宋体" w:eastAsia="仿宋_GB2312" w:cs="宋体"/>
          <w:sz w:val="24"/>
          <w:lang w:val="en-GB"/>
        </w:rPr>
      </w:pPr>
      <w:r>
        <w:rPr>
          <w:rFonts w:hint="eastAsia" w:ascii="仿宋_GB2312" w:hAnsi="宋体" w:eastAsia="仿宋_GB2312" w:cs="宋体"/>
          <w:sz w:val="24"/>
          <w:lang w:val="en-GB"/>
        </w:rPr>
        <w:t>在本协议签订后，</w:t>
      </w:r>
      <w:r>
        <w:rPr>
          <w:rFonts w:hint="eastAsia" w:ascii="仿宋_GB2312" w:hAnsi="宋体" w:eastAsia="仿宋_GB2312" w:cs="宋体"/>
          <w:sz w:val="24"/>
        </w:rPr>
        <w:t>甲方仅将保密信息向乙</w:t>
      </w:r>
      <w:r>
        <w:rPr>
          <w:rFonts w:hint="eastAsia" w:ascii="仿宋_GB2312" w:hAnsi="宋体" w:eastAsia="仿宋_GB2312" w:cs="宋体"/>
          <w:sz w:val="24"/>
          <w:lang w:val="en-GB"/>
        </w:rPr>
        <w:t>方</w:t>
      </w:r>
      <w:r>
        <w:rPr>
          <w:rFonts w:hint="eastAsia" w:ascii="仿宋_GB2312" w:hAnsi="宋体" w:eastAsia="仿宋_GB2312" w:cs="宋体"/>
          <w:sz w:val="24"/>
        </w:rPr>
        <w:t>指定联系人</w:t>
      </w:r>
      <w:bookmarkStart w:id="2" w:name="OLE_LINK3"/>
      <w:bookmarkStart w:id="3" w:name="OLE_LINK2"/>
      <w:r>
        <w:rPr>
          <w:rFonts w:hint="eastAsia" w:ascii="仿宋_GB2312" w:hAnsi="宋体" w:eastAsia="仿宋_GB2312" w:cs="宋体"/>
          <w:sz w:val="24"/>
        </w:rPr>
        <w:t>：</w:t>
      </w:r>
      <w:bookmarkEnd w:id="2"/>
      <w:bookmarkEnd w:id="3"/>
      <w:r>
        <w:rPr>
          <w:rFonts w:hint="eastAsia" w:ascii="仿宋_GB2312" w:hAnsi="宋体" w:eastAsia="仿宋_GB2312" w:cs="宋体"/>
          <w:sz w:val="24"/>
        </w:rPr>
        <w:t>进行披露，如乙方联系人发生变更，应立即书面通知甲方并做出新的授权。</w:t>
      </w:r>
    </w:p>
    <w:p w14:paraId="3A442A02">
      <w:pPr>
        <w:spacing w:line="360" w:lineRule="auto"/>
        <w:ind w:firstLine="560" w:firstLineChars="200"/>
        <w:rPr>
          <w:rFonts w:hint="eastAsia" w:ascii="黑体" w:hAnsi="黑体" w:eastAsia="黑体" w:cstheme="minorEastAsia"/>
          <w:bCs/>
          <w:sz w:val="28"/>
          <w:szCs w:val="28"/>
        </w:rPr>
      </w:pPr>
      <w:r>
        <w:rPr>
          <w:rFonts w:hint="eastAsia" w:ascii="黑体" w:hAnsi="黑体" w:eastAsia="黑体" w:cstheme="minorEastAsia"/>
          <w:bCs/>
          <w:sz w:val="28"/>
          <w:szCs w:val="28"/>
        </w:rPr>
        <w:t>第四条保密义务的例外</w:t>
      </w:r>
    </w:p>
    <w:p w14:paraId="640C50E3">
      <w:pPr>
        <w:spacing w:line="360" w:lineRule="auto"/>
        <w:ind w:firstLine="480" w:firstLineChars="200"/>
        <w:rPr>
          <w:rFonts w:hint="eastAsia" w:ascii="仿宋_GB2312" w:eastAsia="仿宋_GB2312" w:hAnsiTheme="minorEastAsia" w:cstheme="minorEastAsia"/>
          <w:sz w:val="24"/>
          <w:lang w:val="en-GB"/>
        </w:rPr>
      </w:pPr>
      <w:r>
        <w:rPr>
          <w:rFonts w:hint="eastAsia" w:ascii="仿宋_GB2312" w:eastAsia="仿宋_GB2312" w:hAnsiTheme="minorEastAsia" w:cstheme="minorEastAsia"/>
          <w:sz w:val="24"/>
        </w:rPr>
        <w:t>1、</w:t>
      </w:r>
      <w:r>
        <w:rPr>
          <w:rFonts w:hint="eastAsia" w:ascii="仿宋_GB2312" w:eastAsia="仿宋_GB2312" w:hAnsiTheme="minorEastAsia" w:cstheme="minorEastAsia"/>
          <w:sz w:val="24"/>
          <w:lang w:val="en-GB"/>
        </w:rPr>
        <w:t>根据有关法律或有管辖权的法院、仲裁机构、交易所或政府机构</w:t>
      </w:r>
      <w:r>
        <w:rPr>
          <w:rFonts w:hint="eastAsia" w:ascii="仿宋_GB2312" w:eastAsia="仿宋_GB2312" w:hAnsiTheme="minorEastAsia" w:cstheme="minorEastAsia"/>
          <w:sz w:val="24"/>
        </w:rPr>
        <w:t>的</w:t>
      </w:r>
      <w:r>
        <w:rPr>
          <w:rFonts w:hint="eastAsia" w:ascii="仿宋_GB2312" w:eastAsia="仿宋_GB2312" w:hAnsiTheme="minorEastAsia" w:cstheme="minorEastAsia"/>
          <w:sz w:val="24"/>
          <w:lang w:val="en-GB"/>
        </w:rPr>
        <w:t>要求而披露保密信息。</w:t>
      </w:r>
    </w:p>
    <w:p w14:paraId="4787FD37">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2、事先取得甲方书面同意而公开的信息。</w:t>
      </w:r>
    </w:p>
    <w:p w14:paraId="4709FE46">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披露该等保密信息之前，乙方应当立即通知甲方，并提供有关该等命令的通知，协同甲方采取有效措施防范风险。</w:t>
      </w:r>
    </w:p>
    <w:p w14:paraId="656C8E5B">
      <w:pPr>
        <w:spacing w:line="360" w:lineRule="auto"/>
        <w:ind w:firstLine="560" w:firstLineChars="200"/>
        <w:rPr>
          <w:rFonts w:hint="eastAsia" w:ascii="黑体" w:hAnsi="黑体" w:eastAsia="黑体" w:cstheme="minorEastAsia"/>
          <w:bCs/>
          <w:sz w:val="28"/>
          <w:szCs w:val="28"/>
        </w:rPr>
      </w:pPr>
      <w:r>
        <w:rPr>
          <w:rFonts w:hint="eastAsia" w:ascii="黑体" w:hAnsi="黑体" w:eastAsia="黑体" w:cstheme="minorEastAsia"/>
          <w:bCs/>
          <w:sz w:val="28"/>
          <w:szCs w:val="28"/>
        </w:rPr>
        <w:t>第五条保密信息的返还</w:t>
      </w:r>
    </w:p>
    <w:p w14:paraId="109E2B7A">
      <w:pPr>
        <w:tabs>
          <w:tab w:val="left" w:pos="990"/>
        </w:tabs>
        <w:spacing w:line="360" w:lineRule="auto"/>
        <w:ind w:firstLine="480" w:firstLineChars="200"/>
        <w:rPr>
          <w:rFonts w:hint="eastAsia" w:ascii="仿宋_GB2312" w:hAnsi="宋体" w:eastAsia="仿宋_GB2312" w:cs="宋体"/>
          <w:sz w:val="24"/>
        </w:rPr>
      </w:pPr>
      <w:r>
        <w:rPr>
          <w:rFonts w:hint="eastAsia" w:ascii="仿宋_GB2312" w:eastAsia="仿宋_GB2312" w:hAnsiTheme="minorEastAsia" w:cstheme="minorEastAsia"/>
          <w:sz w:val="24"/>
        </w:rPr>
        <w:t>根据</w:t>
      </w:r>
      <w:r>
        <w:rPr>
          <w:rFonts w:hint="eastAsia" w:ascii="仿宋_GB2312" w:hAnsi="宋体" w:eastAsia="仿宋_GB2312" w:cs="宋体"/>
          <w:sz w:val="24"/>
        </w:rPr>
        <w:t>甲方要求或乙方违约时</w:t>
      </w:r>
      <w:r>
        <w:rPr>
          <w:rFonts w:hint="eastAsia" w:ascii="仿宋_GB2312" w:hAnsi="宋体" w:eastAsia="仿宋_GB2312" w:cs="宋体"/>
          <w:sz w:val="24"/>
          <w:lang w:val="en-GB"/>
        </w:rPr>
        <w:t>，</w:t>
      </w:r>
      <w:r>
        <w:rPr>
          <w:rFonts w:hint="eastAsia" w:ascii="仿宋_GB2312" w:hAnsi="宋体" w:eastAsia="仿宋_GB2312" w:cs="宋体"/>
          <w:sz w:val="24"/>
        </w:rPr>
        <w:t>乙方应</w:t>
      </w:r>
      <w:r>
        <w:rPr>
          <w:rFonts w:hint="eastAsia" w:ascii="仿宋_GB2312" w:hAnsi="宋体" w:eastAsia="仿宋_GB2312" w:cs="宋体"/>
          <w:sz w:val="24"/>
          <w:lang w:val="en-GB"/>
        </w:rPr>
        <w:t>立即</w:t>
      </w:r>
      <w:r>
        <w:rPr>
          <w:rFonts w:hint="eastAsia" w:ascii="仿宋_GB2312" w:hAnsi="宋体" w:eastAsia="仿宋_GB2312" w:cs="宋体"/>
          <w:sz w:val="24"/>
        </w:rPr>
        <w:t>在甲方要求的时间内</w:t>
      </w:r>
      <w:r>
        <w:rPr>
          <w:rFonts w:hint="eastAsia" w:ascii="仿宋_GB2312" w:hAnsi="宋体" w:eastAsia="仿宋_GB2312" w:cs="宋体"/>
          <w:sz w:val="24"/>
          <w:lang w:val="en-GB"/>
        </w:rPr>
        <w:t>向甲方返还所有保密信息并不得保存副本，</w:t>
      </w:r>
      <w:r>
        <w:rPr>
          <w:rFonts w:hint="eastAsia" w:ascii="仿宋_GB2312" w:hAnsi="宋体" w:eastAsia="仿宋_GB2312" w:cs="宋体"/>
          <w:sz w:val="24"/>
        </w:rPr>
        <w:t>包括但不限于储存于</w:t>
      </w:r>
      <w:r>
        <w:rPr>
          <w:rFonts w:hint="eastAsia" w:ascii="仿宋_GB2312" w:hAnsi="宋体" w:eastAsia="仿宋_GB2312" w:cs="宋体"/>
          <w:sz w:val="24"/>
          <w:lang w:val="en-GB"/>
        </w:rPr>
        <w:t>计算机磁盘、CD-ROM驱动、CD-ROM、硬盘、软件或任何纸质媒介的材料</w:t>
      </w:r>
      <w:r>
        <w:rPr>
          <w:rFonts w:hint="eastAsia" w:ascii="仿宋_GB2312" w:hAnsi="宋体" w:eastAsia="仿宋_GB2312" w:cs="宋体"/>
          <w:sz w:val="24"/>
        </w:rPr>
        <w:t>及其</w:t>
      </w:r>
      <w:r>
        <w:rPr>
          <w:rFonts w:hint="eastAsia" w:ascii="仿宋_GB2312" w:hAnsi="宋体" w:eastAsia="仿宋_GB2312" w:cs="宋体"/>
          <w:sz w:val="24"/>
          <w:lang w:val="en-GB"/>
        </w:rPr>
        <w:t>备份。</w:t>
      </w:r>
      <w:r>
        <w:rPr>
          <w:rFonts w:hint="eastAsia" w:ascii="仿宋_GB2312" w:hAnsi="宋体" w:eastAsia="仿宋_GB2312" w:cs="宋体"/>
          <w:sz w:val="24"/>
        </w:rPr>
        <w:t>因</w:t>
      </w:r>
      <w:r>
        <w:rPr>
          <w:rFonts w:hint="eastAsia" w:ascii="仿宋_GB2312" w:hAnsi="宋体" w:eastAsia="仿宋_GB2312" w:cs="宋体"/>
          <w:sz w:val="24"/>
          <w:lang w:val="en-GB"/>
        </w:rPr>
        <w:t>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w:t>
      </w:r>
      <w:r>
        <w:rPr>
          <w:rFonts w:hint="eastAsia" w:ascii="仿宋_GB2312" w:hAnsi="宋体" w:eastAsia="仿宋_GB2312" w:cs="宋体"/>
          <w:sz w:val="24"/>
        </w:rPr>
        <w:t>同时乙方应</w:t>
      </w:r>
      <w:r>
        <w:rPr>
          <w:rFonts w:hint="eastAsia" w:ascii="仿宋_GB2312" w:hAnsi="宋体" w:eastAsia="仿宋_GB2312" w:cs="宋体"/>
          <w:sz w:val="24"/>
          <w:lang w:val="en-GB"/>
        </w:rPr>
        <w:t>向</w:t>
      </w:r>
      <w:r>
        <w:rPr>
          <w:rFonts w:hint="eastAsia" w:ascii="仿宋_GB2312" w:hAnsi="宋体" w:eastAsia="仿宋_GB2312" w:cs="宋体"/>
          <w:sz w:val="24"/>
        </w:rPr>
        <w:t>甲</w:t>
      </w:r>
      <w:r>
        <w:rPr>
          <w:rFonts w:hint="eastAsia" w:ascii="仿宋_GB2312" w:hAnsi="宋体" w:eastAsia="仿宋_GB2312" w:cs="宋体"/>
          <w:sz w:val="24"/>
          <w:lang w:val="en-GB"/>
        </w:rPr>
        <w:t>方出具已经归还或销毁</w:t>
      </w:r>
      <w:r>
        <w:rPr>
          <w:rFonts w:hint="eastAsia" w:ascii="仿宋_GB2312" w:hAnsi="宋体" w:eastAsia="仿宋_GB2312" w:cs="宋体"/>
          <w:sz w:val="24"/>
        </w:rPr>
        <w:t>全部</w:t>
      </w:r>
      <w:r>
        <w:rPr>
          <w:rFonts w:hint="eastAsia" w:ascii="仿宋_GB2312" w:hAnsi="宋体" w:eastAsia="仿宋_GB2312" w:cs="宋体"/>
          <w:sz w:val="24"/>
          <w:lang w:val="en-GB"/>
        </w:rPr>
        <w:t>材料的书面</w:t>
      </w:r>
      <w:r>
        <w:rPr>
          <w:rFonts w:hint="eastAsia" w:ascii="仿宋_GB2312" w:hAnsi="宋体" w:eastAsia="仿宋_GB2312" w:cs="宋体"/>
          <w:sz w:val="24"/>
        </w:rPr>
        <w:t>承诺。</w:t>
      </w:r>
    </w:p>
    <w:p w14:paraId="1EF6A8CF">
      <w:pPr>
        <w:spacing w:line="360" w:lineRule="auto"/>
        <w:ind w:firstLine="560" w:firstLineChars="200"/>
        <w:rPr>
          <w:rFonts w:hint="eastAsia" w:ascii="黑体" w:hAnsi="黑体" w:eastAsia="黑体" w:cstheme="minorEastAsia"/>
          <w:bCs/>
          <w:sz w:val="28"/>
          <w:szCs w:val="28"/>
        </w:rPr>
      </w:pPr>
      <w:r>
        <w:rPr>
          <w:rFonts w:hint="eastAsia" w:ascii="黑体" w:hAnsi="黑体" w:eastAsia="黑体" w:cstheme="minorEastAsia"/>
          <w:bCs/>
          <w:sz w:val="28"/>
          <w:szCs w:val="28"/>
        </w:rPr>
        <w:t>第六条保密期限</w:t>
      </w:r>
    </w:p>
    <w:p w14:paraId="77B6DD98">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除本协议双方另有约定外，本协议的保密期限自甲方提供保密信息之日起至本协议所述保密信息向公众披露或为公众所知悉之日止。</w:t>
      </w:r>
    </w:p>
    <w:p w14:paraId="3D600C9A">
      <w:pPr>
        <w:spacing w:line="360" w:lineRule="auto"/>
        <w:ind w:firstLine="560" w:firstLineChars="200"/>
        <w:rPr>
          <w:rFonts w:hint="eastAsia" w:ascii="黑体" w:hAnsi="黑体" w:eastAsia="黑体" w:cstheme="minorEastAsia"/>
          <w:bCs/>
          <w:sz w:val="28"/>
          <w:szCs w:val="28"/>
        </w:rPr>
      </w:pPr>
      <w:r>
        <w:rPr>
          <w:rFonts w:hint="eastAsia" w:ascii="黑体" w:hAnsi="黑体" w:eastAsia="黑体" w:cstheme="minorEastAsia"/>
          <w:bCs/>
          <w:sz w:val="28"/>
          <w:szCs w:val="28"/>
        </w:rPr>
        <w:t>第七条违约责任</w:t>
      </w:r>
    </w:p>
    <w:p w14:paraId="28D03781">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1、如乙方违反本协议约定，应立即停止使用保密信息。如果乙方董事、监事、高级管理人员、员工、股东、关联机构、代理、顾问、参与项目谈判的人员以及其他利益相关人的行为与本协议相违背，均视为乙方违反本协议。</w:t>
      </w:r>
    </w:p>
    <w:p w14:paraId="56EE153F">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2、双方确认，基于保密信息的性质，乙方任何违反本协议的行为将对甲方造成不可弥补的损害，乙方（包括乙方董事、监事、高级管理人员、员工、股东、关联机构、代理、顾问、参与项目谈判的人员以及其他利益相关人），应当对因违反本协议而给甲方及甲方关联公司造成的全部损失承担赔偿责任及可期待的商业利益损失。</w:t>
      </w:r>
    </w:p>
    <w:p w14:paraId="06B1F35F">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3、在各种情况下，双方一致认为甲方的损失均应被视为最少不低于</w:t>
      </w:r>
      <w:r>
        <w:rPr>
          <w:rFonts w:hint="eastAsia" w:ascii="仿宋_GB2312" w:eastAsia="仿宋_GB2312" w:hAnsiTheme="minorEastAsia" w:cstheme="minorEastAsia"/>
          <w:sz w:val="24"/>
          <w:u w:val="single"/>
        </w:rPr>
        <w:t>叁佰</w:t>
      </w:r>
      <w:r>
        <w:rPr>
          <w:rFonts w:hint="eastAsia" w:ascii="仿宋_GB2312" w:eastAsia="仿宋_GB2312" w:hAnsiTheme="minorEastAsia" w:cstheme="minorEastAsia"/>
          <w:sz w:val="24"/>
        </w:rPr>
        <w:t>万元。</w:t>
      </w:r>
    </w:p>
    <w:p w14:paraId="73D2430C">
      <w:pPr>
        <w:spacing w:line="360" w:lineRule="auto"/>
        <w:ind w:firstLine="480" w:firstLineChars="200"/>
        <w:rPr>
          <w:rFonts w:ascii="仿宋_GB2312" w:eastAsia="仿宋_GB2312"/>
          <w:sz w:val="24"/>
        </w:rPr>
      </w:pPr>
      <w:r>
        <w:rPr>
          <w:rFonts w:hint="eastAsia" w:ascii="仿宋_GB2312" w:eastAsia="仿宋_GB2312" w:hAnsiTheme="minorEastAsia" w:cstheme="minorEastAsia"/>
          <w:sz w:val="24"/>
        </w:rPr>
        <w:t>4、</w:t>
      </w:r>
      <w:r>
        <w:rPr>
          <w:rFonts w:hint="eastAsia" w:ascii="仿宋_GB2312" w:eastAsia="仿宋_GB2312"/>
          <w:sz w:val="24"/>
        </w:rPr>
        <w:t>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w:t>
      </w:r>
    </w:p>
    <w:p w14:paraId="646324C2">
      <w:pPr>
        <w:spacing w:line="360" w:lineRule="auto"/>
        <w:ind w:firstLine="480" w:firstLineChars="200"/>
        <w:rPr>
          <w:rFonts w:ascii="仿宋_GB2312" w:eastAsia="仿宋_GB2312"/>
          <w:sz w:val="24"/>
        </w:rPr>
      </w:pPr>
      <w:r>
        <w:rPr>
          <w:rFonts w:hint="eastAsia" w:ascii="仿宋_GB2312" w:eastAsia="仿宋_GB2312" w:hAnsiTheme="minorEastAsia" w:cstheme="minorEastAsia"/>
          <w:sz w:val="24"/>
        </w:rPr>
        <w:t>5、如果乙方违反本合同约定（含附件，如有）的，除应按本合同约定赔偿损失及违约金外，还应赔偿包括但不限于甲方因此支出的或预计支付的诉讼费、保全申请费、保全保险费、鉴定费、评估费、司法审计费、拍卖费、律师费等一切费用。</w:t>
      </w:r>
    </w:p>
    <w:p w14:paraId="4A861AFD">
      <w:pPr>
        <w:spacing w:line="360" w:lineRule="auto"/>
        <w:ind w:firstLine="560" w:firstLineChars="200"/>
        <w:rPr>
          <w:rFonts w:hint="eastAsia" w:ascii="黑体" w:hAnsi="黑体" w:eastAsia="黑体" w:cstheme="minorEastAsia"/>
          <w:bCs/>
          <w:sz w:val="28"/>
          <w:szCs w:val="28"/>
        </w:rPr>
      </w:pPr>
      <w:r>
        <w:rPr>
          <w:rFonts w:hint="eastAsia" w:ascii="黑体" w:hAnsi="黑体" w:eastAsia="黑体" w:cstheme="minorEastAsia"/>
          <w:bCs/>
          <w:sz w:val="28"/>
          <w:szCs w:val="28"/>
        </w:rPr>
        <w:t>第八条适用法律及争议的解决</w:t>
      </w:r>
    </w:p>
    <w:p w14:paraId="15C6470F">
      <w:pPr>
        <w:tabs>
          <w:tab w:val="left" w:pos="567"/>
        </w:tabs>
        <w:spacing w:line="360" w:lineRule="auto"/>
        <w:ind w:firstLine="480" w:firstLineChars="200"/>
        <w:rPr>
          <w:rFonts w:hint="eastAsia" w:ascii="仿宋_GB2312" w:hAnsi="宋体" w:eastAsia="仿宋_GB2312" w:cs="宋体"/>
          <w:sz w:val="24"/>
          <w:lang w:val="en-GB"/>
        </w:rPr>
      </w:pPr>
      <w:r>
        <w:rPr>
          <w:rFonts w:hint="eastAsia" w:ascii="仿宋_GB2312" w:hAnsi="宋体" w:eastAsia="仿宋_GB2312" w:cs="宋体"/>
          <w:sz w:val="24"/>
          <w:lang w:val="en-GB"/>
        </w:rPr>
        <w:t>本协议受中国现行</w:t>
      </w:r>
      <w:r>
        <w:rPr>
          <w:rFonts w:hint="eastAsia" w:ascii="仿宋_GB2312" w:hAnsi="宋体" w:eastAsia="仿宋_GB2312" w:cs="宋体"/>
          <w:sz w:val="24"/>
        </w:rPr>
        <w:t>有效的法律</w:t>
      </w:r>
      <w:r>
        <w:rPr>
          <w:rFonts w:hint="eastAsia" w:ascii="仿宋_GB2312" w:hAnsi="宋体" w:eastAsia="仿宋_GB2312" w:cs="宋体"/>
          <w:sz w:val="24"/>
          <w:lang w:val="en-GB"/>
        </w:rPr>
        <w:t>管辖，因本协议引起的或与本协议有关的任何争议，应由双方先行协商解决，协商不成的，由甲方所在地法院诉讼解决。</w:t>
      </w:r>
    </w:p>
    <w:p w14:paraId="72A0DA8B">
      <w:pPr>
        <w:spacing w:line="360" w:lineRule="auto"/>
        <w:ind w:firstLine="560" w:firstLineChars="200"/>
        <w:rPr>
          <w:rFonts w:hint="eastAsia" w:ascii="黑体" w:hAnsi="黑体" w:eastAsia="黑体" w:cstheme="minorEastAsia"/>
          <w:bCs/>
          <w:sz w:val="28"/>
          <w:szCs w:val="28"/>
        </w:rPr>
      </w:pPr>
      <w:r>
        <w:rPr>
          <w:rFonts w:hint="eastAsia" w:ascii="黑体" w:hAnsi="黑体" w:eastAsia="黑体" w:cstheme="minorEastAsia"/>
          <w:bCs/>
          <w:sz w:val="28"/>
          <w:szCs w:val="28"/>
        </w:rPr>
        <w:t>第九条继续有效</w:t>
      </w:r>
    </w:p>
    <w:p w14:paraId="1FED0D5F">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如果本协议有任何条款或部分因任何原因被判定为无效或不可执行，本协议其他条款不应受到影响，在法律允许的范围内继续具有完全效力。</w:t>
      </w:r>
    </w:p>
    <w:p w14:paraId="6426A730">
      <w:pPr>
        <w:spacing w:line="360" w:lineRule="auto"/>
        <w:ind w:firstLine="560" w:firstLineChars="200"/>
        <w:rPr>
          <w:rFonts w:hint="eastAsia" w:ascii="仿宋_GB2312" w:eastAsia="仿宋_GB2312" w:hAnsiTheme="minorEastAsia" w:cstheme="minorEastAsia"/>
          <w:sz w:val="24"/>
        </w:rPr>
      </w:pPr>
      <w:r>
        <w:rPr>
          <w:rFonts w:hint="eastAsia" w:ascii="黑体" w:hAnsi="黑体" w:eastAsia="黑体" w:cstheme="minorEastAsia"/>
          <w:bCs/>
          <w:sz w:val="28"/>
          <w:szCs w:val="28"/>
        </w:rPr>
        <w:t>第十条协议生效</w:t>
      </w:r>
    </w:p>
    <w:p w14:paraId="39E8C6B0">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1、协议双方同意，本协议于双方签署之日起生效。但是如果本协议签订前存在甲方向乙方提供保密信息的，也适用本协议。</w:t>
      </w:r>
    </w:p>
    <w:p w14:paraId="321B1725">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2、协议双方对本协议内容的修改或补充，应采用书面形式订立补充协议，补充协议经双方签署生效，成为本协议的有效组成部分、与本协议具有同等法律效力。</w:t>
      </w:r>
    </w:p>
    <w:p w14:paraId="5453ABAD">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3、本协议正本一式三份，甲方执两份，乙方执一份，具有同等法律效力。</w:t>
      </w:r>
    </w:p>
    <w:p w14:paraId="28EDDF65">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兹此，双方已促使本协议由各自正式授权代表签署或加盖双方公章或合同专用章。</w:t>
      </w:r>
    </w:p>
    <w:p w14:paraId="489FED79">
      <w:pPr>
        <w:spacing w:line="360" w:lineRule="auto"/>
        <w:ind w:firstLine="480" w:firstLineChars="200"/>
        <w:rPr>
          <w:rFonts w:hint="eastAsia" w:ascii="仿宋_GB2312" w:eastAsia="仿宋_GB2312" w:hAnsiTheme="minorEastAsia" w:cstheme="minorEastAsia"/>
          <w:sz w:val="24"/>
        </w:rPr>
      </w:pPr>
    </w:p>
    <w:p w14:paraId="3A66153F">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本合同的各签约方选择使用电子签约的，已由法定代表人本人或授权其代理人在电子签约平台进行了实名注册，并通过CA证书进行签约。电子签约的任何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7949E701">
      <w:pPr>
        <w:spacing w:line="360" w:lineRule="auto"/>
        <w:ind w:firstLine="480" w:firstLineChars="200"/>
        <w:rPr>
          <w:rFonts w:hint="eastAsia" w:ascii="仿宋_GB2312" w:eastAsia="仿宋_GB2312" w:hAnsiTheme="minorEastAsia" w:cstheme="minorEastAsia"/>
          <w:sz w:val="24"/>
        </w:rPr>
      </w:pPr>
      <w:r>
        <w:rPr>
          <w:rFonts w:hint="eastAsia" w:ascii="仿宋_GB2312" w:eastAsia="仿宋_GB2312" w:hAnsiTheme="minorEastAsia" w:cstheme="minorEastAsia"/>
          <w:sz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232FF864">
      <w:pPr>
        <w:spacing w:line="360" w:lineRule="auto"/>
        <w:ind w:firstLine="480" w:firstLineChars="200"/>
        <w:rPr>
          <w:rFonts w:hint="eastAsia" w:ascii="仿宋_GB2312" w:eastAsia="仿宋_GB2312" w:hAnsiTheme="minorEastAsia" w:cstheme="minorEastAsia"/>
          <w:sz w:val="24"/>
        </w:rPr>
      </w:pPr>
    </w:p>
    <w:p w14:paraId="0258E4E1">
      <w:pPr>
        <w:spacing w:line="360" w:lineRule="auto"/>
        <w:rPr>
          <w:rFonts w:hint="eastAsia" w:ascii="仿宋_GB2312" w:eastAsia="仿宋_GB2312" w:hAnsiTheme="minorEastAsia" w:cstheme="minorEastAsia"/>
          <w:sz w:val="24"/>
        </w:rPr>
      </w:pPr>
      <w:r>
        <w:rPr>
          <w:rFonts w:hint="eastAsia" w:ascii="仿宋_GB2312" w:eastAsia="仿宋_GB2312" w:hAnsiTheme="minorEastAsia" w:cstheme="minorEastAsia"/>
          <w:sz w:val="24"/>
        </w:rPr>
        <w:t>甲方：</w:t>
      </w:r>
      <w:r>
        <w:rPr>
          <w:rFonts w:hint="eastAsia" w:ascii="仿宋_GB2312" w:eastAsia="仿宋_GB2312" w:hAnsiTheme="minorEastAsia" w:cstheme="minorEastAsia"/>
          <w:sz w:val="24"/>
          <w:u w:val="single"/>
        </w:rPr>
        <w:t>中国重汽集团国际有限公司</w:t>
      </w:r>
      <w:r>
        <w:rPr>
          <w:rFonts w:hint="eastAsia" w:ascii="仿宋_GB2312" w:eastAsia="仿宋_GB2312" w:hAnsiTheme="minorEastAsia" w:cstheme="minorEastAsia"/>
          <w:sz w:val="24"/>
        </w:rPr>
        <w:t>（盖章）</w:t>
      </w:r>
    </w:p>
    <w:p w14:paraId="27514955">
      <w:pPr>
        <w:spacing w:line="360" w:lineRule="auto"/>
        <w:rPr>
          <w:rFonts w:hint="eastAsia" w:ascii="仿宋_GB2312" w:eastAsia="仿宋_GB2312" w:hAnsiTheme="minorEastAsia" w:cstheme="minorEastAsia"/>
          <w:sz w:val="24"/>
        </w:rPr>
      </w:pPr>
      <w:r>
        <w:rPr>
          <w:rFonts w:hint="eastAsia" w:ascii="仿宋_GB2312" w:eastAsia="仿宋_GB2312" w:hAnsiTheme="minorEastAsia" w:cstheme="minorEastAsia"/>
          <w:sz w:val="24"/>
        </w:rPr>
        <w:t>法定代表人或授权代表：（签字）</w:t>
      </w:r>
    </w:p>
    <w:p w14:paraId="74770131">
      <w:pPr>
        <w:spacing w:line="360" w:lineRule="auto"/>
        <w:ind w:firstLine="5520" w:firstLineChars="2300"/>
        <w:rPr>
          <w:rFonts w:hint="eastAsia" w:ascii="仿宋_GB2312" w:eastAsia="仿宋_GB2312" w:hAnsiTheme="minorEastAsia" w:cstheme="minorEastAsia"/>
          <w:sz w:val="24"/>
        </w:rPr>
      </w:pPr>
      <w:r>
        <w:rPr>
          <w:rFonts w:hint="eastAsia" w:ascii="仿宋_GB2312" w:eastAsia="仿宋_GB2312" w:hAnsiTheme="minorEastAsia" w:cstheme="minorEastAsia"/>
          <w:sz w:val="24"/>
        </w:rPr>
        <w:t>年   月    日</w:t>
      </w:r>
    </w:p>
    <w:p w14:paraId="1475B84E">
      <w:pPr>
        <w:spacing w:line="360" w:lineRule="auto"/>
        <w:rPr>
          <w:rFonts w:hint="eastAsia" w:ascii="仿宋_GB2312" w:eastAsia="仿宋_GB2312" w:hAnsiTheme="minorEastAsia" w:cstheme="minorEastAsia"/>
          <w:sz w:val="24"/>
        </w:rPr>
      </w:pPr>
    </w:p>
    <w:p w14:paraId="032C336C">
      <w:pPr>
        <w:spacing w:line="360" w:lineRule="auto"/>
        <w:rPr>
          <w:rFonts w:hint="eastAsia" w:ascii="仿宋_GB2312" w:eastAsia="仿宋_GB2312" w:hAnsiTheme="minorEastAsia" w:cstheme="minorEastAsia"/>
          <w:sz w:val="24"/>
        </w:rPr>
      </w:pPr>
      <w:r>
        <w:rPr>
          <w:rFonts w:hint="eastAsia" w:ascii="仿宋_GB2312" w:eastAsia="仿宋_GB2312" w:hAnsiTheme="minorEastAsia" w:cstheme="minorEastAsia"/>
          <w:sz w:val="24"/>
        </w:rPr>
        <w:t>乙方：（盖章）</w:t>
      </w:r>
    </w:p>
    <w:p w14:paraId="51BD7AB8">
      <w:pPr>
        <w:spacing w:line="360" w:lineRule="auto"/>
        <w:rPr>
          <w:rFonts w:hint="eastAsia" w:ascii="仿宋_GB2312" w:eastAsia="仿宋_GB2312" w:hAnsiTheme="minorEastAsia" w:cstheme="minorEastAsia"/>
          <w:sz w:val="24"/>
        </w:rPr>
      </w:pPr>
      <w:r>
        <w:rPr>
          <w:rFonts w:hint="eastAsia" w:ascii="仿宋_GB2312" w:eastAsia="仿宋_GB2312" w:hAnsiTheme="minorEastAsia" w:cstheme="minorEastAsia"/>
          <w:sz w:val="24"/>
        </w:rPr>
        <w:t>法定代表人或授权代表：（签字）</w:t>
      </w:r>
    </w:p>
    <w:p w14:paraId="6D19BF6F">
      <w:pPr>
        <w:spacing w:line="360" w:lineRule="auto"/>
        <w:ind w:firstLine="5520" w:firstLineChars="2300"/>
        <w:rPr>
          <w:rFonts w:hint="eastAsia" w:ascii="仿宋_GB2312" w:eastAsia="仿宋_GB2312" w:hAnsiTheme="minorEastAsia" w:cstheme="minorEastAsia"/>
          <w:sz w:val="24"/>
        </w:rPr>
      </w:pPr>
      <w:r>
        <w:rPr>
          <w:rFonts w:hint="eastAsia" w:ascii="仿宋_GB2312" w:eastAsia="仿宋_GB2312" w:hAnsiTheme="minorEastAsia" w:cstheme="minorEastAsia"/>
          <w:sz w:val="24"/>
        </w:rPr>
        <w:t>年   月    日</w:t>
      </w:r>
    </w:p>
    <w:p w14:paraId="0FD1E6F6">
      <w:pPr>
        <w:rPr>
          <w:rFonts w:hint="eastAsia" w:ascii="宋体" w:hAnsi="宋体" w:cs="宋体"/>
          <w:b/>
          <w:bCs/>
          <w:sz w:val="44"/>
          <w:szCs w:val="44"/>
          <w:lang w:bidi="ar"/>
        </w:rPr>
      </w:pPr>
    </w:p>
    <w:p w14:paraId="7E20E124">
      <w:pPr>
        <w:pStyle w:val="6"/>
        <w:outlineLvl w:val="2"/>
        <w:rPr>
          <w:rFonts w:hint="eastAsia" w:hAnsi="宋体" w:eastAsia="宋体" w:cs="宋体"/>
          <w:b/>
          <w:bCs/>
          <w:color w:val="000000"/>
          <w:sz w:val="24"/>
          <w:szCs w:val="24"/>
          <w:lang w:val="en-US" w:eastAsia="zh-CN"/>
        </w:rPr>
        <w:sectPr>
          <w:pgSz w:w="11906" w:h="16838"/>
          <w:pgMar w:top="1588" w:right="1418" w:bottom="1134" w:left="1418" w:header="851" w:footer="992" w:gutter="0"/>
          <w:cols w:space="720" w:num="1"/>
          <w:titlePg/>
          <w:docGrid w:type="lines" w:linePitch="312" w:charSpace="0"/>
        </w:sectPr>
      </w:pPr>
    </w:p>
    <w:p w14:paraId="1EBA84D7">
      <w:pPr>
        <w:pStyle w:val="6"/>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14:paraId="7ED3B1FD">
      <w:pPr>
        <w:pStyle w:val="6"/>
        <w:rPr>
          <w:rFonts w:eastAsia="宋体"/>
        </w:rPr>
      </w:pPr>
    </w:p>
    <w:p w14:paraId="3EE9D9E5">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43B51465">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643BCE8">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12B13E29">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14:paraId="6EBB5DA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E0A0978">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14:paraId="6BB10C6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E5F5181">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14:paraId="09CE7AC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A9BADEA">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14:paraId="40227B41">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3268A431">
      <w:pPr>
        <w:pStyle w:val="6"/>
      </w:pPr>
    </w:p>
    <w:p w14:paraId="20547785">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14:paraId="2564D118">
      <w:pPr>
        <w:pStyle w:val="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14:paraId="1E18A332">
      <w:pPr>
        <w:pStyle w:val="6"/>
      </w:pPr>
    </w:p>
    <w:p w14:paraId="1339601F">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4BE53A73">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649D3CC7">
      <w:pPr>
        <w:pStyle w:val="6"/>
      </w:pPr>
      <w:r>
        <w:rPr>
          <w:rFonts w:hint="eastAsia" w:hAnsi="宋体" w:eastAsia="宋体" w:cs="宋体"/>
          <w:b/>
          <w:bCs/>
          <w:color w:val="000000"/>
          <w:sz w:val="24"/>
          <w:szCs w:val="28"/>
          <w:highlight w:val="yellow"/>
        </w:rPr>
        <w:t>2.配套能力“供货类别”填“品牌宣传”，业务主管部门选择“</w:t>
      </w:r>
      <w:r>
        <w:rPr>
          <w:rFonts w:hint="eastAsia" w:hAnsi="宋体" w:eastAsia="宋体" w:cs="宋体"/>
          <w:b/>
          <w:bCs/>
          <w:color w:val="000000"/>
          <w:sz w:val="24"/>
          <w:szCs w:val="28"/>
          <w:highlight w:val="yellow"/>
          <w:lang w:val="en-US" w:eastAsia="zh-CN"/>
        </w:rPr>
        <w:t>品牌与市场管理部</w:t>
      </w:r>
      <w:r>
        <w:rPr>
          <w:rFonts w:hint="eastAsia" w:hAnsi="宋体" w:eastAsia="宋体" w:cs="宋体"/>
          <w:b/>
          <w:bCs/>
          <w:color w:val="000000"/>
          <w:sz w:val="24"/>
          <w:szCs w:val="28"/>
          <w:highlight w:val="yellow"/>
        </w:rPr>
        <w:t>”。</w:t>
      </w:r>
    </w:p>
    <w:p w14:paraId="39BF1441">
      <w:pPr>
        <w:pStyle w:val="6"/>
        <w:sectPr>
          <w:pgSz w:w="11906" w:h="16838"/>
          <w:pgMar w:top="1588" w:right="1418" w:bottom="1134" w:left="1418" w:header="851" w:footer="992" w:gutter="0"/>
          <w:cols w:space="720" w:num="1"/>
          <w:titlePg/>
          <w:docGrid w:type="lines" w:linePitch="312" w:charSpace="0"/>
        </w:sectPr>
      </w:pPr>
    </w:p>
    <w:p w14:paraId="345FF8CE">
      <w:pPr>
        <w:pStyle w:val="6"/>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2</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4591C9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14:paraId="5499A19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871E9F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5F23FBC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AEACE6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C74775F">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07A0C2C5">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14:paraId="0675A7EB">
      <w:pPr>
        <w:rPr>
          <w:rFonts w:hint="eastAsia"/>
        </w:rPr>
      </w:pPr>
    </w:p>
    <w:p w14:paraId="38006DB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0CAF80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469F0585">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14:paraId="33C3CC47">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9EAECCE">
      <w:pPr>
        <w:pStyle w:val="6"/>
      </w:pPr>
      <w:r>
        <w:rPr>
          <w:rFonts w:hint="eastAsia" w:hAnsi="宋体" w:eastAsia="宋体" w:cs="宋体"/>
          <w:color w:val="000000"/>
          <w:sz w:val="24"/>
          <w:szCs w:val="28"/>
          <w:highlight w:val="yellow"/>
        </w:rPr>
        <w:t>注意：系统内的投标报价单位为“万元”，如开标现场发现填错报价，即直接淘汰。</w:t>
      </w:r>
    </w:p>
    <w:p w14:paraId="0B3A8A8A">
      <w:pPr>
        <w:pStyle w:val="6"/>
        <w:bidi w:val="0"/>
      </w:pPr>
      <w: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14:paraId="5BED6A6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342F58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49B1061">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6A74D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14:paraId="7B92FAE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BEFE23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E99AAB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7457F59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1FB4CC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3D0BF3B6">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9A65D0E">
      <w:pPr>
        <w:pStyle w:val="6"/>
        <w:bidi w:val="0"/>
      </w:pPr>
      <w: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14:paraId="6741222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A00133F">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1D38316">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0089D4D5">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14:paraId="67797A16">
      <w:pPr>
        <w:pStyle w:val="6"/>
        <w:rPr>
          <w:rFonts w:hint="eastAsia" w:hAnsi="宋体" w:eastAsia="宋体" w:cs="Times New Roman"/>
          <w:b/>
          <w:color w:val="000000"/>
          <w:sz w:val="24"/>
          <w:szCs w:val="24"/>
        </w:rPr>
      </w:pPr>
    </w:p>
    <w:p w14:paraId="5129D0CC">
      <w:pPr>
        <w:pStyle w:val="6"/>
        <w:rPr>
          <w:rFonts w:hint="eastAsia" w:hAnsi="宋体" w:eastAsia="宋体" w:cs="Times New Roman"/>
          <w:b/>
          <w:color w:val="000000"/>
          <w:sz w:val="24"/>
          <w:szCs w:val="24"/>
        </w:rPr>
      </w:pPr>
    </w:p>
    <w:p w14:paraId="09D63BEF">
      <w:pPr>
        <w:pStyle w:val="6"/>
        <w:bidi w:val="0"/>
        <w:rPr>
          <w:rFonts w:hint="eastAsia"/>
        </w:rPr>
      </w:pPr>
    </w:p>
    <w:p w14:paraId="6AE5B976">
      <w:pPr>
        <w:pStyle w:val="6"/>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3</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14:paraId="341BC1C8">
      <w:pPr>
        <w:pStyle w:val="6"/>
        <w:outlineLvl w:val="2"/>
      </w:pPr>
      <w:r>
        <w:drawing>
          <wp:inline distT="0" distB="0" distL="114300" distR="114300">
            <wp:extent cx="5749290" cy="250126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749290" cy="2501265"/>
                    </a:xfrm>
                    <a:prstGeom prst="rect">
                      <a:avLst/>
                    </a:prstGeom>
                    <a:noFill/>
                    <a:ln>
                      <a:noFill/>
                    </a:ln>
                  </pic:spPr>
                </pic:pic>
              </a:graphicData>
            </a:graphic>
          </wp:inline>
        </w:drawing>
      </w:r>
    </w:p>
    <w:p w14:paraId="747E0D4C">
      <w:pPr>
        <w:pStyle w:val="6"/>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746750" cy="3303270"/>
                    </a:xfrm>
                    <a:prstGeom prst="rect">
                      <a:avLst/>
                    </a:prstGeom>
                    <a:noFill/>
                    <a:ln>
                      <a:noFill/>
                    </a:ln>
                  </pic:spPr>
                </pic:pic>
              </a:graphicData>
            </a:graphic>
          </wp:inline>
        </w:drawing>
      </w:r>
    </w:p>
    <w:p w14:paraId="6AEF790E">
      <w:pPr>
        <w:pStyle w:val="6"/>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5742940" cy="2925445"/>
                    </a:xfrm>
                    <a:prstGeom prst="rect">
                      <a:avLst/>
                    </a:prstGeom>
                    <a:noFill/>
                    <a:ln>
                      <a:noFill/>
                    </a:ln>
                  </pic:spPr>
                </pic:pic>
              </a:graphicData>
            </a:graphic>
          </wp:inline>
        </w:drawing>
      </w:r>
    </w:p>
    <w:p w14:paraId="062B0FC5">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KSOFE44F9426">
    <w:panose1 w:val="02010609060101010101"/>
    <w:charset w:val="86"/>
    <w:family w:val="auto"/>
    <w:pitch w:val="default"/>
    <w:sig w:usb0="00000001"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34A75"/>
    <w:rsid w:val="04301453"/>
    <w:rsid w:val="0B6E5FE8"/>
    <w:rsid w:val="0C682624"/>
    <w:rsid w:val="0E157D82"/>
    <w:rsid w:val="0F382F71"/>
    <w:rsid w:val="0FAC178F"/>
    <w:rsid w:val="0FE34B24"/>
    <w:rsid w:val="104C3089"/>
    <w:rsid w:val="15D53E6E"/>
    <w:rsid w:val="16DE29CF"/>
    <w:rsid w:val="17525C24"/>
    <w:rsid w:val="1A5F0822"/>
    <w:rsid w:val="1CBE329F"/>
    <w:rsid w:val="25331BE5"/>
    <w:rsid w:val="27315D1D"/>
    <w:rsid w:val="28052233"/>
    <w:rsid w:val="283D5FEB"/>
    <w:rsid w:val="2F587E49"/>
    <w:rsid w:val="3AAA5DE6"/>
    <w:rsid w:val="40BD72A3"/>
    <w:rsid w:val="415E038C"/>
    <w:rsid w:val="41F106A4"/>
    <w:rsid w:val="44907102"/>
    <w:rsid w:val="44DF5E97"/>
    <w:rsid w:val="47505813"/>
    <w:rsid w:val="47DD599F"/>
    <w:rsid w:val="48031288"/>
    <w:rsid w:val="48EF075C"/>
    <w:rsid w:val="4A543A80"/>
    <w:rsid w:val="4B7153F0"/>
    <w:rsid w:val="4DD74341"/>
    <w:rsid w:val="4E25790F"/>
    <w:rsid w:val="51A11B6E"/>
    <w:rsid w:val="536770A5"/>
    <w:rsid w:val="57BF3EB6"/>
    <w:rsid w:val="594B58EE"/>
    <w:rsid w:val="5A053A32"/>
    <w:rsid w:val="5A1223DE"/>
    <w:rsid w:val="604271D8"/>
    <w:rsid w:val="64753845"/>
    <w:rsid w:val="66D60058"/>
    <w:rsid w:val="6B0F2793"/>
    <w:rsid w:val="6C152603"/>
    <w:rsid w:val="734930CE"/>
    <w:rsid w:val="761E7AF4"/>
    <w:rsid w:val="77E571F5"/>
    <w:rsid w:val="787B2A9B"/>
    <w:rsid w:val="79E56A30"/>
    <w:rsid w:val="7A5738E1"/>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Body Text"/>
    <w:basedOn w:val="1"/>
    <w:next w:val="5"/>
    <w:qFormat/>
    <w:uiPriority w:val="0"/>
    <w:rPr>
      <w:rFonts w:ascii="仿宋_GB2312" w:eastAsia="仿宋_GB2312" w:hAnsiTheme="minorHAnsi" w:cstheme="minorBidi"/>
      <w:sz w:val="32"/>
      <w:szCs w:val="22"/>
    </w:rPr>
  </w:style>
  <w:style w:type="paragraph" w:customStyle="1" w:styleId="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jc w:val="left"/>
    </w:pPr>
    <w:rPr>
      <w:rFonts w:ascii="Calibri" w:hAnsi="Calibri" w:eastAsia="宋体"/>
      <w:kern w:val="0"/>
      <w:sz w:val="24"/>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6404</Words>
  <Characters>6727</Characters>
  <Lines>0</Lines>
  <Paragraphs>0</Paragraphs>
  <TotalTime>0</TotalTime>
  <ScaleCrop>false</ScaleCrop>
  <LinksUpToDate>false</LinksUpToDate>
  <CharactersWithSpaces>6864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0174L</cp:lastModifiedBy>
  <dcterms:modified xsi:type="dcterms:W3CDTF">2026-06-09T07:20:54Z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eyJoZGlkIjoiZDZiY2E3MTk3OWVkMDZmNDgwYmUwNDViMmIxMTA0OGYiLCJ1c2VySWQiOiIxMTQwNDY2NTAwIn0=</vt:lpwstr>
  </property>
  <property fmtid="{D5CDD505-2E9C-101B-9397-08002B2CF9AE}" pid="4" name="ICV">
    <vt:lpwstr>36BA767B9B1647D78DB7367FAC05A487_13</vt:lpwstr>
  </property>
</Properties>
</file>