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AA31F" w14:textId="77777777" w:rsidR="000220DE" w:rsidRDefault="00000000">
      <w:pPr>
        <w:pStyle w:val="3"/>
        <w:widowControl/>
        <w:spacing w:beforeAutospacing="0" w:afterAutospacing="0" w:line="520" w:lineRule="exact"/>
        <w:rPr>
          <w:rFonts w:cs="宋体"/>
          <w:b w:val="0"/>
          <w:bCs w:val="0"/>
          <w:sz w:val="28"/>
          <w:szCs w:val="28"/>
          <w:lang w:bidi="ar"/>
        </w:rPr>
      </w:pPr>
      <w:r>
        <w:rPr>
          <w:rFonts w:cs="宋体"/>
          <w:b w:val="0"/>
          <w:bCs w:val="0"/>
          <w:sz w:val="28"/>
          <w:szCs w:val="28"/>
          <w:lang w:bidi="ar"/>
        </w:rPr>
        <w:t>附件：</w:t>
      </w:r>
    </w:p>
    <w:p w14:paraId="3CF50C5F" w14:textId="77777777" w:rsidR="000220DE" w:rsidRDefault="00000000">
      <w:pPr>
        <w:pStyle w:val="3"/>
        <w:widowControl/>
        <w:spacing w:beforeAutospacing="0" w:afterAutospacing="0" w:line="520" w:lineRule="exact"/>
        <w:jc w:val="center"/>
        <w:rPr>
          <w:sz w:val="32"/>
          <w:szCs w:val="32"/>
        </w:rPr>
      </w:pPr>
      <w:r>
        <w:rPr>
          <w:sz w:val="32"/>
          <w:szCs w:val="32"/>
        </w:rPr>
        <w:t>固定资产投资项目重要技术要求偏差索赔细则</w:t>
      </w:r>
    </w:p>
    <w:p w14:paraId="41DD833F" w14:textId="77777777" w:rsidR="000220DE" w:rsidRDefault="00000000">
      <w:pPr>
        <w:spacing w:line="520" w:lineRule="exact"/>
        <w:ind w:firstLineChars="200" w:firstLine="560"/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为规范固定资产项目实施过程中，因供方原因导致非标设备、产线各项重要技术指标出现偏差，导致项目延期交付或无法通过验收等情况，经协商一致，按以下核算公式处理索赔扣款，双方共同遵守。</w:t>
      </w:r>
    </w:p>
    <w:p w14:paraId="79A267D6" w14:textId="77777777" w:rsidR="000220DE" w:rsidRDefault="00000000">
      <w:pPr>
        <w:pStyle w:val="3"/>
        <w:widowControl/>
        <w:spacing w:beforeAutospacing="0" w:afterAutospacing="0" w:line="520" w:lineRule="exact"/>
        <w:rPr>
          <w:sz w:val="28"/>
          <w:szCs w:val="28"/>
        </w:rPr>
      </w:pPr>
      <w:r>
        <w:rPr>
          <w:sz w:val="28"/>
          <w:szCs w:val="28"/>
        </w:rPr>
        <w:t>一、产能节拍偏差</w:t>
      </w:r>
    </w:p>
    <w:p w14:paraId="3D6DACCF" w14:textId="77777777" w:rsidR="000220DE" w:rsidRDefault="00000000">
      <w:pPr>
        <w:widowControl/>
        <w:spacing w:line="520" w:lineRule="exact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1.1</w:t>
      </w:r>
      <w:r>
        <w:rPr>
          <w:rStyle w:val="a4"/>
          <w:bCs/>
          <w:sz w:val="28"/>
          <w:szCs w:val="28"/>
        </w:rPr>
        <w:t>基准值</w:t>
      </w:r>
      <w:r>
        <w:rPr>
          <w:sz w:val="28"/>
          <w:szCs w:val="28"/>
        </w:rPr>
        <w:t>：</w:t>
      </w:r>
    </w:p>
    <w:p w14:paraId="69BB0B9E" w14:textId="42A9A4FC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产能节拍是指特定时间段内，生产线或生产工序必须完成一个单位产品所需要的时间间隔，以合同/技术协议内的节拍时间（秒/件）为准。</w:t>
      </w:r>
    </w:p>
    <w:p w14:paraId="67E5216C" w14:textId="77777777" w:rsidR="000220DE" w:rsidRDefault="00000000">
      <w:pPr>
        <w:widowControl/>
        <w:spacing w:line="520" w:lineRule="exact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1.2</w:t>
      </w:r>
      <w:r>
        <w:rPr>
          <w:rStyle w:val="a4"/>
          <w:rFonts w:hint="eastAsia"/>
          <w:bCs/>
          <w:sz w:val="28"/>
          <w:szCs w:val="28"/>
        </w:rPr>
        <w:t>节拍偏差率</w:t>
      </w:r>
      <w:r>
        <w:rPr>
          <w:rStyle w:val="a4"/>
          <w:bCs/>
          <w:sz w:val="28"/>
          <w:szCs w:val="28"/>
        </w:rPr>
        <w:t>核算公式</w:t>
      </w:r>
      <w:r>
        <w:rPr>
          <w:sz w:val="28"/>
          <w:szCs w:val="28"/>
        </w:rPr>
        <w:t>：</w:t>
      </w:r>
    </w:p>
    <w:p w14:paraId="4C98763D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节拍偏差率 =（实际节拍-约定节拍）÷ 约定节拍 × 100%</w:t>
      </w:r>
    </w:p>
    <w:p w14:paraId="504C74C1" w14:textId="77777777" w:rsidR="000220DE" w:rsidRDefault="00000000">
      <w:pPr>
        <w:widowControl/>
        <w:spacing w:line="520" w:lineRule="exact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1.3</w:t>
      </w:r>
      <w:r>
        <w:rPr>
          <w:rStyle w:val="a4"/>
          <w:bCs/>
          <w:sz w:val="28"/>
          <w:szCs w:val="28"/>
        </w:rPr>
        <w:t>扣款规则</w:t>
      </w:r>
      <w:r>
        <w:rPr>
          <w:sz w:val="28"/>
          <w:szCs w:val="28"/>
        </w:rPr>
        <w:t>：</w:t>
      </w:r>
    </w:p>
    <w:p w14:paraId="44C45D18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节拍偏差率≤3%：视为允许偏差，不扣款；</w:t>
      </w:r>
    </w:p>
    <w:p w14:paraId="4A2025A2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节拍偏差率3%＜偏差率≤10%：偏差每超出1%，扣减设备合同价款的1%；</w:t>
      </w:r>
    </w:p>
    <w:p w14:paraId="7238DB60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节拍偏差率10%＜偏差率≤30%：属重大偏差，偏差每超出1%，扣减设备合同价款的1%；需方有权全部或部分不予验收付款，需方视情况选择解除合同或继续执行合同；</w:t>
      </w:r>
    </w:p>
    <w:p w14:paraId="44086D71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节拍偏差率＞30%：属根本违约，需方有权不予验收、不予付款，并有权单方解除合同。</w:t>
      </w:r>
    </w:p>
    <w:p w14:paraId="50772CF6" w14:textId="5BECF7CD" w:rsidR="000220DE" w:rsidRPr="00985B23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 w:rsidRPr="00985B23">
        <w:rPr>
          <w:rFonts w:ascii="宋体" w:eastAsia="宋体" w:hAnsi="宋体" w:cs="宋体" w:hint="eastAsia"/>
          <w:kern w:val="0"/>
          <w:sz w:val="28"/>
          <w:szCs w:val="28"/>
          <w:lang w:bidi="ar"/>
        </w:rPr>
        <w:t>当项目涉及多个产品需进行节拍验收时，参照双方在合同内约定的各个产品节拍偏离扣款基数；如无明确约定，按扣款比例=(节拍超差产品数量/需验收节拍产品数量)*100%进行折算。</w:t>
      </w:r>
    </w:p>
    <w:p w14:paraId="0D37EA28" w14:textId="77777777" w:rsidR="000220DE" w:rsidRDefault="00000000">
      <w:pPr>
        <w:pStyle w:val="3"/>
        <w:widowControl/>
        <w:spacing w:beforeAutospacing="0" w:afterAutospacing="0" w:line="520" w:lineRule="exact"/>
        <w:rPr>
          <w:sz w:val="28"/>
          <w:szCs w:val="28"/>
        </w:rPr>
      </w:pPr>
      <w:r>
        <w:rPr>
          <w:sz w:val="28"/>
          <w:szCs w:val="28"/>
        </w:rPr>
        <w:t>二、 自动化率偏差</w:t>
      </w:r>
    </w:p>
    <w:p w14:paraId="7EBFBF04" w14:textId="77777777" w:rsidR="000220DE" w:rsidRDefault="00000000">
      <w:pPr>
        <w:widowControl/>
        <w:spacing w:line="520" w:lineRule="exact"/>
        <w:ind w:left="-360" w:firstLineChars="200" w:firstLine="562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2.1</w:t>
      </w:r>
      <w:r>
        <w:rPr>
          <w:rStyle w:val="a4"/>
          <w:bCs/>
          <w:sz w:val="28"/>
          <w:szCs w:val="28"/>
        </w:rPr>
        <w:t>基准值</w:t>
      </w:r>
      <w:r>
        <w:rPr>
          <w:sz w:val="28"/>
          <w:szCs w:val="28"/>
        </w:rPr>
        <w:t>：</w:t>
      </w:r>
    </w:p>
    <w:p w14:paraId="69C71056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自动化率是指</w:t>
      </w:r>
      <w:r>
        <w:rPr>
          <w:sz w:val="28"/>
          <w:szCs w:val="28"/>
        </w:rPr>
        <w:t>设备在完成其预定功能时不需要人工干预的程度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以合同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/技术协议</w:t>
      </w:r>
      <w:r>
        <w:rPr>
          <w:sz w:val="28"/>
          <w:szCs w:val="28"/>
        </w:rPr>
        <w:t>约定的</w:t>
      </w:r>
      <w:r>
        <w:rPr>
          <w:rStyle w:val="a4"/>
          <w:b w:val="0"/>
          <w:sz w:val="28"/>
          <w:szCs w:val="28"/>
        </w:rPr>
        <w:t>自动化率</w:t>
      </w:r>
      <w:r>
        <w:rPr>
          <w:sz w:val="28"/>
          <w:szCs w:val="28"/>
        </w:rPr>
        <w:t>为准</w:t>
      </w:r>
      <w:r>
        <w:rPr>
          <w:rFonts w:hint="eastAsia"/>
          <w:sz w:val="28"/>
          <w:szCs w:val="28"/>
        </w:rPr>
        <w:t>，</w:t>
      </w:r>
      <w:r w:rsidRPr="00985B23">
        <w:rPr>
          <w:rFonts w:hint="eastAsia"/>
          <w:sz w:val="28"/>
          <w:szCs w:val="28"/>
        </w:rPr>
        <w:t>按</w:t>
      </w:r>
      <w:r w:rsidRPr="00985B23">
        <w:rPr>
          <w:rFonts w:hint="eastAsia"/>
          <w:sz w:val="28"/>
          <w:szCs w:val="28"/>
        </w:rPr>
        <w:t>Q/ZZ 30096</w:t>
      </w:r>
      <w:r w:rsidRPr="00985B23">
        <w:rPr>
          <w:rFonts w:hint="eastAsia"/>
          <w:sz w:val="28"/>
          <w:szCs w:val="28"/>
        </w:rPr>
        <w:t>《产线自动化率核算规范》内规定的计算方法进行核算。</w:t>
      </w:r>
    </w:p>
    <w:p w14:paraId="2F8326F6" w14:textId="77777777" w:rsidR="000220DE" w:rsidRDefault="00000000">
      <w:pPr>
        <w:widowControl/>
        <w:spacing w:line="520" w:lineRule="exact"/>
        <w:ind w:left="-360" w:firstLineChars="200" w:firstLine="562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2.2</w:t>
      </w:r>
      <w:r>
        <w:rPr>
          <w:rStyle w:val="a4"/>
          <w:rFonts w:hint="eastAsia"/>
          <w:bCs/>
          <w:sz w:val="28"/>
          <w:szCs w:val="28"/>
        </w:rPr>
        <w:t>自动化率偏差</w:t>
      </w:r>
      <w:r>
        <w:rPr>
          <w:rStyle w:val="a4"/>
          <w:bCs/>
          <w:sz w:val="28"/>
          <w:szCs w:val="28"/>
        </w:rPr>
        <w:t>核算公式</w:t>
      </w:r>
      <w:r>
        <w:rPr>
          <w:sz w:val="28"/>
          <w:szCs w:val="28"/>
        </w:rPr>
        <w:t>：</w:t>
      </w:r>
    </w:p>
    <w:p w14:paraId="7F354363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自动化率偏差</w:t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t>约定自动化率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实际达成自动化率</w:t>
      </w:r>
    </w:p>
    <w:p w14:paraId="02416213" w14:textId="77777777" w:rsidR="000220DE" w:rsidRDefault="00000000">
      <w:pPr>
        <w:widowControl/>
        <w:spacing w:line="520" w:lineRule="exact"/>
        <w:ind w:left="-360" w:firstLineChars="200" w:firstLine="562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2.3</w:t>
      </w:r>
      <w:r>
        <w:rPr>
          <w:rStyle w:val="a4"/>
          <w:bCs/>
          <w:sz w:val="28"/>
          <w:szCs w:val="28"/>
        </w:rPr>
        <w:t>扣款规则</w:t>
      </w:r>
      <w:r>
        <w:rPr>
          <w:sz w:val="28"/>
          <w:szCs w:val="28"/>
        </w:rPr>
        <w:t>：</w:t>
      </w:r>
    </w:p>
    <w:p w14:paraId="34D87BEC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自动化率偏差率＜【5】%：视为允许偏差，不扣款；</w:t>
      </w:r>
    </w:p>
    <w:p w14:paraId="69A4C848" w14:textId="77777777" w:rsidR="000220DE" w:rsidRDefault="00000000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【5】%≤自动化率偏差率＜【15】%：偏差每高1%，扣减对应合同价款的0.5%；</w:t>
      </w:r>
    </w:p>
    <w:p w14:paraId="3D974592" w14:textId="77777777" w:rsidR="000220DE" w:rsidRDefault="00000000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自动化率偏差率≥【15】%：视为重大偏差，需方有权选择以下任一种扣款方式：①按照额外增加的人工及设备使用年限核算扣款，人工成本按需方实际支出执行扣款，扣款不高于合同总价款的30%；②需方有权全部或部分不予验收付款，并单方解除合同。</w:t>
      </w:r>
    </w:p>
    <w:p w14:paraId="030EE0C9" w14:textId="77777777" w:rsidR="000220DE" w:rsidRDefault="00000000">
      <w:pPr>
        <w:widowControl/>
        <w:spacing w:line="520" w:lineRule="exact"/>
        <w:ind w:left="-360" w:firstLineChars="200" w:firstLine="562"/>
        <w:jc w:val="left"/>
        <w:rPr>
          <w:rStyle w:val="a4"/>
          <w:rFonts w:ascii="Times New Roman" w:eastAsia="宋体" w:hAnsi="Times New Roman" w:cs="Times New Roman"/>
          <w:bCs/>
          <w:sz w:val="28"/>
          <w:szCs w:val="28"/>
        </w:rPr>
      </w:pPr>
      <w:r>
        <w:rPr>
          <w:rStyle w:val="a4"/>
          <w:rFonts w:ascii="Times New Roman" w:eastAsia="宋体" w:hAnsi="Times New Roman" w:cs="Times New Roman" w:hint="eastAsia"/>
          <w:bCs/>
          <w:sz w:val="28"/>
          <w:szCs w:val="28"/>
        </w:rPr>
        <w:t>三、功能及性能偏差</w:t>
      </w:r>
    </w:p>
    <w:p w14:paraId="4030710A" w14:textId="77777777" w:rsidR="000220DE" w:rsidRDefault="00000000">
      <w:pPr>
        <w:widowControl/>
        <w:spacing w:line="520" w:lineRule="exact"/>
        <w:ind w:left="-360" w:firstLineChars="200" w:firstLine="562"/>
        <w:jc w:val="left"/>
        <w:rPr>
          <w:sz w:val="28"/>
          <w:szCs w:val="28"/>
        </w:rPr>
      </w:pPr>
      <w:r>
        <w:rPr>
          <w:rStyle w:val="a4"/>
          <w:rFonts w:hint="eastAsia"/>
          <w:bCs/>
          <w:sz w:val="28"/>
          <w:szCs w:val="28"/>
        </w:rPr>
        <w:t>3.1</w:t>
      </w:r>
      <w:r>
        <w:rPr>
          <w:sz w:val="28"/>
          <w:szCs w:val="28"/>
        </w:rPr>
        <w:t>核心功能</w:t>
      </w:r>
      <w:r>
        <w:rPr>
          <w:sz w:val="28"/>
          <w:szCs w:val="28"/>
        </w:rPr>
        <w:t xml:space="preserve"> / </w:t>
      </w:r>
      <w:r>
        <w:rPr>
          <w:sz w:val="28"/>
          <w:szCs w:val="28"/>
        </w:rPr>
        <w:t>主要参数不达标（根本违约）</w:t>
      </w:r>
    </w:p>
    <w:p w14:paraId="00D68CCA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设备主要功能、核心性能指标、关键技术参数未达到合同及附件《技术协议》约定标准</w:t>
      </w:r>
      <w:r>
        <w:rPr>
          <w:rFonts w:hint="eastAsia"/>
          <w:sz w:val="28"/>
          <w:szCs w:val="28"/>
        </w:rPr>
        <w:t>或国家、行业标准，</w:t>
      </w:r>
      <w:r>
        <w:rPr>
          <w:sz w:val="28"/>
          <w:szCs w:val="28"/>
        </w:rPr>
        <w:t>导致项目无法实现核心产能、工艺要求不满足、整体验收不合格的，视为</w:t>
      </w:r>
      <w:r>
        <w:rPr>
          <w:rFonts w:hint="eastAsia"/>
          <w:sz w:val="28"/>
          <w:szCs w:val="28"/>
        </w:rPr>
        <w:t>供方</w:t>
      </w:r>
      <w:r>
        <w:rPr>
          <w:sz w:val="28"/>
          <w:szCs w:val="28"/>
        </w:rPr>
        <w:t>根本违约。</w:t>
      </w:r>
    </w:p>
    <w:p w14:paraId="5EB1FA66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需方</w:t>
      </w:r>
      <w:r>
        <w:rPr>
          <w:sz w:val="28"/>
          <w:szCs w:val="28"/>
        </w:rPr>
        <w:t>有权单方解除合同、无条件全额退货退款，</w:t>
      </w:r>
      <w:r>
        <w:rPr>
          <w:rFonts w:hint="eastAsia"/>
          <w:sz w:val="28"/>
          <w:szCs w:val="28"/>
        </w:rPr>
        <w:t>供方</w:t>
      </w:r>
      <w:r>
        <w:rPr>
          <w:sz w:val="28"/>
          <w:szCs w:val="28"/>
        </w:rPr>
        <w:t>应在</w:t>
      </w:r>
      <w:r>
        <w:rPr>
          <w:rFonts w:hint="eastAsia"/>
          <w:sz w:val="28"/>
          <w:szCs w:val="28"/>
        </w:rPr>
        <w:t>需方</w:t>
      </w:r>
      <w:r>
        <w:rPr>
          <w:sz w:val="28"/>
          <w:szCs w:val="28"/>
        </w:rPr>
        <w:t>通知后</w:t>
      </w:r>
      <w:r>
        <w:rPr>
          <w:sz w:val="28"/>
          <w:szCs w:val="28"/>
        </w:rPr>
        <w:t xml:space="preserve"> 7 </w:t>
      </w:r>
      <w:r>
        <w:rPr>
          <w:sz w:val="28"/>
          <w:szCs w:val="28"/>
        </w:rPr>
        <w:t>个工作日内全额退还</w:t>
      </w:r>
      <w:r>
        <w:rPr>
          <w:rFonts w:hint="eastAsia"/>
          <w:sz w:val="28"/>
          <w:szCs w:val="28"/>
        </w:rPr>
        <w:t>需方</w:t>
      </w:r>
      <w:r>
        <w:rPr>
          <w:sz w:val="28"/>
          <w:szCs w:val="28"/>
        </w:rPr>
        <w:t>已支付的全部款项，并承担设备往返运输、拆装、检测、仓储等全部相关费用；同时</w:t>
      </w:r>
      <w:r>
        <w:rPr>
          <w:rFonts w:hint="eastAsia"/>
          <w:sz w:val="28"/>
          <w:szCs w:val="28"/>
        </w:rPr>
        <w:t>供方</w:t>
      </w:r>
      <w:r>
        <w:rPr>
          <w:sz w:val="28"/>
          <w:szCs w:val="28"/>
        </w:rPr>
        <w:t>应按合同总金额的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 xml:space="preserve">% </w:t>
      </w:r>
      <w:r>
        <w:rPr>
          <w:sz w:val="28"/>
          <w:szCs w:val="28"/>
        </w:rPr>
        <w:t>向</w:t>
      </w:r>
      <w:r>
        <w:rPr>
          <w:rFonts w:hint="eastAsia"/>
          <w:sz w:val="28"/>
          <w:szCs w:val="28"/>
        </w:rPr>
        <w:t>需方</w:t>
      </w:r>
      <w:r>
        <w:rPr>
          <w:sz w:val="28"/>
          <w:szCs w:val="28"/>
        </w:rPr>
        <w:t>支付违约金，违约金不足以弥补</w:t>
      </w:r>
      <w:r>
        <w:rPr>
          <w:rFonts w:hint="eastAsia"/>
          <w:sz w:val="28"/>
          <w:szCs w:val="28"/>
        </w:rPr>
        <w:t>需方</w:t>
      </w:r>
      <w:r>
        <w:rPr>
          <w:sz w:val="28"/>
          <w:szCs w:val="28"/>
        </w:rPr>
        <w:t>工期延误、停产损失、第三方索赔等全部实际损失的，</w:t>
      </w:r>
      <w:r>
        <w:rPr>
          <w:rFonts w:hint="eastAsia"/>
          <w:sz w:val="28"/>
          <w:szCs w:val="28"/>
        </w:rPr>
        <w:t>供方</w:t>
      </w:r>
      <w:r>
        <w:rPr>
          <w:sz w:val="28"/>
          <w:szCs w:val="28"/>
        </w:rPr>
        <w:t>应就差额部分另行足额赔偿。</w:t>
      </w:r>
    </w:p>
    <w:p w14:paraId="11D0EC90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对于创新性强、技术难度大的挑战性项目，如存在部分关键指标不达标但经需方认定不影响产品、产线使用的，需方可选择让步接收，供方提供不高于合同总金额的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的折扣作为对需方让步接收的补偿。</w:t>
      </w:r>
    </w:p>
    <w:p w14:paraId="213FCCDA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rStyle w:val="a4"/>
          <w:rFonts w:ascii="Times New Roman" w:eastAsia="宋体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eastAsia="宋体" w:hAnsi="Times New Roman" w:cs="Times New Roman" w:hint="eastAsia"/>
          <w:b w:val="0"/>
          <w:sz w:val="28"/>
          <w:szCs w:val="28"/>
        </w:rPr>
        <w:lastRenderedPageBreak/>
        <w:t>3.2</w:t>
      </w:r>
      <w:r>
        <w:rPr>
          <w:rStyle w:val="a4"/>
          <w:rFonts w:ascii="Times New Roman" w:eastAsia="宋体" w:hAnsi="Times New Roman" w:cs="Times New Roman" w:hint="eastAsia"/>
          <w:b w:val="0"/>
          <w:sz w:val="28"/>
          <w:szCs w:val="28"/>
        </w:rPr>
        <w:t>辅助指标</w:t>
      </w:r>
      <w:r>
        <w:rPr>
          <w:rStyle w:val="a4"/>
          <w:rFonts w:ascii="Times New Roman" w:eastAsia="宋体" w:hAnsi="Times New Roman" w:cs="Times New Roman" w:hint="eastAsia"/>
          <w:b w:val="0"/>
          <w:sz w:val="28"/>
          <w:szCs w:val="28"/>
        </w:rPr>
        <w:t xml:space="preserve"> / </w:t>
      </w:r>
      <w:r>
        <w:rPr>
          <w:rStyle w:val="a4"/>
          <w:rFonts w:ascii="Times New Roman" w:eastAsia="宋体" w:hAnsi="Times New Roman" w:cs="Times New Roman" w:hint="eastAsia"/>
          <w:b w:val="0"/>
          <w:sz w:val="28"/>
          <w:szCs w:val="28"/>
        </w:rPr>
        <w:t>配置不符（非根本违约）</w:t>
      </w:r>
    </w:p>
    <w:p w14:paraId="78F09970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设备主要功能及核心参数均达标、可实现项目核心用途，但辅助性能指标、选配模块、附件配置、软件功能、外观尺寸等与合同约定不符，仅影响辅助性能或使用体验、不影响项目整体运行的，供方应无偿补齐缺失配件、将不符项整改至约定标准，由此产生的全部费用由供方自行承担；若供方无法整改到位，双方应在</w:t>
      </w:r>
      <w:r>
        <w:rPr>
          <w:rFonts w:hint="eastAsia"/>
          <w:sz w:val="28"/>
          <w:szCs w:val="28"/>
        </w:rPr>
        <w:t xml:space="preserve"> 30 </w:t>
      </w:r>
      <w:r>
        <w:rPr>
          <w:rFonts w:hint="eastAsia"/>
          <w:sz w:val="28"/>
          <w:szCs w:val="28"/>
        </w:rPr>
        <w:t>个工作日内按实际交付状态重新核定合同价款，签订书面补充协议并按调整后价格执行结算。需方有权全部或部分不予验收及付款。</w:t>
      </w:r>
    </w:p>
    <w:p w14:paraId="6952BA37" w14:textId="77777777" w:rsidR="000220DE" w:rsidRDefault="00000000">
      <w:pPr>
        <w:pStyle w:val="2"/>
        <w:widowControl/>
        <w:spacing w:beforeAutospacing="0" w:afterAutospacing="0" w:line="520" w:lineRule="exact"/>
        <w:rPr>
          <w:sz w:val="28"/>
          <w:szCs w:val="28"/>
        </w:rPr>
      </w:pPr>
      <w:r>
        <w:rPr>
          <w:sz w:val="28"/>
          <w:szCs w:val="28"/>
        </w:rPr>
        <w:t>四、交付期偏差</w:t>
      </w:r>
    </w:p>
    <w:p w14:paraId="6EF28549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交付期偏差指设备到货、安装调试等过程周期超出合同约定的时间。</w:t>
      </w:r>
    </w:p>
    <w:p w14:paraId="4E7CA310" w14:textId="17751082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扣款规则：到货或安装调试每迟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个工作日，扣减设备合同价款的</w:t>
      </w:r>
      <w:r>
        <w:rPr>
          <w:sz w:val="28"/>
          <w:szCs w:val="28"/>
        </w:rPr>
        <w:t>10‰</w:t>
      </w:r>
      <w:r>
        <w:rPr>
          <w:rFonts w:hint="eastAsia"/>
          <w:sz w:val="28"/>
          <w:szCs w:val="28"/>
        </w:rPr>
        <w:t>作为违约金，如违约金超过合同总价款的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或因供方原因设备未能通过最终验收，需方有权就供方违约而解除合同，且供方仍须支付上述违约金，返还需方已支付的设备款（如有），并赔偿由此给需方造成的一切损失。</w:t>
      </w:r>
    </w:p>
    <w:p w14:paraId="191AFE39" w14:textId="77777777" w:rsidR="000220DE" w:rsidRDefault="00000000">
      <w:pPr>
        <w:pStyle w:val="2"/>
        <w:widowControl/>
        <w:spacing w:beforeAutospacing="0" w:afterAutospacing="0" w:line="520" w:lineRule="exact"/>
        <w:rPr>
          <w:sz w:val="28"/>
          <w:szCs w:val="28"/>
        </w:rPr>
      </w:pPr>
      <w:r>
        <w:rPr>
          <w:sz w:val="28"/>
          <w:szCs w:val="28"/>
        </w:rPr>
        <w:t>五、考核与执行流程</w:t>
      </w:r>
    </w:p>
    <w:p w14:paraId="6572D075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5.1</w:t>
      </w:r>
      <w:r>
        <w:rPr>
          <w:rFonts w:hint="eastAsia"/>
          <w:sz w:val="28"/>
          <w:szCs w:val="28"/>
        </w:rPr>
        <w:t>供方同意，在需方就索赔扣款及违约金通知供方后，需方有权直接从</w:t>
      </w:r>
      <w:r>
        <w:rPr>
          <w:rStyle w:val="a4"/>
          <w:rFonts w:hint="eastAsia"/>
          <w:b w:val="0"/>
          <w:sz w:val="28"/>
          <w:szCs w:val="28"/>
        </w:rPr>
        <w:t>项目尾款、履约保证金或质保金</w:t>
      </w:r>
      <w:r>
        <w:rPr>
          <w:rFonts w:hint="eastAsia"/>
          <w:sz w:val="28"/>
          <w:szCs w:val="28"/>
        </w:rPr>
        <w:t>中优先抵扣相应款项。若抵扣后仍不足以覆盖索赔扣款及违约金金额，供方应就剩余部分另行向需方支付。</w:t>
      </w:r>
    </w:p>
    <w:p w14:paraId="5D9F5315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5.2 </w:t>
      </w:r>
      <w:r>
        <w:rPr>
          <w:rFonts w:hint="eastAsia"/>
          <w:sz w:val="28"/>
          <w:szCs w:val="28"/>
        </w:rPr>
        <w:t>针对同一问题同时触发的多项索赔，不重复扣款，按照索赔金额较高的标准执行，但不同阶段重复发生的不在此限。所有索赔金额不超过合同总金额的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。</w:t>
      </w:r>
    </w:p>
    <w:p w14:paraId="184BA172" w14:textId="77777777" w:rsidR="000220DE" w:rsidRDefault="00000000">
      <w:pPr>
        <w:pStyle w:val="2"/>
        <w:widowControl/>
        <w:spacing w:beforeAutospacing="0" w:afterAutospacing="0" w:line="520" w:lineRule="exact"/>
        <w:rPr>
          <w:sz w:val="28"/>
          <w:szCs w:val="28"/>
        </w:rPr>
      </w:pPr>
      <w:r>
        <w:rPr>
          <w:sz w:val="28"/>
          <w:szCs w:val="28"/>
        </w:rPr>
        <w:t>六、附则</w:t>
      </w:r>
    </w:p>
    <w:p w14:paraId="44E28F04" w14:textId="77777777" w:rsidR="000220DE" w:rsidRDefault="00000000">
      <w:pPr>
        <w:widowControl/>
        <w:spacing w:line="520" w:lineRule="exact"/>
        <w:ind w:left="-360"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本</w:t>
      </w:r>
      <w:r>
        <w:rPr>
          <w:rFonts w:hint="eastAsia"/>
          <w:sz w:val="28"/>
          <w:szCs w:val="28"/>
        </w:rPr>
        <w:t>细则</w:t>
      </w:r>
      <w:r>
        <w:rPr>
          <w:sz w:val="28"/>
          <w:szCs w:val="28"/>
        </w:rPr>
        <w:t>作为主合同</w:t>
      </w:r>
      <w:r>
        <w:rPr>
          <w:rStyle w:val="a4"/>
          <w:b w:val="0"/>
          <w:sz w:val="28"/>
          <w:szCs w:val="28"/>
        </w:rPr>
        <w:t>有效组成部分</w:t>
      </w:r>
      <w:r>
        <w:rPr>
          <w:sz w:val="28"/>
          <w:szCs w:val="28"/>
        </w:rPr>
        <w:t>，与合同、技术协议具有同等法律效力</w:t>
      </w:r>
      <w:r>
        <w:rPr>
          <w:rFonts w:hint="eastAsia"/>
          <w:sz w:val="28"/>
          <w:szCs w:val="28"/>
        </w:rPr>
        <w:t>，关于产能节拍偏差、自动化率偏差、功能及性能偏差、延期的索赔扣款及违约金的规定，如有不一致之处，以本细则为准。</w:t>
      </w:r>
    </w:p>
    <w:p w14:paraId="5245E26B" w14:textId="77777777" w:rsidR="000220DE" w:rsidRDefault="000220DE">
      <w:pPr>
        <w:widowControl/>
        <w:spacing w:line="520" w:lineRule="exact"/>
        <w:ind w:left="-360" w:firstLineChars="200" w:firstLine="420"/>
        <w:jc w:val="left"/>
      </w:pPr>
    </w:p>
    <w:sectPr w:rsidR="00022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E9C24" w14:textId="77777777" w:rsidR="00640686" w:rsidRDefault="00640686" w:rsidP="00985B23">
      <w:r>
        <w:separator/>
      </w:r>
    </w:p>
  </w:endnote>
  <w:endnote w:type="continuationSeparator" w:id="0">
    <w:p w14:paraId="05AFBD65" w14:textId="77777777" w:rsidR="00640686" w:rsidRDefault="00640686" w:rsidP="0098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EEF10" w14:textId="77777777" w:rsidR="00640686" w:rsidRDefault="00640686" w:rsidP="00985B23">
      <w:r>
        <w:separator/>
      </w:r>
    </w:p>
  </w:footnote>
  <w:footnote w:type="continuationSeparator" w:id="0">
    <w:p w14:paraId="6CDEACD4" w14:textId="77777777" w:rsidR="00640686" w:rsidRDefault="00640686" w:rsidP="00985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0DE"/>
    <w:rsid w:val="000220DE"/>
    <w:rsid w:val="00640686"/>
    <w:rsid w:val="00985B23"/>
    <w:rsid w:val="00AF3A11"/>
    <w:rsid w:val="00DE306C"/>
    <w:rsid w:val="037D61DE"/>
    <w:rsid w:val="04F33A06"/>
    <w:rsid w:val="104E54F3"/>
    <w:rsid w:val="149037AC"/>
    <w:rsid w:val="1933462F"/>
    <w:rsid w:val="1E6E7089"/>
    <w:rsid w:val="1FB722D3"/>
    <w:rsid w:val="20E3608E"/>
    <w:rsid w:val="262D2344"/>
    <w:rsid w:val="2A1026CC"/>
    <w:rsid w:val="327D2A39"/>
    <w:rsid w:val="35380BBF"/>
    <w:rsid w:val="38156F95"/>
    <w:rsid w:val="384004B6"/>
    <w:rsid w:val="39580CF6"/>
    <w:rsid w:val="3C164881"/>
    <w:rsid w:val="3FCE0B50"/>
    <w:rsid w:val="46842AB2"/>
    <w:rsid w:val="4B431740"/>
    <w:rsid w:val="4CF810F2"/>
    <w:rsid w:val="4DF943B3"/>
    <w:rsid w:val="4F61706A"/>
    <w:rsid w:val="52706F1B"/>
    <w:rsid w:val="530A0F5C"/>
    <w:rsid w:val="5B4D4167"/>
    <w:rsid w:val="5B7229E4"/>
    <w:rsid w:val="5C6C22A6"/>
    <w:rsid w:val="6B387F59"/>
    <w:rsid w:val="74B23D8F"/>
    <w:rsid w:val="76AD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0EF25"/>
  <w15:docId w15:val="{DFC76AB6-33D9-40CA-AA4B-067B458D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Revision"/>
    <w:hidden/>
    <w:uiPriority w:val="99"/>
    <w:unhideWhenUsed/>
    <w:rsid w:val="00985B23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6">
    <w:name w:val="header"/>
    <w:basedOn w:val="a"/>
    <w:link w:val="a7"/>
    <w:rsid w:val="00985B2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85B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85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85B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杨宝毅</dc:creator>
  <cp:lastModifiedBy>宋静文</cp:lastModifiedBy>
  <cp:revision>2</cp:revision>
  <cp:lastPrinted>2026-02-28T06:47:00Z</cp:lastPrinted>
  <dcterms:created xsi:type="dcterms:W3CDTF">2026-02-26T09:10:00Z</dcterms:created>
  <dcterms:modified xsi:type="dcterms:W3CDTF">2026-04-20T09:47:00Z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eyJoZGlkIjoiZDEzYjFlMWI3YTY4Yjg4M2NiNTIzNzk1ZTdmMTc1OWYiLCJ1c2VySWQiOiI0ODQwODk2MDQifQ==</vt:lpwstr>
  </property>
  <property fmtid="{D5CDD505-2E9C-101B-9397-08002B2CF9AE}" pid="4" name="ICV">
    <vt:lpwstr>EAAD7BA19A7843E4B3565C4F5A226307_13</vt:lpwstr>
  </property>
</Properties>
</file>