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923B7">
      <w:pPr>
        <w:wordWrap w:val="0"/>
        <w:adjustRightInd w:val="0"/>
        <w:snapToGrid w:val="0"/>
        <w:spacing w:line="360" w:lineRule="auto"/>
        <w:jc w:val="right"/>
        <w:rPr>
          <w:rFonts w:ascii="方正小标宋简体" w:hAnsi="宋体" w:eastAsia="方正小标宋简体"/>
          <w:sz w:val="24"/>
          <w:szCs w:val="24"/>
        </w:rPr>
      </w:pPr>
    </w:p>
    <w:p w14:paraId="68B56916">
      <w:pPr>
        <w:wordWrap/>
        <w:adjustRightInd w:val="0"/>
        <w:snapToGrid w:val="0"/>
        <w:spacing w:line="360" w:lineRule="auto"/>
        <w:jc w:val="right"/>
        <w:rPr>
          <w:rFonts w:ascii="方正小标宋简体" w:hAnsi="宋体" w:eastAsia="方正小标宋简体"/>
          <w:sz w:val="24"/>
          <w:szCs w:val="24"/>
        </w:rPr>
      </w:pPr>
      <w:bookmarkStart w:id="80" w:name="_GoBack"/>
      <w:bookmarkEnd w:id="80"/>
    </w:p>
    <w:p w14:paraId="0A23B337">
      <w:pPr>
        <w:adjustRightInd w:val="0"/>
        <w:snapToGrid w:val="0"/>
        <w:spacing w:line="360" w:lineRule="auto"/>
        <w:jc w:val="left"/>
        <w:rPr>
          <w:rFonts w:ascii="宋体" w:hAnsi="宋体"/>
          <w:sz w:val="20"/>
          <w:szCs w:val="20"/>
        </w:rPr>
      </w:pPr>
    </w:p>
    <w:p w14:paraId="0D952ECE">
      <w:pPr>
        <w:adjustRightInd w:val="0"/>
        <w:snapToGrid w:val="0"/>
        <w:spacing w:line="360" w:lineRule="auto"/>
        <w:jc w:val="left"/>
        <w:rPr>
          <w:rFonts w:ascii="宋体" w:hAnsi="宋体"/>
          <w:sz w:val="20"/>
          <w:szCs w:val="20"/>
        </w:rPr>
      </w:pPr>
    </w:p>
    <w:p w14:paraId="61644A30">
      <w:pPr>
        <w:adjustRightInd w:val="0"/>
        <w:snapToGrid w:val="0"/>
        <w:spacing w:line="360" w:lineRule="auto"/>
        <w:jc w:val="left"/>
        <w:rPr>
          <w:rFonts w:ascii="宋体" w:hAnsi="宋体"/>
          <w:sz w:val="20"/>
          <w:szCs w:val="20"/>
        </w:rPr>
      </w:pPr>
    </w:p>
    <w:p w14:paraId="32F324D8">
      <w:pPr>
        <w:adjustRightInd w:val="0"/>
        <w:snapToGrid w:val="0"/>
        <w:spacing w:line="360" w:lineRule="auto"/>
        <w:jc w:val="left"/>
        <w:rPr>
          <w:rFonts w:ascii="宋体" w:hAnsi="宋体"/>
          <w:sz w:val="20"/>
          <w:szCs w:val="20"/>
        </w:rPr>
      </w:pPr>
    </w:p>
    <w:p w14:paraId="136FE5B2">
      <w:pPr>
        <w:adjustRightInd w:val="0"/>
        <w:snapToGrid w:val="0"/>
        <w:spacing w:line="360" w:lineRule="auto"/>
        <w:jc w:val="center"/>
        <w:rPr>
          <w:rFonts w:ascii="方正小标宋简体" w:hAnsi="宋体" w:eastAsia="方正小标宋简体"/>
          <w:bCs/>
          <w:sz w:val="52"/>
          <w:szCs w:val="36"/>
        </w:rPr>
      </w:pPr>
    </w:p>
    <w:p w14:paraId="37189393">
      <w:pPr>
        <w:adjustRightInd w:val="0"/>
        <w:snapToGrid w:val="0"/>
        <w:spacing w:line="360" w:lineRule="auto"/>
        <w:jc w:val="center"/>
        <w:rPr>
          <w:rFonts w:ascii="方正小标宋简体" w:hAnsi="宋体" w:eastAsia="方正小标宋简体"/>
          <w:bCs/>
          <w:sz w:val="52"/>
          <w:szCs w:val="36"/>
        </w:rPr>
      </w:pPr>
    </w:p>
    <w:p w14:paraId="3843EB21">
      <w:pPr>
        <w:adjustRightInd w:val="0"/>
        <w:snapToGrid w:val="0"/>
        <w:spacing w:line="360" w:lineRule="auto"/>
        <w:jc w:val="center"/>
        <w:rPr>
          <w:rFonts w:ascii="方正小标宋简体" w:hAnsi="宋体" w:eastAsia="方正小标宋简体"/>
          <w:bCs/>
          <w:sz w:val="52"/>
          <w:szCs w:val="36"/>
        </w:rPr>
      </w:pPr>
      <w:r>
        <w:rPr>
          <w:rFonts w:hint="eastAsia" w:ascii="方正小标宋简体" w:hAnsi="宋体" w:eastAsia="方正小标宋简体"/>
          <w:bCs/>
          <w:sz w:val="52"/>
          <w:szCs w:val="36"/>
        </w:rPr>
        <w:t>设备采购合同（模板）</w:t>
      </w:r>
    </w:p>
    <w:p w14:paraId="29B3ACF4">
      <w:pPr>
        <w:pStyle w:val="5"/>
        <w:jc w:val="center"/>
      </w:pPr>
      <w:r>
        <w:rPr>
          <w:rFonts w:hint="eastAsia" w:hAnsi="宋体" w:eastAsia="宋体" w:cs="宋体"/>
          <w:b/>
          <w:sz w:val="24"/>
          <w:szCs w:val="24"/>
        </w:rPr>
        <w:t>（合同以双方最终签署的版本为准）</w:t>
      </w:r>
    </w:p>
    <w:p w14:paraId="3002E327">
      <w:pPr>
        <w:adjustRightInd w:val="0"/>
        <w:snapToGrid w:val="0"/>
        <w:spacing w:line="360" w:lineRule="auto"/>
        <w:jc w:val="left"/>
        <w:rPr>
          <w:rFonts w:ascii="宋体" w:hAnsi="宋体"/>
          <w:b/>
          <w:sz w:val="36"/>
          <w:szCs w:val="36"/>
        </w:rPr>
      </w:pPr>
    </w:p>
    <w:p w14:paraId="7FD08B69">
      <w:pPr>
        <w:adjustRightInd w:val="0"/>
        <w:snapToGrid w:val="0"/>
        <w:spacing w:line="360" w:lineRule="auto"/>
        <w:jc w:val="left"/>
        <w:rPr>
          <w:rFonts w:ascii="宋体" w:hAnsi="宋体"/>
          <w:b/>
          <w:sz w:val="36"/>
          <w:szCs w:val="36"/>
        </w:rPr>
      </w:pPr>
    </w:p>
    <w:p w14:paraId="40D71876">
      <w:pPr>
        <w:adjustRightInd w:val="0"/>
        <w:snapToGrid w:val="0"/>
        <w:spacing w:line="360" w:lineRule="auto"/>
        <w:jc w:val="left"/>
        <w:rPr>
          <w:rFonts w:ascii="宋体" w:hAnsi="宋体"/>
          <w:b/>
          <w:sz w:val="36"/>
          <w:szCs w:val="36"/>
        </w:rPr>
      </w:pPr>
    </w:p>
    <w:p w14:paraId="7E8E8B0B">
      <w:pPr>
        <w:adjustRightInd w:val="0"/>
        <w:snapToGrid w:val="0"/>
        <w:spacing w:line="360" w:lineRule="auto"/>
        <w:jc w:val="left"/>
        <w:rPr>
          <w:rFonts w:ascii="宋体" w:hAnsi="宋体"/>
          <w:b/>
          <w:sz w:val="36"/>
          <w:szCs w:val="36"/>
        </w:rPr>
      </w:pPr>
    </w:p>
    <w:p w14:paraId="283B1909">
      <w:pPr>
        <w:adjustRightInd w:val="0"/>
        <w:snapToGrid w:val="0"/>
        <w:spacing w:line="360" w:lineRule="auto"/>
        <w:jc w:val="left"/>
        <w:rPr>
          <w:rFonts w:ascii="宋体" w:hAnsi="宋体"/>
          <w:b/>
          <w:sz w:val="36"/>
          <w:szCs w:val="36"/>
        </w:rPr>
      </w:pPr>
    </w:p>
    <w:p w14:paraId="28EA84D8">
      <w:pPr>
        <w:adjustRightInd w:val="0"/>
        <w:snapToGrid w:val="0"/>
        <w:spacing w:line="360" w:lineRule="auto"/>
        <w:jc w:val="left"/>
        <w:rPr>
          <w:rFonts w:ascii="宋体" w:hAnsi="宋体"/>
          <w:b/>
          <w:sz w:val="36"/>
          <w:szCs w:val="36"/>
        </w:rPr>
      </w:pPr>
    </w:p>
    <w:p w14:paraId="2BE616F9">
      <w:pPr>
        <w:adjustRightInd w:val="0"/>
        <w:snapToGrid w:val="0"/>
        <w:spacing w:line="360" w:lineRule="auto"/>
        <w:ind w:firstLine="2107" w:firstLineChars="878"/>
        <w:jc w:val="left"/>
        <w:rPr>
          <w:rFonts w:ascii="方正小标宋简体" w:hAnsi="宋体" w:eastAsia="方正小标宋简体" w:cs="Times New Roman"/>
          <w:sz w:val="24"/>
          <w:szCs w:val="24"/>
          <w:u w:val="thick"/>
        </w:rPr>
      </w:pPr>
      <w:r>
        <w:rPr>
          <w:rFonts w:hint="eastAsia" w:ascii="方正小标宋简体" w:hAnsi="宋体" w:eastAsia="方正小标宋简体" w:cs="Times New Roman"/>
          <w:sz w:val="24"/>
          <w:szCs w:val="24"/>
        </w:rPr>
        <w:t>甲  方：</w:t>
      </w:r>
    </w:p>
    <w:p w14:paraId="5DC8CCAB">
      <w:pPr>
        <w:adjustRightInd w:val="0"/>
        <w:snapToGrid w:val="0"/>
        <w:spacing w:line="360" w:lineRule="auto"/>
        <w:ind w:firstLine="1627" w:firstLineChars="678"/>
        <w:jc w:val="left"/>
        <w:rPr>
          <w:rFonts w:ascii="方正小标宋简体" w:hAnsi="宋体" w:eastAsia="方正小标宋简体"/>
          <w:sz w:val="24"/>
          <w:szCs w:val="24"/>
        </w:rPr>
      </w:pPr>
    </w:p>
    <w:p w14:paraId="5DF6DC2A">
      <w:pPr>
        <w:adjustRightInd w:val="0"/>
        <w:snapToGrid w:val="0"/>
        <w:spacing w:line="360" w:lineRule="auto"/>
        <w:ind w:firstLine="2107" w:firstLineChars="878"/>
        <w:jc w:val="left"/>
        <w:rPr>
          <w:rFonts w:ascii="方正小标宋简体" w:hAnsi="宋体" w:eastAsia="方正小标宋简体"/>
          <w:sz w:val="24"/>
          <w:szCs w:val="24"/>
        </w:rPr>
      </w:pPr>
      <w:r>
        <w:rPr>
          <w:rFonts w:hint="eastAsia" w:ascii="方正小标宋简体" w:hAnsi="宋体" w:eastAsia="方正小标宋简体"/>
          <w:sz w:val="24"/>
          <w:szCs w:val="24"/>
        </w:rPr>
        <w:t>乙  方：</w:t>
      </w:r>
    </w:p>
    <w:p w14:paraId="21C91807">
      <w:pPr>
        <w:spacing w:line="360" w:lineRule="auto"/>
        <w:ind w:right="480"/>
        <w:rPr>
          <w:rFonts w:ascii="宋体" w:hAnsi="宋体" w:cs="宋体"/>
          <w:bCs/>
          <w:sz w:val="24"/>
          <w:u w:val="single"/>
        </w:rPr>
      </w:pPr>
    </w:p>
    <w:p w14:paraId="598D5729">
      <w:pPr>
        <w:spacing w:line="360" w:lineRule="auto"/>
        <w:rPr>
          <w:rFonts w:ascii="宋体" w:hAnsi="宋体" w:cs="宋体"/>
          <w:bCs/>
          <w:sz w:val="22"/>
        </w:rPr>
        <w:sectPr>
          <w:pgSz w:w="11907" w:h="16840"/>
          <w:pgMar w:top="1304" w:right="1418" w:bottom="1304" w:left="1418" w:header="724" w:footer="851" w:gutter="0"/>
          <w:cols w:space="720" w:num="1"/>
          <w:docGrid w:linePitch="290" w:charSpace="-3931"/>
        </w:sectPr>
      </w:pPr>
    </w:p>
    <w:p w14:paraId="37A505B7">
      <w:pPr>
        <w:spacing w:line="360" w:lineRule="auto"/>
        <w:rPr>
          <w:rFonts w:ascii="仿宋_GB2312" w:hAnsi="宋体" w:eastAsia="仿宋_GB2312" w:cs="宋体"/>
          <w:bCs/>
          <w:sz w:val="24"/>
          <w:szCs w:val="24"/>
        </w:rPr>
      </w:pPr>
      <w:r>
        <w:rPr>
          <w:rFonts w:hint="eastAsia" w:ascii="仿宋_GB2312" w:hAnsi="宋体" w:eastAsia="仿宋_GB2312" w:cs="宋体"/>
          <w:bCs/>
          <w:sz w:val="24"/>
          <w:szCs w:val="24"/>
        </w:rPr>
        <w:t>甲方（买方）：</w:t>
      </w:r>
    </w:p>
    <w:p w14:paraId="50353FB2">
      <w:pPr>
        <w:spacing w:line="360" w:lineRule="auto"/>
        <w:rPr>
          <w:rFonts w:ascii="仿宋_GB2312" w:hAnsi="宋体" w:eastAsia="仿宋_GB2312" w:cs="宋体"/>
          <w:bCs/>
          <w:sz w:val="24"/>
          <w:szCs w:val="24"/>
        </w:rPr>
      </w:pPr>
    </w:p>
    <w:p w14:paraId="0BDAF046">
      <w:pPr>
        <w:spacing w:line="360" w:lineRule="auto"/>
        <w:ind w:right="-189" w:rightChars="-90" w:firstLine="120" w:firstLineChars="50"/>
        <w:jc w:val="left"/>
        <w:rPr>
          <w:rFonts w:ascii="仿宋_GB2312" w:hAnsi="宋体" w:eastAsia="仿宋_GB2312" w:cs="宋体"/>
          <w:b/>
          <w:bCs/>
          <w:sz w:val="24"/>
          <w:szCs w:val="24"/>
          <w:u w:val="single"/>
        </w:rPr>
      </w:pPr>
      <w:r>
        <w:rPr>
          <w:rFonts w:hint="eastAsia" w:ascii="仿宋_GB2312" w:hAnsi="宋体" w:eastAsia="仿宋_GB2312" w:cs="宋体"/>
          <w:bCs/>
          <w:sz w:val="24"/>
          <w:szCs w:val="24"/>
        </w:rPr>
        <w:t>乙方（卖方）：</w:t>
      </w:r>
    </w:p>
    <w:p w14:paraId="5C44821F">
      <w:pPr>
        <w:spacing w:line="360" w:lineRule="auto"/>
        <w:ind w:right="-189" w:rightChars="-90"/>
        <w:jc w:val="left"/>
        <w:rPr>
          <w:rFonts w:ascii="仿宋_GB2312" w:hAnsi="宋体" w:eastAsia="仿宋_GB2312" w:cs="宋体"/>
          <w:b/>
          <w:bCs/>
          <w:sz w:val="24"/>
          <w:szCs w:val="24"/>
          <w:u w:val="single"/>
        </w:rPr>
      </w:pPr>
    </w:p>
    <w:p w14:paraId="561C5246">
      <w:pPr>
        <w:spacing w:line="360" w:lineRule="auto"/>
        <w:ind w:firstLine="480" w:firstLineChars="200"/>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本设备采购合同由甲乙双方于山东省济南市（</w:t>
      </w:r>
      <w:r>
        <w:rPr>
          <w:rFonts w:hint="eastAsia" w:ascii="仿宋_GB2312" w:hAnsi="等线" w:eastAsia="仿宋_GB2312" w:cs="等线"/>
          <w:i/>
          <w:iCs/>
          <w:sz w:val="24"/>
          <w:u w:val="single"/>
        </w:rPr>
        <w:t>可根据实际情况调整为甲方/买方所在地</w:t>
      </w:r>
      <w:r>
        <w:rPr>
          <w:rFonts w:hint="eastAsia" w:ascii="仿宋_GB2312" w:eastAsia="仿宋_GB2312" w:hAnsiTheme="minorEastAsia" w:cstheme="minorEastAsia"/>
          <w:sz w:val="24"/>
          <w:szCs w:val="24"/>
        </w:rPr>
        <w:t>）签订：</w:t>
      </w:r>
    </w:p>
    <w:p w14:paraId="181BD1E3">
      <w:pPr>
        <w:spacing w:line="360" w:lineRule="auto"/>
        <w:ind w:right="-189" w:rightChars="-90" w:firstLine="480" w:firstLineChars="200"/>
        <w:jc w:val="left"/>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鉴于，买方向卖方购买项目设备台（套），就该设备的设计、制造、运输、定点卸货、安装（或指导安装）、调试、验收、培训及售后服务等有关问题，以上所列内容经买卖双方协商自愿达成本合同：</w:t>
      </w:r>
    </w:p>
    <w:p w14:paraId="2BB9A540">
      <w:pPr>
        <w:pStyle w:val="2"/>
        <w:tabs>
          <w:tab w:val="right" w:leader="dot" w:pos="9061"/>
        </w:tabs>
        <w:spacing w:before="312" w:beforeLines="100"/>
        <w:ind w:firstLine="529" w:firstLineChars="189"/>
        <w:rPr>
          <w:rFonts w:ascii="黑体" w:hAnsi="黑体" w:eastAsia="黑体" w:cstheme="minorEastAsia"/>
          <w:b w:val="0"/>
          <w:sz w:val="28"/>
          <w:szCs w:val="28"/>
        </w:rPr>
      </w:pPr>
      <w:bookmarkStart w:id="0" w:name="_Toc11823"/>
      <w:bookmarkStart w:id="1" w:name="_Toc16330018"/>
      <w:bookmarkStart w:id="2" w:name="_Toc11930"/>
      <w:bookmarkStart w:id="3" w:name="_Toc17619"/>
      <w:r>
        <w:rPr>
          <w:rFonts w:hint="eastAsia" w:ascii="黑体" w:hAnsi="黑体" w:eastAsia="黑体" w:cstheme="minorEastAsia"/>
          <w:b w:val="0"/>
          <w:sz w:val="28"/>
          <w:szCs w:val="28"/>
        </w:rPr>
        <w:t>1 合同设备</w:t>
      </w:r>
      <w:bookmarkEnd w:id="0"/>
      <w:bookmarkEnd w:id="1"/>
      <w:bookmarkEnd w:id="2"/>
      <w:bookmarkEnd w:id="3"/>
    </w:p>
    <w:p w14:paraId="3509E84F">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1.1买方向卖方购买的设备信息见附件一：《设备清单明细表》</w:t>
      </w:r>
    </w:p>
    <w:p w14:paraId="7CC5021B">
      <w:pPr>
        <w:spacing w:line="360" w:lineRule="auto"/>
        <w:ind w:firstLine="453" w:firstLineChars="189"/>
        <w:rPr>
          <w:rFonts w:ascii="仿宋_GB2312" w:eastAsia="仿宋_GB2312" w:hAnsiTheme="minorEastAsia" w:cstheme="minorEastAsia"/>
          <w:sz w:val="24"/>
          <w:szCs w:val="24"/>
        </w:rPr>
      </w:pPr>
      <w:bookmarkStart w:id="4" w:name="_Toc32510"/>
      <w:bookmarkStart w:id="5" w:name="_Toc29026"/>
      <w:bookmarkStart w:id="6" w:name="_Toc22800"/>
      <w:r>
        <w:rPr>
          <w:rFonts w:hint="eastAsia" w:ascii="仿宋_GB2312" w:eastAsia="仿宋_GB2312" w:hAnsiTheme="minorEastAsia" w:cstheme="minorEastAsia"/>
          <w:sz w:val="24"/>
          <w:szCs w:val="24"/>
        </w:rPr>
        <w:t>1.2技术规格和标准</w:t>
      </w:r>
    </w:p>
    <w:p w14:paraId="016B6000">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1.2.1本合同约定设备的技术规格详见附件二《技术协议书》。</w:t>
      </w:r>
    </w:p>
    <w:p w14:paraId="7774811D">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1.2.2本合同约定设备的技术规格应与《技术协议书》中规定的相应标准一致。若《技术协议书》无相应规定或未签署《技术协议书》，设备的技术规格则应符合相应的国家标准、其原产地国家有关部门最新颁布的相应正式标准、买方招标文件及卖方一切书面承诺中要求的技术标准。</w:t>
      </w:r>
    </w:p>
    <w:p w14:paraId="397A41B7">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1.3在设备所有权转移到买方之前，有关设备的保险由卖方负责办理并承担保险费用。</w:t>
      </w:r>
    </w:p>
    <w:p w14:paraId="74CD75A5">
      <w:pPr>
        <w:pStyle w:val="2"/>
        <w:tabs>
          <w:tab w:val="right" w:leader="dot" w:pos="9061"/>
        </w:tabs>
        <w:spacing w:before="312" w:beforeLines="100"/>
        <w:ind w:firstLine="529" w:firstLineChars="189"/>
        <w:rPr>
          <w:rFonts w:ascii="黑体" w:hAnsi="黑体" w:eastAsia="黑体" w:cstheme="minorEastAsia"/>
          <w:b w:val="0"/>
          <w:sz w:val="28"/>
          <w:szCs w:val="28"/>
        </w:rPr>
      </w:pPr>
      <w:bookmarkStart w:id="7" w:name="_Toc16330019"/>
      <w:r>
        <w:rPr>
          <w:rFonts w:hint="eastAsia" w:ascii="黑体" w:hAnsi="黑体" w:eastAsia="黑体" w:cstheme="minorEastAsia"/>
          <w:b w:val="0"/>
          <w:sz w:val="28"/>
          <w:szCs w:val="28"/>
        </w:rPr>
        <w:t>2 包装</w:t>
      </w:r>
      <w:bookmarkEnd w:id="4"/>
      <w:bookmarkEnd w:id="5"/>
      <w:bookmarkEnd w:id="6"/>
      <w:bookmarkEnd w:id="7"/>
    </w:p>
    <w:p w14:paraId="06FDF77E">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2.1设备的包装需采用国家标准，没有国家标准的采用行业标准，没有行业标准的应当按照通用的方式包装，没有通用方式的，应当采取足以保护设备的包装方式。这种包装应适于长途运输，并有良好的防潮、防锈和防野蛮装卸等保护措施，以确保设备在运输过程中不受损伤安全抵运现场。卖方应承担由于其包装、防护不妥而引起的设备锈蚀、损坏、丢失等任何损失的责任和费用。</w:t>
      </w:r>
    </w:p>
    <w:p w14:paraId="55A1641A">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2.2每件包装应附有详细的装箱单和质量证书各两套，一套在包装箱里，一套在包装箱外。</w:t>
      </w:r>
    </w:p>
    <w:p w14:paraId="66E4E2F7">
      <w:pPr>
        <w:pStyle w:val="2"/>
        <w:tabs>
          <w:tab w:val="right" w:leader="dot" w:pos="9061"/>
        </w:tabs>
        <w:spacing w:before="312" w:beforeLines="100"/>
        <w:ind w:firstLine="529" w:firstLineChars="189"/>
        <w:rPr>
          <w:rFonts w:ascii="黑体" w:hAnsi="黑体" w:eastAsia="黑体" w:cstheme="minorEastAsia"/>
          <w:b w:val="0"/>
          <w:sz w:val="28"/>
          <w:szCs w:val="28"/>
        </w:rPr>
      </w:pPr>
      <w:bookmarkStart w:id="8" w:name="_Toc27144"/>
      <w:bookmarkStart w:id="9" w:name="_Toc16330020"/>
      <w:bookmarkStart w:id="10" w:name="_Toc27453"/>
      <w:bookmarkStart w:id="11" w:name="_Toc2833"/>
      <w:r>
        <w:rPr>
          <w:rFonts w:hint="eastAsia" w:ascii="黑体" w:hAnsi="黑体" w:eastAsia="黑体" w:cstheme="minorEastAsia"/>
          <w:b w:val="0"/>
          <w:sz w:val="28"/>
          <w:szCs w:val="28"/>
        </w:rPr>
        <w:t>3 运输标记</w:t>
      </w:r>
      <w:bookmarkEnd w:id="8"/>
      <w:bookmarkEnd w:id="9"/>
      <w:bookmarkEnd w:id="10"/>
      <w:bookmarkEnd w:id="11"/>
    </w:p>
    <w:p w14:paraId="0248F6FA">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3.1卖方应在每一包装箱邻近的四个侧面用不易褪色的油漆以醒目的中文印刷字体标明以下各项：</w:t>
      </w:r>
    </w:p>
    <w:p w14:paraId="364E4CEA">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3.1.1收货人</w:t>
      </w:r>
    </w:p>
    <w:p w14:paraId="3E73A321">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3.1.2合同号</w:t>
      </w:r>
    </w:p>
    <w:p w14:paraId="491CECD7">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3.1.3发货标记（唛头）</w:t>
      </w:r>
    </w:p>
    <w:p w14:paraId="7822A93E">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3.1.4设备的名称、品目号、箱号</w:t>
      </w:r>
    </w:p>
    <w:p w14:paraId="3FC958AA">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3.1.5毛重/净重（公斤）</w:t>
      </w:r>
    </w:p>
    <w:p w14:paraId="758C6A9C">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3.1.6尺寸（长×宽×高，以厘米计）</w:t>
      </w:r>
    </w:p>
    <w:p w14:paraId="3427B308">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3.2根据设备的特点和运输的不同要求，卖方应在每件包装箱的两侧以国内贸易相宜的运输标志标明“重心”和“吊装点”，并以清晰的字样在包装箱上注明“小心轻放”、“勿倒置”、“防潮”等适当的标志，以方便装卸和搬运。</w:t>
      </w:r>
    </w:p>
    <w:p w14:paraId="34ADC571">
      <w:pPr>
        <w:pStyle w:val="2"/>
        <w:tabs>
          <w:tab w:val="right" w:leader="dot" w:pos="9061"/>
        </w:tabs>
        <w:spacing w:before="312" w:beforeLines="100"/>
        <w:ind w:firstLine="529" w:firstLineChars="189"/>
        <w:rPr>
          <w:rFonts w:ascii="黑体" w:hAnsi="黑体" w:eastAsia="黑体" w:cstheme="minorEastAsia"/>
          <w:b w:val="0"/>
          <w:sz w:val="28"/>
          <w:szCs w:val="28"/>
        </w:rPr>
      </w:pPr>
      <w:bookmarkStart w:id="12" w:name="_Toc7431"/>
      <w:bookmarkStart w:id="13" w:name="_Toc16133"/>
      <w:bookmarkStart w:id="14" w:name="_Toc16330021"/>
      <w:bookmarkStart w:id="15" w:name="_Toc10630"/>
      <w:r>
        <w:rPr>
          <w:rFonts w:hint="eastAsia" w:ascii="黑体" w:hAnsi="黑体" w:eastAsia="黑体" w:cstheme="minorEastAsia"/>
          <w:b w:val="0"/>
          <w:sz w:val="28"/>
          <w:szCs w:val="28"/>
        </w:rPr>
        <w:t>4 检验</w:t>
      </w:r>
      <w:bookmarkEnd w:id="12"/>
      <w:bookmarkEnd w:id="13"/>
      <w:bookmarkEnd w:id="14"/>
      <w:bookmarkEnd w:id="15"/>
    </w:p>
    <w:p w14:paraId="0CEA1728">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4.1卖方在发货之前，对设备有关外观、质量、规格、性能、数量和重量进行准确的和全面的检验，并出具其设备符合本合同规定的质量保证书，但不应将其视为是对设备质量、规格、性能、数量或重量的最终定论。质量保证书应附有写明制造商检验的细节、结果的说明。设备到货并安装调试正常运行后，买方按照《技术协议书》和相关标准进行检验，检验合格后，买方签署最终验收报告。</w:t>
      </w:r>
    </w:p>
    <w:p w14:paraId="14E366F3">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4.2国家强制检验检测的设备，需要经过国家有关部门进行检验检测，卖方保证提供的设备通过其检验并承担费用。</w:t>
      </w:r>
    </w:p>
    <w:p w14:paraId="250F9F2F">
      <w:pPr>
        <w:pStyle w:val="2"/>
        <w:tabs>
          <w:tab w:val="right" w:leader="dot" w:pos="9061"/>
        </w:tabs>
        <w:spacing w:before="312" w:beforeLines="100"/>
        <w:ind w:firstLine="529" w:firstLineChars="189"/>
        <w:rPr>
          <w:rFonts w:ascii="黑体" w:hAnsi="黑体" w:eastAsia="黑体" w:cstheme="minorEastAsia"/>
          <w:b w:val="0"/>
          <w:sz w:val="28"/>
          <w:szCs w:val="28"/>
        </w:rPr>
      </w:pPr>
      <w:bookmarkStart w:id="16" w:name="_Toc16330022"/>
      <w:bookmarkStart w:id="17" w:name="_Toc19850"/>
      <w:bookmarkStart w:id="18" w:name="_Toc24467"/>
      <w:bookmarkStart w:id="19" w:name="_Toc11217"/>
      <w:r>
        <w:rPr>
          <w:rFonts w:hint="eastAsia" w:ascii="黑体" w:hAnsi="黑体" w:eastAsia="黑体" w:cstheme="minorEastAsia"/>
          <w:b w:val="0"/>
          <w:sz w:val="28"/>
          <w:szCs w:val="28"/>
        </w:rPr>
        <w:t>5 权利担保</w:t>
      </w:r>
      <w:bookmarkEnd w:id="16"/>
      <w:bookmarkEnd w:id="17"/>
      <w:bookmarkEnd w:id="18"/>
      <w:bookmarkEnd w:id="19"/>
    </w:p>
    <w:p w14:paraId="27EF034C">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5.1卖方所交付的设备，必须是第三方不能提出任何权利或要求的设备，卖方应担保设备不存在订立本合同时不为买方所知的第三方的权利（包括但不限于抵押权、留置权等）或行政、司法查封。</w:t>
      </w:r>
    </w:p>
    <w:p w14:paraId="1052761F">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5.2卖方应保证第三方对其提交的设备不得以侵权或其他类似理由提出合法要求，如侵犯知识产权等。</w:t>
      </w:r>
    </w:p>
    <w:p w14:paraId="540521C2">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5.3任何第三方如果提出侵权指控，卖方应与第三方交涉，并承担由此引起的一切法律责任和费用以及给买方所造成的损失。</w:t>
      </w:r>
    </w:p>
    <w:p w14:paraId="639B9C15">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5.4买方应在已知道第三方的权利或要求后的一段合理时间内，将此权利或要求的性质通知卖方。</w:t>
      </w:r>
    </w:p>
    <w:p w14:paraId="5CF2C967">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5.5如卖方需要根据买方提供的技术协议书或图纸进行生产并供货的，根据该技术协议书或图纸所知悉、掌握或改进的任何技术、信息（包括但不限于商标、专利、产品外观或产品生产制造的过程、方法、技术）所涉及的全部知识产权（包括但不限于所有权、使用权、申请权、许可权等）均归买方、买方母公司或母公司其他关联方所有。</w:t>
      </w:r>
    </w:p>
    <w:p w14:paraId="46A99339">
      <w:pPr>
        <w:pStyle w:val="2"/>
        <w:tabs>
          <w:tab w:val="right" w:leader="dot" w:pos="9061"/>
        </w:tabs>
        <w:spacing w:before="312" w:beforeLines="100"/>
        <w:ind w:firstLine="529" w:firstLineChars="189"/>
        <w:rPr>
          <w:rFonts w:ascii="黑体" w:hAnsi="黑体" w:eastAsia="黑体" w:cstheme="minorEastAsia"/>
          <w:b w:val="0"/>
          <w:sz w:val="28"/>
          <w:szCs w:val="28"/>
        </w:rPr>
      </w:pPr>
      <w:bookmarkStart w:id="20" w:name="_Toc27500"/>
      <w:bookmarkStart w:id="21" w:name="_Toc14809"/>
      <w:bookmarkStart w:id="22" w:name="_Toc16330023"/>
      <w:bookmarkStart w:id="23" w:name="_Toc11759"/>
      <w:r>
        <w:rPr>
          <w:rFonts w:hint="eastAsia" w:ascii="黑体" w:hAnsi="黑体" w:eastAsia="黑体" w:cstheme="minorEastAsia"/>
          <w:b w:val="0"/>
          <w:sz w:val="28"/>
          <w:szCs w:val="28"/>
        </w:rPr>
        <w:t>6 交货</w:t>
      </w:r>
      <w:bookmarkEnd w:id="20"/>
      <w:bookmarkEnd w:id="21"/>
      <w:bookmarkEnd w:id="22"/>
      <w:bookmarkEnd w:id="23"/>
    </w:p>
    <w:p w14:paraId="4849741E">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6.1卖方应在本合同规定的到货时间前传真、邮件等给买方详细交货清单，包括合同号、设备名称、规格、数量、总毛重、总体积（立方米）和每一包装箱的尺寸（长×宽×高）、单价和总价、备妥待运日期，以及设备在运输和仓储中的特殊要求和注意事项。</w:t>
      </w:r>
    </w:p>
    <w:p w14:paraId="41614E7C">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6.2卖方应在设备装运完成后当天以传真、邮件等的形式通知买方合同号、设备名称、数量、毛重、体积（立方米）、发票金额、启运日期、预计到达日期。</w:t>
      </w:r>
    </w:p>
    <w:p w14:paraId="40F32175">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6.3技术资料：签订本合同后，卖方应按买方要求免费提供给买方包括但不限于：设备总装图、安装尺寸图、设备基础图、操作手册、使用说明、维修指南、服务手册等买方所需要的、与执行本合同有关的各类资料，如上述资料未按买方要求交付的，买方有权拒绝对合同设备验收（包括预验收和最终验收），并且卖方应赔偿因此给买方造成的一切损失。</w:t>
      </w:r>
    </w:p>
    <w:p w14:paraId="52E02E1F">
      <w:pPr>
        <w:spacing w:line="360" w:lineRule="auto"/>
        <w:ind w:firstLine="453" w:firstLineChars="189"/>
        <w:rPr>
          <w:rFonts w:ascii="仿宋_GB2312" w:eastAsia="仿宋_GB2312" w:hAnsiTheme="minorEastAsia" w:cstheme="minorEastAsia"/>
          <w:i/>
          <w:iCs/>
          <w:sz w:val="24"/>
          <w:szCs w:val="24"/>
          <w:u w:val="double"/>
        </w:rPr>
      </w:pPr>
      <w:r>
        <w:rPr>
          <w:rFonts w:hint="eastAsia" w:ascii="仿宋_GB2312" w:eastAsia="仿宋_GB2312" w:hAnsiTheme="minorEastAsia" w:cstheme="minorEastAsia"/>
          <w:sz w:val="24"/>
          <w:szCs w:val="24"/>
        </w:rPr>
        <w:t>6.4交货方式</w:t>
      </w:r>
      <w:r>
        <w:rPr>
          <w:rFonts w:hint="eastAsia" w:ascii="仿宋_GB2312" w:eastAsia="仿宋_GB2312" w:hAnsiTheme="minorEastAsia" w:cstheme="minorEastAsia"/>
          <w:bCs/>
          <w:sz w:val="24"/>
          <w:szCs w:val="24"/>
        </w:rPr>
        <w:t>：</w:t>
      </w:r>
      <w:r>
        <w:rPr>
          <w:rFonts w:hint="eastAsia" w:ascii="仿宋_GB2312" w:eastAsia="仿宋_GB2312" w:hAnsiTheme="minorEastAsia" w:cstheme="minorEastAsia"/>
          <w:iCs/>
          <w:sz w:val="24"/>
          <w:szCs w:val="24"/>
          <w:u w:val="single"/>
        </w:rPr>
        <w:t>（可选择6.4.1-6.4.3定义的方式或根据实际约定）</w:t>
      </w:r>
    </w:p>
    <w:p w14:paraId="6ED3D058">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6.4.1交钥匙方式：卖方负责合同设备的设计、制造、运输、定点卸货、安装、调试、培训及售后服务等所有内容，直至买方验收合格并交付使用。</w:t>
      </w:r>
    </w:p>
    <w:p w14:paraId="5F621620">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6.4.2指定地点交货：卖方依照合同约定将合同设备卸载至约定地点，经买方根据合同所约定的数量、型号及配置等内容逐一确认无误后，双方完成交付手续，同时卖方应指导协助买方进行安装调试等工作。</w:t>
      </w:r>
    </w:p>
    <w:p w14:paraId="094B307C">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6.4.3自提：买方依照合同约定到卖方所在地提取合同设备，经买方根据合同所约定的数量、型号及配置等内容逐一确认无误后，双方完成交付手续。</w:t>
      </w:r>
    </w:p>
    <w:p w14:paraId="0568E69A">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6.5交货地点：</w:t>
      </w:r>
    </w:p>
    <w:p w14:paraId="4224CCC4">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6.6到货时间：</w:t>
      </w:r>
      <w:r>
        <w:rPr>
          <w:rFonts w:hint="eastAsia" w:ascii="仿宋_GB2312" w:eastAsia="仿宋_GB2312" w:hAnsiTheme="minorEastAsia" w:cstheme="minorEastAsia"/>
          <w:sz w:val="24"/>
          <w:szCs w:val="24"/>
          <w:u w:val="single"/>
        </w:rPr>
        <w:t>20  年  月   日前</w:t>
      </w:r>
    </w:p>
    <w:p w14:paraId="742BDCD6">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6.7到货后，买卖双方代表办理移交手续，此时的移交不代表卖方合同设备所有权的转移，合同设备的保管责任仍然由卖方承担。移交内容包括：合同设备、硬件、软件、图纸、资料、质量证明文件等。</w:t>
      </w:r>
    </w:p>
    <w:p w14:paraId="2CCE4DFC">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6.8卖方在交付设备前需通知买方。</w:t>
      </w:r>
    </w:p>
    <w:p w14:paraId="6B6FF863">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6.9风险的转移：</w:t>
      </w:r>
    </w:p>
    <w:p w14:paraId="644EE8E0">
      <w:pPr>
        <w:spacing w:line="360" w:lineRule="auto"/>
        <w:ind w:firstLine="453" w:firstLineChars="189"/>
        <w:rPr>
          <w:rFonts w:asciiTheme="minorEastAsia" w:hAnsiTheme="minorEastAsia" w:cstheme="minorEastAsia"/>
          <w:sz w:val="20"/>
          <w:szCs w:val="20"/>
        </w:rPr>
      </w:pPr>
      <w:r>
        <w:rPr>
          <w:rFonts w:hint="eastAsia" w:ascii="仿宋_GB2312" w:eastAsia="仿宋_GB2312" w:hAnsiTheme="minorEastAsia" w:cstheme="minorEastAsia"/>
          <w:sz w:val="24"/>
          <w:szCs w:val="24"/>
        </w:rPr>
        <w:t>设备最终验收合格后，设备所有权由卖方转移至买方。如果在对该设备进行最终验收之前，卖方被解散、破产、收购等，其接收方应无条件承担该合同的所有责任和义务，且卖方应自出现上述事项之日起一个月内书面通知买方，如买方没有在一个月内收到明确责任义务的书面通知，则该设备所有权自动由卖方转移至买方，余款作为该设备的后续质量维护费用，买方无须再支付给卖方。在设备所有权转移之前，设备毁损、灭失等风险由卖方承担。</w:t>
      </w:r>
    </w:p>
    <w:p w14:paraId="2E96079F">
      <w:pPr>
        <w:pStyle w:val="2"/>
        <w:tabs>
          <w:tab w:val="right" w:leader="dot" w:pos="9061"/>
        </w:tabs>
        <w:spacing w:before="312" w:beforeLines="100"/>
        <w:ind w:firstLine="529" w:firstLineChars="189"/>
        <w:rPr>
          <w:rFonts w:ascii="黑体" w:hAnsi="黑体" w:eastAsia="黑体" w:cstheme="minorEastAsia"/>
          <w:b w:val="0"/>
          <w:sz w:val="28"/>
          <w:szCs w:val="28"/>
        </w:rPr>
      </w:pPr>
      <w:bookmarkStart w:id="24" w:name="_Toc16330024"/>
      <w:bookmarkStart w:id="25" w:name="_Toc8024"/>
      <w:bookmarkStart w:id="26" w:name="_Toc25510"/>
      <w:bookmarkStart w:id="27" w:name="_Toc2984"/>
      <w:r>
        <w:rPr>
          <w:rFonts w:hint="eastAsia" w:ascii="黑体" w:hAnsi="黑体" w:eastAsia="黑体" w:cstheme="minorEastAsia"/>
          <w:b w:val="0"/>
          <w:sz w:val="28"/>
          <w:szCs w:val="28"/>
        </w:rPr>
        <w:t>7 安装、调试</w:t>
      </w:r>
      <w:bookmarkEnd w:id="24"/>
      <w:bookmarkEnd w:id="25"/>
      <w:bookmarkEnd w:id="26"/>
      <w:bookmarkEnd w:id="27"/>
    </w:p>
    <w:p w14:paraId="23146997">
      <w:pPr>
        <w:pStyle w:val="3"/>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7.1 卖方须在到货后日内安装调试完成。</w:t>
      </w:r>
    </w:p>
    <w:p w14:paraId="26875F36">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7.2卖方应自带用以安装、调试过程中所需的各种工具、仪器、仪表及易损件。在安装、调试过程中，卖方应自负其工作人员的食宿、交通等费用。</w:t>
      </w:r>
    </w:p>
    <w:p w14:paraId="5B4B07AD">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7.3在安装、调试过程中，安装场地及施工人员安全，由卖方负责。由于安装、调试等原因造成买方或他人人身损害或财产损失的，由卖方承担赔偿责任。</w:t>
      </w:r>
    </w:p>
    <w:p w14:paraId="65814688">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7.4卖方须对安装、调试过程中造成的买方或他人人身损害或财产损失承担赔偿责任。</w:t>
      </w:r>
    </w:p>
    <w:p w14:paraId="5CDBD374">
      <w:pPr>
        <w:spacing w:line="360" w:lineRule="auto"/>
        <w:ind w:firstLine="453" w:firstLineChars="189"/>
        <w:rPr>
          <w:rFonts w:ascii="仿宋_GB2312" w:hAnsi="黑体" w:eastAsia="仿宋_GB2312" w:cstheme="minorEastAsia"/>
          <w:sz w:val="24"/>
          <w:szCs w:val="24"/>
        </w:rPr>
      </w:pPr>
      <w:r>
        <w:rPr>
          <w:rFonts w:ascii="仿宋_GB2312" w:hAnsi="黑体" w:eastAsia="仿宋_GB2312" w:cstheme="minorEastAsia"/>
          <w:sz w:val="24"/>
          <w:szCs w:val="24"/>
        </w:rPr>
        <w:t>7.5 若设备安装、调试过程中需使用买方产品的，买方提供调试所用产品数量【】件，超出此数量部分由卖方提供，由此产生的相关费用由卖方承担。</w:t>
      </w:r>
    </w:p>
    <w:p w14:paraId="771DC1FC">
      <w:pPr>
        <w:pStyle w:val="2"/>
        <w:tabs>
          <w:tab w:val="right" w:leader="dot" w:pos="9061"/>
        </w:tabs>
        <w:spacing w:before="312" w:beforeLines="100"/>
        <w:ind w:firstLine="529" w:firstLineChars="189"/>
        <w:rPr>
          <w:rFonts w:ascii="黑体" w:hAnsi="黑体" w:eastAsia="黑体" w:cstheme="minorEastAsia"/>
          <w:b w:val="0"/>
          <w:sz w:val="28"/>
          <w:szCs w:val="28"/>
        </w:rPr>
      </w:pPr>
      <w:bookmarkStart w:id="28" w:name="_Toc16330025"/>
      <w:bookmarkStart w:id="29" w:name="_Toc14260"/>
      <w:bookmarkStart w:id="30" w:name="_Toc14098"/>
      <w:bookmarkStart w:id="31" w:name="_Toc6350"/>
      <w:r>
        <w:rPr>
          <w:rFonts w:hint="eastAsia" w:ascii="黑体" w:hAnsi="黑体" w:eastAsia="黑体" w:cstheme="minorEastAsia"/>
          <w:b w:val="0"/>
          <w:sz w:val="28"/>
          <w:szCs w:val="28"/>
        </w:rPr>
        <w:t>8 价款与支付</w:t>
      </w:r>
      <w:bookmarkEnd w:id="28"/>
      <w:bookmarkEnd w:id="29"/>
      <w:bookmarkEnd w:id="30"/>
      <w:bookmarkEnd w:id="31"/>
    </w:p>
    <w:p w14:paraId="33DDB208">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8.1本合同不含税总价为人民币</w:t>
      </w:r>
      <w:r>
        <w:rPr>
          <w:rFonts w:hint="eastAsia" w:ascii="仿宋_GB2312" w:eastAsia="仿宋_GB2312" w:cs="Calibri"/>
          <w:sz w:val="24"/>
          <w:szCs w:val="24"/>
        </w:rPr>
        <w:t>¥</w:t>
      </w:r>
      <w:r>
        <w:rPr>
          <w:rFonts w:hint="eastAsia" w:ascii="仿宋_GB2312" w:hAnsi="黑体" w:eastAsia="仿宋_GB2312" w:cstheme="minorEastAsia"/>
          <w:sz w:val="24"/>
          <w:szCs w:val="24"/>
        </w:rPr>
        <w:t>元（大写：），增值税税率</w:t>
      </w:r>
      <w:r>
        <w:rPr>
          <w:rFonts w:hint="eastAsia" w:ascii="仿宋_GB2312" w:hAnsi="黑体" w:eastAsia="仿宋_GB2312" w:cstheme="minorEastAsia"/>
          <w:sz w:val="24"/>
          <w:szCs w:val="24"/>
          <w:u w:val="single"/>
        </w:rPr>
        <w:t>【】</w:t>
      </w:r>
      <w:r>
        <w:rPr>
          <w:rFonts w:hint="eastAsia" w:ascii="仿宋_GB2312" w:hAnsi="黑体" w:eastAsia="仿宋_GB2312" w:cstheme="minorEastAsia"/>
          <w:sz w:val="24"/>
          <w:szCs w:val="24"/>
        </w:rPr>
        <w:t>%，税额元，含税总价元人民币（大写：），如国家出台新政策对增值税率进行了调整，则不含税价款不变，本合同含税总价在不含税价基础上根据国家最新税法进行相应的调整。</w:t>
      </w:r>
    </w:p>
    <w:p w14:paraId="4C9AC3BC">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含税总价包括但不限于全部（全新）产品价、备品备件价、专用工具价、运杂费（包括现场卸车费）、设计、制造、安装（或指导安装）、调试、验收、培训、技术及售后服务费、技术资料费等所有费用的总和。</w:t>
      </w:r>
    </w:p>
    <w:p w14:paraId="249AAB84">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8.2合同价款的结算方式：半年期商业汇票（包括银行承兑汇票和商业承兑汇票）（如有其它方式可据实填写）</w:t>
      </w:r>
    </w:p>
    <w:p w14:paraId="0866FBD7">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8.3合同价款的支付：（如有不同付款比例，则按照招标文件约定据实填写）</w:t>
      </w:r>
    </w:p>
    <w:p w14:paraId="5FA545C6">
      <w:pPr>
        <w:spacing w:line="360" w:lineRule="auto"/>
        <w:ind w:firstLine="453" w:firstLineChars="189"/>
        <w:rPr>
          <w:rFonts w:ascii="仿宋_GB2312" w:hAnsi="黑体" w:eastAsia="仿宋_GB2312" w:cstheme="minorEastAsia"/>
          <w:i/>
          <w:sz w:val="24"/>
          <w:szCs w:val="24"/>
        </w:rPr>
      </w:pPr>
      <w:r>
        <w:rPr>
          <w:rFonts w:hint="eastAsia" w:ascii="仿宋_GB2312" w:hAnsi="黑体" w:eastAsia="仿宋_GB2312" w:cstheme="minorEastAsia"/>
          <w:sz w:val="24"/>
          <w:szCs w:val="24"/>
        </w:rPr>
        <w:t>8.3.1合同生效设备全部到齐无质量问题通过买方初步验收后, 卖方提交金额为合同含税价款60 %的收据（正本一份，复印件二份），经买方依照财务制度审核无误后【】日后支付。</w:t>
      </w:r>
      <w:r>
        <w:rPr>
          <w:rFonts w:hint="eastAsia" w:ascii="仿宋_GB2312" w:hAnsi="黑体" w:eastAsia="仿宋_GB2312" w:cstheme="minorEastAsia"/>
          <w:i/>
          <w:sz w:val="24"/>
          <w:szCs w:val="24"/>
        </w:rPr>
        <w:t>【按照实际业务的</w:t>
      </w:r>
      <w:r>
        <w:rPr>
          <w:rFonts w:ascii="仿宋_GB2312" w:hAnsi="黑体" w:eastAsia="仿宋_GB2312" w:cstheme="minorEastAsia"/>
          <w:i/>
          <w:sz w:val="24"/>
          <w:szCs w:val="24"/>
        </w:rPr>
        <w:t>SAP</w:t>
      </w:r>
      <w:r>
        <w:rPr>
          <w:rFonts w:hint="eastAsia" w:ascii="仿宋_GB2312" w:hAnsi="黑体" w:eastAsia="仿宋_GB2312" w:cstheme="minorEastAsia"/>
          <w:i/>
          <w:sz w:val="24"/>
          <w:szCs w:val="24"/>
        </w:rPr>
        <w:t>付款条件填写】</w:t>
      </w:r>
    </w:p>
    <w:p w14:paraId="26EB5158">
      <w:pPr>
        <w:spacing w:line="360" w:lineRule="auto"/>
        <w:ind w:firstLine="453" w:firstLineChars="189"/>
        <w:rPr>
          <w:rFonts w:ascii="仿宋_GB2312" w:hAnsi="黑体" w:eastAsia="仿宋_GB2312" w:cstheme="minorEastAsia"/>
          <w:i/>
          <w:sz w:val="24"/>
          <w:szCs w:val="24"/>
        </w:rPr>
      </w:pPr>
      <w:r>
        <w:rPr>
          <w:rFonts w:hint="eastAsia" w:ascii="仿宋_GB2312" w:hAnsi="黑体" w:eastAsia="仿宋_GB2312" w:cstheme="minorEastAsia"/>
          <w:sz w:val="24"/>
          <w:szCs w:val="24"/>
        </w:rPr>
        <w:t>8.3.2设备全部到齐无质量问题，经安装、调试最终验收合格后，卖方提交金额为合同含税价款30 %的收据及合同全额增值税专用发票（税率为%，正本一份，复印件二份）并附带该套合同设备最终验收报告的原件及其复印件两份，经买方依照财务制度审核无误后【】日后支付：</w:t>
      </w:r>
      <w:r>
        <w:rPr>
          <w:rFonts w:hint="eastAsia" w:ascii="仿宋_GB2312" w:hAnsi="黑体" w:eastAsia="仿宋_GB2312" w:cstheme="minorEastAsia"/>
          <w:i/>
          <w:sz w:val="24"/>
          <w:szCs w:val="24"/>
        </w:rPr>
        <w:t>【按照实际业务的S</w:t>
      </w:r>
      <w:r>
        <w:rPr>
          <w:rFonts w:ascii="仿宋_GB2312" w:hAnsi="黑体" w:eastAsia="仿宋_GB2312" w:cstheme="minorEastAsia"/>
          <w:i/>
          <w:sz w:val="24"/>
          <w:szCs w:val="24"/>
        </w:rPr>
        <w:t>AP</w:t>
      </w:r>
      <w:r>
        <w:rPr>
          <w:rFonts w:hint="eastAsia" w:ascii="仿宋_GB2312" w:hAnsi="黑体" w:eastAsia="仿宋_GB2312" w:cstheme="minorEastAsia"/>
          <w:i/>
          <w:sz w:val="24"/>
          <w:szCs w:val="24"/>
        </w:rPr>
        <w:t>付款条件填写】</w:t>
      </w:r>
    </w:p>
    <w:p w14:paraId="4136A689">
      <w:pPr>
        <w:spacing w:line="360" w:lineRule="auto"/>
        <w:ind w:firstLine="453" w:firstLineChars="189"/>
        <w:rPr>
          <w:rFonts w:ascii="仿宋_GB2312" w:hAnsi="黑体" w:eastAsia="仿宋_GB2312" w:cstheme="minorEastAsia"/>
          <w:i/>
          <w:sz w:val="24"/>
          <w:szCs w:val="24"/>
        </w:rPr>
      </w:pPr>
      <w:bookmarkStart w:id="32" w:name="_Toc14676804"/>
      <w:bookmarkStart w:id="33" w:name="_Toc14531628"/>
      <w:r>
        <w:rPr>
          <w:rFonts w:hint="eastAsia" w:ascii="仿宋_GB2312" w:hAnsi="黑体" w:eastAsia="仿宋_GB2312" w:cstheme="minorEastAsia"/>
          <w:sz w:val="24"/>
          <w:szCs w:val="24"/>
        </w:rPr>
        <w:t>8.3.3合同含税总价款的 10 %作为本合同约定设备的质量保证金，质量保证金在质量保证期内不计利息。待每套合同设备质量保证期满后，卖方向买方提交金额为合同价款10%的收据（正本一份，复印件二份）及设备使用单位的使用情况说明，经买方依照财务制度审核无误后【】日后支付。</w:t>
      </w:r>
      <w:r>
        <w:rPr>
          <w:rFonts w:hint="eastAsia" w:ascii="仿宋_GB2312" w:hAnsi="黑体" w:eastAsia="仿宋_GB2312" w:cstheme="minorEastAsia"/>
          <w:i/>
          <w:sz w:val="24"/>
          <w:szCs w:val="24"/>
        </w:rPr>
        <w:t>【按照实际业务的S</w:t>
      </w:r>
      <w:r>
        <w:rPr>
          <w:rFonts w:ascii="仿宋_GB2312" w:hAnsi="黑体" w:eastAsia="仿宋_GB2312" w:cstheme="minorEastAsia"/>
          <w:i/>
          <w:sz w:val="24"/>
          <w:szCs w:val="24"/>
        </w:rPr>
        <w:t>AP</w:t>
      </w:r>
      <w:r>
        <w:rPr>
          <w:rFonts w:hint="eastAsia" w:ascii="仿宋_GB2312" w:hAnsi="黑体" w:eastAsia="仿宋_GB2312" w:cstheme="minorEastAsia"/>
          <w:i/>
          <w:sz w:val="24"/>
          <w:szCs w:val="24"/>
        </w:rPr>
        <w:t>付款条件填写】</w:t>
      </w:r>
      <w:r>
        <w:rPr>
          <w:rFonts w:hint="eastAsia" w:ascii="仿宋_GB2312" w:hAnsi="黑体" w:eastAsia="仿宋_GB2312" w:cstheme="minorEastAsia"/>
          <w:sz w:val="24"/>
          <w:szCs w:val="24"/>
        </w:rPr>
        <w:t>如有质量问题，质量保证金予以相应扣除。</w:t>
      </w:r>
      <w:bookmarkEnd w:id="32"/>
      <w:bookmarkEnd w:id="33"/>
    </w:p>
    <w:p w14:paraId="0D411CEF">
      <w:pPr>
        <w:pStyle w:val="2"/>
        <w:tabs>
          <w:tab w:val="right" w:leader="dot" w:pos="9061"/>
        </w:tabs>
        <w:spacing w:before="312" w:beforeLines="100"/>
        <w:ind w:firstLine="529" w:firstLineChars="189"/>
        <w:rPr>
          <w:rFonts w:ascii="黑体" w:hAnsi="黑体" w:eastAsia="黑体" w:cstheme="minorEastAsia"/>
          <w:b w:val="0"/>
          <w:sz w:val="28"/>
          <w:szCs w:val="28"/>
        </w:rPr>
      </w:pPr>
      <w:bookmarkStart w:id="34" w:name="_Toc16330026"/>
      <w:bookmarkStart w:id="35" w:name="_Toc25708"/>
      <w:bookmarkStart w:id="36" w:name="_Toc24085"/>
      <w:bookmarkStart w:id="37" w:name="_Toc6726"/>
      <w:r>
        <w:rPr>
          <w:rFonts w:hint="eastAsia" w:ascii="黑体" w:hAnsi="黑体" w:eastAsia="黑体" w:cstheme="minorEastAsia"/>
          <w:b w:val="0"/>
          <w:sz w:val="28"/>
          <w:szCs w:val="28"/>
        </w:rPr>
        <w:t>9 质量保证及售后服务</w:t>
      </w:r>
      <w:bookmarkEnd w:id="34"/>
      <w:bookmarkEnd w:id="35"/>
      <w:bookmarkEnd w:id="36"/>
      <w:bookmarkEnd w:id="37"/>
    </w:p>
    <w:p w14:paraId="2AA41630">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9.1卖方保证其提供的合同设备是全新的、未使用的、未经改装的、包装完好的、原厂正品，采用最佳材料和一流工艺的，并在各个方面符合本合同规定的质量、规格和性能要求。卖方保证其合同设备经过正确安装、合理操作和维护保养，在合同设备寿命期内运转良好。</w:t>
      </w:r>
    </w:p>
    <w:p w14:paraId="604822F1">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9.2卖方承诺其提供的设备不存在任何产品缺陷，否则因卖方提供的设备存在产品缺陷而给买方造成的一切后果和损失由卖方承担。</w:t>
      </w:r>
    </w:p>
    <w:p w14:paraId="385FB6D6">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9.3卖方承诺因其提供的设备存在瑕疵或产品缺陷而导致第三方向买方主张权利或提起诉讼的，卖方应积极配合买方进行解决或应诉，因此而发生的一切费用（包括但不限于诉讼费、仲裁费、律师费、交通费、通讯费、住宿费、餐饮费、调查取证费等）由卖方承担。</w:t>
      </w:r>
    </w:p>
    <w:p w14:paraId="6DF8E1B1">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9.4本合同约定设备的质量保证期：自最终验收报告签署之日（以签署日期最晚者为准）起年。</w:t>
      </w:r>
    </w:p>
    <w:p w14:paraId="43597068">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9.5合同约定的设备在质量保证期届满前，如有质量问题，卖方应在收到买方或设备使用单位通知后2小时内做出回复，如需到现场解决问题，卖方应派工作人员在24小时内到达设备使用现场，并按买方要求的时间免费修复、更换相关部件，将设备修复完成。</w:t>
      </w:r>
    </w:p>
    <w:p w14:paraId="382BAAD2">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9.6卖方负责在买方指定的地点免费为买方培训操作及维修人员，培训内容包括：基本原理、操作使用、安全操作注意事项以及维修保养等内容。</w:t>
      </w:r>
    </w:p>
    <w:p w14:paraId="7B6E285E">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9.7质量保证期满后，卖方保证向买方提供及时的、质优的、价格优惠的技术服务和备品备件供应。</w:t>
      </w:r>
    </w:p>
    <w:p w14:paraId="0A2C3FBC">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9.8质量保证期满后，如出现质量问题，卖方也应及时修复和更换，且只收取成本费，费用由买方承担，卖方对设备质量问题所负的责任直到设备使用寿命周期结束。</w:t>
      </w:r>
    </w:p>
    <w:p w14:paraId="0F2B728C">
      <w:pPr>
        <w:pStyle w:val="2"/>
        <w:tabs>
          <w:tab w:val="right" w:leader="dot" w:pos="9061"/>
        </w:tabs>
        <w:spacing w:before="312" w:beforeLines="100"/>
        <w:ind w:firstLine="529" w:firstLineChars="189"/>
        <w:rPr>
          <w:rFonts w:ascii="黑体" w:hAnsi="黑体" w:eastAsia="黑体" w:cstheme="minorEastAsia"/>
          <w:b w:val="0"/>
          <w:sz w:val="28"/>
          <w:szCs w:val="28"/>
        </w:rPr>
      </w:pPr>
      <w:bookmarkStart w:id="38" w:name="_Toc16330027"/>
      <w:bookmarkStart w:id="39" w:name="_Toc12927"/>
      <w:bookmarkStart w:id="40" w:name="_Toc10359"/>
      <w:bookmarkStart w:id="41" w:name="_Toc15570"/>
      <w:r>
        <w:rPr>
          <w:rFonts w:hint="eastAsia" w:ascii="黑体" w:hAnsi="黑体" w:eastAsia="黑体" w:cstheme="minorEastAsia"/>
          <w:b w:val="0"/>
          <w:sz w:val="28"/>
          <w:szCs w:val="28"/>
        </w:rPr>
        <w:t>10法定责任</w:t>
      </w:r>
      <w:bookmarkEnd w:id="38"/>
      <w:bookmarkEnd w:id="39"/>
      <w:bookmarkEnd w:id="40"/>
      <w:bookmarkEnd w:id="41"/>
    </w:p>
    <w:p w14:paraId="3553B7B4">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10.1卖方需遵从国家有关的法律、法规，缴纳有关的法定费用和税项。若卖方未按期交纳法定费用、税项，则卖方须补偿买方由此造成的所有费用及损失。</w:t>
      </w:r>
    </w:p>
    <w:p w14:paraId="344BD625">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10.2除非本合同中另有规定或买方同意，卖方不得全部或部分转让本合同项下的权利义务。</w:t>
      </w:r>
    </w:p>
    <w:p w14:paraId="20B6F40C">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10.3买卖双方同意在履行本合同期间双方之间交换、披露、传递或通信的所有工业和商业信息，任何附加文件或相关文件，应该被视为商业秘密，双方应该按照此处规定仅用于本合同的签订和履行。</w:t>
      </w:r>
    </w:p>
    <w:p w14:paraId="7C890E3F">
      <w:pPr>
        <w:spacing w:line="360" w:lineRule="auto"/>
        <w:ind w:firstLine="453" w:firstLineChars="189"/>
        <w:rPr>
          <w:rFonts w:asciiTheme="minorEastAsia" w:hAnsiTheme="minorEastAsia" w:cstheme="minorEastAsia"/>
          <w:sz w:val="20"/>
          <w:szCs w:val="20"/>
        </w:rPr>
      </w:pPr>
      <w:r>
        <w:rPr>
          <w:rFonts w:hint="eastAsia" w:ascii="仿宋_GB2312" w:hAnsi="黑体" w:eastAsia="仿宋_GB2312" w:cstheme="minorEastAsia"/>
          <w:sz w:val="24"/>
          <w:szCs w:val="24"/>
        </w:rPr>
        <w:t>10.4除对方预先书面同意外，任何一方在本合同签订和履行期间或本合同终止后不得向第三方披露在本合同履行过程中知悉的与对方有关的任何商业秘密。</w:t>
      </w:r>
    </w:p>
    <w:p w14:paraId="04E0EEFE">
      <w:pPr>
        <w:pStyle w:val="2"/>
        <w:tabs>
          <w:tab w:val="right" w:leader="dot" w:pos="9061"/>
        </w:tabs>
        <w:spacing w:before="312" w:beforeLines="100"/>
        <w:ind w:firstLine="529" w:firstLineChars="189"/>
        <w:rPr>
          <w:rFonts w:ascii="黑体" w:hAnsi="黑体" w:eastAsia="黑体" w:cstheme="minorEastAsia"/>
          <w:b w:val="0"/>
          <w:sz w:val="28"/>
          <w:szCs w:val="28"/>
        </w:rPr>
      </w:pPr>
      <w:bookmarkStart w:id="42" w:name="_Toc16330028"/>
      <w:bookmarkStart w:id="43" w:name="_Toc30381"/>
      <w:bookmarkStart w:id="44" w:name="_Toc9708"/>
      <w:bookmarkStart w:id="45" w:name="_Toc27314"/>
      <w:r>
        <w:rPr>
          <w:rFonts w:hint="eastAsia" w:ascii="黑体" w:hAnsi="黑体" w:eastAsia="黑体" w:cstheme="minorEastAsia"/>
          <w:b w:val="0"/>
          <w:sz w:val="28"/>
          <w:szCs w:val="28"/>
        </w:rPr>
        <w:t>11 违约责任</w:t>
      </w:r>
      <w:bookmarkEnd w:id="42"/>
      <w:bookmarkEnd w:id="43"/>
      <w:bookmarkEnd w:id="44"/>
      <w:bookmarkEnd w:id="45"/>
    </w:p>
    <w:p w14:paraId="2B949BB8">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11.1卖方应承担提供的设备与本合同约定不符的一切责任，买方有权在检验、安装、调试、验收测试期限内、质量保证期内等任何时间提出索赔，买方有权按下述一种或多种方法要求卖方赔偿：</w:t>
      </w:r>
    </w:p>
    <w:p w14:paraId="5C168147">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11.1.1卖方同意买方拒收设备并把被与拒收设备等值的价款在买方要求的时间内以本合同规定的货币付给买方，卖方承担因此而发生的一切损失和费用，包括但不限于同期银行贷款利息、银行费用、运输和保险费、检验费、仓储和装卸费以及为保管和保护被拒绝设备所需要的其他必需的费用，并赔偿因此给买方造成的损失。</w:t>
      </w:r>
    </w:p>
    <w:p w14:paraId="1CAD4759">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11.1.2根据设备的瑕疵和受损程度以及买方遭受损失的金额，经买方同意降低设备价格。</w:t>
      </w:r>
    </w:p>
    <w:p w14:paraId="759A6AEF">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11.1.3更换有缺陷的零件、部件、设备或修理缺陷部分，以达到本合同规定的规格、质量和性能，卖方承担一切费用和风险并负担买方遭受的一切损失，同时卖方应相应延长被修理或更换设备的质量保证期。</w:t>
      </w:r>
    </w:p>
    <w:p w14:paraId="2251EFE7">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11.2如果买方就卖方的设备质量问题提出索赔通知后 10 日内卖方未能予以答复，该索赔视为已被卖方接受。若卖方未能在买方提出索赔通知后 10 日内或买方同意的更长一些的时间内，按买方同意的上述任何一种方式处理索赔事宜，买方将从货款中扣回索赔金额，同时保留进一步要求赔偿的权利。</w:t>
      </w:r>
    </w:p>
    <w:p w14:paraId="035AFEE3">
      <w:pPr>
        <w:spacing w:line="360" w:lineRule="auto"/>
        <w:ind w:firstLine="453" w:firstLineChars="189"/>
        <w:rPr>
          <w:rFonts w:ascii="仿宋_GB2312" w:hAnsi="黑体" w:eastAsia="仿宋_GB2312" w:cstheme="minorEastAsia"/>
          <w:sz w:val="24"/>
          <w:szCs w:val="24"/>
        </w:rPr>
      </w:pPr>
      <w:r>
        <w:rPr>
          <w:rFonts w:ascii="仿宋_GB2312" w:hAnsi="黑体" w:eastAsia="仿宋_GB2312" w:cstheme="minorEastAsia"/>
          <w:sz w:val="24"/>
          <w:szCs w:val="24"/>
        </w:rPr>
        <w:t>11.3如果卖方未能按期到货，卖方应向买方支付违约金，违约金比率为每迟交壹日，按合同总价的10‰计算，如违约金金额超过合同总价款的 20 %，买方有权就卖方违约而解除本合同，且卖方仍须支付上述违约金，并赔偿由此给买方造成的一切损失。</w:t>
      </w:r>
    </w:p>
    <w:p w14:paraId="11AE5FC3">
      <w:pPr>
        <w:spacing w:line="360" w:lineRule="auto"/>
        <w:ind w:firstLine="453" w:firstLineChars="189"/>
        <w:rPr>
          <w:rFonts w:ascii="仿宋_GB2312" w:hAnsi="黑体" w:eastAsia="仿宋_GB2312" w:cstheme="minorEastAsia"/>
          <w:sz w:val="24"/>
          <w:szCs w:val="24"/>
        </w:rPr>
      </w:pPr>
      <w:r>
        <w:rPr>
          <w:rFonts w:ascii="仿宋_GB2312" w:hAnsi="黑体" w:eastAsia="仿宋_GB2312" w:cstheme="minorEastAsia"/>
          <w:sz w:val="24"/>
          <w:szCs w:val="24"/>
        </w:rPr>
        <w:t xml:space="preserve">   11.4如卖方未按7.1条履行义务，从逾期之日起卖方每天按合同总价款的 10 ‰支付给买方违约金，如违约金金额超过合同总价款的 20 %或者设备未能通过最终验收，买方有权就卖方违约而解除本合同，且卖方仍须支付上述违约金，并返还买方支付的设备款，并赔偿由此给买方造成的一切损失。</w:t>
      </w:r>
    </w:p>
    <w:p w14:paraId="7B78B604">
      <w:pPr>
        <w:spacing w:line="360" w:lineRule="auto"/>
        <w:ind w:firstLine="453" w:firstLineChars="189"/>
        <w:rPr>
          <w:rFonts w:ascii="仿宋_GB2312" w:hAnsi="黑体" w:eastAsia="仿宋_GB2312" w:cstheme="minorEastAsia"/>
          <w:sz w:val="24"/>
          <w:szCs w:val="24"/>
        </w:rPr>
      </w:pPr>
      <w:r>
        <w:rPr>
          <w:rFonts w:ascii="仿宋_GB2312" w:hAnsi="黑体" w:eastAsia="仿宋_GB2312" w:cstheme="minorEastAsia"/>
          <w:sz w:val="24"/>
          <w:szCs w:val="24"/>
        </w:rPr>
        <w:t>11.5买方延期付款时（有正当拒付理由者除外），每日按延付金额的 3 ‰向卖方偿付延期付款违约金，但违约金总额不超过延付金额的 50 ‰。</w:t>
      </w:r>
    </w:p>
    <w:p w14:paraId="510A9771">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11.6如卖方违反9.5条，则买方有权视情况扣除部分或全部质量保证金作为卖方的违约金，并且卖方应赔偿因此给买方造成的一切损失。卖方不能及时到现场履行质量维修义务，每延迟一天应承担合同价款20‰的违约金（合同额不足10万元按照2000元/天计取），且不免除维修的责任。违约金在质保金中扣除。</w:t>
      </w:r>
    </w:p>
    <w:p w14:paraId="255BDC0E">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w:t>
      </w:r>
      <w:r>
        <w:rPr>
          <w:rFonts w:ascii="仿宋_GB2312" w:hAnsi="黑体" w:eastAsia="仿宋_GB2312" w:cstheme="minorEastAsia"/>
          <w:sz w:val="24"/>
          <w:szCs w:val="24"/>
        </w:rPr>
        <w:t>1.7</w:t>
      </w:r>
      <w:r>
        <w:rPr>
          <w:rFonts w:hint="eastAsia" w:ascii="仿宋_GB2312" w:hAnsi="黑体" w:eastAsia="仿宋_GB2312" w:cstheme="minorEastAsia"/>
          <w:sz w:val="24"/>
          <w:szCs w:val="24"/>
        </w:rPr>
        <w:t>因发票违规给买方造成的增值税、所得税等损失，由卖方承担相关责任，包括但不限于税款、滞纳金、罚款及其它相关损失。</w:t>
      </w:r>
    </w:p>
    <w:p w14:paraId="1BA4CBB4">
      <w:pPr>
        <w:spacing w:line="360" w:lineRule="auto"/>
        <w:ind w:firstLine="453" w:firstLineChars="189"/>
        <w:rPr>
          <w:rFonts w:asciiTheme="minorEastAsia" w:hAnsiTheme="minorEastAsia" w:cstheme="minorEastAsia"/>
          <w:sz w:val="20"/>
          <w:szCs w:val="20"/>
        </w:rPr>
      </w:pPr>
      <w:r>
        <w:rPr>
          <w:rFonts w:hint="eastAsia" w:ascii="仿宋_GB2312" w:hAnsi="黑体" w:eastAsia="仿宋_GB2312" w:cstheme="minorEastAsia"/>
          <w:sz w:val="24"/>
          <w:szCs w:val="24"/>
        </w:rPr>
        <w:t>11.</w:t>
      </w:r>
      <w:r>
        <w:rPr>
          <w:rFonts w:ascii="仿宋_GB2312" w:hAnsi="黑体" w:eastAsia="仿宋_GB2312" w:cstheme="minorEastAsia"/>
          <w:sz w:val="24"/>
          <w:szCs w:val="24"/>
        </w:rPr>
        <w:t>8</w:t>
      </w:r>
      <w:r>
        <w:rPr>
          <w:rFonts w:hint="eastAsia" w:ascii="仿宋_GB2312" w:hAnsi="黑体" w:eastAsia="仿宋_GB2312" w:cstheme="minorEastAsia"/>
          <w:sz w:val="24"/>
          <w:szCs w:val="24"/>
        </w:rPr>
        <w:t>如果卖方违反本合同其他约定（包括本合同及所有附件）应赔偿因此给买方造成的一切损失。</w:t>
      </w:r>
    </w:p>
    <w:p w14:paraId="6BB7DB58">
      <w:pPr>
        <w:pStyle w:val="2"/>
        <w:tabs>
          <w:tab w:val="right" w:leader="dot" w:pos="9061"/>
        </w:tabs>
        <w:spacing w:before="312" w:beforeLines="100"/>
        <w:ind w:firstLine="529" w:firstLineChars="189"/>
        <w:rPr>
          <w:rFonts w:ascii="黑体" w:hAnsi="黑体" w:eastAsia="黑体" w:cstheme="minorEastAsia"/>
          <w:b w:val="0"/>
          <w:sz w:val="28"/>
          <w:szCs w:val="28"/>
        </w:rPr>
      </w:pPr>
      <w:bookmarkStart w:id="46" w:name="_Toc9172"/>
      <w:bookmarkStart w:id="47" w:name="_Toc31554"/>
      <w:bookmarkStart w:id="48" w:name="_Toc16330029"/>
      <w:bookmarkStart w:id="49" w:name="_Toc1827"/>
      <w:r>
        <w:rPr>
          <w:rFonts w:hint="eastAsia" w:ascii="黑体" w:hAnsi="黑体" w:eastAsia="黑体" w:cstheme="minorEastAsia"/>
          <w:b w:val="0"/>
          <w:sz w:val="28"/>
          <w:szCs w:val="28"/>
        </w:rPr>
        <w:t>12 合同的终止与解除</w:t>
      </w:r>
      <w:bookmarkEnd w:id="46"/>
      <w:bookmarkEnd w:id="47"/>
      <w:bookmarkEnd w:id="48"/>
      <w:bookmarkEnd w:id="49"/>
    </w:p>
    <w:p w14:paraId="2D96A9B8">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12.1本合同订立后，卖方由于履行义务的能力或信用有严重缺陷，买方可以终止履行本合同，要求卖方返还已支付的款项并不承担违约责任。</w:t>
      </w:r>
    </w:p>
    <w:p w14:paraId="6C3ABA57">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12.2经双方协商一致，可以解除本合同。</w:t>
      </w:r>
    </w:p>
    <w:p w14:paraId="77ABF24F">
      <w:pPr>
        <w:spacing w:line="360" w:lineRule="auto"/>
        <w:ind w:left="397" w:leftChars="189"/>
        <w:rPr>
          <w:rFonts w:ascii="仿宋_GB2312" w:hAnsi="黑体" w:eastAsia="仿宋_GB2312" w:cstheme="minorEastAsia"/>
          <w:sz w:val="24"/>
          <w:szCs w:val="24"/>
        </w:rPr>
      </w:pPr>
      <w:r>
        <w:rPr>
          <w:rFonts w:ascii="仿宋_GB2312" w:hAnsi="黑体" w:eastAsia="仿宋_GB2312" w:cstheme="minorEastAsia"/>
          <w:sz w:val="24"/>
          <w:szCs w:val="24"/>
        </w:rPr>
        <w:t>12.3有下列情形之一的，买方可以解除本合同：</w:t>
      </w:r>
    </w:p>
    <w:p w14:paraId="186E16E0">
      <w:pPr>
        <w:spacing w:line="360" w:lineRule="auto"/>
        <w:ind w:left="397" w:leftChars="189"/>
        <w:rPr>
          <w:rFonts w:ascii="仿宋_GB2312" w:hAnsi="黑体" w:eastAsia="仿宋_GB2312" w:cstheme="minorEastAsia"/>
          <w:sz w:val="24"/>
          <w:szCs w:val="24"/>
        </w:rPr>
      </w:pPr>
      <w:r>
        <w:rPr>
          <w:rFonts w:ascii="仿宋_GB2312" w:hAnsi="黑体" w:eastAsia="仿宋_GB2312" w:cstheme="minorEastAsia"/>
          <w:sz w:val="24"/>
          <w:szCs w:val="24"/>
        </w:rPr>
        <w:t>12.3.1卖方明确表示或者以自己的行为表明不履行主要义务的；</w:t>
      </w:r>
    </w:p>
    <w:p w14:paraId="5C42A9B8">
      <w:pPr>
        <w:spacing w:line="360" w:lineRule="auto"/>
        <w:ind w:left="397" w:leftChars="189"/>
        <w:rPr>
          <w:rFonts w:ascii="仿宋_GB2312" w:hAnsi="黑体" w:eastAsia="仿宋_GB2312" w:cstheme="minorEastAsia"/>
          <w:sz w:val="24"/>
          <w:szCs w:val="24"/>
        </w:rPr>
      </w:pPr>
      <w:r>
        <w:rPr>
          <w:rFonts w:ascii="仿宋_GB2312" w:hAnsi="黑体" w:eastAsia="仿宋_GB2312" w:cstheme="minorEastAsia"/>
          <w:sz w:val="24"/>
          <w:szCs w:val="24"/>
        </w:rPr>
        <w:t>12.3.2卖方所提交的设备不符合本合同的规定；</w:t>
      </w:r>
    </w:p>
    <w:p w14:paraId="247298A9">
      <w:pPr>
        <w:spacing w:line="360" w:lineRule="auto"/>
        <w:ind w:left="397" w:leftChars="189"/>
        <w:rPr>
          <w:rFonts w:ascii="仿宋_GB2312" w:hAnsi="黑体" w:eastAsia="仿宋_GB2312" w:cstheme="minorEastAsia"/>
          <w:sz w:val="24"/>
          <w:szCs w:val="24"/>
        </w:rPr>
      </w:pPr>
      <w:r>
        <w:rPr>
          <w:rFonts w:ascii="仿宋_GB2312" w:hAnsi="黑体" w:eastAsia="仿宋_GB2312" w:cstheme="minorEastAsia"/>
          <w:sz w:val="24"/>
          <w:szCs w:val="24"/>
        </w:rPr>
        <w:t>12.3.3卖方发生本合同约定的解除情形的；</w:t>
      </w:r>
    </w:p>
    <w:p w14:paraId="0F81653A">
      <w:pPr>
        <w:spacing w:line="360" w:lineRule="auto"/>
        <w:ind w:left="397" w:leftChars="189"/>
        <w:rPr>
          <w:rFonts w:ascii="仿宋_GB2312" w:hAnsi="黑体" w:eastAsia="仿宋_GB2312" w:cstheme="minorEastAsia"/>
          <w:sz w:val="24"/>
          <w:szCs w:val="24"/>
        </w:rPr>
      </w:pPr>
      <w:r>
        <w:rPr>
          <w:rFonts w:ascii="仿宋_GB2312" w:hAnsi="黑体" w:eastAsia="仿宋_GB2312" w:cstheme="minorEastAsia"/>
          <w:sz w:val="24"/>
          <w:szCs w:val="24"/>
        </w:rPr>
        <w:t>12.3.4卖方有其他违约行为。</w:t>
      </w:r>
    </w:p>
    <w:p w14:paraId="72088514">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12.4卖方分批交付设备的，卖方对其中一批设备不交付或者交付不符合约定，致使该批设备不能实现本合同目的的，买方可以就该批设备解除合同。</w:t>
      </w:r>
    </w:p>
    <w:p w14:paraId="5587EAE8">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12.5卖方不交付其中一批设备或者交付不符合约定，致使今后其他各批设备的交付不能实现本合同目的的，买方可以就该批以及今后其他各批设备解除合同。</w:t>
      </w:r>
    </w:p>
    <w:p w14:paraId="52ABC703">
      <w:pPr>
        <w:spacing w:line="360" w:lineRule="auto"/>
        <w:ind w:firstLine="453" w:firstLineChars="189"/>
        <w:rPr>
          <w:rFonts w:ascii="仿宋_GB2312" w:hAnsi="黑体" w:eastAsia="仿宋_GB2312" w:cstheme="minorEastAsia"/>
          <w:sz w:val="24"/>
          <w:szCs w:val="24"/>
        </w:rPr>
      </w:pPr>
      <w:r>
        <w:rPr>
          <w:rFonts w:hint="eastAsia" w:ascii="仿宋_GB2312" w:hAnsi="黑体" w:eastAsia="仿宋_GB2312" w:cstheme="minorEastAsia"/>
          <w:sz w:val="24"/>
          <w:szCs w:val="24"/>
        </w:rPr>
        <w:t>12.6买方如果就其中一批设备解除合同，该批设备与其他各批设备相互依存的，可以就已经交付和未交付的各批设备解除合同。</w:t>
      </w:r>
    </w:p>
    <w:p w14:paraId="4542DEB2">
      <w:pPr>
        <w:spacing w:line="360" w:lineRule="auto"/>
        <w:ind w:firstLine="453" w:firstLineChars="189"/>
        <w:rPr>
          <w:rFonts w:asciiTheme="minorEastAsia" w:hAnsiTheme="minorEastAsia" w:cstheme="minorEastAsia"/>
          <w:sz w:val="20"/>
          <w:szCs w:val="20"/>
        </w:rPr>
      </w:pPr>
      <w:r>
        <w:rPr>
          <w:rFonts w:hint="eastAsia" w:ascii="仿宋_GB2312" w:hAnsi="黑体" w:eastAsia="仿宋_GB2312" w:cstheme="minorEastAsia"/>
          <w:sz w:val="24"/>
          <w:szCs w:val="24"/>
        </w:rPr>
        <w:t>12.7因为卖方违约导致买方解除合同的，卖方应赔偿买方因此所遭受的一切损失。</w:t>
      </w:r>
    </w:p>
    <w:p w14:paraId="61A4984B">
      <w:pPr>
        <w:pStyle w:val="2"/>
        <w:tabs>
          <w:tab w:val="right" w:leader="dot" w:pos="9061"/>
        </w:tabs>
        <w:spacing w:before="312" w:beforeLines="100"/>
        <w:ind w:firstLine="529" w:firstLineChars="189"/>
        <w:rPr>
          <w:rFonts w:ascii="黑体" w:hAnsi="黑体" w:eastAsia="黑体" w:cstheme="minorEastAsia"/>
          <w:b w:val="0"/>
          <w:sz w:val="28"/>
          <w:szCs w:val="28"/>
        </w:rPr>
      </w:pPr>
      <w:bookmarkStart w:id="50" w:name="_Toc31945"/>
      <w:bookmarkStart w:id="51" w:name="_Toc16330030"/>
      <w:bookmarkStart w:id="52" w:name="_Toc13671"/>
      <w:bookmarkStart w:id="53" w:name="_Toc8620"/>
      <w:r>
        <w:rPr>
          <w:rFonts w:hint="eastAsia" w:ascii="黑体" w:hAnsi="黑体" w:eastAsia="黑体" w:cstheme="minorEastAsia"/>
          <w:b w:val="0"/>
          <w:sz w:val="28"/>
          <w:szCs w:val="28"/>
        </w:rPr>
        <w:t>13 不可抗力</w:t>
      </w:r>
      <w:bookmarkEnd w:id="50"/>
      <w:bookmarkEnd w:id="51"/>
      <w:bookmarkEnd w:id="52"/>
      <w:bookmarkEnd w:id="53"/>
    </w:p>
    <w:p w14:paraId="5D375E45">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13.1如果本合同的任何一方因不可抗力导致履行本合同义务受阻，并且不可抗力的发生和后果无法阻止和不可避免，在受阻方有能力发出通知的前提下，受阻方应在知道或应当知道不可抗力发生后十五日内通知对方，并在此后提供事件详细信息和由相关政府部门出具的有效证明文件说明其不能履行或推迟履行本合同全部或部分内容的理由。</w:t>
      </w:r>
    </w:p>
    <w:p w14:paraId="52A4EC9B">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13.2各方应该通过协商决定是否终止本合同，或推迟全部或部分本合同的履行或免除对方全部或部分相关履行义务。</w:t>
      </w:r>
    </w:p>
    <w:p w14:paraId="247E3BD8">
      <w:pPr>
        <w:pStyle w:val="2"/>
        <w:tabs>
          <w:tab w:val="right" w:leader="dot" w:pos="9061"/>
        </w:tabs>
        <w:spacing w:before="312" w:beforeLines="100"/>
        <w:ind w:firstLine="529" w:firstLineChars="189"/>
        <w:rPr>
          <w:rFonts w:ascii="黑体" w:hAnsi="黑体" w:eastAsia="黑体" w:cstheme="minorEastAsia"/>
          <w:b w:val="0"/>
          <w:sz w:val="28"/>
          <w:szCs w:val="28"/>
        </w:rPr>
      </w:pPr>
      <w:bookmarkStart w:id="54" w:name="_Toc30389"/>
      <w:bookmarkStart w:id="55" w:name="_Toc31243"/>
      <w:bookmarkStart w:id="56" w:name="_Toc16330031"/>
      <w:bookmarkStart w:id="57" w:name="_Toc637"/>
      <w:r>
        <w:rPr>
          <w:rFonts w:hint="eastAsia" w:ascii="黑体" w:hAnsi="黑体" w:eastAsia="黑体" w:cstheme="minorEastAsia"/>
          <w:b w:val="0"/>
          <w:sz w:val="28"/>
          <w:szCs w:val="28"/>
        </w:rPr>
        <w:t>14 通讯</w:t>
      </w:r>
      <w:bookmarkEnd w:id="54"/>
      <w:bookmarkEnd w:id="55"/>
      <w:bookmarkEnd w:id="56"/>
      <w:bookmarkEnd w:id="57"/>
    </w:p>
    <w:p w14:paraId="5FBC2B4F">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14.1通讯地址：</w:t>
      </w:r>
    </w:p>
    <w:p w14:paraId="0F62D3AC">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本合同下的任何通讯按照本合同双方提供的信息，以书信、传真、电子通讯方式或电话作出。</w:t>
      </w:r>
    </w:p>
    <w:p w14:paraId="6FE69619">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14.2生效</w:t>
      </w:r>
    </w:p>
    <w:p w14:paraId="539DDD14">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14.2.1书信。书信为送达时生效；</w:t>
      </w:r>
    </w:p>
    <w:p w14:paraId="14E08D28">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14.2.2传真。发送人取得成功传输的信息时生效；</w:t>
      </w:r>
    </w:p>
    <w:p w14:paraId="64009F0D">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14.2.3电子邮件。电子邮件于发送之时生效，前提是寄件者于该邮件发送后24小时内没有收到发送失败通知；</w:t>
      </w:r>
    </w:p>
    <w:p w14:paraId="67249B36">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14.2.4电话。电话于打出时生效，以电话作出的任何通讯必须以书信、传真或电子邮件确认，如果没有发送或者接收该确认不会使原有通讯失效。</w:t>
      </w:r>
    </w:p>
    <w:p w14:paraId="719F7BEB">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14.3书面法律证据。根据本合同以书信、传真或电子邮件方式送达任何订约方的任何通讯，将作为书面法律证据。</w:t>
      </w:r>
    </w:p>
    <w:p w14:paraId="1CDAF012">
      <w:pPr>
        <w:pStyle w:val="2"/>
        <w:tabs>
          <w:tab w:val="right" w:leader="dot" w:pos="9061"/>
        </w:tabs>
        <w:spacing w:before="312" w:beforeLines="100"/>
        <w:rPr>
          <w:rFonts w:ascii="黑体" w:hAnsi="黑体" w:eastAsia="黑体" w:cstheme="minorEastAsia"/>
          <w:b w:val="0"/>
          <w:sz w:val="28"/>
          <w:szCs w:val="28"/>
        </w:rPr>
      </w:pPr>
      <w:bookmarkStart w:id="58" w:name="_Toc11290"/>
      <w:bookmarkStart w:id="59" w:name="_Toc16330032"/>
      <w:bookmarkStart w:id="60" w:name="_Toc12984"/>
      <w:bookmarkStart w:id="61" w:name="_Toc9915"/>
      <w:r>
        <w:rPr>
          <w:rFonts w:hint="eastAsia" w:ascii="黑体" w:hAnsi="黑体" w:eastAsia="黑体" w:cstheme="minorEastAsia"/>
          <w:b w:val="0"/>
          <w:sz w:val="28"/>
          <w:szCs w:val="28"/>
        </w:rPr>
        <w:t>15 适用法律及争议解决</w:t>
      </w:r>
      <w:bookmarkEnd w:id="58"/>
      <w:bookmarkEnd w:id="59"/>
      <w:bookmarkEnd w:id="60"/>
      <w:bookmarkEnd w:id="61"/>
    </w:p>
    <w:p w14:paraId="6C804106">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15.1本合同条款的效力和解释适用中华人民共和国法律。</w:t>
      </w:r>
    </w:p>
    <w:p w14:paraId="16799BDA">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15.2双方同意将本着诚信的态度协商解决本合同履行过程中产生的任何争议。如果争议事项不能通过双方协商解决，本合同双方同意采用向买方所在地人民法院提起诉讼的方式解决。</w:t>
      </w:r>
    </w:p>
    <w:p w14:paraId="50A2F1D5">
      <w:pPr>
        <w:pStyle w:val="2"/>
        <w:tabs>
          <w:tab w:val="right" w:leader="dot" w:pos="9061"/>
        </w:tabs>
        <w:spacing w:before="312" w:beforeLines="100"/>
        <w:ind w:firstLine="529" w:firstLineChars="189"/>
        <w:rPr>
          <w:rFonts w:ascii="黑体" w:hAnsi="黑体" w:eastAsia="黑体" w:cstheme="minorEastAsia"/>
          <w:b w:val="0"/>
          <w:sz w:val="28"/>
          <w:szCs w:val="28"/>
        </w:rPr>
      </w:pPr>
      <w:bookmarkStart w:id="62" w:name="_Toc23906"/>
      <w:bookmarkStart w:id="63" w:name="_Toc23765"/>
      <w:bookmarkStart w:id="64" w:name="_Toc18207"/>
      <w:bookmarkStart w:id="65" w:name="_Toc16330033"/>
      <w:r>
        <w:rPr>
          <w:rFonts w:hint="eastAsia" w:ascii="黑体" w:hAnsi="黑体" w:eastAsia="黑体" w:cstheme="minorEastAsia"/>
          <w:b w:val="0"/>
          <w:sz w:val="28"/>
          <w:szCs w:val="28"/>
        </w:rPr>
        <w:t>16 附件</w:t>
      </w:r>
      <w:bookmarkEnd w:id="62"/>
      <w:bookmarkEnd w:id="63"/>
      <w:bookmarkEnd w:id="64"/>
      <w:bookmarkEnd w:id="65"/>
    </w:p>
    <w:p w14:paraId="6B51D85B">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本合同及其附件构成双方关于本合同标的之全部协议，包括但不限于下列文件：</w:t>
      </w:r>
    </w:p>
    <w:p w14:paraId="3CCFDC04">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16.1技术协议书；</w:t>
      </w:r>
    </w:p>
    <w:p w14:paraId="575D0664">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16.2合同设备一览表；</w:t>
      </w:r>
    </w:p>
    <w:p w14:paraId="21C118B2">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16.3卖方中标的设备投标书以及一切书面承诺；</w:t>
      </w:r>
    </w:p>
    <w:p w14:paraId="58B4E977">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16.4招标文件。</w:t>
      </w:r>
    </w:p>
    <w:p w14:paraId="511C02FF">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上述附件内容与本合同约定有冲突的，以本合同约定为准。</w:t>
      </w:r>
    </w:p>
    <w:p w14:paraId="5CC6BEA4">
      <w:pPr>
        <w:pStyle w:val="2"/>
        <w:tabs>
          <w:tab w:val="right" w:leader="dot" w:pos="9061"/>
        </w:tabs>
        <w:spacing w:before="312" w:beforeLines="100"/>
        <w:ind w:firstLine="529" w:firstLineChars="189"/>
        <w:rPr>
          <w:rFonts w:ascii="黑体" w:hAnsi="黑体" w:eastAsia="黑体" w:cstheme="minorEastAsia"/>
          <w:b w:val="0"/>
          <w:sz w:val="28"/>
          <w:szCs w:val="28"/>
        </w:rPr>
      </w:pPr>
      <w:bookmarkStart w:id="66" w:name="_Toc31331"/>
      <w:bookmarkStart w:id="67" w:name="_Toc17656"/>
      <w:bookmarkStart w:id="68" w:name="_Toc27202"/>
      <w:bookmarkStart w:id="69" w:name="_Toc16330034"/>
      <w:r>
        <w:rPr>
          <w:rFonts w:hint="eastAsia" w:ascii="黑体" w:hAnsi="黑体" w:eastAsia="黑体" w:cstheme="minorEastAsia"/>
          <w:b w:val="0"/>
          <w:sz w:val="28"/>
          <w:szCs w:val="28"/>
        </w:rPr>
        <w:t>17 其他规定</w:t>
      </w:r>
      <w:bookmarkEnd w:id="66"/>
      <w:bookmarkEnd w:id="67"/>
      <w:bookmarkEnd w:id="68"/>
      <w:bookmarkEnd w:id="69"/>
    </w:p>
    <w:p w14:paraId="5057071F">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17.1本合同及其附件构成了双方就本合同所含交易而达成的全部合同，并取代双方先前与该等交易有关的全部口头和书面合同。</w:t>
      </w:r>
    </w:p>
    <w:p w14:paraId="0E8B34FD">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17.2如果本合同的任何条款和条件在任何时间成为非法、无效或不可强制执行的，则其他条款不应受其影响。</w:t>
      </w:r>
    </w:p>
    <w:p w14:paraId="2F4F4BB5">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17.3除非另有规定，一方未行使或迟延行使本合同项下的权利、权力或特权并不构成放弃这些权利、权力和特权，而单一或部分行使这些权利、权力和特权并不排斥行使任何其他权利、权力和特权。</w:t>
      </w:r>
    </w:p>
    <w:p w14:paraId="3CCBD714">
      <w:pPr>
        <w:spacing w:line="360" w:lineRule="auto"/>
        <w:ind w:firstLine="453" w:firstLineChars="189"/>
        <w:rPr>
          <w:rFonts w:ascii="仿宋_GB2312" w:eastAsia="仿宋_GB2312" w:hAnsiTheme="minorEastAsia" w:cstheme="minorEastAsia"/>
          <w:sz w:val="24"/>
          <w:szCs w:val="24"/>
        </w:rPr>
      </w:pPr>
      <w:bookmarkStart w:id="70" w:name="_Toc29136"/>
      <w:bookmarkStart w:id="71" w:name="_Toc17952"/>
      <w:bookmarkStart w:id="72" w:name="_Toc19077"/>
      <w:bookmarkStart w:id="73" w:name="_Toc16330035"/>
      <w:r>
        <w:rPr>
          <w:rFonts w:hint="eastAsia" w:ascii="仿宋_GB2312" w:eastAsia="仿宋_GB2312" w:hAnsiTheme="minorEastAsia" w:cstheme="minorEastAsia"/>
          <w:sz w:val="24"/>
          <w:szCs w:val="24"/>
        </w:rPr>
        <w:t>17.4监造，在合同设备的制造过程中，买方有权派出代表对合同设备制造过程中的关键工序进行质量监督，卖方有配合买方监造的义务。</w:t>
      </w:r>
    </w:p>
    <w:p w14:paraId="43951F92">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17.5非因买方原因，卖方不能向其分包商或外购材料设备供货商及时付款等原因造成了分包商或外购材料设备供货商对买方发生了围堵上访、法律诉讼等不利的影响，卖方须承担违约责任及对买方造成的一切损失，同时买方有权直接向分包商或其外购材料设备供货商直接付款，该笔款项将直接从卖方的合同款项中扣除。</w:t>
      </w:r>
    </w:p>
    <w:p w14:paraId="6AD07A42">
      <w:pPr>
        <w:pStyle w:val="2"/>
        <w:tabs>
          <w:tab w:val="right" w:leader="dot" w:pos="9061"/>
        </w:tabs>
        <w:spacing w:before="312" w:beforeLines="100"/>
        <w:ind w:firstLine="529" w:firstLineChars="189"/>
        <w:rPr>
          <w:rFonts w:ascii="黑体" w:hAnsi="黑体" w:eastAsia="黑体" w:cstheme="minorEastAsia"/>
          <w:b w:val="0"/>
          <w:sz w:val="28"/>
          <w:szCs w:val="28"/>
        </w:rPr>
      </w:pPr>
      <w:r>
        <w:rPr>
          <w:rFonts w:hint="eastAsia" w:ascii="黑体" w:hAnsi="黑体" w:eastAsia="黑体" w:cstheme="minorEastAsia"/>
          <w:b w:val="0"/>
          <w:sz w:val="28"/>
          <w:szCs w:val="28"/>
        </w:rPr>
        <w:t>18 签署事项</w:t>
      </w:r>
      <w:bookmarkEnd w:id="70"/>
      <w:bookmarkEnd w:id="71"/>
      <w:bookmarkEnd w:id="72"/>
      <w:bookmarkEnd w:id="73"/>
    </w:p>
    <w:p w14:paraId="30E7107E">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本合同一式份，买方持份，卖方持份；本合同经双方签署后生效。</w:t>
      </w:r>
    </w:p>
    <w:p w14:paraId="36F73B23">
      <w:pPr>
        <w:spacing w:line="360" w:lineRule="auto"/>
        <w:ind w:firstLine="455" w:firstLineChars="189"/>
        <w:rPr>
          <w:rFonts w:ascii="仿宋_GB2312" w:eastAsia="仿宋_GB2312" w:hAnsiTheme="minorEastAsia" w:cstheme="minorEastAsia"/>
          <w:b/>
          <w:sz w:val="24"/>
          <w:szCs w:val="24"/>
        </w:rPr>
      </w:pPr>
      <w:r>
        <w:rPr>
          <w:rFonts w:ascii="仿宋_GB2312" w:eastAsia="仿宋_GB2312" w:hAnsiTheme="minorEastAsia" w:cstheme="minorEastAsia"/>
          <w:b/>
          <w:sz w:val="24"/>
          <w:szCs w:val="24"/>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14:paraId="2C8BE7FE">
      <w:pPr>
        <w:spacing w:line="360" w:lineRule="auto"/>
        <w:ind w:firstLine="455" w:firstLineChars="189"/>
        <w:rPr>
          <w:rFonts w:ascii="仿宋_GB2312" w:eastAsia="仿宋_GB2312" w:hAnsiTheme="minorEastAsia" w:cstheme="minorEastAsia"/>
          <w:b/>
          <w:sz w:val="24"/>
          <w:szCs w:val="24"/>
        </w:rPr>
      </w:pPr>
      <w:r>
        <w:rPr>
          <w:rFonts w:ascii="仿宋_GB2312" w:eastAsia="仿宋_GB2312" w:hAnsiTheme="minorEastAsia" w:cstheme="minorEastAsia"/>
          <w:b/>
          <w:sz w:val="24"/>
          <w:szCs w:val="24"/>
        </w:rPr>
        <w:t xml:space="preserve">   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14:paraId="68A4A8E8">
      <w:pPr>
        <w:spacing w:line="360" w:lineRule="auto"/>
        <w:ind w:firstLine="453" w:firstLineChars="189"/>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（以下无正文）</w:t>
      </w:r>
    </w:p>
    <w:p w14:paraId="279E5BB7">
      <w:pPr>
        <w:spacing w:line="360" w:lineRule="auto"/>
        <w:ind w:firstLine="400" w:firstLineChars="200"/>
        <w:rPr>
          <w:rFonts w:asciiTheme="minorEastAsia" w:hAnsiTheme="minorEastAsia" w:cstheme="minorEastAsia"/>
          <w:sz w:val="20"/>
          <w:szCs w:val="20"/>
        </w:rPr>
      </w:pPr>
    </w:p>
    <w:p w14:paraId="7322CEC4">
      <w:pPr>
        <w:spacing w:line="360" w:lineRule="auto"/>
        <w:rPr>
          <w:rFonts w:ascii="宋体" w:hAnsi="宋体"/>
          <w:snapToGrid w:val="0"/>
          <w:kern w:val="0"/>
          <w:sz w:val="20"/>
          <w:szCs w:val="20"/>
        </w:rPr>
      </w:pPr>
    </w:p>
    <w:p w14:paraId="53D08CC4">
      <w:pPr>
        <w:widowControl/>
        <w:adjustRightInd w:val="0"/>
        <w:snapToGrid w:val="0"/>
        <w:spacing w:line="360" w:lineRule="auto"/>
        <w:jc w:val="left"/>
        <w:rPr>
          <w:rFonts w:ascii="仿宋_GB2312" w:hAnsi="宋体" w:eastAsia="仿宋_GB2312"/>
          <w:snapToGrid w:val="0"/>
          <w:kern w:val="0"/>
          <w:sz w:val="24"/>
          <w:szCs w:val="24"/>
        </w:rPr>
      </w:pPr>
      <w:r>
        <w:rPr>
          <w:rFonts w:hint="eastAsia" w:ascii="仿宋_GB2312" w:hAnsi="宋体" w:eastAsia="仿宋_GB2312"/>
          <w:snapToGrid w:val="0"/>
          <w:kern w:val="0"/>
          <w:sz w:val="24"/>
          <w:szCs w:val="24"/>
        </w:rPr>
        <w:t>甲方（盖章）：                    乙方（盖章）：</w:t>
      </w:r>
    </w:p>
    <w:p w14:paraId="02B47547">
      <w:pPr>
        <w:widowControl/>
        <w:adjustRightInd w:val="0"/>
        <w:snapToGrid w:val="0"/>
        <w:spacing w:line="360" w:lineRule="auto"/>
        <w:jc w:val="left"/>
        <w:rPr>
          <w:rFonts w:ascii="仿宋_GB2312" w:hAnsi="宋体" w:eastAsia="仿宋_GB2312"/>
          <w:snapToGrid w:val="0"/>
          <w:color w:val="000000"/>
          <w:kern w:val="0"/>
          <w:sz w:val="24"/>
          <w:szCs w:val="24"/>
        </w:rPr>
      </w:pPr>
      <w:r>
        <w:rPr>
          <w:rFonts w:hint="eastAsia" w:ascii="仿宋_GB2312" w:hAnsi="宋体" w:eastAsia="仿宋_GB2312"/>
          <w:snapToGrid w:val="0"/>
          <w:color w:val="000000"/>
          <w:kern w:val="0"/>
          <w:sz w:val="24"/>
          <w:szCs w:val="24"/>
        </w:rPr>
        <w:t>法定代表人或代理人（签字）：          法定代表人或代理人（签字）：</w:t>
      </w:r>
    </w:p>
    <w:p w14:paraId="348221F4">
      <w:pPr>
        <w:widowControl/>
        <w:adjustRightInd w:val="0"/>
        <w:snapToGrid w:val="0"/>
        <w:spacing w:line="360" w:lineRule="auto"/>
        <w:jc w:val="left"/>
        <w:rPr>
          <w:rFonts w:ascii="仿宋_GB2312" w:hAnsi="宋体" w:eastAsia="仿宋_GB2312"/>
          <w:snapToGrid w:val="0"/>
          <w:color w:val="000000"/>
          <w:kern w:val="0"/>
          <w:sz w:val="24"/>
          <w:szCs w:val="24"/>
        </w:rPr>
      </w:pPr>
      <w:r>
        <w:rPr>
          <w:rFonts w:hint="eastAsia" w:ascii="仿宋_GB2312" w:hAnsi="宋体" w:eastAsia="仿宋_GB2312"/>
          <w:snapToGrid w:val="0"/>
          <w:color w:val="000000"/>
          <w:kern w:val="0"/>
          <w:sz w:val="24"/>
          <w:szCs w:val="24"/>
        </w:rPr>
        <w:t xml:space="preserve">地  址：                             地  址： </w:t>
      </w:r>
    </w:p>
    <w:p w14:paraId="0C2D4AC0">
      <w:pPr>
        <w:widowControl/>
        <w:adjustRightInd w:val="0"/>
        <w:snapToGrid w:val="0"/>
        <w:spacing w:line="360" w:lineRule="auto"/>
        <w:jc w:val="left"/>
        <w:rPr>
          <w:rFonts w:ascii="仿宋_GB2312" w:hAnsi="宋体" w:eastAsia="仿宋_GB2312"/>
          <w:snapToGrid w:val="0"/>
          <w:kern w:val="0"/>
          <w:sz w:val="24"/>
          <w:szCs w:val="24"/>
        </w:rPr>
      </w:pPr>
      <w:r>
        <w:rPr>
          <w:rFonts w:hint="eastAsia" w:ascii="仿宋_GB2312" w:hAnsi="宋体" w:eastAsia="仿宋_GB2312"/>
          <w:snapToGrid w:val="0"/>
          <w:kern w:val="0"/>
          <w:sz w:val="24"/>
          <w:szCs w:val="24"/>
        </w:rPr>
        <w:t xml:space="preserve">电话：                                       电话： </w:t>
      </w:r>
    </w:p>
    <w:p w14:paraId="777F57E9">
      <w:pPr>
        <w:widowControl/>
        <w:adjustRightInd w:val="0"/>
        <w:snapToGrid w:val="0"/>
        <w:spacing w:line="360" w:lineRule="auto"/>
        <w:jc w:val="left"/>
        <w:rPr>
          <w:rFonts w:ascii="仿宋_GB2312" w:hAnsi="宋体" w:eastAsia="仿宋_GB2312"/>
          <w:snapToGrid w:val="0"/>
          <w:kern w:val="0"/>
          <w:sz w:val="24"/>
          <w:szCs w:val="24"/>
        </w:rPr>
      </w:pPr>
      <w:r>
        <w:rPr>
          <w:rFonts w:hint="eastAsia" w:ascii="仿宋_GB2312" w:hAnsi="宋体" w:eastAsia="仿宋_GB2312"/>
          <w:snapToGrid w:val="0"/>
          <w:kern w:val="0"/>
          <w:sz w:val="24"/>
          <w:szCs w:val="24"/>
        </w:rPr>
        <w:t xml:space="preserve">传真：                                       传真： </w:t>
      </w:r>
    </w:p>
    <w:p w14:paraId="3B962364">
      <w:pPr>
        <w:widowControl/>
        <w:adjustRightInd w:val="0"/>
        <w:snapToGrid w:val="0"/>
        <w:spacing w:line="360" w:lineRule="auto"/>
        <w:jc w:val="left"/>
        <w:rPr>
          <w:rFonts w:ascii="仿宋_GB2312" w:hAnsi="宋体" w:eastAsia="仿宋_GB2312"/>
          <w:snapToGrid w:val="0"/>
          <w:color w:val="000000"/>
          <w:kern w:val="0"/>
          <w:sz w:val="24"/>
          <w:szCs w:val="24"/>
        </w:rPr>
      </w:pPr>
      <w:r>
        <w:rPr>
          <w:rFonts w:hint="eastAsia" w:ascii="仿宋_GB2312" w:hAnsi="宋体" w:eastAsia="仿宋_GB2312"/>
          <w:snapToGrid w:val="0"/>
          <w:color w:val="000000"/>
          <w:kern w:val="0"/>
          <w:sz w:val="24"/>
          <w:szCs w:val="24"/>
        </w:rPr>
        <w:t xml:space="preserve">开户银行：                           开户银行：   </w:t>
      </w:r>
    </w:p>
    <w:p w14:paraId="384B149A">
      <w:pPr>
        <w:widowControl/>
        <w:adjustRightInd w:val="0"/>
        <w:snapToGrid w:val="0"/>
        <w:spacing w:line="360" w:lineRule="auto"/>
        <w:jc w:val="left"/>
        <w:rPr>
          <w:rFonts w:ascii="仿宋_GB2312" w:hAnsi="宋体" w:eastAsia="仿宋_GB2312"/>
          <w:snapToGrid w:val="0"/>
          <w:kern w:val="0"/>
          <w:sz w:val="24"/>
          <w:szCs w:val="24"/>
        </w:rPr>
      </w:pPr>
      <w:r>
        <w:rPr>
          <w:rFonts w:hint="eastAsia" w:ascii="仿宋_GB2312" w:hAnsi="宋体" w:eastAsia="仿宋_GB2312"/>
          <w:snapToGrid w:val="0"/>
          <w:color w:val="000000"/>
          <w:kern w:val="0"/>
          <w:sz w:val="24"/>
          <w:szCs w:val="24"/>
        </w:rPr>
        <w:t xml:space="preserve">账  号：                             账 号： </w:t>
      </w:r>
    </w:p>
    <w:p w14:paraId="26900A11">
      <w:pPr>
        <w:spacing w:line="360" w:lineRule="auto"/>
        <w:rPr>
          <w:rFonts w:ascii="仿宋_GB2312" w:eastAsia="仿宋_GB2312"/>
          <w:sz w:val="24"/>
          <w:szCs w:val="24"/>
        </w:rPr>
      </w:pPr>
    </w:p>
    <w:p w14:paraId="4E071960">
      <w:pPr>
        <w:pStyle w:val="2"/>
        <w:tabs>
          <w:tab w:val="right" w:leader="dot" w:pos="9061"/>
        </w:tabs>
        <w:rPr>
          <w:rFonts w:ascii="黑体" w:hAnsi="黑体" w:eastAsia="黑体" w:cstheme="minorEastAsia"/>
          <w:b w:val="0"/>
          <w:sz w:val="28"/>
          <w:szCs w:val="28"/>
        </w:rPr>
      </w:pPr>
      <w:r>
        <w:rPr>
          <w:rFonts w:hint="eastAsia" w:ascii="黑体" w:hAnsi="黑体" w:eastAsia="黑体" w:cstheme="minorEastAsia"/>
          <w:b w:val="0"/>
          <w:sz w:val="28"/>
          <w:szCs w:val="28"/>
        </w:rPr>
        <w:t>附件一：设备清单明细表</w:t>
      </w:r>
    </w:p>
    <w:p w14:paraId="791B48DA"/>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541"/>
        <w:gridCol w:w="2126"/>
        <w:gridCol w:w="748"/>
        <w:gridCol w:w="812"/>
        <w:gridCol w:w="708"/>
        <w:gridCol w:w="708"/>
        <w:gridCol w:w="708"/>
      </w:tblGrid>
      <w:tr w14:paraId="4D92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989" w:type="dxa"/>
            <w:vAlign w:val="center"/>
          </w:tcPr>
          <w:p w14:paraId="248F64F9">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序号</w:t>
            </w:r>
          </w:p>
        </w:tc>
        <w:tc>
          <w:tcPr>
            <w:tcW w:w="1541" w:type="dxa"/>
            <w:vAlign w:val="center"/>
          </w:tcPr>
          <w:p w14:paraId="1BC89A90">
            <w:pPr>
              <w:pStyle w:val="8"/>
              <w:spacing w:line="360" w:lineRule="auto"/>
              <w:ind w:left="480" w:hanging="480"/>
              <w:jc w:val="left"/>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产品及部件名称</w:t>
            </w:r>
          </w:p>
        </w:tc>
        <w:tc>
          <w:tcPr>
            <w:tcW w:w="2126" w:type="dxa"/>
            <w:vAlign w:val="center"/>
          </w:tcPr>
          <w:p w14:paraId="0F63B812">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规格型号及</w:t>
            </w:r>
          </w:p>
          <w:p w14:paraId="48510F83">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技术参数</w:t>
            </w:r>
          </w:p>
        </w:tc>
        <w:tc>
          <w:tcPr>
            <w:tcW w:w="748" w:type="dxa"/>
            <w:vAlign w:val="center"/>
          </w:tcPr>
          <w:p w14:paraId="38AC5F7B">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单位</w:t>
            </w:r>
          </w:p>
        </w:tc>
        <w:tc>
          <w:tcPr>
            <w:tcW w:w="812" w:type="dxa"/>
            <w:vAlign w:val="center"/>
          </w:tcPr>
          <w:p w14:paraId="0FA78127">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数量</w:t>
            </w:r>
          </w:p>
        </w:tc>
        <w:tc>
          <w:tcPr>
            <w:tcW w:w="708" w:type="dxa"/>
            <w:vAlign w:val="center"/>
          </w:tcPr>
          <w:p w14:paraId="440A51B5">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单价</w:t>
            </w:r>
          </w:p>
        </w:tc>
        <w:tc>
          <w:tcPr>
            <w:tcW w:w="708" w:type="dxa"/>
            <w:vAlign w:val="center"/>
          </w:tcPr>
          <w:p w14:paraId="683ED283">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总价</w:t>
            </w:r>
          </w:p>
        </w:tc>
        <w:tc>
          <w:tcPr>
            <w:tcW w:w="708" w:type="dxa"/>
            <w:vAlign w:val="center"/>
          </w:tcPr>
          <w:p w14:paraId="0397AB47">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品牌</w:t>
            </w:r>
          </w:p>
        </w:tc>
      </w:tr>
      <w:tr w14:paraId="0FD5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89" w:type="dxa"/>
            <w:vAlign w:val="center"/>
          </w:tcPr>
          <w:p w14:paraId="354F5386">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1</w:t>
            </w:r>
          </w:p>
        </w:tc>
        <w:tc>
          <w:tcPr>
            <w:tcW w:w="1541" w:type="dxa"/>
            <w:vAlign w:val="center"/>
          </w:tcPr>
          <w:p w14:paraId="564D7953">
            <w:pPr>
              <w:pStyle w:val="8"/>
              <w:spacing w:line="360" w:lineRule="auto"/>
              <w:ind w:left="480" w:hanging="480"/>
              <w:jc w:val="center"/>
              <w:rPr>
                <w:rFonts w:ascii="仿宋_GB2312" w:eastAsia="仿宋_GB2312" w:hAnsiTheme="minorEastAsia" w:cstheme="minorEastAsia"/>
                <w:sz w:val="24"/>
                <w:szCs w:val="24"/>
              </w:rPr>
            </w:pPr>
          </w:p>
        </w:tc>
        <w:tc>
          <w:tcPr>
            <w:tcW w:w="2126" w:type="dxa"/>
            <w:vAlign w:val="center"/>
          </w:tcPr>
          <w:p w14:paraId="65BE78A5">
            <w:pPr>
              <w:pStyle w:val="8"/>
              <w:spacing w:line="360" w:lineRule="auto"/>
              <w:ind w:left="480" w:hanging="480"/>
              <w:jc w:val="center"/>
              <w:rPr>
                <w:rFonts w:ascii="仿宋_GB2312" w:eastAsia="仿宋_GB2312" w:hAnsiTheme="minorEastAsia" w:cstheme="minorEastAsia"/>
                <w:sz w:val="24"/>
                <w:szCs w:val="24"/>
              </w:rPr>
            </w:pPr>
          </w:p>
        </w:tc>
        <w:tc>
          <w:tcPr>
            <w:tcW w:w="748" w:type="dxa"/>
            <w:vAlign w:val="center"/>
          </w:tcPr>
          <w:p w14:paraId="4CAD5FFC">
            <w:pPr>
              <w:pStyle w:val="8"/>
              <w:spacing w:line="360" w:lineRule="auto"/>
              <w:ind w:left="480" w:hanging="480"/>
              <w:jc w:val="center"/>
              <w:rPr>
                <w:rFonts w:ascii="仿宋_GB2312" w:eastAsia="仿宋_GB2312" w:hAnsiTheme="minorEastAsia" w:cstheme="minorEastAsia"/>
                <w:sz w:val="24"/>
                <w:szCs w:val="24"/>
              </w:rPr>
            </w:pPr>
          </w:p>
        </w:tc>
        <w:tc>
          <w:tcPr>
            <w:tcW w:w="812" w:type="dxa"/>
            <w:vAlign w:val="center"/>
          </w:tcPr>
          <w:p w14:paraId="3977C0E2">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67CB38D1">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4821BEFF">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56160412">
            <w:pPr>
              <w:pStyle w:val="8"/>
              <w:spacing w:line="360" w:lineRule="auto"/>
              <w:ind w:left="480" w:hanging="480"/>
              <w:jc w:val="center"/>
              <w:rPr>
                <w:rFonts w:ascii="仿宋_GB2312" w:eastAsia="仿宋_GB2312" w:hAnsiTheme="minorEastAsia" w:cstheme="minorEastAsia"/>
                <w:sz w:val="24"/>
                <w:szCs w:val="24"/>
              </w:rPr>
            </w:pPr>
          </w:p>
        </w:tc>
      </w:tr>
      <w:tr w14:paraId="6EDE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89" w:type="dxa"/>
            <w:vAlign w:val="center"/>
          </w:tcPr>
          <w:p w14:paraId="20C0C27B">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2</w:t>
            </w:r>
          </w:p>
        </w:tc>
        <w:tc>
          <w:tcPr>
            <w:tcW w:w="1541" w:type="dxa"/>
            <w:vAlign w:val="center"/>
          </w:tcPr>
          <w:p w14:paraId="56AC4877">
            <w:pPr>
              <w:pStyle w:val="8"/>
              <w:spacing w:line="360" w:lineRule="auto"/>
              <w:ind w:left="480" w:hanging="480"/>
              <w:jc w:val="center"/>
              <w:rPr>
                <w:rFonts w:ascii="仿宋_GB2312" w:eastAsia="仿宋_GB2312" w:hAnsiTheme="minorEastAsia" w:cstheme="minorEastAsia"/>
                <w:sz w:val="24"/>
                <w:szCs w:val="24"/>
              </w:rPr>
            </w:pPr>
          </w:p>
        </w:tc>
        <w:tc>
          <w:tcPr>
            <w:tcW w:w="2126" w:type="dxa"/>
            <w:vAlign w:val="center"/>
          </w:tcPr>
          <w:p w14:paraId="2935E17E">
            <w:pPr>
              <w:pStyle w:val="8"/>
              <w:spacing w:line="360" w:lineRule="auto"/>
              <w:ind w:left="480" w:hanging="480"/>
              <w:jc w:val="center"/>
              <w:rPr>
                <w:rFonts w:ascii="仿宋_GB2312" w:eastAsia="仿宋_GB2312" w:hAnsiTheme="minorEastAsia" w:cstheme="minorEastAsia"/>
                <w:sz w:val="24"/>
                <w:szCs w:val="24"/>
              </w:rPr>
            </w:pPr>
          </w:p>
        </w:tc>
        <w:tc>
          <w:tcPr>
            <w:tcW w:w="748" w:type="dxa"/>
            <w:vAlign w:val="center"/>
          </w:tcPr>
          <w:p w14:paraId="1C265D0F">
            <w:pPr>
              <w:pStyle w:val="8"/>
              <w:spacing w:line="360" w:lineRule="auto"/>
              <w:ind w:left="480" w:hanging="480"/>
              <w:jc w:val="center"/>
              <w:rPr>
                <w:rFonts w:ascii="仿宋_GB2312" w:eastAsia="仿宋_GB2312" w:hAnsiTheme="minorEastAsia" w:cstheme="minorEastAsia"/>
                <w:sz w:val="24"/>
                <w:szCs w:val="24"/>
              </w:rPr>
            </w:pPr>
          </w:p>
        </w:tc>
        <w:tc>
          <w:tcPr>
            <w:tcW w:w="812" w:type="dxa"/>
            <w:vAlign w:val="center"/>
          </w:tcPr>
          <w:p w14:paraId="34F5721C">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1B6F349A">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7BED04A2">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7FA3C09B">
            <w:pPr>
              <w:pStyle w:val="8"/>
              <w:spacing w:line="360" w:lineRule="auto"/>
              <w:ind w:left="480" w:hanging="480"/>
              <w:jc w:val="center"/>
              <w:rPr>
                <w:rFonts w:ascii="仿宋_GB2312" w:eastAsia="仿宋_GB2312" w:hAnsiTheme="minorEastAsia" w:cstheme="minorEastAsia"/>
                <w:sz w:val="24"/>
                <w:szCs w:val="24"/>
              </w:rPr>
            </w:pPr>
          </w:p>
        </w:tc>
      </w:tr>
      <w:tr w14:paraId="6345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89" w:type="dxa"/>
            <w:vAlign w:val="center"/>
          </w:tcPr>
          <w:p w14:paraId="69857307">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w:t>
            </w:r>
          </w:p>
        </w:tc>
        <w:tc>
          <w:tcPr>
            <w:tcW w:w="1541" w:type="dxa"/>
            <w:vAlign w:val="center"/>
          </w:tcPr>
          <w:p w14:paraId="45B5ACB9">
            <w:pPr>
              <w:pStyle w:val="8"/>
              <w:spacing w:line="360" w:lineRule="auto"/>
              <w:ind w:left="480" w:hanging="480"/>
              <w:jc w:val="center"/>
              <w:rPr>
                <w:rFonts w:ascii="仿宋_GB2312" w:eastAsia="仿宋_GB2312" w:hAnsiTheme="minorEastAsia" w:cstheme="minorEastAsia"/>
                <w:sz w:val="24"/>
                <w:szCs w:val="24"/>
              </w:rPr>
            </w:pPr>
          </w:p>
        </w:tc>
        <w:tc>
          <w:tcPr>
            <w:tcW w:w="2126" w:type="dxa"/>
            <w:vAlign w:val="center"/>
          </w:tcPr>
          <w:p w14:paraId="3CF70FC0">
            <w:pPr>
              <w:pStyle w:val="8"/>
              <w:spacing w:line="360" w:lineRule="auto"/>
              <w:ind w:left="480" w:hanging="480"/>
              <w:jc w:val="center"/>
              <w:rPr>
                <w:rFonts w:ascii="仿宋_GB2312" w:eastAsia="仿宋_GB2312" w:hAnsiTheme="minorEastAsia" w:cstheme="minorEastAsia"/>
                <w:sz w:val="24"/>
                <w:szCs w:val="24"/>
              </w:rPr>
            </w:pPr>
          </w:p>
        </w:tc>
        <w:tc>
          <w:tcPr>
            <w:tcW w:w="748" w:type="dxa"/>
            <w:vAlign w:val="center"/>
          </w:tcPr>
          <w:p w14:paraId="0277673D">
            <w:pPr>
              <w:pStyle w:val="8"/>
              <w:spacing w:line="360" w:lineRule="auto"/>
              <w:ind w:left="480" w:hanging="480"/>
              <w:jc w:val="center"/>
              <w:rPr>
                <w:rFonts w:ascii="仿宋_GB2312" w:eastAsia="仿宋_GB2312" w:hAnsiTheme="minorEastAsia" w:cstheme="minorEastAsia"/>
                <w:sz w:val="24"/>
                <w:szCs w:val="24"/>
              </w:rPr>
            </w:pPr>
          </w:p>
        </w:tc>
        <w:tc>
          <w:tcPr>
            <w:tcW w:w="812" w:type="dxa"/>
            <w:vAlign w:val="center"/>
          </w:tcPr>
          <w:p w14:paraId="2D797B1A">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3C37943D">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0B0EDFD7">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303A717D">
            <w:pPr>
              <w:pStyle w:val="8"/>
              <w:spacing w:line="360" w:lineRule="auto"/>
              <w:ind w:left="480" w:hanging="480"/>
              <w:jc w:val="center"/>
              <w:rPr>
                <w:rFonts w:ascii="仿宋_GB2312" w:eastAsia="仿宋_GB2312" w:hAnsiTheme="minorEastAsia" w:cstheme="minorEastAsia"/>
                <w:sz w:val="24"/>
                <w:szCs w:val="24"/>
              </w:rPr>
            </w:pPr>
          </w:p>
        </w:tc>
      </w:tr>
      <w:tr w14:paraId="0164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89" w:type="dxa"/>
            <w:vAlign w:val="center"/>
          </w:tcPr>
          <w:p w14:paraId="5FD021B0">
            <w:pPr>
              <w:pStyle w:val="8"/>
              <w:spacing w:line="360" w:lineRule="auto"/>
              <w:ind w:left="480" w:hanging="480"/>
              <w:jc w:val="center"/>
              <w:rPr>
                <w:rFonts w:ascii="仿宋_GB2312" w:eastAsia="仿宋_GB2312" w:hAnsiTheme="minorEastAsia" w:cstheme="minorEastAsia"/>
                <w:sz w:val="24"/>
                <w:szCs w:val="24"/>
              </w:rPr>
            </w:pPr>
            <w:r>
              <w:rPr>
                <w:rFonts w:hint="eastAsia" w:ascii="仿宋_GB2312" w:eastAsia="仿宋_GB2312" w:hAnsiTheme="minorEastAsia" w:cstheme="minorEastAsia"/>
                <w:sz w:val="24"/>
                <w:szCs w:val="24"/>
              </w:rPr>
              <w:t>合计</w:t>
            </w:r>
          </w:p>
        </w:tc>
        <w:tc>
          <w:tcPr>
            <w:tcW w:w="1541" w:type="dxa"/>
            <w:vAlign w:val="center"/>
          </w:tcPr>
          <w:p w14:paraId="486B65B2">
            <w:pPr>
              <w:pStyle w:val="8"/>
              <w:spacing w:line="360" w:lineRule="auto"/>
              <w:ind w:left="480" w:hanging="480"/>
              <w:jc w:val="center"/>
              <w:rPr>
                <w:rFonts w:ascii="仿宋_GB2312" w:eastAsia="仿宋_GB2312" w:hAnsiTheme="minorEastAsia" w:cstheme="minorEastAsia"/>
                <w:sz w:val="24"/>
                <w:szCs w:val="24"/>
              </w:rPr>
            </w:pPr>
          </w:p>
        </w:tc>
        <w:tc>
          <w:tcPr>
            <w:tcW w:w="2126" w:type="dxa"/>
            <w:vAlign w:val="center"/>
          </w:tcPr>
          <w:p w14:paraId="421987DE">
            <w:pPr>
              <w:pStyle w:val="8"/>
              <w:spacing w:line="360" w:lineRule="auto"/>
              <w:ind w:left="480" w:hanging="480"/>
              <w:jc w:val="center"/>
              <w:rPr>
                <w:rFonts w:ascii="仿宋_GB2312" w:eastAsia="仿宋_GB2312" w:hAnsiTheme="minorEastAsia" w:cstheme="minorEastAsia"/>
                <w:sz w:val="24"/>
                <w:szCs w:val="24"/>
              </w:rPr>
            </w:pPr>
          </w:p>
        </w:tc>
        <w:tc>
          <w:tcPr>
            <w:tcW w:w="748" w:type="dxa"/>
            <w:vAlign w:val="center"/>
          </w:tcPr>
          <w:p w14:paraId="7C225CEA">
            <w:pPr>
              <w:pStyle w:val="8"/>
              <w:spacing w:line="360" w:lineRule="auto"/>
              <w:ind w:left="480" w:hanging="480"/>
              <w:jc w:val="center"/>
              <w:rPr>
                <w:rFonts w:ascii="仿宋_GB2312" w:eastAsia="仿宋_GB2312" w:hAnsiTheme="minorEastAsia" w:cstheme="minorEastAsia"/>
                <w:sz w:val="24"/>
                <w:szCs w:val="24"/>
              </w:rPr>
            </w:pPr>
          </w:p>
        </w:tc>
        <w:tc>
          <w:tcPr>
            <w:tcW w:w="812" w:type="dxa"/>
            <w:vAlign w:val="center"/>
          </w:tcPr>
          <w:p w14:paraId="02195007">
            <w:pPr>
              <w:pStyle w:val="8"/>
              <w:spacing w:line="360" w:lineRule="auto"/>
              <w:ind w:left="480" w:hanging="480"/>
              <w:jc w:val="center"/>
              <w:rPr>
                <w:rFonts w:ascii="仿宋_GB2312" w:eastAsia="仿宋_GB2312" w:hAnsiTheme="minorEastAsia" w:cstheme="minorEastAsia"/>
                <w:sz w:val="24"/>
                <w:szCs w:val="24"/>
              </w:rPr>
            </w:pPr>
          </w:p>
        </w:tc>
        <w:tc>
          <w:tcPr>
            <w:tcW w:w="708" w:type="dxa"/>
            <w:vAlign w:val="center"/>
          </w:tcPr>
          <w:p w14:paraId="343EA7D8">
            <w:pPr>
              <w:spacing w:line="360" w:lineRule="auto"/>
              <w:jc w:val="center"/>
              <w:rPr>
                <w:rFonts w:ascii="仿宋_GB2312" w:eastAsia="仿宋_GB2312" w:hAnsiTheme="minorEastAsia" w:cstheme="minorEastAsia"/>
                <w:sz w:val="24"/>
                <w:szCs w:val="24"/>
              </w:rPr>
            </w:pPr>
          </w:p>
        </w:tc>
        <w:tc>
          <w:tcPr>
            <w:tcW w:w="708" w:type="dxa"/>
            <w:vAlign w:val="center"/>
          </w:tcPr>
          <w:p w14:paraId="005F5556">
            <w:pPr>
              <w:spacing w:line="360" w:lineRule="auto"/>
              <w:jc w:val="center"/>
              <w:rPr>
                <w:rFonts w:ascii="仿宋_GB2312" w:eastAsia="仿宋_GB2312" w:hAnsiTheme="minorEastAsia" w:cstheme="minorEastAsia"/>
                <w:sz w:val="24"/>
                <w:szCs w:val="24"/>
              </w:rPr>
            </w:pPr>
          </w:p>
        </w:tc>
        <w:tc>
          <w:tcPr>
            <w:tcW w:w="708" w:type="dxa"/>
            <w:vAlign w:val="center"/>
          </w:tcPr>
          <w:p w14:paraId="38F7945F">
            <w:pPr>
              <w:spacing w:line="360" w:lineRule="auto"/>
              <w:jc w:val="center"/>
              <w:rPr>
                <w:rFonts w:ascii="仿宋_GB2312" w:eastAsia="仿宋_GB2312" w:hAnsiTheme="minorEastAsia" w:cstheme="minorEastAsia"/>
                <w:sz w:val="24"/>
                <w:szCs w:val="24"/>
              </w:rPr>
            </w:pPr>
          </w:p>
        </w:tc>
      </w:tr>
    </w:tbl>
    <w:p w14:paraId="33E77C2B">
      <w:pPr>
        <w:rPr>
          <w:rFonts w:asciiTheme="minorEastAsia" w:hAnsiTheme="minorEastAsia" w:cstheme="minorEastAsia"/>
          <w:sz w:val="20"/>
          <w:szCs w:val="20"/>
        </w:rPr>
      </w:pPr>
      <w:bookmarkStart w:id="74" w:name="_Toc3778"/>
      <w:bookmarkStart w:id="75" w:name="_Toc16330037"/>
      <w:bookmarkStart w:id="76" w:name="_Toc25120"/>
      <w:bookmarkStart w:id="77" w:name="_Toc24623"/>
      <w:bookmarkStart w:id="78" w:name="_Toc5379"/>
      <w:r>
        <w:rPr>
          <w:rFonts w:hint="eastAsia" w:asciiTheme="minorEastAsia" w:hAnsiTheme="minorEastAsia" w:cstheme="minorEastAsia"/>
          <w:sz w:val="20"/>
          <w:szCs w:val="20"/>
        </w:rPr>
        <w:br w:type="page"/>
      </w:r>
    </w:p>
    <w:p w14:paraId="1010D070">
      <w:pPr>
        <w:pStyle w:val="2"/>
        <w:tabs>
          <w:tab w:val="right" w:leader="dot" w:pos="9061"/>
        </w:tabs>
        <w:rPr>
          <w:rFonts w:ascii="黑体" w:hAnsi="黑体" w:eastAsia="黑体" w:cstheme="minorEastAsia"/>
          <w:b w:val="0"/>
          <w:i/>
          <w:sz w:val="28"/>
          <w:szCs w:val="28"/>
        </w:rPr>
      </w:pPr>
      <w:r>
        <w:rPr>
          <w:rFonts w:hint="eastAsia" w:ascii="黑体" w:hAnsi="黑体" w:eastAsia="黑体" w:cstheme="minorEastAsia"/>
          <w:b w:val="0"/>
          <w:sz w:val="28"/>
          <w:szCs w:val="28"/>
        </w:rPr>
        <w:t xml:space="preserve">附件二 </w:t>
      </w:r>
      <w:bookmarkEnd w:id="74"/>
      <w:bookmarkEnd w:id="75"/>
      <w:bookmarkEnd w:id="76"/>
      <w:bookmarkEnd w:id="77"/>
      <w:bookmarkEnd w:id="78"/>
      <w:r>
        <w:rPr>
          <w:rFonts w:hint="eastAsia" w:ascii="黑体" w:hAnsi="黑体" w:eastAsia="黑体" w:cstheme="minorEastAsia"/>
          <w:b w:val="0"/>
          <w:sz w:val="28"/>
          <w:szCs w:val="28"/>
        </w:rPr>
        <w:t>技术协议书</w:t>
      </w:r>
    </w:p>
    <w:p w14:paraId="568D8E12">
      <w:pPr>
        <w:ind w:right="360"/>
        <w:rPr>
          <w:rFonts w:asciiTheme="minorEastAsia" w:hAnsiTheme="minorEastAsia" w:cstheme="minorEastAsia"/>
          <w:sz w:val="20"/>
          <w:szCs w:val="20"/>
        </w:rPr>
      </w:pPr>
    </w:p>
    <w:p w14:paraId="2ED2BA94">
      <w:pPr>
        <w:jc w:val="right"/>
        <w:rPr>
          <w:rFonts w:asciiTheme="minorEastAsia" w:hAnsiTheme="minorEastAsia" w:cstheme="minorEastAsia"/>
          <w:sz w:val="20"/>
          <w:szCs w:val="20"/>
        </w:rPr>
      </w:pPr>
    </w:p>
    <w:p w14:paraId="70C7A867">
      <w:pPr>
        <w:jc w:val="right"/>
        <w:rPr>
          <w:rFonts w:asciiTheme="minorEastAsia" w:hAnsiTheme="minorEastAsia" w:cstheme="minorEastAsia"/>
          <w:sz w:val="20"/>
          <w:szCs w:val="20"/>
        </w:rPr>
      </w:pPr>
    </w:p>
    <w:p w14:paraId="2B8DD7EA">
      <w:pPr>
        <w:jc w:val="right"/>
        <w:rPr>
          <w:rFonts w:asciiTheme="minorEastAsia" w:hAnsiTheme="minorEastAsia" w:cstheme="minorEastAsia"/>
          <w:sz w:val="20"/>
          <w:szCs w:val="20"/>
        </w:rPr>
      </w:pPr>
    </w:p>
    <w:p w14:paraId="33133B64">
      <w:pPr>
        <w:jc w:val="right"/>
        <w:rPr>
          <w:rFonts w:asciiTheme="minorEastAsia" w:hAnsiTheme="minorEastAsia" w:cstheme="minorEastAsia"/>
          <w:sz w:val="20"/>
          <w:szCs w:val="20"/>
        </w:rPr>
      </w:pPr>
    </w:p>
    <w:p w14:paraId="58A20F02">
      <w:pPr>
        <w:wordWrap w:val="0"/>
        <w:ind w:right="480"/>
        <w:rPr>
          <w:rFonts w:asciiTheme="minorEastAsia" w:hAnsiTheme="minorEastAsia" w:cstheme="minorEastAsia"/>
          <w:sz w:val="20"/>
          <w:szCs w:val="20"/>
        </w:rPr>
      </w:pPr>
    </w:p>
    <w:p w14:paraId="69BC0D25">
      <w:pPr>
        <w:jc w:val="right"/>
        <w:rPr>
          <w:rFonts w:ascii="楷体_GB2312" w:hAnsi="宋体" w:eastAsia="楷体_GB2312"/>
          <w:sz w:val="24"/>
        </w:rPr>
      </w:pPr>
      <w:bookmarkStart w:id="79" w:name="_Toc14341849"/>
    </w:p>
    <w:p w14:paraId="1FCC58CE">
      <w:pPr>
        <w:ind w:right="480"/>
        <w:jc w:val="center"/>
        <w:rPr>
          <w:sz w:val="24"/>
          <w:szCs w:val="24"/>
        </w:rPr>
      </w:pPr>
    </w:p>
    <w:bookmarkEnd w:id="79"/>
    <w:p w14:paraId="43E1ECC3">
      <w:pPr>
        <w:rPr>
          <w:rFonts w:ascii="方正小标宋简体" w:hAnsi="方正小标宋简体" w:eastAsia="方正小标宋简体" w:cs="方正小标宋简体"/>
          <w:sz w:val="40"/>
          <w:szCs w:val="21"/>
        </w:rPr>
      </w:pPr>
      <w:r>
        <w:rPr>
          <w:rFonts w:hint="eastAsia" w:ascii="方正小标宋简体" w:hAnsi="方正小标宋简体" w:eastAsia="方正小标宋简体" w:cs="方正小标宋简体"/>
          <w:sz w:val="40"/>
          <w:szCs w:val="21"/>
        </w:rPr>
        <w:br w:type="page"/>
      </w:r>
    </w:p>
    <w:p w14:paraId="22A0B6F1">
      <w:pPr>
        <w:spacing w:before="118"/>
        <w:ind w:right="30"/>
        <w:jc w:val="center"/>
        <w:outlineLvl w:val="0"/>
        <w:rPr>
          <w:rFonts w:ascii="楷体" w:hAnsi="楷体" w:eastAsia="楷体" w:cs="楷体"/>
          <w:sz w:val="40"/>
          <w:szCs w:val="21"/>
        </w:rPr>
      </w:pPr>
      <w:r>
        <w:rPr>
          <w:rFonts w:hint="eastAsia" w:ascii="方正小标宋简体" w:hAnsi="方正小标宋简体" w:eastAsia="方正小标宋简体" w:cs="方正小标宋简体"/>
          <w:sz w:val="40"/>
          <w:szCs w:val="21"/>
        </w:rPr>
        <w:t>廉洁诚信协议</w:t>
      </w:r>
    </w:p>
    <w:p w14:paraId="0E0AC4DD">
      <w:pPr>
        <w:pStyle w:val="4"/>
        <w:spacing w:before="8" w:after="156"/>
        <w:rPr>
          <w:rFonts w:ascii="楷体" w:hAnsi="楷体" w:eastAsia="楷体" w:cs="楷体"/>
          <w:sz w:val="44"/>
          <w:szCs w:val="28"/>
        </w:rPr>
      </w:pPr>
    </w:p>
    <w:p w14:paraId="797AFAD2">
      <w:pPr>
        <w:spacing w:line="607" w:lineRule="auto"/>
        <w:ind w:left="117" w:right="3769"/>
        <w:rPr>
          <w:rFonts w:ascii="楷体" w:hAnsi="楷体" w:eastAsia="楷体" w:cs="楷体"/>
          <w:b/>
          <w:sz w:val="28"/>
          <w:szCs w:val="21"/>
        </w:rPr>
      </w:pPr>
      <w:r>
        <w:rPr>
          <w:rFonts w:hint="eastAsia" w:ascii="楷体" w:hAnsi="楷体" w:eastAsia="楷体" w:cs="楷体"/>
          <w:b/>
          <w:sz w:val="28"/>
          <w:szCs w:val="21"/>
        </w:rPr>
        <w:t>甲方：</w:t>
      </w:r>
    </w:p>
    <w:p w14:paraId="7B3F0288">
      <w:pPr>
        <w:spacing w:line="607" w:lineRule="auto"/>
        <w:ind w:left="117" w:right="3769"/>
        <w:rPr>
          <w:rFonts w:ascii="楷体" w:hAnsi="楷体" w:eastAsia="楷体" w:cs="楷体"/>
          <w:b/>
          <w:sz w:val="28"/>
          <w:szCs w:val="21"/>
        </w:rPr>
      </w:pPr>
      <w:r>
        <w:rPr>
          <w:rFonts w:hint="eastAsia" w:ascii="楷体" w:hAnsi="楷体" w:eastAsia="楷体" w:cs="楷体"/>
          <w:b/>
          <w:sz w:val="28"/>
          <w:szCs w:val="21"/>
        </w:rPr>
        <w:t>乙方：</w:t>
      </w:r>
    </w:p>
    <w:p w14:paraId="69E0277A">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乙方是甲方或甲方全资、控股、参股企业的供应商、服务商或采购商、经销商，甲方作为采购方或销售方（包含甲方及其关联企业，以下统称甲方），为保证双方长期稳定合作和健康发展，保证各合作主体之间公平、公正、公开的良性竞争，共同抵制商业贿赂等一切不正当行为，营造诚实信用的商业氛围，积极维护双方信誉</w:t>
      </w:r>
      <w:r>
        <w:rPr>
          <w:rFonts w:ascii="楷体" w:hAnsi="楷体" w:eastAsia="楷体" w:cs="楷体"/>
          <w:spacing w:val="-2"/>
          <w:sz w:val="28"/>
          <w:szCs w:val="28"/>
        </w:rPr>
        <w:t>,共同加强廉洁自律建设，甲乙双方在平等、自愿、协商一致的原则下，签订本协议。</w:t>
      </w:r>
    </w:p>
    <w:p w14:paraId="6D08034F">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1.甲乙双方应当共同遵守国家、地方法律法规以及本协议的约定，在合同的订立、履行过程中廉洁自律，绝不弄虚作假、以次充好，虚结虚算。</w:t>
      </w:r>
    </w:p>
    <w:p w14:paraId="0E0AC1D1">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2.乙方声明并承诺甲方人员或其</w:t>
      </w:r>
      <w:r>
        <w:rPr>
          <w:rFonts w:hint="eastAsia" w:ascii="楷体" w:hAnsi="楷体" w:eastAsia="楷体" w:cs="楷体"/>
          <w:spacing w:val="-2"/>
          <w:sz w:val="28"/>
          <w:szCs w:val="28"/>
        </w:rPr>
        <w:t>配偶、子女及其配偶等</w:t>
      </w:r>
      <w:r>
        <w:rPr>
          <w:rFonts w:ascii="楷体" w:hAnsi="楷体" w:eastAsia="楷体" w:cs="楷体"/>
          <w:spacing w:val="-2"/>
          <w:sz w:val="28"/>
          <w:szCs w:val="28"/>
        </w:rPr>
        <w:t>亲属</w:t>
      </w:r>
      <w:r>
        <w:rPr>
          <w:rFonts w:hint="eastAsia" w:ascii="楷体" w:hAnsi="楷体" w:eastAsia="楷体" w:cs="楷体"/>
          <w:spacing w:val="-2"/>
          <w:sz w:val="28"/>
          <w:szCs w:val="28"/>
        </w:rPr>
        <w:t>和其他特定关系人（甲方人员为领导干部的，其他特定关系人包含身边工作人员）</w:t>
      </w:r>
      <w:r>
        <w:rPr>
          <w:rFonts w:ascii="楷体" w:hAnsi="楷体" w:eastAsia="楷体" w:cs="楷体"/>
          <w:spacing w:val="-2"/>
          <w:sz w:val="28"/>
          <w:szCs w:val="28"/>
        </w:rPr>
        <w:t>没有直接或间接投资乙方或持有乙方股权，没有直接或间接投资乙方关联企业或持有乙方关联企业股权。</w:t>
      </w:r>
    </w:p>
    <w:p w14:paraId="51D71FA5">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3.乙方承诺乙方或乙方关联企业股东、实际出资人或持股人、高管、主要业务人员不得与甲方人员或其</w:t>
      </w:r>
      <w:r>
        <w:rPr>
          <w:rFonts w:hint="eastAsia" w:ascii="楷体" w:hAnsi="楷体" w:eastAsia="楷体" w:cs="楷体"/>
          <w:spacing w:val="-2"/>
          <w:sz w:val="28"/>
          <w:szCs w:val="28"/>
        </w:rPr>
        <w:t>配偶、子女及其配偶等</w:t>
      </w:r>
      <w:r>
        <w:rPr>
          <w:rFonts w:ascii="楷体" w:hAnsi="楷体" w:eastAsia="楷体" w:cs="楷体"/>
          <w:spacing w:val="-2"/>
          <w:sz w:val="28"/>
          <w:szCs w:val="28"/>
        </w:rPr>
        <w:t>亲属</w:t>
      </w:r>
      <w:r>
        <w:rPr>
          <w:rFonts w:hint="eastAsia" w:ascii="楷体" w:hAnsi="楷体" w:eastAsia="楷体" w:cs="楷体"/>
          <w:spacing w:val="-2"/>
          <w:sz w:val="28"/>
          <w:szCs w:val="28"/>
        </w:rPr>
        <w:t>和其他特定关系人</w:t>
      </w:r>
      <w:r>
        <w:rPr>
          <w:rFonts w:ascii="楷体" w:hAnsi="楷体" w:eastAsia="楷体" w:cs="楷体"/>
          <w:spacing w:val="-2"/>
          <w:sz w:val="28"/>
          <w:szCs w:val="28"/>
        </w:rPr>
        <w:t>共同成立公司，不得聘请甲方人员或其</w:t>
      </w:r>
      <w:r>
        <w:rPr>
          <w:rFonts w:hint="eastAsia" w:ascii="楷体" w:hAnsi="楷体" w:eastAsia="楷体" w:cs="楷体"/>
          <w:spacing w:val="-2"/>
          <w:sz w:val="28"/>
          <w:szCs w:val="28"/>
        </w:rPr>
        <w:t>配偶、子女及其配偶等</w:t>
      </w:r>
      <w:r>
        <w:rPr>
          <w:rFonts w:ascii="楷体" w:hAnsi="楷体" w:eastAsia="楷体" w:cs="楷体"/>
          <w:spacing w:val="-2"/>
          <w:sz w:val="28"/>
          <w:szCs w:val="28"/>
        </w:rPr>
        <w:t>亲属</w:t>
      </w:r>
      <w:r>
        <w:rPr>
          <w:rFonts w:hint="eastAsia" w:ascii="楷体" w:hAnsi="楷体" w:eastAsia="楷体" w:cs="楷体"/>
          <w:spacing w:val="-2"/>
          <w:sz w:val="28"/>
          <w:szCs w:val="28"/>
        </w:rPr>
        <w:t>和其他特定关系人</w:t>
      </w:r>
      <w:r>
        <w:rPr>
          <w:rFonts w:ascii="楷体" w:hAnsi="楷体" w:eastAsia="楷体" w:cs="楷体"/>
          <w:spacing w:val="-2"/>
          <w:sz w:val="28"/>
          <w:szCs w:val="28"/>
        </w:rPr>
        <w:t>在乙方或乙方关联企业股东或实际出资人或高管或主要业务人员成立的企业中担任高管或为其</w:t>
      </w:r>
      <w:r>
        <w:rPr>
          <w:rFonts w:hint="eastAsia" w:ascii="楷体" w:hAnsi="楷体" w:eastAsia="楷体" w:cs="楷体"/>
          <w:spacing w:val="-2"/>
          <w:sz w:val="28"/>
          <w:szCs w:val="28"/>
        </w:rPr>
        <w:t>违规</w:t>
      </w:r>
      <w:r>
        <w:rPr>
          <w:rFonts w:ascii="楷体" w:hAnsi="楷体" w:eastAsia="楷体" w:cs="楷体"/>
          <w:spacing w:val="-2"/>
          <w:sz w:val="28"/>
          <w:szCs w:val="28"/>
        </w:rPr>
        <w:t>发放薪酬。</w:t>
      </w:r>
      <w:r>
        <w:rPr>
          <w:rFonts w:hint="eastAsia" w:ascii="楷体" w:hAnsi="楷体" w:eastAsia="楷体" w:cs="楷体"/>
          <w:spacing w:val="-2"/>
          <w:sz w:val="28"/>
          <w:szCs w:val="28"/>
        </w:rPr>
        <w:t>违规发放薪酬包括不实际工作而获取薪酬或者虽实际工作但领取明显超出同职级标准薪酬。</w:t>
      </w:r>
      <w:r>
        <w:rPr>
          <w:rFonts w:ascii="楷体" w:hAnsi="楷体" w:eastAsia="楷体" w:cs="楷体"/>
          <w:spacing w:val="-2"/>
          <w:sz w:val="28"/>
          <w:szCs w:val="28"/>
        </w:rPr>
        <w:t>（</w:t>
      </w:r>
      <w:r>
        <w:rPr>
          <w:rFonts w:hint="eastAsia" w:ascii="楷体" w:hAnsi="楷体" w:eastAsia="楷体" w:cs="楷体"/>
          <w:spacing w:val="-2"/>
          <w:sz w:val="28"/>
          <w:szCs w:val="28"/>
        </w:rPr>
        <w:t>若乙方为甲方</w:t>
      </w:r>
      <w:r>
        <w:rPr>
          <w:rFonts w:ascii="楷体" w:hAnsi="楷体" w:eastAsia="楷体" w:cs="楷体"/>
          <w:spacing w:val="-2"/>
          <w:sz w:val="28"/>
          <w:szCs w:val="28"/>
        </w:rPr>
        <w:t>新</w:t>
      </w:r>
      <w:r>
        <w:rPr>
          <w:rFonts w:hint="eastAsia" w:ascii="楷体" w:hAnsi="楷体" w:eastAsia="楷体" w:cs="楷体"/>
          <w:spacing w:val="-2"/>
          <w:sz w:val="28"/>
          <w:szCs w:val="28"/>
        </w:rPr>
        <w:t>合作伙伴</w:t>
      </w:r>
      <w:r>
        <w:rPr>
          <w:rFonts w:ascii="楷体" w:hAnsi="楷体" w:eastAsia="楷体" w:cs="楷体"/>
          <w:spacing w:val="-2"/>
          <w:sz w:val="28"/>
          <w:szCs w:val="28"/>
        </w:rPr>
        <w:t>，如在本协议签订前乙方存在本条规定情形的，需在本协议签订后30日内，将相关情况报</w:t>
      </w:r>
      <w:r>
        <w:rPr>
          <w:rFonts w:hint="eastAsia" w:ascii="楷体" w:hAnsi="楷体" w:eastAsia="楷体" w:cs="楷体"/>
          <w:spacing w:val="-2"/>
          <w:sz w:val="28"/>
          <w:szCs w:val="28"/>
        </w:rPr>
        <w:t>甲方所属</w:t>
      </w:r>
      <w:r>
        <w:rPr>
          <w:rFonts w:ascii="楷体" w:hAnsi="楷体" w:eastAsia="楷体" w:cs="楷体"/>
          <w:spacing w:val="-2"/>
          <w:sz w:val="28"/>
          <w:szCs w:val="28"/>
        </w:rPr>
        <w:t>重汽集团</w:t>
      </w:r>
      <w:r>
        <w:rPr>
          <w:rFonts w:hint="eastAsia" w:ascii="楷体" w:hAnsi="楷体" w:eastAsia="楷体" w:cs="楷体"/>
          <w:spacing w:val="-2"/>
          <w:sz w:val="28"/>
          <w:szCs w:val="28"/>
        </w:rPr>
        <w:t>的</w:t>
      </w:r>
      <w:r>
        <w:rPr>
          <w:rFonts w:ascii="楷体" w:hAnsi="楷体" w:eastAsia="楷体" w:cs="楷体"/>
          <w:spacing w:val="-2"/>
          <w:sz w:val="28"/>
          <w:szCs w:val="28"/>
        </w:rPr>
        <w:t>纪委监察部</w:t>
      </w:r>
      <w:r>
        <w:rPr>
          <w:rFonts w:hint="eastAsia" w:ascii="楷体" w:hAnsi="楷体" w:eastAsia="楷体" w:cs="楷体"/>
          <w:spacing w:val="-2"/>
          <w:sz w:val="28"/>
          <w:szCs w:val="28"/>
        </w:rPr>
        <w:t>门</w:t>
      </w:r>
      <w:r>
        <w:rPr>
          <w:rFonts w:ascii="楷体" w:hAnsi="楷体" w:eastAsia="楷体" w:cs="楷体"/>
          <w:spacing w:val="-2"/>
          <w:sz w:val="28"/>
          <w:szCs w:val="28"/>
        </w:rPr>
        <w:t>备案）。</w:t>
      </w:r>
    </w:p>
    <w:p w14:paraId="38927382">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4.乙方承诺依法开展经营活动，不得有任何形式的商业贿赂行为。乙方一经发现其员工或其</w:t>
      </w:r>
      <w:r>
        <w:rPr>
          <w:rFonts w:hint="eastAsia" w:ascii="楷体" w:hAnsi="楷体" w:eastAsia="楷体" w:cs="楷体"/>
          <w:spacing w:val="-2"/>
          <w:sz w:val="28"/>
          <w:szCs w:val="28"/>
        </w:rPr>
        <w:t>配偶、子女及其配偶等亲属和其他特定关系人</w:t>
      </w:r>
      <w:r>
        <w:rPr>
          <w:rFonts w:ascii="楷体" w:hAnsi="楷体" w:eastAsia="楷体" w:cs="楷体"/>
          <w:spacing w:val="-2"/>
          <w:sz w:val="28"/>
          <w:szCs w:val="28"/>
        </w:rPr>
        <w:t>存在任何商业贿赂行为，应立即通知甲方并自行进行查处和整改。若甲方认为上述行为严重影响到甲方的利益，则甲方有权单方解除双方</w:t>
      </w:r>
      <w:r>
        <w:rPr>
          <w:rFonts w:hint="eastAsia" w:ascii="楷体" w:hAnsi="楷体" w:eastAsia="楷体" w:cs="楷体"/>
          <w:spacing w:val="-2"/>
          <w:sz w:val="28"/>
          <w:szCs w:val="28"/>
        </w:rPr>
        <w:t>已</w:t>
      </w:r>
      <w:r>
        <w:rPr>
          <w:rFonts w:ascii="楷体" w:hAnsi="楷体" w:eastAsia="楷体" w:cs="楷体"/>
          <w:spacing w:val="-2"/>
          <w:sz w:val="28"/>
          <w:szCs w:val="28"/>
        </w:rPr>
        <w:t>签订的</w:t>
      </w:r>
      <w:r>
        <w:rPr>
          <w:rFonts w:hint="eastAsia" w:ascii="楷体" w:hAnsi="楷体" w:eastAsia="楷体" w:cs="楷体"/>
          <w:spacing w:val="-2"/>
          <w:sz w:val="28"/>
          <w:szCs w:val="28"/>
        </w:rPr>
        <w:t>所有合同</w:t>
      </w:r>
      <w:r>
        <w:rPr>
          <w:rFonts w:ascii="楷体" w:hAnsi="楷体" w:eastAsia="楷体" w:cs="楷体"/>
          <w:spacing w:val="-2"/>
          <w:sz w:val="28"/>
          <w:szCs w:val="28"/>
        </w:rPr>
        <w:t>协议，并要求乙方赔偿。</w:t>
      </w:r>
    </w:p>
    <w:p w14:paraId="6F1A2B48">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5.乙方承诺不以任何理由为甲方人员及其</w:t>
      </w:r>
      <w:r>
        <w:rPr>
          <w:rFonts w:hint="eastAsia" w:ascii="楷体" w:hAnsi="楷体" w:eastAsia="楷体" w:cs="楷体"/>
          <w:spacing w:val="-2"/>
          <w:sz w:val="28"/>
          <w:szCs w:val="28"/>
        </w:rPr>
        <w:t>配偶、子女及其配偶等亲属和其他特定关系人提供如下：</w:t>
      </w:r>
    </w:p>
    <w:p w14:paraId="2E9044CC">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a)</w:t>
      </w:r>
      <w:r>
        <w:rPr>
          <w:rFonts w:ascii="楷体" w:hAnsi="楷体" w:eastAsia="楷体" w:cs="楷体"/>
          <w:spacing w:val="-2"/>
          <w:sz w:val="28"/>
          <w:szCs w:val="28"/>
        </w:rPr>
        <w:t>赠送</w:t>
      </w:r>
      <w:r>
        <w:rPr>
          <w:rFonts w:hint="eastAsia" w:ascii="楷体" w:hAnsi="楷体" w:eastAsia="楷体" w:cs="楷体"/>
          <w:spacing w:val="-2"/>
          <w:sz w:val="28"/>
          <w:szCs w:val="28"/>
        </w:rPr>
        <w:t>礼品、</w:t>
      </w:r>
      <w:r>
        <w:rPr>
          <w:rFonts w:ascii="楷体" w:hAnsi="楷体" w:eastAsia="楷体" w:cs="楷体"/>
          <w:spacing w:val="-2"/>
          <w:sz w:val="28"/>
          <w:szCs w:val="28"/>
        </w:rPr>
        <w:t>礼金、</w:t>
      </w:r>
      <w:r>
        <w:rPr>
          <w:rFonts w:hint="eastAsia" w:ascii="楷体" w:hAnsi="楷体" w:eastAsia="楷体" w:cs="楷体"/>
          <w:spacing w:val="-2"/>
          <w:sz w:val="28"/>
          <w:szCs w:val="28"/>
        </w:rPr>
        <w:t>消费卡（券）、</w:t>
      </w:r>
      <w:r>
        <w:rPr>
          <w:rFonts w:ascii="楷体" w:hAnsi="楷体" w:eastAsia="楷体" w:cs="楷体"/>
          <w:spacing w:val="-2"/>
          <w:sz w:val="28"/>
          <w:szCs w:val="28"/>
        </w:rPr>
        <w:t>购物卡、充值卡、信用卡</w:t>
      </w:r>
      <w:r>
        <w:rPr>
          <w:rFonts w:hint="eastAsia" w:ascii="楷体" w:hAnsi="楷体" w:eastAsia="楷体" w:cs="楷体"/>
          <w:spacing w:val="-2"/>
          <w:sz w:val="28"/>
          <w:szCs w:val="28"/>
        </w:rPr>
        <w:t>和</w:t>
      </w:r>
      <w:r>
        <w:rPr>
          <w:rFonts w:ascii="楷体" w:hAnsi="楷体" w:eastAsia="楷体" w:cs="楷体"/>
          <w:spacing w:val="-2"/>
          <w:sz w:val="28"/>
          <w:szCs w:val="28"/>
        </w:rPr>
        <w:t>有价证券</w:t>
      </w:r>
      <w:r>
        <w:rPr>
          <w:rFonts w:hint="eastAsia" w:ascii="楷体" w:hAnsi="楷体" w:eastAsia="楷体" w:cs="楷体"/>
          <w:spacing w:val="-2"/>
          <w:sz w:val="28"/>
          <w:szCs w:val="28"/>
        </w:rPr>
        <w:t>、股权、其他金融产品等财物</w:t>
      </w:r>
      <w:r>
        <w:rPr>
          <w:rFonts w:ascii="楷体" w:hAnsi="楷体" w:eastAsia="楷体" w:cs="楷体"/>
          <w:spacing w:val="-2"/>
          <w:sz w:val="28"/>
          <w:szCs w:val="28"/>
        </w:rPr>
        <w:t>和其他贵重物品；</w:t>
      </w:r>
    </w:p>
    <w:p w14:paraId="6873A769">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b)</w:t>
      </w:r>
      <w:r>
        <w:rPr>
          <w:rFonts w:ascii="楷体" w:hAnsi="楷体" w:eastAsia="楷体" w:cs="楷体"/>
          <w:spacing w:val="-2"/>
          <w:sz w:val="28"/>
          <w:szCs w:val="28"/>
        </w:rPr>
        <w:t>报销个人费用</w:t>
      </w:r>
      <w:r>
        <w:rPr>
          <w:rFonts w:hint="eastAsia" w:ascii="楷体" w:hAnsi="楷体" w:eastAsia="楷体" w:cs="楷体"/>
          <w:spacing w:val="-2"/>
          <w:sz w:val="28"/>
          <w:szCs w:val="28"/>
        </w:rPr>
        <w:t>或以讲课费、课题费、咨询费等名义支付费用</w:t>
      </w:r>
      <w:r>
        <w:rPr>
          <w:rFonts w:ascii="楷体" w:hAnsi="楷体" w:eastAsia="楷体" w:cs="楷体"/>
          <w:spacing w:val="-2"/>
          <w:sz w:val="28"/>
          <w:szCs w:val="28"/>
        </w:rPr>
        <w:t>；</w:t>
      </w:r>
    </w:p>
    <w:p w14:paraId="0A96C25C">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c)</w:t>
      </w:r>
      <w:r>
        <w:rPr>
          <w:rFonts w:ascii="楷体" w:hAnsi="楷体" w:eastAsia="楷体" w:cs="楷体"/>
          <w:spacing w:val="-2"/>
          <w:sz w:val="28"/>
          <w:szCs w:val="28"/>
        </w:rPr>
        <w:t>以洽谈业务、签订合同等为借口宴请或邀请外出旅游</w:t>
      </w:r>
      <w:r>
        <w:rPr>
          <w:rFonts w:hint="eastAsia" w:ascii="楷体" w:hAnsi="楷体" w:eastAsia="楷体" w:cs="楷体"/>
          <w:spacing w:val="-2"/>
          <w:sz w:val="28"/>
          <w:szCs w:val="28"/>
        </w:rPr>
        <w:t>、健身、娱乐</w:t>
      </w:r>
      <w:r>
        <w:rPr>
          <w:rFonts w:ascii="楷体" w:hAnsi="楷体" w:eastAsia="楷体" w:cs="楷体"/>
          <w:spacing w:val="-2"/>
          <w:sz w:val="28"/>
          <w:szCs w:val="28"/>
        </w:rPr>
        <w:t>和进入营业性娱乐场所；</w:t>
      </w:r>
    </w:p>
    <w:p w14:paraId="5EC1FDB1">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d)</w:t>
      </w:r>
      <w:r>
        <w:rPr>
          <w:rFonts w:ascii="楷体" w:hAnsi="楷体" w:eastAsia="楷体" w:cs="楷体"/>
          <w:spacing w:val="-2"/>
          <w:sz w:val="28"/>
          <w:szCs w:val="28"/>
        </w:rPr>
        <w:t>购置或提供通讯、交通工具</w:t>
      </w:r>
      <w:r>
        <w:rPr>
          <w:rFonts w:hint="eastAsia" w:ascii="楷体" w:hAnsi="楷体" w:eastAsia="楷体" w:cs="楷体"/>
          <w:spacing w:val="-2"/>
          <w:sz w:val="28"/>
          <w:szCs w:val="28"/>
        </w:rPr>
        <w:t>、钱款、住房、车辆等或提供通过民间借贷等金融助其获得大额回报</w:t>
      </w:r>
      <w:r>
        <w:rPr>
          <w:rFonts w:ascii="楷体" w:hAnsi="楷体" w:eastAsia="楷体" w:cs="楷体"/>
          <w:spacing w:val="-2"/>
          <w:sz w:val="28"/>
          <w:szCs w:val="28"/>
        </w:rPr>
        <w:t>；</w:t>
      </w:r>
    </w:p>
    <w:p w14:paraId="0FB4B83D">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e)</w:t>
      </w:r>
      <w:r>
        <w:rPr>
          <w:rFonts w:ascii="楷体" w:hAnsi="楷体" w:eastAsia="楷体" w:cs="楷体"/>
          <w:spacing w:val="-2"/>
          <w:sz w:val="28"/>
          <w:szCs w:val="28"/>
        </w:rPr>
        <w:t>住房装修、婚丧嫁娶、家属和子女的工作安排以及出国等提供任何金钱或非金钱方式的资助或帮助</w:t>
      </w:r>
      <w:r>
        <w:rPr>
          <w:rFonts w:hint="eastAsia" w:ascii="楷体" w:hAnsi="楷体" w:eastAsia="楷体" w:cs="楷体"/>
          <w:spacing w:val="-2"/>
          <w:sz w:val="28"/>
          <w:szCs w:val="28"/>
        </w:rPr>
        <w:t>；</w:t>
      </w:r>
    </w:p>
    <w:p w14:paraId="20391CB1">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f)吸收存款、推销金融产品、经营名贵特产类资源等提供帮助谋取利益；</w:t>
      </w:r>
    </w:p>
    <w:p w14:paraId="2D43306E">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g)其他可能影响甲方人员公平、公正的履行职权或者履行职责的情形</w:t>
      </w:r>
      <w:r>
        <w:rPr>
          <w:rFonts w:ascii="楷体" w:hAnsi="楷体" w:eastAsia="楷体" w:cs="楷体"/>
          <w:spacing w:val="-2"/>
          <w:sz w:val="28"/>
          <w:szCs w:val="28"/>
        </w:rPr>
        <w:t>。</w:t>
      </w:r>
    </w:p>
    <w:p w14:paraId="5ECA85B0">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6.乙方应当通过正常途径开展相关业务，决不为谋取不正当利益诱使甲方人员就</w:t>
      </w:r>
      <w:r>
        <w:rPr>
          <w:rFonts w:hint="eastAsia" w:ascii="楷体" w:hAnsi="楷体" w:eastAsia="楷体" w:cs="楷体"/>
          <w:spacing w:val="-2"/>
          <w:sz w:val="28"/>
          <w:szCs w:val="28"/>
        </w:rPr>
        <w:t>采购、服务或销售、经销的物项种类</w:t>
      </w:r>
      <w:r>
        <w:rPr>
          <w:rFonts w:ascii="楷体" w:hAnsi="楷体" w:eastAsia="楷体" w:cs="楷体"/>
          <w:spacing w:val="-2"/>
          <w:sz w:val="28"/>
          <w:szCs w:val="28"/>
        </w:rPr>
        <w:t>、</w:t>
      </w:r>
      <w:r>
        <w:rPr>
          <w:rFonts w:hint="eastAsia" w:ascii="楷体" w:hAnsi="楷体" w:eastAsia="楷体" w:cs="楷体"/>
          <w:spacing w:val="-2"/>
          <w:sz w:val="28"/>
          <w:szCs w:val="28"/>
        </w:rPr>
        <w:t>物项</w:t>
      </w:r>
      <w:r>
        <w:rPr>
          <w:rFonts w:ascii="楷体" w:hAnsi="楷体" w:eastAsia="楷体" w:cs="楷体"/>
          <w:spacing w:val="-2"/>
          <w:sz w:val="28"/>
          <w:szCs w:val="28"/>
        </w:rPr>
        <w:t>数量、价格</w:t>
      </w:r>
      <w:r>
        <w:rPr>
          <w:rFonts w:hint="eastAsia" w:ascii="楷体" w:hAnsi="楷体" w:eastAsia="楷体" w:cs="楷体"/>
          <w:spacing w:val="-2"/>
          <w:sz w:val="28"/>
          <w:szCs w:val="28"/>
        </w:rPr>
        <w:t>条件</w:t>
      </w:r>
      <w:r>
        <w:rPr>
          <w:rFonts w:ascii="楷体" w:hAnsi="楷体" w:eastAsia="楷体" w:cs="楷体"/>
          <w:spacing w:val="-2"/>
          <w:sz w:val="28"/>
          <w:szCs w:val="28"/>
        </w:rPr>
        <w:t>、</w:t>
      </w:r>
      <w:r>
        <w:rPr>
          <w:rFonts w:hint="eastAsia" w:ascii="楷体" w:hAnsi="楷体" w:eastAsia="楷体" w:cs="楷体"/>
          <w:spacing w:val="-2"/>
          <w:sz w:val="28"/>
          <w:szCs w:val="28"/>
        </w:rPr>
        <w:t>付款条件、</w:t>
      </w:r>
      <w:r>
        <w:rPr>
          <w:rFonts w:ascii="楷体" w:hAnsi="楷体" w:eastAsia="楷体" w:cs="楷体"/>
          <w:spacing w:val="-2"/>
          <w:sz w:val="28"/>
          <w:szCs w:val="28"/>
        </w:rPr>
        <w:t>质量问题处理等方面私下商谈或达成默契</w:t>
      </w:r>
      <w:r>
        <w:rPr>
          <w:rFonts w:hint="eastAsia" w:ascii="楷体" w:hAnsi="楷体" w:eastAsia="楷体" w:cs="楷体"/>
          <w:spacing w:val="-2"/>
          <w:sz w:val="28"/>
          <w:szCs w:val="28"/>
        </w:rPr>
        <w:t>；</w:t>
      </w:r>
      <w:r>
        <w:rPr>
          <w:rFonts w:ascii="楷体" w:hAnsi="楷体" w:eastAsia="楷体" w:cs="楷体"/>
          <w:spacing w:val="-2"/>
          <w:sz w:val="28"/>
          <w:szCs w:val="28"/>
        </w:rPr>
        <w:t>决不以任何方式诱使甲方人员接受或共同编造虚假议价及质量资料、影响交易价格或交易之达成、违背职务、将合同权利义务转让给第三方及其它损害甲方利益的行为。</w:t>
      </w:r>
    </w:p>
    <w:p w14:paraId="4F799AF5">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7.若乙方发现甲方人员或其</w:t>
      </w:r>
      <w:r>
        <w:rPr>
          <w:rFonts w:hint="eastAsia" w:ascii="楷体" w:hAnsi="楷体" w:eastAsia="楷体" w:cs="楷体"/>
          <w:spacing w:val="-2"/>
          <w:sz w:val="28"/>
          <w:szCs w:val="28"/>
        </w:rPr>
        <w:t>配偶、子女及其配偶等亲属和其他特定关系人</w:t>
      </w:r>
      <w:r>
        <w:rPr>
          <w:rFonts w:ascii="楷体" w:hAnsi="楷体" w:eastAsia="楷体" w:cs="楷体"/>
          <w:spacing w:val="-2"/>
          <w:sz w:val="28"/>
          <w:szCs w:val="28"/>
        </w:rPr>
        <w:t>有任何形式的索贿受贿行为，乙方有责任向甲方</w:t>
      </w:r>
      <w:r>
        <w:rPr>
          <w:rFonts w:hint="eastAsia" w:ascii="楷体" w:hAnsi="楷体" w:eastAsia="楷体" w:cs="楷体"/>
          <w:spacing w:val="-2"/>
          <w:sz w:val="28"/>
          <w:szCs w:val="28"/>
        </w:rPr>
        <w:t>所属</w:t>
      </w:r>
      <w:r>
        <w:rPr>
          <w:rFonts w:ascii="楷体" w:hAnsi="楷体" w:eastAsia="楷体" w:cs="楷体"/>
          <w:spacing w:val="-2"/>
          <w:sz w:val="28"/>
          <w:szCs w:val="28"/>
        </w:rPr>
        <w:t>重汽集团</w:t>
      </w:r>
      <w:r>
        <w:rPr>
          <w:rFonts w:hint="eastAsia" w:ascii="楷体" w:hAnsi="楷体" w:eastAsia="楷体" w:cs="楷体"/>
          <w:spacing w:val="-2"/>
          <w:sz w:val="28"/>
          <w:szCs w:val="28"/>
        </w:rPr>
        <w:t>的</w:t>
      </w:r>
      <w:r>
        <w:rPr>
          <w:rFonts w:ascii="楷体" w:hAnsi="楷体" w:eastAsia="楷体" w:cs="楷体"/>
          <w:spacing w:val="-2"/>
          <w:sz w:val="28"/>
          <w:szCs w:val="28"/>
        </w:rPr>
        <w:t>纪委监察部门举报（举报电话：0531-58062233，举报邮箱：jianchabu@sinotruk.com）。甲方不得</w:t>
      </w:r>
      <w:r>
        <w:rPr>
          <w:rFonts w:hint="eastAsia" w:ascii="楷体" w:hAnsi="楷体" w:eastAsia="楷体" w:cs="楷体"/>
          <w:spacing w:val="-2"/>
          <w:sz w:val="28"/>
          <w:szCs w:val="28"/>
        </w:rPr>
        <w:t>以</w:t>
      </w:r>
      <w:r>
        <w:rPr>
          <w:rFonts w:ascii="楷体" w:hAnsi="楷体" w:eastAsia="楷体" w:cs="楷体"/>
          <w:spacing w:val="-2"/>
          <w:sz w:val="28"/>
          <w:szCs w:val="28"/>
        </w:rPr>
        <w:t>任何借口对乙方进行报复。对举报属实和严格遵守廉洁协议的乙方，在同等条件下甲方优先考虑与乙方继续合作并给予更优惠的商务合作条件。</w:t>
      </w:r>
    </w:p>
    <w:p w14:paraId="25FA67C8">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8.若乙方知悉其它与甲方合作的供应商</w:t>
      </w:r>
      <w:r>
        <w:rPr>
          <w:rFonts w:hint="eastAsia" w:ascii="楷体" w:hAnsi="楷体" w:eastAsia="楷体" w:cs="楷体"/>
          <w:spacing w:val="-2"/>
          <w:sz w:val="28"/>
          <w:szCs w:val="28"/>
        </w:rPr>
        <w:t>、服务商或采购商、经销商等合作伙伴</w:t>
      </w:r>
      <w:r>
        <w:rPr>
          <w:rFonts w:ascii="楷体" w:hAnsi="楷体" w:eastAsia="楷体" w:cs="楷体"/>
          <w:spacing w:val="-2"/>
          <w:sz w:val="28"/>
          <w:szCs w:val="28"/>
        </w:rPr>
        <w:t>存在违反本协议规定之行为，乙方应向甲方</w:t>
      </w:r>
      <w:r>
        <w:rPr>
          <w:rFonts w:hint="eastAsia" w:ascii="楷体" w:hAnsi="楷体" w:eastAsia="楷体" w:cs="楷体"/>
          <w:spacing w:val="-2"/>
          <w:sz w:val="28"/>
          <w:szCs w:val="28"/>
        </w:rPr>
        <w:t>或</w:t>
      </w:r>
      <w:r>
        <w:rPr>
          <w:rFonts w:ascii="楷体" w:hAnsi="楷体" w:eastAsia="楷体" w:cs="楷体"/>
          <w:spacing w:val="-2"/>
          <w:sz w:val="28"/>
          <w:szCs w:val="28"/>
        </w:rPr>
        <w:t>甲方</w:t>
      </w:r>
      <w:r>
        <w:rPr>
          <w:rFonts w:hint="eastAsia" w:ascii="楷体" w:hAnsi="楷体" w:eastAsia="楷体" w:cs="楷体"/>
          <w:spacing w:val="-2"/>
          <w:sz w:val="28"/>
          <w:szCs w:val="28"/>
        </w:rPr>
        <w:t>所属</w:t>
      </w:r>
      <w:r>
        <w:rPr>
          <w:rFonts w:ascii="楷体" w:hAnsi="楷体" w:eastAsia="楷体" w:cs="楷体"/>
          <w:spacing w:val="-2"/>
          <w:sz w:val="28"/>
          <w:szCs w:val="28"/>
        </w:rPr>
        <w:t>重汽集团</w:t>
      </w:r>
      <w:r>
        <w:rPr>
          <w:rFonts w:hint="eastAsia" w:ascii="楷体" w:hAnsi="楷体" w:eastAsia="楷体" w:cs="楷体"/>
          <w:spacing w:val="-2"/>
          <w:sz w:val="28"/>
          <w:szCs w:val="28"/>
        </w:rPr>
        <w:t>的</w:t>
      </w:r>
      <w:r>
        <w:rPr>
          <w:rFonts w:ascii="楷体" w:hAnsi="楷体" w:eastAsia="楷体" w:cs="楷体"/>
          <w:spacing w:val="-2"/>
          <w:sz w:val="28"/>
          <w:szCs w:val="28"/>
        </w:rPr>
        <w:t>纪委监察部门检举并提供证据。</w:t>
      </w:r>
    </w:p>
    <w:p w14:paraId="406D7E3F">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9.乙方承诺在双方业务往来期间，不得对甲方人员采取任何手段使其离开甲方到乙方或乙方关联企业任职，若出现上述情况，则属于乙方违约，应承担给甲方造成的一切损失。</w:t>
      </w:r>
    </w:p>
    <w:p w14:paraId="713FE466">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10.乙方承诺不聘任甲方内退领导干部或其他人员在乙方或乙方关联企业工作；乙方承诺不聘任甲方离职或退休三年内的领导干部或其他人员在乙方或乙方关联企业工作。</w:t>
      </w:r>
    </w:p>
    <w:p w14:paraId="60DBEA27">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11.若乙方违反本协议约定的任何一项，乙方自愿向甲方支付5万元至50万元人民币或违反协议约定事件发现的上年度采购额的10%作为违约金，给甲方造成损失的，还应承担全部赔偿责任。另外甲方还有权对乙方采取降低供货比例、取消供货资格、单方解除采购合同等措施。情节特别严重或触犯法律法规的，将交由甲方住所地司法机关依法进行处理。</w:t>
      </w:r>
    </w:p>
    <w:p w14:paraId="78A43F08">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12.关联企业是指：a）本企业的实际控制人，如甲方的实际控制人中国重型汽车集团有限公司或山东重工集团有限公司等；b）本企业实际控制人对外出资，拥有股权超过50%的各级子公司；c）本企业实际控制人直接或间接持股比例虽未超过50%，但为第一大股东，并且通过股东协议、公司章程、董事会决议或者其他协议安排</w:t>
      </w:r>
      <w:r>
        <w:rPr>
          <w:rFonts w:hint="eastAsia" w:ascii="楷体" w:hAnsi="楷体" w:eastAsia="楷体" w:cs="楷体"/>
          <w:spacing w:val="-2"/>
          <w:sz w:val="28"/>
          <w:szCs w:val="28"/>
        </w:rPr>
        <w:t>等</w:t>
      </w:r>
      <w:r>
        <w:rPr>
          <w:rFonts w:ascii="楷体" w:hAnsi="楷体" w:eastAsia="楷体" w:cs="楷体"/>
          <w:spacing w:val="-2"/>
          <w:sz w:val="28"/>
          <w:szCs w:val="28"/>
        </w:rPr>
        <w:t>能够对其实际支配的企业或单位。</w:t>
      </w:r>
    </w:p>
    <w:p w14:paraId="0900068D">
      <w:pPr>
        <w:pStyle w:val="17"/>
        <w:tabs>
          <w:tab w:val="left" w:pos="1244"/>
        </w:tabs>
        <w:adjustRightInd w:val="0"/>
        <w:spacing w:line="305" w:lineRule="auto"/>
        <w:ind w:firstLine="552"/>
        <w:rPr>
          <w:rFonts w:ascii="楷体" w:hAnsi="楷体" w:eastAsia="楷体" w:cs="楷体"/>
          <w:spacing w:val="-2"/>
          <w:sz w:val="28"/>
          <w:szCs w:val="28"/>
        </w:rPr>
      </w:pPr>
      <w:r>
        <w:rPr>
          <w:rFonts w:hint="eastAsia" w:ascii="楷体" w:hAnsi="楷体" w:eastAsia="楷体" w:cs="楷体"/>
          <w:spacing w:val="-2"/>
          <w:sz w:val="28"/>
          <w:szCs w:val="28"/>
        </w:rPr>
        <w:t>本企业股东、管理人员及其配偶、子女及其配偶等亲属和其他特定关系人以及本企业实际控制人、实际控制人持股超过50%的各级子公司、实际控制人持股未超过50%但能够实际支配的企业或单位的股东、管理人员及其配偶、子女及其配偶等亲属和其他特定关系人，直接持股、间接持股或以其他形式投资的企业或单位，视同本企业的关联企业。</w:t>
      </w:r>
    </w:p>
    <w:p w14:paraId="274FFBA3">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13.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14:paraId="4DEE49CF">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14:paraId="6C74229C">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14.本协议作为执行</w:t>
      </w:r>
      <w:r>
        <w:rPr>
          <w:rFonts w:hint="eastAsia" w:ascii="楷体" w:hAnsi="楷体" w:eastAsia="楷体" w:cs="楷体"/>
          <w:spacing w:val="-2"/>
          <w:sz w:val="28"/>
          <w:szCs w:val="28"/>
        </w:rPr>
        <w:t>甲乙双方</w:t>
      </w:r>
      <w:r>
        <w:rPr>
          <w:rFonts w:ascii="楷体" w:hAnsi="楷体" w:eastAsia="楷体" w:cs="楷体"/>
          <w:spacing w:val="-2"/>
          <w:sz w:val="28"/>
          <w:szCs w:val="28"/>
        </w:rPr>
        <w:t>采购协议</w:t>
      </w:r>
      <w:r>
        <w:rPr>
          <w:rFonts w:hint="eastAsia" w:ascii="楷体" w:hAnsi="楷体" w:eastAsia="楷体" w:cs="楷体"/>
          <w:spacing w:val="-2"/>
          <w:sz w:val="28"/>
          <w:szCs w:val="28"/>
        </w:rPr>
        <w:t>或其他合作合同、协议</w:t>
      </w:r>
      <w:r>
        <w:rPr>
          <w:rFonts w:ascii="楷体" w:hAnsi="楷体" w:eastAsia="楷体" w:cs="楷体"/>
          <w:spacing w:val="-2"/>
          <w:sz w:val="28"/>
          <w:szCs w:val="28"/>
        </w:rPr>
        <w:t>的附件，自双方签署之日起生效，此协议在</w:t>
      </w:r>
      <w:r>
        <w:rPr>
          <w:rFonts w:hint="eastAsia" w:ascii="楷体" w:hAnsi="楷体" w:eastAsia="楷体" w:cs="楷体"/>
          <w:spacing w:val="-2"/>
          <w:sz w:val="28"/>
          <w:szCs w:val="28"/>
        </w:rPr>
        <w:t>甲乙</w:t>
      </w:r>
      <w:r>
        <w:rPr>
          <w:rFonts w:ascii="楷体" w:hAnsi="楷体" w:eastAsia="楷体" w:cs="楷体"/>
          <w:spacing w:val="-2"/>
          <w:sz w:val="28"/>
          <w:szCs w:val="28"/>
        </w:rPr>
        <w:t>双方</w:t>
      </w:r>
      <w:r>
        <w:rPr>
          <w:rFonts w:hint="eastAsia" w:ascii="楷体" w:hAnsi="楷体" w:eastAsia="楷体" w:cs="楷体"/>
          <w:spacing w:val="-2"/>
          <w:sz w:val="28"/>
          <w:szCs w:val="28"/>
        </w:rPr>
        <w:t>业务</w:t>
      </w:r>
      <w:r>
        <w:rPr>
          <w:rFonts w:ascii="楷体" w:hAnsi="楷体" w:eastAsia="楷体" w:cs="楷体"/>
          <w:spacing w:val="-2"/>
          <w:sz w:val="28"/>
          <w:szCs w:val="28"/>
        </w:rPr>
        <w:t>合作期间有效</w:t>
      </w:r>
      <w:r>
        <w:rPr>
          <w:rFonts w:hint="eastAsia" w:ascii="楷体" w:hAnsi="楷体" w:eastAsia="楷体" w:cs="楷体"/>
          <w:spacing w:val="-2"/>
          <w:sz w:val="28"/>
          <w:szCs w:val="28"/>
        </w:rPr>
        <w:t>；本协议生效后将自动替代生效日之前双方已签订的《供应商廉洁诚信协议》或类同协议约定；本协议生效前甲乙双方未签署《供应商廉洁诚信协议》或类同协议约定等但实际已存在供应采购等业务合作关系的，甲乙双方同意有关业务合作适用本协议的所有条款约定。</w:t>
      </w:r>
    </w:p>
    <w:p w14:paraId="5A079E95">
      <w:pPr>
        <w:pStyle w:val="17"/>
        <w:tabs>
          <w:tab w:val="left" w:pos="1244"/>
        </w:tabs>
        <w:adjustRightInd w:val="0"/>
        <w:spacing w:line="305" w:lineRule="auto"/>
        <w:ind w:firstLine="552"/>
        <w:rPr>
          <w:rFonts w:ascii="楷体" w:hAnsi="楷体" w:eastAsia="楷体" w:cs="楷体"/>
          <w:spacing w:val="-2"/>
          <w:sz w:val="28"/>
          <w:szCs w:val="28"/>
        </w:rPr>
      </w:pPr>
      <w:r>
        <w:rPr>
          <w:rFonts w:ascii="楷体" w:hAnsi="楷体" w:eastAsia="楷体" w:cs="楷体"/>
          <w:spacing w:val="-2"/>
          <w:sz w:val="28"/>
          <w:szCs w:val="28"/>
        </w:rPr>
        <w:t>1</w:t>
      </w:r>
      <w:r>
        <w:rPr>
          <w:rFonts w:hint="eastAsia" w:ascii="楷体" w:hAnsi="楷体" w:eastAsia="楷体" w:cs="楷体"/>
          <w:spacing w:val="-2"/>
          <w:sz w:val="28"/>
          <w:szCs w:val="28"/>
        </w:rPr>
        <w:t>5</w:t>
      </w:r>
      <w:r>
        <w:rPr>
          <w:rFonts w:ascii="楷体" w:hAnsi="楷体" w:eastAsia="楷体" w:cs="楷体"/>
          <w:spacing w:val="-2"/>
          <w:sz w:val="28"/>
          <w:szCs w:val="28"/>
        </w:rPr>
        <w:t>.本协议一式二份，双方各执一份，具有同等法律效力。若产生争议，双方协商解决，协商不成的在甲方所在地有管辖权的法院诉讼解决。</w:t>
      </w:r>
    </w:p>
    <w:p w14:paraId="33A76F55">
      <w:pPr>
        <w:pStyle w:val="4"/>
        <w:spacing w:before="9" w:after="156"/>
        <w:rPr>
          <w:rFonts w:ascii="楷体" w:hAnsi="楷体" w:eastAsia="楷体" w:cs="楷体"/>
          <w:sz w:val="40"/>
          <w:szCs w:val="28"/>
        </w:rPr>
      </w:pPr>
    </w:p>
    <w:p w14:paraId="2D32A750">
      <w:pPr>
        <w:tabs>
          <w:tab w:val="left" w:pos="5457"/>
        </w:tabs>
        <w:spacing w:before="1"/>
        <w:ind w:left="117"/>
        <w:rPr>
          <w:rFonts w:ascii="楷体" w:hAnsi="楷体" w:eastAsia="楷体" w:cs="楷体"/>
          <w:b/>
          <w:sz w:val="24"/>
          <w:szCs w:val="21"/>
        </w:rPr>
      </w:pPr>
      <w:r>
        <w:rPr>
          <w:rFonts w:hint="eastAsia" w:ascii="楷体" w:hAnsi="楷体" w:eastAsia="楷体" w:cs="楷体"/>
          <w:b/>
          <w:spacing w:val="-1"/>
          <w:w w:val="99"/>
          <w:sz w:val="24"/>
          <w:szCs w:val="21"/>
        </w:rPr>
        <w:t>甲方（盖章</w:t>
      </w:r>
      <w:r>
        <w:rPr>
          <w:rFonts w:hint="eastAsia" w:ascii="楷体" w:hAnsi="楷体" w:eastAsia="楷体" w:cs="楷体"/>
          <w:b/>
          <w:spacing w:val="-140"/>
          <w:w w:val="99"/>
          <w:sz w:val="24"/>
          <w:szCs w:val="21"/>
        </w:rPr>
        <w:t>）</w:t>
      </w:r>
      <w:r>
        <w:rPr>
          <w:rFonts w:hint="eastAsia" w:ascii="楷体" w:hAnsi="楷体" w:eastAsia="楷体" w:cs="楷体"/>
          <w:b/>
          <w:w w:val="99"/>
          <w:sz w:val="24"/>
          <w:szCs w:val="21"/>
        </w:rPr>
        <w:t>：</w:t>
      </w:r>
      <w:r>
        <w:rPr>
          <w:rFonts w:hint="eastAsia" w:ascii="楷体" w:hAnsi="楷体" w:eastAsia="楷体" w:cs="楷体"/>
          <w:b/>
          <w:sz w:val="24"/>
          <w:szCs w:val="21"/>
        </w:rPr>
        <w:tab/>
      </w:r>
      <w:r>
        <w:rPr>
          <w:rFonts w:hint="eastAsia" w:ascii="楷体" w:hAnsi="楷体" w:eastAsia="楷体" w:cs="楷体"/>
          <w:b/>
          <w:spacing w:val="-1"/>
          <w:w w:val="99"/>
          <w:sz w:val="24"/>
          <w:szCs w:val="21"/>
        </w:rPr>
        <w:t>乙方（盖</w:t>
      </w:r>
      <w:r>
        <w:rPr>
          <w:rFonts w:hint="eastAsia" w:ascii="楷体" w:hAnsi="楷体" w:eastAsia="楷体" w:cs="楷体"/>
          <w:b/>
          <w:spacing w:val="2"/>
          <w:w w:val="99"/>
          <w:sz w:val="24"/>
          <w:szCs w:val="21"/>
        </w:rPr>
        <w:t>章</w:t>
      </w:r>
      <w:r>
        <w:rPr>
          <w:rFonts w:hint="eastAsia" w:ascii="楷体" w:hAnsi="楷体" w:eastAsia="楷体" w:cs="楷体"/>
          <w:b/>
          <w:spacing w:val="-142"/>
          <w:w w:val="99"/>
          <w:sz w:val="24"/>
          <w:szCs w:val="21"/>
        </w:rPr>
        <w:t>）</w:t>
      </w:r>
      <w:r>
        <w:rPr>
          <w:rFonts w:hint="eastAsia" w:ascii="楷体" w:hAnsi="楷体" w:eastAsia="楷体" w:cs="楷体"/>
          <w:b/>
          <w:w w:val="99"/>
          <w:sz w:val="24"/>
          <w:szCs w:val="21"/>
        </w:rPr>
        <w:t>：</w:t>
      </w:r>
    </w:p>
    <w:p w14:paraId="0D510832">
      <w:pPr>
        <w:pStyle w:val="4"/>
        <w:spacing w:after="156"/>
        <w:rPr>
          <w:rFonts w:ascii="楷体" w:hAnsi="楷体" w:eastAsia="楷体" w:cs="楷体"/>
          <w:b/>
          <w:sz w:val="24"/>
          <w:szCs w:val="28"/>
        </w:rPr>
      </w:pPr>
    </w:p>
    <w:p w14:paraId="14522121">
      <w:pPr>
        <w:pStyle w:val="4"/>
        <w:spacing w:before="1" w:after="156"/>
        <w:rPr>
          <w:rFonts w:ascii="楷体" w:hAnsi="楷体" w:eastAsia="楷体" w:cs="楷体"/>
          <w:b/>
          <w:sz w:val="24"/>
          <w:szCs w:val="28"/>
        </w:rPr>
      </w:pPr>
    </w:p>
    <w:p w14:paraId="6A52D025">
      <w:pPr>
        <w:tabs>
          <w:tab w:val="left" w:pos="5457"/>
        </w:tabs>
        <w:ind w:left="117"/>
        <w:rPr>
          <w:rFonts w:ascii="楷体" w:hAnsi="楷体" w:eastAsia="楷体" w:cs="楷体"/>
          <w:b/>
          <w:sz w:val="24"/>
          <w:szCs w:val="21"/>
        </w:rPr>
      </w:pPr>
      <w:r>
        <w:rPr>
          <w:rFonts w:hint="eastAsia" w:ascii="楷体" w:hAnsi="楷体" w:eastAsia="楷体" w:cs="楷体"/>
          <w:b/>
          <w:sz w:val="24"/>
          <w:szCs w:val="21"/>
        </w:rPr>
        <w:t>法定代表/授权代表</w:t>
      </w:r>
      <w:r>
        <w:rPr>
          <w:rFonts w:hint="eastAsia" w:ascii="楷体" w:hAnsi="楷体" w:eastAsia="楷体" w:cs="楷体"/>
          <w:b/>
          <w:sz w:val="24"/>
          <w:szCs w:val="21"/>
        </w:rPr>
        <w:tab/>
      </w:r>
      <w:r>
        <w:rPr>
          <w:rFonts w:hint="eastAsia" w:ascii="楷体" w:hAnsi="楷体" w:eastAsia="楷体" w:cs="楷体"/>
          <w:b/>
          <w:sz w:val="24"/>
          <w:szCs w:val="21"/>
        </w:rPr>
        <w:t>法定代表/授权代表</w:t>
      </w:r>
    </w:p>
    <w:p w14:paraId="0A21AE17">
      <w:pPr>
        <w:pStyle w:val="4"/>
        <w:spacing w:after="156"/>
        <w:rPr>
          <w:rFonts w:ascii="楷体" w:hAnsi="楷体" w:eastAsia="楷体" w:cs="楷体"/>
          <w:b/>
          <w:sz w:val="24"/>
          <w:szCs w:val="28"/>
        </w:rPr>
      </w:pPr>
    </w:p>
    <w:p w14:paraId="7503AD1F">
      <w:pPr>
        <w:pStyle w:val="4"/>
        <w:spacing w:before="4" w:after="156"/>
        <w:rPr>
          <w:rFonts w:ascii="楷体" w:hAnsi="楷体" w:eastAsia="楷体" w:cs="楷体"/>
          <w:b/>
          <w:sz w:val="24"/>
          <w:szCs w:val="28"/>
        </w:rPr>
      </w:pPr>
    </w:p>
    <w:p w14:paraId="6A95629C">
      <w:pPr>
        <w:tabs>
          <w:tab w:val="left" w:pos="5457"/>
        </w:tabs>
        <w:ind w:left="117"/>
        <w:rPr>
          <w:rFonts w:ascii="楷体" w:hAnsi="楷体" w:eastAsia="楷体" w:cs="楷体"/>
          <w:b/>
          <w:sz w:val="24"/>
          <w:szCs w:val="21"/>
        </w:rPr>
      </w:pPr>
      <w:r>
        <w:rPr>
          <w:rFonts w:hint="eastAsia" w:ascii="楷体" w:hAnsi="楷体" w:eastAsia="楷体" w:cs="楷体"/>
          <w:b/>
          <w:sz w:val="24"/>
          <w:szCs w:val="21"/>
        </w:rPr>
        <w:t>日期:</w:t>
      </w:r>
      <w:r>
        <w:rPr>
          <w:rFonts w:hint="eastAsia" w:ascii="楷体" w:hAnsi="楷体" w:eastAsia="楷体" w:cs="楷体"/>
          <w:b/>
          <w:sz w:val="24"/>
          <w:szCs w:val="21"/>
        </w:rPr>
        <w:tab/>
      </w:r>
      <w:r>
        <w:rPr>
          <w:rFonts w:hint="eastAsia" w:ascii="楷体" w:hAnsi="楷体" w:eastAsia="楷体" w:cs="楷体"/>
          <w:b/>
          <w:sz w:val="24"/>
          <w:szCs w:val="21"/>
        </w:rPr>
        <w:t>日 期:</w:t>
      </w:r>
    </w:p>
    <w:p w14:paraId="60ED03B3">
      <w:pPr>
        <w:tabs>
          <w:tab w:val="left" w:pos="5457"/>
        </w:tabs>
        <w:ind w:left="117"/>
        <w:rPr>
          <w:rFonts w:ascii="楷体" w:hAnsi="楷体" w:eastAsia="楷体" w:cs="楷体"/>
          <w:b/>
          <w:sz w:val="24"/>
          <w:szCs w:val="21"/>
        </w:rPr>
      </w:pPr>
    </w:p>
    <w:p w14:paraId="7E7D9D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B54956-D94B-4B77-9D8A-5769416CBE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45E0A80-A016-4EB4-AF2A-F9224F97EB75}"/>
  </w:font>
  <w:font w:name="等线">
    <w:panose1 w:val="02010600030101010101"/>
    <w:charset w:val="86"/>
    <w:family w:val="auto"/>
    <w:pitch w:val="default"/>
    <w:sig w:usb0="A00002BF" w:usb1="38CF7CFA" w:usb2="00000016" w:usb3="00000000" w:csb0="0004000F" w:csb1="00000000"/>
    <w:embedRegular r:id="rId3" w:fontKey="{5F746606-5BE4-4DA9-9E33-BB94AA903B36}"/>
  </w:font>
  <w:font w:name="Arial">
    <w:panose1 w:val="020B0604020202020204"/>
    <w:charset w:val="00"/>
    <w:family w:val="swiss"/>
    <w:pitch w:val="default"/>
    <w:sig w:usb0="E0002EFF" w:usb1="C000785B" w:usb2="00000009" w:usb3="00000000" w:csb0="400001FF" w:csb1="FFFF0000"/>
  </w:font>
  <w:font w:name="新宋体">
    <w:panose1 w:val="02010609030101010101"/>
    <w:charset w:val="86"/>
    <w:family w:val="modern"/>
    <w:pitch w:val="default"/>
    <w:sig w:usb0="00000203" w:usb1="288F0000" w:usb2="00000006" w:usb3="00000000" w:csb0="00040001" w:csb1="00000000"/>
  </w:font>
  <w:font w:name="Courier New">
    <w:panose1 w:val="02070309020205020404"/>
    <w:charset w:val="00"/>
    <w:family w:val="modern"/>
    <w:pitch w:val="default"/>
    <w:sig w:usb0="E0002EFF" w:usb1="C0007843" w:usb2="00000009" w:usb3="00000000" w:csb0="400001FF" w:csb1="FFFF0000"/>
  </w:font>
  <w:font w:name="方正小标宋简体">
    <w:panose1 w:val="02000000000000000000"/>
    <w:charset w:val="86"/>
    <w:family w:val="auto"/>
    <w:pitch w:val="default"/>
    <w:sig w:usb0="00000001" w:usb1="08000000" w:usb2="00000000" w:usb3="00000000" w:csb0="00040000" w:csb1="00000000"/>
    <w:embedRegular r:id="rId4" w:fontKey="{92E78C1C-2BC8-4A34-97A7-EF44FA57A587}"/>
  </w:font>
  <w:font w:name="仿宋_GB2312">
    <w:panose1 w:val="02010609030101010101"/>
    <w:charset w:val="86"/>
    <w:family w:val="modern"/>
    <w:pitch w:val="default"/>
    <w:sig w:usb0="00000001" w:usb1="080E0000" w:usb2="00000000" w:usb3="00000000" w:csb0="00040000" w:csb1="00000000"/>
    <w:embedRegular r:id="rId5" w:fontKey="{84A34CA4-0A13-493F-8E47-4D3F26C99F11}"/>
  </w:font>
  <w:font w:name="楷体_GB2312">
    <w:altName w:val="楷体"/>
    <w:panose1 w:val="00000000000000000000"/>
    <w:charset w:val="86"/>
    <w:family w:val="modern"/>
    <w:pitch w:val="default"/>
    <w:sig w:usb0="00000000" w:usb1="00000000" w:usb2="00000016" w:usb3="00000000" w:csb0="00040001" w:csb1="00000000"/>
    <w:embedRegular r:id="rId6" w:fontKey="{6F085F1D-3FB0-46B0-B15D-11965416033C}"/>
  </w:font>
  <w:font w:name="楷体">
    <w:panose1 w:val="02010609060101010101"/>
    <w:charset w:val="86"/>
    <w:family w:val="modern"/>
    <w:pitch w:val="default"/>
    <w:sig w:usb0="800002BF" w:usb1="38CF7CFA" w:usb2="00000016" w:usb3="00000000" w:csb0="00040001" w:csb1="00000000"/>
    <w:embedRegular r:id="rId7" w:fontKey="{8B024922-3C04-477E-9E32-8F59BAD2586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14D"/>
    <w:rsid w:val="000276F3"/>
    <w:rsid w:val="002248F3"/>
    <w:rsid w:val="0049314D"/>
    <w:rsid w:val="00C94F96"/>
    <w:rsid w:val="67982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qFormat/>
    <w:uiPriority w:val="9"/>
    <w:pPr>
      <w:keepNext/>
      <w:keepLines/>
      <w:spacing w:line="360" w:lineRule="auto"/>
      <w:outlineLvl w:val="1"/>
    </w:pPr>
    <w:rPr>
      <w:rFonts w:ascii="Arial" w:hAnsi="Arial" w:eastAsia="宋体" w:cs="Times New Roman"/>
      <w:b/>
      <w:bCs/>
      <w:sz w:val="24"/>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ody Text"/>
    <w:basedOn w:val="1"/>
    <w:link w:val="15"/>
    <w:qFormat/>
    <w:uiPriority w:val="99"/>
    <w:pPr>
      <w:adjustRightInd w:val="0"/>
      <w:spacing w:before="120" w:afterLines="50" w:line="280" w:lineRule="atLeast"/>
      <w:textAlignment w:val="baseline"/>
    </w:pPr>
    <w:rPr>
      <w:rFonts w:ascii="Calibri" w:hAnsi="Calibri" w:eastAsia="新宋体" w:cs="Times New Roman"/>
      <w:szCs w:val="21"/>
    </w:rPr>
  </w:style>
  <w:style w:type="paragraph" w:styleId="5">
    <w:name w:val="Plain Text"/>
    <w:basedOn w:val="1"/>
    <w:link w:val="16"/>
    <w:qFormat/>
    <w:uiPriority w:val="0"/>
    <w:rPr>
      <w:rFonts w:ascii="宋体" w:hAnsi="Courier New"/>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99"/>
    <w:pPr>
      <w:ind w:left="420" w:hanging="420"/>
    </w:pPr>
    <w:rPr>
      <w:rFonts w:ascii="Times New Roman" w:hAnsi="Times New Roman" w:eastAsia="宋体" w:cs="Times New Roman"/>
      <w:szCs w:val="20"/>
    </w:r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character" w:customStyle="1" w:styleId="13">
    <w:name w:val="标题 2 字符"/>
    <w:basedOn w:val="10"/>
    <w:link w:val="2"/>
    <w:qFormat/>
    <w:uiPriority w:val="9"/>
    <w:rPr>
      <w:rFonts w:ascii="Arial" w:hAnsi="Arial" w:eastAsia="宋体" w:cs="Times New Roman"/>
      <w:b/>
      <w:bCs/>
      <w:sz w:val="24"/>
      <w:szCs w:val="32"/>
    </w:rPr>
  </w:style>
  <w:style w:type="character" w:customStyle="1" w:styleId="14">
    <w:name w:val="批注文字 字符"/>
    <w:basedOn w:val="10"/>
    <w:link w:val="3"/>
    <w:qFormat/>
    <w:uiPriority w:val="0"/>
  </w:style>
  <w:style w:type="character" w:customStyle="1" w:styleId="15">
    <w:name w:val="正文文本 字符"/>
    <w:basedOn w:val="10"/>
    <w:link w:val="4"/>
    <w:qFormat/>
    <w:uiPriority w:val="99"/>
    <w:rPr>
      <w:rFonts w:ascii="Calibri" w:hAnsi="Calibri" w:eastAsia="新宋体" w:cs="Times New Roman"/>
      <w:szCs w:val="21"/>
    </w:rPr>
  </w:style>
  <w:style w:type="character" w:customStyle="1" w:styleId="16">
    <w:name w:val="纯文本 字符"/>
    <w:basedOn w:val="10"/>
    <w:link w:val="5"/>
    <w:qFormat/>
    <w:uiPriority w:val="0"/>
    <w:rPr>
      <w:rFonts w:ascii="宋体" w:hAnsi="Courier New"/>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9884</Words>
  <Characters>10304</Characters>
  <Lines>76</Lines>
  <Paragraphs>21</Paragraphs>
  <TotalTime>0</TotalTime>
  <ScaleCrop>false</ScaleCrop>
  <LinksUpToDate>false</LinksUpToDate>
  <CharactersWithSpaces>10571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2026-05-06T07:32:00Z</dcterms:created>
  <dc:creator>111</dc:creator>
  <cp:lastModifiedBy>Administrator</cp:lastModifiedBy>
  <dcterms:modified xsi:type="dcterms:W3CDTF">2026-06-08T01:26:27Z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eyJoZGlkIjoiMjA3MjRkZTcwNjVhMmUwMDJjMWUwZGM1M2I0MzhjMzgiLCJ1c2VySWQiOiIyMzMwMTE5NTEifQ==</vt:lpwstr>
  </property>
  <property fmtid="{D5CDD505-2E9C-101B-9397-08002B2CF9AE}" pid="3" name="KSOProductBuildVer">
    <vt:lpwstr>2052-12.1.0.26375</vt:lpwstr>
  </property>
  <property fmtid="{D5CDD505-2E9C-101B-9397-08002B2CF9AE}" pid="4" name="ICV">
    <vt:lpwstr>D8CD5CF3A2DB4741919C6B576E62FC88_12</vt:lpwstr>
  </property>
</Properties>
</file>