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F6B61">
      <w:pPr>
        <w:jc w:val="center"/>
        <w:rPr>
          <w:rFonts w:ascii="宋体" w:hAnsi="Calibri" w:eastAsia="宋体" w:cs="Times New Roman"/>
          <w:color w:val="000000"/>
          <w:sz w:val="30"/>
          <w:szCs w:val="30"/>
        </w:rPr>
      </w:pPr>
    </w:p>
    <w:p w14:paraId="74058761">
      <w:pPr>
        <w:pStyle w:val="138"/>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6" name="图片 6"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im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3DDC7DB2">
      <w:pPr>
        <w:ind w:right="280"/>
        <w:jc w:val="center"/>
        <w:rPr>
          <w:rFonts w:ascii="宋体" w:hAnsi="宋体"/>
          <w:sz w:val="48"/>
          <w:szCs w:val="48"/>
        </w:rPr>
      </w:pPr>
    </w:p>
    <w:p w14:paraId="1AB50C49">
      <w:pPr>
        <w:ind w:right="280"/>
        <w:jc w:val="center"/>
        <w:rPr>
          <w:rFonts w:ascii="宋体" w:hAnsi="宋体"/>
          <w:sz w:val="48"/>
          <w:szCs w:val="48"/>
        </w:rPr>
      </w:pPr>
    </w:p>
    <w:p w14:paraId="4DC61CDF">
      <w:pPr>
        <w:ind w:right="280"/>
        <w:jc w:val="center"/>
        <w:rPr>
          <w:rFonts w:ascii="宋体" w:hAnsi="宋体"/>
          <w:sz w:val="48"/>
          <w:szCs w:val="48"/>
        </w:rPr>
      </w:pPr>
    </w:p>
    <w:p w14:paraId="6A4FEF94">
      <w:pPr>
        <w:ind w:right="280"/>
        <w:jc w:val="center"/>
        <w:rPr>
          <w:rFonts w:ascii="宋体" w:hAnsi="宋体"/>
          <w:sz w:val="48"/>
          <w:szCs w:val="48"/>
        </w:rPr>
      </w:pPr>
    </w:p>
    <w:p w14:paraId="010165CB">
      <w:pPr>
        <w:ind w:right="280"/>
        <w:jc w:val="center"/>
        <w:rPr>
          <w:rFonts w:ascii="楷体_GB2312" w:hAnsi="宋体" w:eastAsia="楷体_GB2312" w:cs="Times New Roman"/>
          <w:sz w:val="52"/>
          <w:szCs w:val="52"/>
        </w:rPr>
      </w:pPr>
      <w:r>
        <w:rPr>
          <w:rFonts w:hint="eastAsia" w:ascii="楷体_GB2312" w:hAnsi="宋体" w:eastAsia="楷体_GB2312" w:cs="Times New Roman"/>
          <w:sz w:val="52"/>
          <w:szCs w:val="52"/>
        </w:rPr>
        <w:t>中国重汽集团济南商用车有限公司</w:t>
      </w:r>
    </w:p>
    <w:p w14:paraId="0F296EC5">
      <w:pPr>
        <w:ind w:right="280"/>
        <w:jc w:val="center"/>
        <w:rPr>
          <w:rFonts w:ascii="楷体_GB2312" w:hAnsi="宋体" w:eastAsia="楷体_GB2312" w:cs="Times New Roman"/>
          <w:sz w:val="52"/>
          <w:szCs w:val="52"/>
        </w:rPr>
      </w:pPr>
      <w:r>
        <w:rPr>
          <w:rFonts w:hint="eastAsia" w:ascii="楷体_GB2312" w:hAnsi="宋体" w:eastAsia="楷体_GB2312" w:cs="Times New Roman"/>
          <w:sz w:val="52"/>
          <w:szCs w:val="52"/>
        </w:rPr>
        <w:t>悍将PRO右置车型产线调整项目</w:t>
      </w:r>
    </w:p>
    <w:p w14:paraId="73780666">
      <w:pPr>
        <w:ind w:right="280"/>
        <w:jc w:val="center"/>
        <w:rPr>
          <w:rFonts w:ascii="楷体_GB2312" w:hAnsi="宋体" w:eastAsia="楷体_GB2312"/>
          <w:sz w:val="52"/>
          <w:szCs w:val="52"/>
        </w:rPr>
      </w:pPr>
    </w:p>
    <w:p w14:paraId="3E4A143E">
      <w:pPr>
        <w:ind w:right="280"/>
        <w:jc w:val="center"/>
        <w:rPr>
          <w:sz w:val="28"/>
          <w:szCs w:val="28"/>
        </w:rPr>
      </w:pPr>
    </w:p>
    <w:p w14:paraId="64FA91AC">
      <w:pPr>
        <w:ind w:right="280"/>
        <w:jc w:val="center"/>
        <w:rPr>
          <w:sz w:val="28"/>
          <w:szCs w:val="28"/>
        </w:rPr>
      </w:pPr>
    </w:p>
    <w:p w14:paraId="03CC4C9E">
      <w:pPr>
        <w:jc w:val="center"/>
        <w:rPr>
          <w:rFonts w:ascii="宋体" w:hAnsi="宋体" w:cs="宋体"/>
          <w:sz w:val="72"/>
          <w:szCs w:val="72"/>
        </w:rPr>
      </w:pPr>
      <w:r>
        <w:rPr>
          <w:rFonts w:hint="eastAsia" w:ascii="宋体" w:hAnsi="宋体" w:cs="宋体"/>
          <w:sz w:val="72"/>
          <w:szCs w:val="72"/>
        </w:rPr>
        <w:t>招标文件</w:t>
      </w:r>
    </w:p>
    <w:p w14:paraId="02F445E3">
      <w:pPr>
        <w:jc w:val="center"/>
        <w:rPr>
          <w:rFonts w:ascii="宋体" w:hAnsi="宋体"/>
          <w:sz w:val="48"/>
          <w:szCs w:val="48"/>
        </w:rPr>
      </w:pPr>
    </w:p>
    <w:p w14:paraId="47AEC3AD">
      <w:pPr>
        <w:jc w:val="center"/>
        <w:rPr>
          <w:rFonts w:ascii="宋体" w:hAnsi="宋体"/>
          <w:sz w:val="48"/>
          <w:szCs w:val="48"/>
        </w:rPr>
      </w:pPr>
    </w:p>
    <w:p w14:paraId="79468B81">
      <w:pPr>
        <w:widowControl/>
        <w:spacing w:line="360" w:lineRule="auto"/>
        <w:jc w:val="center"/>
        <w:rPr>
          <w:rFonts w:ascii="宋体" w:hAnsi="宋体" w:cs="宋体"/>
          <w:b/>
          <w:bCs/>
          <w:kern w:val="0"/>
          <w:sz w:val="32"/>
          <w:szCs w:val="32"/>
          <w:u w:val="single"/>
        </w:rPr>
      </w:pPr>
      <w:r>
        <w:rPr>
          <w:rFonts w:hint="eastAsia" w:ascii="宋体" w:hAnsi="宋体" w:cs="宋体"/>
          <w:b/>
          <w:bCs/>
          <w:kern w:val="0"/>
          <w:sz w:val="32"/>
          <w:szCs w:val="32"/>
        </w:rPr>
        <w:t>项目编号：</w:t>
      </w:r>
      <w:r>
        <w:rPr>
          <w:rFonts w:hint="eastAsia" w:ascii="宋体" w:hAnsi="宋体" w:cs="宋体"/>
          <w:b/>
          <w:bCs/>
          <w:kern w:val="0"/>
          <w:sz w:val="32"/>
          <w:szCs w:val="32"/>
          <w:u w:val="single"/>
        </w:rPr>
        <w:t>ZBGL2026060092</w:t>
      </w:r>
    </w:p>
    <w:p w14:paraId="012BFEAD">
      <w:pPr>
        <w:jc w:val="center"/>
        <w:rPr>
          <w:rFonts w:ascii="宋体" w:hAnsi="宋体"/>
          <w:sz w:val="48"/>
          <w:szCs w:val="48"/>
        </w:rPr>
      </w:pPr>
    </w:p>
    <w:p w14:paraId="6E382694">
      <w:pPr>
        <w:rPr>
          <w:rFonts w:ascii="宋体" w:hAnsi="宋体"/>
          <w:sz w:val="28"/>
          <w:szCs w:val="28"/>
        </w:rPr>
      </w:pPr>
    </w:p>
    <w:p w14:paraId="3776B7CE">
      <w:pPr>
        <w:jc w:val="center"/>
        <w:rPr>
          <w:rFonts w:ascii="宋体" w:hAnsi="宋体"/>
          <w:sz w:val="28"/>
          <w:szCs w:val="28"/>
        </w:rPr>
      </w:pPr>
      <w:r>
        <w:rPr>
          <w:rFonts w:hint="eastAsia" w:ascii="宋体" w:hAnsi="宋体"/>
          <w:sz w:val="28"/>
          <w:szCs w:val="28"/>
        </w:rPr>
        <w:t>招 标 人：中国重汽集团济南商用车有限公司</w:t>
      </w:r>
    </w:p>
    <w:p w14:paraId="3CA64BBC">
      <w:pPr>
        <w:jc w:val="center"/>
        <w:rPr>
          <w:rFonts w:ascii="宋体" w:hAnsi="宋体"/>
          <w:sz w:val="28"/>
          <w:szCs w:val="28"/>
          <w:u w:val="single"/>
        </w:rPr>
      </w:pPr>
      <w:r>
        <w:rPr>
          <w:rFonts w:hint="eastAsia" w:ascii="宋体" w:hAnsi="宋体"/>
          <w:sz w:val="28"/>
          <w:szCs w:val="28"/>
          <w:u w:val="single"/>
        </w:rPr>
        <w:t>2026年0</w:t>
      </w:r>
      <w:r>
        <w:rPr>
          <w:rFonts w:hint="eastAsia" w:ascii="宋体" w:hAnsi="宋体"/>
          <w:sz w:val="28"/>
          <w:szCs w:val="28"/>
          <w:u w:val="single"/>
          <w:lang w:val="en-US" w:eastAsia="zh-CN"/>
        </w:rPr>
        <w:t>6</w:t>
      </w:r>
      <w:r>
        <w:rPr>
          <w:rFonts w:hint="eastAsia" w:ascii="宋体" w:hAnsi="宋体"/>
          <w:sz w:val="28"/>
          <w:szCs w:val="28"/>
          <w:u w:val="single"/>
        </w:rPr>
        <w:t>月</w:t>
      </w:r>
    </w:p>
    <w:p w14:paraId="6A64C534">
      <w:pPr>
        <w:keepNext/>
        <w:keepLines/>
        <w:jc w:val="center"/>
        <w:rPr>
          <w:rFonts w:ascii="宋体" w:hAnsi="宋体" w:eastAsia="宋体" w:cs="宋体"/>
          <w:b/>
          <w:bCs/>
          <w:kern w:val="44"/>
          <w:sz w:val="36"/>
          <w:szCs w:val="44"/>
        </w:rPr>
        <w:sectPr>
          <w:footerReference r:id="rId3" w:type="first"/>
          <w:pgSz w:w="11906" w:h="16838"/>
          <w:pgMar w:top="1588" w:right="1418" w:bottom="1134" w:left="1418" w:header="851" w:footer="992" w:gutter="0"/>
          <w:cols w:space="720" w:num="1"/>
          <w:titlePg/>
          <w:docGrid w:type="lines" w:linePitch="312" w:charSpace="0"/>
        </w:sectPr>
      </w:pPr>
    </w:p>
    <w:sdt>
      <w:sdtPr>
        <w:rPr>
          <w:rFonts w:ascii="Times New Roman" w:hAnsi="Times New Roman" w:eastAsia="宋体" w:cs="Times New Roman"/>
          <w:b/>
          <w:caps/>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aps/>
          <w:color w:val="auto"/>
          <w:kern w:val="2"/>
          <w:sz w:val="21"/>
          <w:szCs w:val="20"/>
          <w:lang w:val="zh-CN"/>
        </w:rPr>
      </w:sdtEndPr>
      <w:sdtContent>
        <w:p w14:paraId="5AAFB077">
          <w:pPr>
            <w:pStyle w:val="125"/>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154DEE61">
          <w:pPr>
            <w:pStyle w:val="24"/>
            <w:tabs>
              <w:tab w:val="right" w:leader="dot" w:pos="9070"/>
            </w:tabs>
            <w:rPr>
              <w:rFonts w:hint="eastAsia" w:ascii="宋体" w:hAnsi="宋体" w:eastAsia="宋体" w:cs="宋体"/>
              <w:color w:val="auto"/>
            </w:rPr>
          </w:pPr>
          <w:r>
            <w:rPr>
              <w:color w:val="auto"/>
            </w:rPr>
            <w:fldChar w:fldCharType="begin"/>
          </w:r>
          <w:r>
            <w:rPr>
              <w:color w:val="auto"/>
            </w:rPr>
            <w:instrText xml:space="preserve">TOC \o "1-1" \h \u </w:instrText>
          </w:r>
          <w:r>
            <w:rPr>
              <w:color w:val="auto"/>
            </w:rPr>
            <w:fldChar w:fldCharType="separate"/>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_Toc13974 </w:instrText>
          </w:r>
          <w:r>
            <w:rPr>
              <w:rFonts w:hint="eastAsia" w:ascii="宋体" w:hAnsi="宋体" w:eastAsia="宋体" w:cs="宋体"/>
              <w:color w:val="auto"/>
            </w:rPr>
            <w:fldChar w:fldCharType="separate"/>
          </w:r>
          <w:r>
            <w:rPr>
              <w:rFonts w:hint="eastAsia" w:ascii="宋体" w:hAnsi="宋体" w:eastAsia="宋体" w:cs="宋体"/>
              <w:color w:val="auto"/>
            </w:rPr>
            <w:t>招标公告</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_Toc13974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D72464E">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_Toc1487 </w:instrText>
          </w:r>
          <w:r>
            <w:rPr>
              <w:rFonts w:hint="eastAsia" w:ascii="宋体" w:hAnsi="宋体" w:eastAsia="宋体" w:cs="宋体"/>
              <w:color w:val="auto"/>
            </w:rPr>
            <w:fldChar w:fldCharType="separate"/>
          </w:r>
          <w:r>
            <w:rPr>
              <w:rFonts w:hint="eastAsia" w:ascii="宋体" w:hAnsi="宋体" w:eastAsia="宋体" w:cs="宋体"/>
              <w:color w:val="auto"/>
            </w:rPr>
            <w:t>第一部分  投标人须知</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_Toc1487 \h </w:instrText>
          </w:r>
          <w:r>
            <w:rPr>
              <w:rFonts w:hint="eastAsia" w:ascii="宋体" w:hAnsi="宋体" w:eastAsia="宋体" w:cs="宋体"/>
              <w:color w:val="auto"/>
            </w:rPr>
            <w:fldChar w:fldCharType="separate"/>
          </w:r>
          <w:r>
            <w:rPr>
              <w:rFonts w:hint="eastAsia" w:ascii="宋体" w:hAnsi="宋体" w:eastAsia="宋体" w:cs="宋体"/>
              <w:color w:val="auto"/>
            </w:rPr>
            <w:t>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E8AE08B">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_Toc4960 </w:instrText>
          </w:r>
          <w:r>
            <w:rPr>
              <w:rFonts w:hint="eastAsia" w:ascii="宋体" w:hAnsi="宋体" w:eastAsia="宋体" w:cs="宋体"/>
              <w:color w:val="auto"/>
            </w:rPr>
            <w:fldChar w:fldCharType="separate"/>
          </w:r>
          <w:r>
            <w:rPr>
              <w:rFonts w:hint="eastAsia" w:ascii="宋体" w:hAnsi="宋体" w:eastAsia="宋体" w:cs="宋体"/>
              <w:bCs/>
              <w:color w:val="auto"/>
              <w:kern w:val="2"/>
              <w:szCs w:val="36"/>
              <w:lang w:val="en-US" w:eastAsia="zh-CN" w:bidi="ar-SA"/>
            </w:rPr>
            <w:t>第二部分  技术标书</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_Toc4960 \h </w:instrText>
          </w:r>
          <w:r>
            <w:rPr>
              <w:rFonts w:hint="eastAsia" w:ascii="宋体" w:hAnsi="宋体" w:eastAsia="宋体" w:cs="宋体"/>
              <w:color w:val="auto"/>
            </w:rPr>
            <w:fldChar w:fldCharType="separate"/>
          </w:r>
          <w:r>
            <w:rPr>
              <w:rFonts w:hint="eastAsia" w:ascii="宋体" w:hAnsi="宋体" w:eastAsia="宋体" w:cs="宋体"/>
              <w:color w:val="auto"/>
            </w:rPr>
            <w:t>15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0D2B5E7E">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_Toc15135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rPr>
            <w:t>第一章  采购货物概况</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_Toc15135 \h </w:instrText>
          </w:r>
          <w:r>
            <w:rPr>
              <w:rFonts w:hint="eastAsia" w:ascii="宋体" w:hAnsi="宋体" w:eastAsia="宋体" w:cs="宋体"/>
              <w:color w:val="auto"/>
            </w:rPr>
            <w:fldChar w:fldCharType="separate"/>
          </w:r>
          <w:r>
            <w:rPr>
              <w:rFonts w:hint="eastAsia" w:ascii="宋体" w:hAnsi="宋体" w:eastAsia="宋体" w:cs="宋体"/>
              <w:color w:val="auto"/>
            </w:rPr>
            <w:t>15</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2ADE9259">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_Toc10813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rPr>
            <w:t>第二章  技术要求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_Toc10813 \h </w:instrText>
          </w:r>
          <w:r>
            <w:rPr>
              <w:rFonts w:hint="eastAsia" w:ascii="宋体" w:hAnsi="宋体" w:eastAsia="宋体" w:cs="宋体"/>
              <w:color w:val="auto"/>
            </w:rPr>
            <w:fldChar w:fldCharType="separate"/>
          </w:r>
          <w:r>
            <w:rPr>
              <w:rFonts w:hint="eastAsia" w:ascii="宋体" w:hAnsi="宋体" w:eastAsia="宋体" w:cs="宋体"/>
              <w:color w:val="auto"/>
            </w:rPr>
            <w:t>17</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4AED61AD">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_Toc25286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lang w:val="en-GB"/>
            </w:rPr>
            <w:t>第三章  供货范围及供货方式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_Toc25286 \h </w:instrText>
          </w:r>
          <w:r>
            <w:rPr>
              <w:rFonts w:hint="eastAsia" w:ascii="宋体" w:hAnsi="宋体" w:eastAsia="宋体" w:cs="宋体"/>
              <w:color w:val="auto"/>
            </w:rPr>
            <w:fldChar w:fldCharType="separate"/>
          </w:r>
          <w:r>
            <w:rPr>
              <w:rFonts w:hint="eastAsia" w:ascii="宋体" w:hAnsi="宋体" w:eastAsia="宋体" w:cs="宋体"/>
              <w:color w:val="auto"/>
            </w:rPr>
            <w:t>21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7B2E9BC5">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_Toc15536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lang w:val="en-GB"/>
            </w:rPr>
            <w:t>第四章  质保期及售后服务</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_Toc15536 \h </w:instrText>
          </w:r>
          <w:r>
            <w:rPr>
              <w:rFonts w:hint="eastAsia" w:ascii="宋体" w:hAnsi="宋体" w:eastAsia="宋体" w:cs="宋体"/>
              <w:color w:val="auto"/>
            </w:rPr>
            <w:fldChar w:fldCharType="separate"/>
          </w:r>
          <w:r>
            <w:rPr>
              <w:rFonts w:hint="eastAsia" w:ascii="宋体" w:hAnsi="宋体" w:eastAsia="宋体" w:cs="宋体"/>
              <w:color w:val="auto"/>
            </w:rPr>
            <w:t>23</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1A4F86C3">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_Toc9425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lang w:val="en-GB"/>
            </w:rPr>
            <w:t>第五章  验收</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_Toc9425 \h </w:instrText>
          </w:r>
          <w:r>
            <w:rPr>
              <w:rFonts w:hint="eastAsia" w:ascii="宋体" w:hAnsi="宋体" w:eastAsia="宋体" w:cs="宋体"/>
              <w:color w:val="auto"/>
            </w:rPr>
            <w:fldChar w:fldCharType="separate"/>
          </w:r>
          <w:r>
            <w:rPr>
              <w:rFonts w:hint="eastAsia" w:ascii="宋体" w:hAnsi="宋体" w:eastAsia="宋体" w:cs="宋体"/>
              <w:color w:val="auto"/>
            </w:rPr>
            <w:t>26</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26517686">
          <w:pPr>
            <w:pStyle w:val="24"/>
            <w:tabs>
              <w:tab w:val="right" w:leader="dot" w:pos="9070"/>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_Toc18814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lang w:val="en-GB"/>
            </w:rPr>
            <w:t>第六章  投标技术文件一般要求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_Toc18814 \h </w:instrText>
          </w:r>
          <w:r>
            <w:rPr>
              <w:rFonts w:hint="eastAsia" w:ascii="宋体" w:hAnsi="宋体" w:eastAsia="宋体" w:cs="宋体"/>
              <w:color w:val="auto"/>
            </w:rPr>
            <w:fldChar w:fldCharType="separate"/>
          </w:r>
          <w:r>
            <w:rPr>
              <w:rFonts w:hint="eastAsia" w:ascii="宋体" w:hAnsi="宋体" w:eastAsia="宋体" w:cs="宋体"/>
              <w:color w:val="auto"/>
            </w:rPr>
            <w:t>29</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32087592">
          <w:pPr>
            <w:pStyle w:val="24"/>
            <w:tabs>
              <w:tab w:val="right" w:leader="dot" w:pos="9070"/>
            </w:tabs>
            <w:rPr>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_Toc18487 </w:instrText>
          </w:r>
          <w:r>
            <w:rPr>
              <w:rFonts w:hint="eastAsia" w:ascii="宋体" w:hAnsi="宋体" w:eastAsia="宋体" w:cs="宋体"/>
              <w:color w:val="auto"/>
            </w:rPr>
            <w:fldChar w:fldCharType="separate"/>
          </w:r>
          <w:r>
            <w:rPr>
              <w:rFonts w:hint="eastAsia" w:ascii="宋体" w:hAnsi="宋体" w:eastAsia="宋体" w:cs="宋体"/>
              <w:color w:val="auto"/>
              <w:kern w:val="44"/>
              <w:szCs w:val="28"/>
              <w:highlight w:val="none"/>
              <w:lang w:val="en-GB"/>
            </w:rPr>
            <w:t>第七章  其它要求及说明</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_Toc18487 \h </w:instrText>
          </w:r>
          <w:r>
            <w:rPr>
              <w:rFonts w:hint="eastAsia" w:ascii="宋体" w:hAnsi="宋体" w:eastAsia="宋体" w:cs="宋体"/>
              <w:color w:val="auto"/>
            </w:rPr>
            <w:fldChar w:fldCharType="separate"/>
          </w:r>
          <w:r>
            <w:rPr>
              <w:rFonts w:hint="eastAsia" w:ascii="宋体" w:hAnsi="宋体" w:eastAsia="宋体" w:cs="宋体"/>
              <w:color w:val="auto"/>
            </w:rPr>
            <w:t>31</w:t>
          </w:r>
          <w:r>
            <w:rPr>
              <w:rFonts w:hint="eastAsia" w:ascii="宋体" w:hAnsi="宋体" w:eastAsia="宋体" w:cs="宋体"/>
              <w:color w:val="auto"/>
            </w:rPr>
            <w:fldChar w:fldCharType="end"/>
          </w:r>
          <w:r>
            <w:rPr>
              <w:rFonts w:hint="eastAsia" w:ascii="宋体" w:hAnsi="宋体" w:eastAsia="宋体" w:cs="宋体"/>
              <w:color w:val="auto"/>
            </w:rPr>
            <w:fldChar w:fldCharType="end"/>
          </w:r>
        </w:p>
        <w:p w14:paraId="5E67E77E">
          <w:r>
            <w:rPr>
              <w:color w:val="auto"/>
            </w:rPr>
            <w:fldChar w:fldCharType="end"/>
          </w:r>
          <w:bookmarkStart w:id="73" w:name="_GoBack"/>
          <w:bookmarkEnd w:id="73"/>
        </w:p>
      </w:sdtContent>
    </w:sdt>
    <w:p w14:paraId="52FB0BF1">
      <w:pPr>
        <w:pStyle w:val="17"/>
        <w:tabs>
          <w:tab w:val="left" w:pos="2940"/>
        </w:tabs>
        <w:spacing w:line="360" w:lineRule="auto"/>
      </w:pPr>
      <w:r>
        <w:tab/>
      </w:r>
    </w:p>
    <w:p w14:paraId="18F6176A">
      <w:pPr>
        <w:pStyle w:val="17"/>
        <w:spacing w:line="360" w:lineRule="auto"/>
        <w:jc w:val="center"/>
      </w:pPr>
    </w:p>
    <w:p w14:paraId="5F249E67">
      <w:pPr>
        <w:pStyle w:val="17"/>
        <w:spacing w:line="360" w:lineRule="auto"/>
        <w:jc w:val="center"/>
        <w:sectPr>
          <w:footerReference r:id="rId5" w:type="first"/>
          <w:footerReference r:id="rId4" w:type="default"/>
          <w:pgSz w:w="11906" w:h="16838"/>
          <w:pgMar w:top="1701" w:right="1418" w:bottom="1134" w:left="1418" w:header="851" w:footer="992" w:gutter="0"/>
          <w:pgNumType w:fmt="numberInDash" w:start="1"/>
          <w:cols w:space="720" w:num="1"/>
          <w:titlePg/>
          <w:docGrid w:type="lines" w:linePitch="312" w:charSpace="0"/>
        </w:sectPr>
      </w:pPr>
    </w:p>
    <w:p w14:paraId="0835F8E1">
      <w:pPr>
        <w:pStyle w:val="139"/>
      </w:pPr>
      <w:bookmarkStart w:id="0" w:name="_Toc47976587"/>
      <w:bookmarkStart w:id="1" w:name="_Toc21078"/>
      <w:bookmarkStart w:id="2" w:name="_Toc13974"/>
      <w:r>
        <w:rPr>
          <w:rFonts w:hint="eastAsia"/>
        </w:rPr>
        <w:t>招标公告</w:t>
      </w:r>
      <w:bookmarkEnd w:id="0"/>
      <w:bookmarkEnd w:id="1"/>
      <w:bookmarkEnd w:id="2"/>
    </w:p>
    <w:p w14:paraId="423A2022">
      <w:pPr>
        <w:pStyle w:val="139"/>
        <w:rPr>
          <w:sz w:val="28"/>
        </w:rPr>
      </w:pPr>
      <w:bookmarkStart w:id="3" w:name="_Toc6534"/>
      <w:bookmarkStart w:id="4" w:name="_Toc24260"/>
      <w:bookmarkStart w:id="5" w:name="_Toc18859"/>
      <w:bookmarkStart w:id="6" w:name="_Toc15164"/>
      <w:bookmarkStart w:id="7" w:name="_Toc32474"/>
      <w:bookmarkStart w:id="8" w:name="_Toc6410"/>
      <w:r>
        <w:rPr>
          <w:rFonts w:hint="eastAsia"/>
          <w:sz w:val="28"/>
        </w:rPr>
        <w:t>中国重汽集团济南商用车有限公司</w:t>
      </w:r>
      <w:bookmarkEnd w:id="3"/>
      <w:bookmarkEnd w:id="4"/>
    </w:p>
    <w:p w14:paraId="21BE6B24">
      <w:pPr>
        <w:pStyle w:val="139"/>
      </w:pPr>
      <w:bookmarkStart w:id="9" w:name="_Toc31887"/>
      <w:bookmarkStart w:id="10" w:name="_Toc28217"/>
      <w:r>
        <w:rPr>
          <w:rFonts w:hint="eastAsia"/>
          <w:sz w:val="28"/>
        </w:rPr>
        <w:t>悍将PRO右置车型产线调整项目招标公告</w:t>
      </w:r>
      <w:bookmarkEnd w:id="5"/>
      <w:bookmarkEnd w:id="6"/>
      <w:bookmarkEnd w:id="7"/>
      <w:bookmarkEnd w:id="8"/>
      <w:bookmarkEnd w:id="9"/>
      <w:bookmarkEnd w:id="10"/>
    </w:p>
    <w:p w14:paraId="2ACB69EC">
      <w:pPr>
        <w:pStyle w:val="140"/>
      </w:pPr>
      <w:bookmarkStart w:id="11" w:name="_Toc47976588"/>
      <w:r>
        <w:rPr>
          <w:rFonts w:hint="eastAsia"/>
        </w:rPr>
        <w:t>项目名称及项目编号</w:t>
      </w:r>
      <w:bookmarkEnd w:id="11"/>
    </w:p>
    <w:p w14:paraId="25A3B21C">
      <w:pPr>
        <w:pStyle w:val="141"/>
        <w:rPr>
          <w:sz w:val="24"/>
          <w:szCs w:val="24"/>
        </w:rPr>
      </w:pPr>
      <w:r>
        <w:rPr>
          <w:rFonts w:hint="eastAsia"/>
          <w:sz w:val="24"/>
          <w:szCs w:val="24"/>
        </w:rPr>
        <w:t>项目名称：</w:t>
      </w:r>
      <w:r>
        <w:rPr>
          <w:rFonts w:hint="eastAsia" w:hAnsi="Courier New"/>
          <w:sz w:val="24"/>
          <w:szCs w:val="24"/>
          <w:highlight w:val="yellow"/>
        </w:rPr>
        <w:t>悍将PRO右置车型产线调整项目</w:t>
      </w:r>
    </w:p>
    <w:p w14:paraId="43487FAE">
      <w:pPr>
        <w:pStyle w:val="141"/>
        <w:rPr>
          <w:sz w:val="24"/>
          <w:szCs w:val="24"/>
        </w:rPr>
      </w:pPr>
      <w:r>
        <w:rPr>
          <w:rFonts w:hint="eastAsia"/>
          <w:sz w:val="24"/>
          <w:szCs w:val="24"/>
        </w:rPr>
        <w:t>项目编号：</w:t>
      </w:r>
      <w:r>
        <w:rPr>
          <w:rFonts w:hint="eastAsia" w:hAnsi="Courier New"/>
          <w:sz w:val="24"/>
          <w:szCs w:val="24"/>
          <w:highlight w:val="yellow"/>
        </w:rPr>
        <w:t>ZBGL2026060092</w:t>
      </w:r>
    </w:p>
    <w:p w14:paraId="26C45396">
      <w:pPr>
        <w:pStyle w:val="140"/>
      </w:pPr>
      <w:bookmarkStart w:id="12" w:name="_Toc47976589"/>
      <w:r>
        <w:rPr>
          <w:rFonts w:hint="eastAsia"/>
        </w:rPr>
        <w:t>项目概况及招标形式</w:t>
      </w:r>
      <w:bookmarkEnd w:id="12"/>
    </w:p>
    <w:p w14:paraId="1441A63E">
      <w:pPr>
        <w:pStyle w:val="141"/>
        <w:numPr>
          <w:ilvl w:val="0"/>
          <w:numId w:val="5"/>
        </w:numPr>
        <w:rPr>
          <w:sz w:val="24"/>
          <w:szCs w:val="24"/>
        </w:rPr>
      </w:pPr>
      <w:r>
        <w:rPr>
          <w:rFonts w:hint="eastAsia"/>
          <w:sz w:val="24"/>
          <w:szCs w:val="24"/>
        </w:rPr>
        <w:t>招标内容：</w:t>
      </w:r>
      <w:r>
        <w:rPr>
          <w:rFonts w:hint="eastAsia"/>
          <w:sz w:val="24"/>
          <w:szCs w:val="24"/>
          <w:highlight w:val="yellow"/>
          <w:lang w:val="en-US" w:eastAsia="zh-CN"/>
        </w:rPr>
        <w:t>针对新增的驾驶室本体，在自动化焊装线上开发一款车型专用焊接程序，并完成批产调试</w:t>
      </w:r>
      <w:r>
        <w:rPr>
          <w:rFonts w:hint="eastAsia"/>
          <w:sz w:val="24"/>
          <w:szCs w:val="24"/>
          <w:highlight w:val="yellow"/>
        </w:rPr>
        <w:t>。</w:t>
      </w:r>
    </w:p>
    <w:p w14:paraId="16BE6738">
      <w:pPr>
        <w:pStyle w:val="141"/>
        <w:rPr>
          <w:sz w:val="24"/>
          <w:szCs w:val="24"/>
        </w:rPr>
      </w:pPr>
      <w:r>
        <w:rPr>
          <w:rFonts w:hint="eastAsia"/>
          <w:sz w:val="24"/>
          <w:szCs w:val="24"/>
        </w:rPr>
        <w:t>招标形式：</w:t>
      </w:r>
      <w:r>
        <w:rPr>
          <w:rFonts w:hint="eastAsia"/>
          <w:sz w:val="24"/>
          <w:szCs w:val="24"/>
          <w:highlight w:val="yellow"/>
        </w:rPr>
        <w:t>公开招标</w:t>
      </w:r>
    </w:p>
    <w:p w14:paraId="4CB1C7F2">
      <w:pPr>
        <w:pStyle w:val="140"/>
      </w:pPr>
      <w:bookmarkStart w:id="13" w:name="_Toc47976590"/>
      <w:r>
        <w:rPr>
          <w:rFonts w:hint="eastAsia"/>
        </w:rPr>
        <w:t>投标人资格要求</w:t>
      </w:r>
      <w:bookmarkEnd w:id="13"/>
      <w:r>
        <w:rPr>
          <w:rFonts w:hint="eastAsia"/>
        </w:rPr>
        <w:t>：</w:t>
      </w:r>
    </w:p>
    <w:p w14:paraId="6958EC45">
      <w:pPr>
        <w:pStyle w:val="141"/>
        <w:numPr>
          <w:ilvl w:val="0"/>
          <w:numId w:val="6"/>
        </w:numPr>
        <w:ind w:left="0" w:firstLine="0"/>
        <w:rPr>
          <w:b w:val="0"/>
          <w:bCs/>
        </w:rPr>
      </w:pPr>
      <w:bookmarkStart w:id="14" w:name="_Toc47976591"/>
      <w:r>
        <w:rPr>
          <w:rFonts w:hint="eastAsia"/>
          <w:b w:val="0"/>
          <w:bCs/>
        </w:rPr>
        <w:t>投标人须遵守《中华人民共和国招标投标法》及其它有关的法律和法规；为中华人民共和国境内注册的独立法人机构，具有独立承担民事责任能力；</w:t>
      </w:r>
    </w:p>
    <w:p w14:paraId="78432C73">
      <w:pPr>
        <w:pStyle w:val="141"/>
        <w:numPr>
          <w:ilvl w:val="0"/>
          <w:numId w:val="6"/>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ABBE91E">
      <w:pPr>
        <w:pStyle w:val="141"/>
        <w:numPr>
          <w:ilvl w:val="0"/>
          <w:numId w:val="6"/>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2C94F593">
      <w:pPr>
        <w:pStyle w:val="141"/>
        <w:numPr>
          <w:ilvl w:val="0"/>
          <w:numId w:val="6"/>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5AA9FF40">
      <w:pPr>
        <w:pStyle w:val="141"/>
        <w:numPr>
          <w:ilvl w:val="0"/>
          <w:numId w:val="6"/>
        </w:numPr>
        <w:ind w:left="0" w:firstLine="0"/>
        <w:rPr>
          <w:b w:val="0"/>
          <w:bCs/>
        </w:rPr>
      </w:pPr>
      <w:r>
        <w:rPr>
          <w:rFonts w:hint="eastAsia"/>
          <w:b w:val="0"/>
          <w:bCs/>
        </w:rPr>
        <w:t>无招标违规、谎报年度报告信息、提供虚假资质资料等行为或其他行政处罚记录；</w:t>
      </w:r>
    </w:p>
    <w:p w14:paraId="5E7BF824">
      <w:pPr>
        <w:pStyle w:val="141"/>
        <w:numPr>
          <w:ilvl w:val="0"/>
          <w:numId w:val="6"/>
        </w:numPr>
        <w:ind w:left="0" w:firstLine="0"/>
        <w:rPr>
          <w:b w:val="0"/>
          <w:bCs/>
        </w:rPr>
      </w:pPr>
      <w:r>
        <w:rPr>
          <w:rFonts w:hint="eastAsia"/>
          <w:b w:val="0"/>
          <w:bCs/>
        </w:rPr>
        <w:t>近三年内在经营活动中无与本项目有关的违法及重大违规情况；</w:t>
      </w:r>
    </w:p>
    <w:p w14:paraId="430370D8">
      <w:pPr>
        <w:pStyle w:val="141"/>
        <w:numPr>
          <w:ilvl w:val="0"/>
          <w:numId w:val="6"/>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72C82D14">
      <w:pPr>
        <w:pStyle w:val="141"/>
        <w:numPr>
          <w:ilvl w:val="0"/>
          <w:numId w:val="6"/>
        </w:numPr>
        <w:ind w:left="0" w:firstLine="0"/>
        <w:rPr>
          <w:b w:val="0"/>
          <w:bCs/>
        </w:rPr>
      </w:pPr>
      <w:r>
        <w:rPr>
          <w:rFonts w:hint="eastAsia"/>
          <w:b w:val="0"/>
          <w:bCs/>
        </w:rPr>
        <w:t>公司经营范围满足招标项目需求；</w:t>
      </w:r>
    </w:p>
    <w:p w14:paraId="6C58D29E">
      <w:pPr>
        <w:pStyle w:val="141"/>
        <w:numPr>
          <w:ilvl w:val="0"/>
          <w:numId w:val="6"/>
        </w:numPr>
        <w:ind w:left="0" w:firstLine="0"/>
        <w:rPr>
          <w:b w:val="0"/>
          <w:bCs/>
        </w:rPr>
      </w:pPr>
      <w:r>
        <w:rPr>
          <w:rFonts w:hint="eastAsia"/>
          <w:b w:val="0"/>
          <w:bCs/>
        </w:rPr>
        <w:t>投标人须具有履行招标文件所有设备、专业技术等要求的能力；</w:t>
      </w:r>
    </w:p>
    <w:p w14:paraId="08792390">
      <w:pPr>
        <w:pStyle w:val="141"/>
        <w:numPr>
          <w:ilvl w:val="0"/>
          <w:numId w:val="6"/>
        </w:numPr>
        <w:ind w:left="0" w:firstLine="0"/>
        <w:rPr>
          <w:b w:val="0"/>
          <w:bCs/>
        </w:rPr>
      </w:pPr>
      <w:r>
        <w:rPr>
          <w:rFonts w:hint="eastAsia"/>
          <w:b w:val="0"/>
          <w:bCs/>
        </w:rPr>
        <w:t>投标人须有依法缴纳税收和社会保障资金的良好记录；</w:t>
      </w:r>
    </w:p>
    <w:p w14:paraId="5ED4A32D">
      <w:pPr>
        <w:pStyle w:val="141"/>
        <w:numPr>
          <w:ilvl w:val="0"/>
          <w:numId w:val="6"/>
        </w:numPr>
        <w:ind w:left="0" w:firstLine="0"/>
        <w:rPr>
          <w:b w:val="0"/>
          <w:bCs/>
        </w:rPr>
      </w:pPr>
      <w:r>
        <w:rPr>
          <w:rFonts w:hint="eastAsia"/>
          <w:b w:val="0"/>
          <w:bCs/>
        </w:rPr>
        <w:t>具有本次招标货物的供货、安装、售后服务等的相应资质；</w:t>
      </w:r>
    </w:p>
    <w:p w14:paraId="55092CEF">
      <w:pPr>
        <w:pStyle w:val="141"/>
        <w:numPr>
          <w:ilvl w:val="0"/>
          <w:numId w:val="6"/>
        </w:numPr>
        <w:ind w:left="0" w:firstLine="0"/>
        <w:rPr>
          <w:b w:val="0"/>
          <w:bCs/>
        </w:rPr>
      </w:pPr>
      <w:r>
        <w:rPr>
          <w:rFonts w:hint="eastAsia"/>
          <w:b w:val="0"/>
          <w:bCs/>
        </w:rPr>
        <w:t>投标人须认可招标人的工作指令，包括节、假日能正常开展工作的要求。</w:t>
      </w:r>
    </w:p>
    <w:p w14:paraId="5ED819D5">
      <w:pPr>
        <w:pStyle w:val="141"/>
        <w:numPr>
          <w:ilvl w:val="0"/>
          <w:numId w:val="6"/>
        </w:numPr>
        <w:ind w:left="0" w:firstLine="0"/>
        <w:rPr>
          <w:b w:val="0"/>
          <w:bCs/>
        </w:rPr>
      </w:pPr>
      <w:r>
        <w:rPr>
          <w:rFonts w:hint="eastAsia"/>
          <w:b w:val="0"/>
          <w:bCs/>
        </w:rPr>
        <w:t>拟投标人的直接或间接股东、法定代表人、董事、监事、高管非重汽员工及其亲属；</w:t>
      </w:r>
    </w:p>
    <w:p w14:paraId="533EA441">
      <w:pPr>
        <w:pStyle w:val="141"/>
        <w:numPr>
          <w:ilvl w:val="0"/>
          <w:numId w:val="6"/>
        </w:numPr>
        <w:ind w:left="0" w:firstLine="0"/>
        <w:rPr>
          <w:b w:val="0"/>
          <w:bCs/>
        </w:rPr>
      </w:pPr>
      <w:r>
        <w:rPr>
          <w:rFonts w:hint="eastAsia"/>
          <w:b w:val="0"/>
          <w:bCs/>
        </w:rPr>
        <w:t>投标人必须是最终投标、签订合同的单位，不得以任何理由将已中标项目以任何形式转包或者分包给其他单位；</w:t>
      </w:r>
    </w:p>
    <w:p w14:paraId="52ABF27E">
      <w:pPr>
        <w:pStyle w:val="141"/>
        <w:numPr>
          <w:ilvl w:val="0"/>
          <w:numId w:val="6"/>
        </w:numPr>
        <w:ind w:left="0" w:firstLine="0"/>
        <w:rPr>
          <w:b w:val="0"/>
          <w:bCs/>
        </w:rPr>
      </w:pPr>
      <w:r>
        <w:rPr>
          <w:rFonts w:hint="eastAsia"/>
          <w:b w:val="0"/>
          <w:bCs/>
        </w:rPr>
        <w:t>本次招标项目不接受联合体投标，不允许代理商参标；</w:t>
      </w:r>
    </w:p>
    <w:p w14:paraId="2B88191B">
      <w:pPr>
        <w:pStyle w:val="141"/>
        <w:numPr>
          <w:ilvl w:val="0"/>
          <w:numId w:val="6"/>
        </w:numPr>
        <w:ind w:left="0" w:firstLine="0"/>
        <w:rPr>
          <w:b w:val="0"/>
          <w:bCs/>
        </w:rPr>
      </w:pPr>
      <w:r>
        <w:rPr>
          <w:rFonts w:hint="eastAsia"/>
          <w:b w:val="0"/>
          <w:bCs/>
        </w:rPr>
        <w:t>法律、行政法规规定的其他条件；</w:t>
      </w:r>
    </w:p>
    <w:p w14:paraId="73987C2E">
      <w:pPr>
        <w:pStyle w:val="140"/>
      </w:pPr>
      <w:r>
        <w:rPr>
          <w:rFonts w:hint="eastAsia"/>
        </w:rPr>
        <w:t>报名及招标文件的获取</w:t>
      </w:r>
      <w:bookmarkEnd w:id="14"/>
    </w:p>
    <w:p w14:paraId="27059AA0">
      <w:pPr>
        <w:pStyle w:val="140"/>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3210B3D9">
      <w:pPr>
        <w:pStyle w:val="140"/>
        <w:rPr>
          <w:rFonts w:cs="Times New Roman"/>
        </w:rPr>
      </w:pPr>
      <w:bookmarkStart w:id="15" w:name="_Toc47976592"/>
      <w:r>
        <w:rPr>
          <w:rFonts w:hint="eastAsia" w:cs="Times New Roman"/>
        </w:rPr>
        <w:t>投标文件的递交</w:t>
      </w:r>
      <w:bookmarkEnd w:id="15"/>
    </w:p>
    <w:p w14:paraId="44D2FE30">
      <w:pPr>
        <w:pStyle w:val="17"/>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w:t>
      </w:r>
      <w:r>
        <w:rPr>
          <w:rFonts w:hint="eastAsia" w:hAnsi="宋体" w:eastAsia="宋体" w:cs="宋体"/>
          <w:color w:val="000000"/>
          <w:sz w:val="24"/>
          <w:szCs w:val="24"/>
          <w:highlight w:val="green"/>
        </w:rPr>
        <w:t>点击“应标”后按照招标文件第三部分投标文件组成资格证明文件中的1.1-1.13准备资料并上传</w:t>
      </w:r>
      <w:r>
        <w:rPr>
          <w:rFonts w:hint="eastAsia" w:hAnsi="宋体" w:eastAsia="宋体" w:cs="宋体"/>
          <w:color w:val="000000"/>
          <w:sz w:val="24"/>
          <w:szCs w:val="24"/>
        </w:rPr>
        <w:t>，资质审查通过即为报名成功；公示期间请尽快报名。</w:t>
      </w:r>
    </w:p>
    <w:p w14:paraId="626D7366">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36C5AE82">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65F7EDD">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w:t>
      </w:r>
    </w:p>
    <w:p w14:paraId="46A8E87D">
      <w:pPr>
        <w:pStyle w:val="17"/>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Ansi="宋体" w:eastAsia="宋体" w:cs="宋体"/>
          <w:color w:val="000000"/>
          <w:sz w:val="24"/>
          <w:szCs w:val="24"/>
          <w:highlight w:val="yellow"/>
        </w:rPr>
        <w:t>1</w:t>
      </w:r>
      <w:r>
        <w:rPr>
          <w:rFonts w:hint="eastAsia" w:hAnsi="宋体" w:eastAsia="宋体" w:cs="宋体"/>
          <w:color w:val="000000"/>
          <w:sz w:val="24"/>
          <w:szCs w:val="24"/>
          <w:highlight w:val="yellow"/>
          <w:lang w:val="en-US" w:eastAsia="zh-CN"/>
        </w:rPr>
        <w:t>4</w:t>
      </w:r>
      <w:r>
        <w:rPr>
          <w:rFonts w:hint="eastAsia" w:hAnsi="宋体" w:eastAsia="宋体" w:cs="宋体"/>
          <w:color w:val="000000"/>
          <w:sz w:val="24"/>
          <w:szCs w:val="24"/>
          <w:highlight w:val="yellow"/>
        </w:rPr>
        <w:t>日</w:t>
      </w:r>
      <w:r>
        <w:rPr>
          <w:rFonts w:hAnsi="宋体" w:eastAsia="宋体" w:cs="宋体"/>
          <w:color w:val="000000"/>
          <w:sz w:val="24"/>
          <w:szCs w:val="24"/>
          <w:highlight w:val="yellow"/>
        </w:rPr>
        <w:t>23</w:t>
      </w:r>
      <w:r>
        <w:rPr>
          <w:rFonts w:hint="eastAsia" w:hAnsi="宋体" w:eastAsia="宋体" w:cs="宋体"/>
          <w:color w:val="000000"/>
          <w:sz w:val="24"/>
          <w:szCs w:val="24"/>
          <w:highlight w:val="yellow"/>
        </w:rPr>
        <w:t>时</w:t>
      </w:r>
      <w:r>
        <w:rPr>
          <w:rFonts w:hAnsi="宋体" w:eastAsia="宋体" w:cs="宋体"/>
          <w:color w:val="000000"/>
          <w:sz w:val="24"/>
          <w:szCs w:val="24"/>
          <w:highlight w:val="yellow"/>
        </w:rPr>
        <w:t>59</w:t>
      </w:r>
      <w:r>
        <w:rPr>
          <w:rFonts w:hint="eastAsia" w:hAnsi="宋体" w:eastAsia="宋体" w:cs="宋体"/>
          <w:color w:val="000000"/>
          <w:sz w:val="24"/>
          <w:szCs w:val="24"/>
          <w:highlight w:val="yellow"/>
        </w:rPr>
        <w:t>分</w:t>
      </w:r>
      <w:r>
        <w:rPr>
          <w:rFonts w:hAnsi="宋体" w:eastAsia="宋体" w:cs="宋体"/>
          <w:color w:val="000000"/>
          <w:sz w:val="24"/>
          <w:szCs w:val="24"/>
          <w:highlight w:val="yellow"/>
        </w:rPr>
        <w:t>59</w:t>
      </w:r>
      <w:r>
        <w:rPr>
          <w:rFonts w:hint="eastAsia" w:hAnsi="宋体" w:eastAsia="宋体" w:cs="宋体"/>
          <w:color w:val="000000"/>
          <w:sz w:val="24"/>
          <w:szCs w:val="24"/>
          <w:highlight w:val="yellow"/>
        </w:rPr>
        <w:t>秒</w:t>
      </w:r>
    </w:p>
    <w:p w14:paraId="3301B6D8">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7CA82586">
      <w:pPr>
        <w:pStyle w:val="17"/>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4C451FD2">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9433FD6">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69EACB90">
      <w:pPr>
        <w:pStyle w:val="17"/>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2672230">
      <w:pPr>
        <w:pStyle w:val="17"/>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51E534A6">
      <w:pPr>
        <w:pStyle w:val="17"/>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喻新</w:t>
      </w:r>
      <w:r>
        <w:rPr>
          <w:rFonts w:hint="eastAsia" w:hAnsi="宋体" w:eastAsia="宋体" w:cs="宋体"/>
          <w:color w:val="000000"/>
          <w:sz w:val="24"/>
          <w:szCs w:val="24"/>
          <w:highlight w:val="yellow"/>
        </w:rPr>
        <w:t>/</w:t>
      </w:r>
      <w:r>
        <w:rPr>
          <w:rFonts w:hAnsi="宋体" w:eastAsia="宋体" w:cs="宋体"/>
          <w:color w:val="000000"/>
          <w:sz w:val="24"/>
          <w:szCs w:val="24"/>
          <w:highlight w:val="yellow"/>
        </w:rPr>
        <w:t>1</w:t>
      </w:r>
      <w:r>
        <w:rPr>
          <w:rFonts w:hint="eastAsia" w:hAnsi="宋体" w:eastAsia="宋体" w:cs="宋体"/>
          <w:color w:val="000000"/>
          <w:sz w:val="24"/>
          <w:szCs w:val="24"/>
          <w:highlight w:val="yellow"/>
          <w:lang w:val="en-US" w:eastAsia="zh-CN"/>
        </w:rPr>
        <w:t>7398245138</w:t>
      </w:r>
    </w:p>
    <w:p w14:paraId="75D22A8E">
      <w:pPr>
        <w:pStyle w:val="17"/>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38C02569">
      <w:pPr>
        <w:pStyle w:val="17"/>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eastAsia="宋体" w:cs="宋体"/>
          <w:bCs/>
          <w:sz w:val="24"/>
          <w:szCs w:val="24"/>
          <w:highlight w:val="yellow"/>
          <w:lang w:val="en-US" w:eastAsia="zh-CN"/>
        </w:rPr>
        <w:t>6</w:t>
      </w:r>
      <w:r>
        <w:rPr>
          <w:rFonts w:hint="eastAsia" w:hAnsi="宋体" w:eastAsia="宋体" w:cs="宋体"/>
          <w:bCs/>
          <w:sz w:val="24"/>
          <w:szCs w:val="24"/>
          <w:highlight w:val="yellow"/>
        </w:rPr>
        <w:t>月</w:t>
      </w:r>
      <w:r>
        <w:rPr>
          <w:rFonts w:hAnsi="宋体" w:eastAsia="宋体" w:cs="宋体"/>
          <w:bCs/>
          <w:sz w:val="24"/>
          <w:szCs w:val="24"/>
          <w:highlight w:val="yellow"/>
        </w:rPr>
        <w:t>2</w:t>
      </w:r>
      <w:r>
        <w:rPr>
          <w:rFonts w:hint="eastAsia" w:hAnsi="宋体" w:eastAsia="宋体" w:cs="宋体"/>
          <w:bCs/>
          <w:sz w:val="24"/>
          <w:szCs w:val="24"/>
          <w:highlight w:val="yellow"/>
          <w:lang w:val="en-US" w:eastAsia="zh-CN"/>
        </w:rPr>
        <w:t>2</w:t>
      </w:r>
      <w:r>
        <w:rPr>
          <w:rFonts w:hint="eastAsia" w:hAnsi="宋体" w:eastAsia="宋体" w:cs="宋体"/>
          <w:bCs/>
          <w:sz w:val="24"/>
          <w:szCs w:val="24"/>
          <w:highlight w:val="yellow"/>
        </w:rPr>
        <w:t>日上午</w:t>
      </w:r>
      <w:r>
        <w:rPr>
          <w:rFonts w:hAnsi="宋体" w:eastAsia="宋体" w:cs="宋体"/>
          <w:bCs/>
          <w:sz w:val="24"/>
          <w:szCs w:val="24"/>
          <w:highlight w:val="yellow"/>
        </w:rPr>
        <w:t>8</w:t>
      </w:r>
      <w:r>
        <w:rPr>
          <w:rFonts w:hint="eastAsia" w:hAnsi="宋体" w:eastAsia="宋体" w:cs="宋体"/>
          <w:bCs/>
          <w:sz w:val="24"/>
          <w:szCs w:val="24"/>
          <w:highlight w:val="yellow"/>
        </w:rPr>
        <w:t>:00:00（北京时间）</w:t>
      </w:r>
    </w:p>
    <w:p w14:paraId="482DC518">
      <w:pPr>
        <w:pStyle w:val="17"/>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0B0E34F8">
      <w:pPr>
        <w:pStyle w:val="140"/>
      </w:pPr>
      <w:r>
        <w:rPr>
          <w:rFonts w:hint="eastAsia"/>
        </w:rPr>
        <w:t>开标时间和地点</w:t>
      </w:r>
    </w:p>
    <w:p w14:paraId="53795143">
      <w:pPr>
        <w:pStyle w:val="17"/>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Ansi="宋体" w:eastAsia="宋体" w:cs="宋体"/>
          <w:color w:val="000000"/>
          <w:sz w:val="24"/>
          <w:szCs w:val="24"/>
          <w:highlight w:val="yellow"/>
        </w:rPr>
        <w:t>2</w:t>
      </w:r>
      <w:r>
        <w:rPr>
          <w:rFonts w:hint="eastAsia" w:hAnsi="宋体" w:eastAsia="宋体" w:cs="宋体"/>
          <w:color w:val="000000"/>
          <w:sz w:val="24"/>
          <w:szCs w:val="24"/>
          <w:highlight w:val="yellow"/>
          <w:lang w:val="en-US" w:eastAsia="zh-CN"/>
        </w:rPr>
        <w:t>2</w:t>
      </w:r>
      <w:r>
        <w:rPr>
          <w:rFonts w:hint="eastAsia" w:hAnsi="宋体" w:eastAsia="宋体" w:cs="宋体"/>
          <w:color w:val="000000"/>
          <w:sz w:val="24"/>
          <w:szCs w:val="24"/>
          <w:highlight w:val="yellow"/>
        </w:rPr>
        <w:t>日9:00:00。</w:t>
      </w:r>
    </w:p>
    <w:p w14:paraId="1D136151">
      <w:pPr>
        <w:pStyle w:val="17"/>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59EF137B">
      <w:pPr>
        <w:pStyle w:val="140"/>
      </w:pPr>
      <w:bookmarkStart w:id="16" w:name="_Toc47976593"/>
      <w:r>
        <w:rPr>
          <w:rFonts w:hint="eastAsia"/>
        </w:rPr>
        <w:t>招标公告发布媒介</w:t>
      </w:r>
      <w:bookmarkEnd w:id="16"/>
    </w:p>
    <w:p w14:paraId="1B65E7B0">
      <w:pPr>
        <w:pStyle w:val="141"/>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7A902C85">
      <w:pPr>
        <w:pStyle w:val="140"/>
      </w:pPr>
      <w:bookmarkStart w:id="17" w:name="_Toc47976594"/>
      <w:r>
        <w:rPr>
          <w:rFonts w:hint="eastAsia"/>
        </w:rPr>
        <w:t>联系方式</w:t>
      </w:r>
      <w:bookmarkEnd w:id="17"/>
    </w:p>
    <w:p w14:paraId="5AC69930">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370C5C8">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7695D7B3">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val="0"/>
          <w:bCs/>
          <w:snapToGrid w:val="0"/>
          <w:kern w:val="0"/>
          <w:sz w:val="24"/>
          <w:szCs w:val="24"/>
          <w:lang w:val="en-US" w:eastAsia="zh-CN"/>
        </w:rPr>
        <w:t>喻新</w:t>
      </w:r>
    </w:p>
    <w:p w14:paraId="5AF0C43E">
      <w:pPr>
        <w:spacing w:line="360" w:lineRule="auto"/>
        <w:ind w:firstLine="482" w:firstLineChars="200"/>
        <w:rPr>
          <w:rFonts w:hint="default" w:ascii="宋体" w:hAnsi="宋体" w:eastAsia="宋体" w:cs="宋体"/>
          <w:bCs/>
          <w:snapToGrid w:val="0"/>
          <w:kern w:val="0"/>
          <w:sz w:val="24"/>
          <w:szCs w:val="24"/>
          <w:highlight w:val="none"/>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highlight w:val="none"/>
          <w:lang w:val="en-US" w:eastAsia="zh-CN"/>
        </w:rPr>
        <w:t>17398245138</w:t>
      </w:r>
    </w:p>
    <w:p w14:paraId="0E689925">
      <w:pPr>
        <w:spacing w:line="360" w:lineRule="auto"/>
        <w:ind w:firstLine="482" w:firstLineChars="200"/>
        <w:rPr>
          <w:rFonts w:ascii="宋体" w:hAnsi="宋体" w:eastAsia="宋体" w:cs="宋体"/>
          <w:bCs/>
          <w:snapToGrid w:val="0"/>
          <w:kern w:val="0"/>
          <w:sz w:val="24"/>
          <w:szCs w:val="24"/>
          <w:highlight w:val="none"/>
        </w:rPr>
      </w:pPr>
      <w:r>
        <w:rPr>
          <w:rFonts w:hint="eastAsia" w:ascii="宋体" w:hAnsi="宋体" w:eastAsia="宋体" w:cs="宋体"/>
          <w:b/>
          <w:snapToGrid w:val="0"/>
          <w:kern w:val="0"/>
          <w:sz w:val="24"/>
          <w:szCs w:val="24"/>
          <w:highlight w:val="none"/>
        </w:rPr>
        <w:t>邮箱：</w:t>
      </w:r>
      <w:r>
        <w:rPr>
          <w:rFonts w:hint="eastAsia" w:hAnsi="宋体" w:eastAsia="宋体" w:cs="宋体"/>
          <w:color w:val="000000"/>
          <w:sz w:val="24"/>
          <w:szCs w:val="24"/>
          <w:highlight w:val="none"/>
          <w:lang w:val="en-US" w:eastAsia="zh-CN"/>
        </w:rPr>
        <w:t>qkbyuxin</w:t>
      </w:r>
      <w:r>
        <w:rPr>
          <w:rFonts w:hAnsi="宋体" w:eastAsia="宋体" w:cs="宋体"/>
          <w:color w:val="000000"/>
          <w:sz w:val="24"/>
          <w:szCs w:val="24"/>
          <w:highlight w:val="none"/>
        </w:rPr>
        <w:t>@</w:t>
      </w:r>
      <w:r>
        <w:rPr>
          <w:rFonts w:hint="eastAsia" w:hAnsi="宋体" w:eastAsia="宋体" w:cs="宋体"/>
          <w:color w:val="000000"/>
          <w:sz w:val="24"/>
          <w:szCs w:val="24"/>
          <w:highlight w:val="none"/>
        </w:rPr>
        <w:t>sinotruk.com</w:t>
      </w:r>
    </w:p>
    <w:p w14:paraId="399707C1">
      <w:pPr>
        <w:spacing w:line="360" w:lineRule="auto"/>
        <w:ind w:firstLine="482" w:firstLineChars="200"/>
        <w:rPr>
          <w:rFonts w:hint="eastAsia" w:ascii="宋体" w:hAnsi="宋体" w:eastAsia="宋体" w:cs="宋体"/>
          <w:bCs/>
          <w:snapToGrid w:val="0"/>
          <w:kern w:val="0"/>
          <w:sz w:val="24"/>
          <w:szCs w:val="24"/>
          <w:highlight w:val="none"/>
          <w:lang w:eastAsia="zh-CN"/>
        </w:rPr>
      </w:pPr>
      <w:r>
        <w:rPr>
          <w:rFonts w:hint="eastAsia" w:ascii="宋体" w:hAnsi="宋体" w:eastAsia="宋体" w:cs="宋体"/>
          <w:b/>
          <w:snapToGrid w:val="0"/>
          <w:kern w:val="0"/>
          <w:sz w:val="24"/>
          <w:szCs w:val="24"/>
          <w:highlight w:val="none"/>
        </w:rPr>
        <w:t>技术联系人：</w:t>
      </w:r>
      <w:r>
        <w:rPr>
          <w:rFonts w:hint="eastAsia" w:ascii="宋体" w:hAnsi="宋体" w:eastAsia="宋体" w:cs="宋体"/>
          <w:bCs/>
          <w:snapToGrid w:val="0"/>
          <w:kern w:val="0"/>
          <w:sz w:val="24"/>
          <w:szCs w:val="24"/>
          <w:highlight w:val="none"/>
          <w:lang w:val="en-US" w:eastAsia="zh-CN"/>
        </w:rPr>
        <w:t>陈东旭</w:t>
      </w:r>
    </w:p>
    <w:p w14:paraId="45ABE792">
      <w:pPr>
        <w:spacing w:line="360" w:lineRule="auto"/>
        <w:ind w:firstLine="482" w:firstLineChars="200"/>
        <w:rPr>
          <w:rFonts w:ascii="宋体" w:hAnsi="宋体" w:eastAsia="宋体" w:cs="宋体"/>
          <w:bCs/>
          <w:snapToGrid w:val="0"/>
          <w:kern w:val="0"/>
          <w:sz w:val="24"/>
          <w:szCs w:val="24"/>
          <w:highlight w:val="none"/>
        </w:rPr>
      </w:pPr>
      <w:r>
        <w:rPr>
          <w:rFonts w:hint="eastAsia" w:ascii="宋体" w:hAnsi="宋体" w:eastAsia="宋体" w:cs="宋体"/>
          <w:b/>
          <w:snapToGrid w:val="0"/>
          <w:kern w:val="0"/>
          <w:sz w:val="24"/>
          <w:szCs w:val="24"/>
          <w:highlight w:val="none"/>
        </w:rPr>
        <w:t>电话：</w:t>
      </w:r>
      <w:r>
        <w:rPr>
          <w:rFonts w:hint="eastAsia" w:ascii="宋体" w:hAnsi="宋体" w:eastAsia="宋体" w:cs="宋体"/>
          <w:bCs/>
          <w:snapToGrid w:val="0"/>
          <w:kern w:val="0"/>
          <w:sz w:val="24"/>
          <w:szCs w:val="24"/>
          <w:highlight w:val="none"/>
        </w:rPr>
        <w:t>17860603378</w:t>
      </w:r>
    </w:p>
    <w:p w14:paraId="745BD89B">
      <w:pPr>
        <w:spacing w:line="360" w:lineRule="auto"/>
        <w:ind w:firstLine="482" w:firstLineChars="200"/>
        <w:rPr>
          <w:rFonts w:ascii="宋体" w:hAnsi="宋体" w:eastAsia="宋体" w:cs="宋体"/>
          <w:bCs/>
          <w:snapToGrid w:val="0"/>
          <w:kern w:val="0"/>
          <w:sz w:val="24"/>
          <w:szCs w:val="24"/>
          <w:highlight w:val="none"/>
        </w:rPr>
      </w:pPr>
      <w:r>
        <w:rPr>
          <w:rFonts w:hint="eastAsia" w:ascii="宋体" w:hAnsi="宋体" w:eastAsia="宋体" w:cs="宋体"/>
          <w:b/>
          <w:snapToGrid w:val="0"/>
          <w:kern w:val="0"/>
          <w:sz w:val="24"/>
          <w:szCs w:val="24"/>
          <w:highlight w:val="none"/>
        </w:rPr>
        <w:t>邮箱：</w:t>
      </w:r>
      <w:r>
        <w:rPr>
          <w:rFonts w:hint="eastAsia" w:ascii="宋体" w:hAnsi="宋体" w:eastAsia="宋体" w:cs="宋体"/>
          <w:bCs/>
          <w:snapToGrid w:val="0"/>
          <w:kern w:val="0"/>
          <w:sz w:val="24"/>
          <w:szCs w:val="24"/>
          <w:highlight w:val="none"/>
        </w:rPr>
        <w:t>chendongxu@sinotruk.com</w:t>
      </w:r>
    </w:p>
    <w:p w14:paraId="700C2594">
      <w:pPr>
        <w:pStyle w:val="142"/>
      </w:pPr>
    </w:p>
    <w:p w14:paraId="5617B054">
      <w:pPr>
        <w:pStyle w:val="142"/>
        <w:jc w:val="both"/>
        <w:rPr>
          <w:highlight w:val="cyan"/>
          <w:u w:val="single"/>
        </w:rPr>
      </w:pPr>
    </w:p>
    <w:p w14:paraId="60781FD1">
      <w:pPr>
        <w:pStyle w:val="142"/>
        <w:jc w:val="right"/>
        <w:rPr>
          <w:highlight w:val="cyan"/>
          <w:u w:val="single"/>
        </w:rPr>
      </w:pPr>
    </w:p>
    <w:p w14:paraId="3A3C8B9E">
      <w:pPr>
        <w:pStyle w:val="142"/>
        <w:jc w:val="right"/>
        <w:rPr>
          <w:highlight w:val="cyan"/>
          <w:u w:val="single"/>
        </w:rPr>
      </w:pPr>
    </w:p>
    <w:p w14:paraId="0317C907">
      <w:pPr>
        <w:pStyle w:val="142"/>
        <w:ind w:firstLine="6510" w:firstLineChars="3100"/>
        <w:jc w:val="both"/>
      </w:pPr>
      <w:r>
        <w:rPr>
          <w:rFonts w:hint="eastAsia"/>
          <w:u w:val="single"/>
        </w:rPr>
        <w:t>2026</w:t>
      </w:r>
      <w:r>
        <w:rPr>
          <w:rFonts w:hint="eastAsia"/>
        </w:rPr>
        <w:t>年</w:t>
      </w:r>
      <w:r>
        <w:rPr>
          <w:rFonts w:hint="eastAsia"/>
          <w:u w:val="single"/>
          <w:lang w:val="en-US" w:eastAsia="zh-CN"/>
        </w:rPr>
        <w:t>6</w:t>
      </w:r>
      <w:r>
        <w:rPr>
          <w:rFonts w:hint="eastAsia"/>
        </w:rPr>
        <w:t>月</w:t>
      </w:r>
      <w:r>
        <w:rPr>
          <w:rFonts w:hint="eastAsia"/>
          <w:u w:val="single"/>
          <w:lang w:val="en-US" w:eastAsia="zh-CN"/>
        </w:rPr>
        <w:t>8</w:t>
      </w:r>
      <w:r>
        <w:rPr>
          <w:rFonts w:hint="eastAsia"/>
        </w:rPr>
        <w:t>日</w:t>
      </w:r>
    </w:p>
    <w:p w14:paraId="2BA6A2A1">
      <w:pPr>
        <w:pStyle w:val="142"/>
      </w:pPr>
    </w:p>
    <w:p w14:paraId="7B2B46DA">
      <w:pPr>
        <w:pStyle w:val="142"/>
        <w:sectPr>
          <w:footerReference r:id="rId7" w:type="first"/>
          <w:footerReference r:id="rId6" w:type="default"/>
          <w:pgSz w:w="11906" w:h="16838"/>
          <w:pgMar w:top="1701" w:right="1418" w:bottom="1134" w:left="1418" w:header="851" w:footer="992" w:gutter="0"/>
          <w:pgNumType w:fmt="decimal" w:start="1"/>
          <w:cols w:space="720" w:num="1"/>
          <w:titlePg/>
          <w:docGrid w:type="lines" w:linePitch="312" w:charSpace="0"/>
        </w:sectPr>
      </w:pPr>
    </w:p>
    <w:p w14:paraId="033EC00D">
      <w:pPr>
        <w:pStyle w:val="139"/>
      </w:pPr>
      <w:bookmarkStart w:id="18" w:name="_Toc47976595"/>
      <w:bookmarkStart w:id="19" w:name="_Toc25883"/>
      <w:bookmarkStart w:id="20" w:name="_Toc1487"/>
      <w:r>
        <w:rPr>
          <w:rFonts w:hint="eastAsia"/>
        </w:rPr>
        <w:t>第一部分  投标人须知</w:t>
      </w:r>
      <w:bookmarkEnd w:id="18"/>
      <w:bookmarkEnd w:id="19"/>
      <w:bookmarkEnd w:id="20"/>
    </w:p>
    <w:p w14:paraId="3C96A47D">
      <w:pPr>
        <w:pStyle w:val="140"/>
        <w:numPr>
          <w:ilvl w:val="0"/>
          <w:numId w:val="7"/>
        </w:numPr>
        <w:ind w:left="420"/>
        <w:jc w:val="left"/>
      </w:pPr>
      <w:bookmarkStart w:id="21" w:name="_Toc47976596"/>
      <w:r>
        <w:rPr>
          <w:rFonts w:hint="eastAsia"/>
        </w:rPr>
        <w:t>项目介绍</w:t>
      </w:r>
      <w:bookmarkEnd w:id="21"/>
    </w:p>
    <w:p w14:paraId="265EBD1C">
      <w:pPr>
        <w:pStyle w:val="142"/>
        <w:numPr>
          <w:ilvl w:val="0"/>
          <w:numId w:val="8"/>
        </w:numPr>
        <w:rPr>
          <w:b/>
          <w:bCs/>
          <w:sz w:val="24"/>
          <w:szCs w:val="24"/>
        </w:rPr>
      </w:pPr>
      <w:r>
        <w:rPr>
          <w:rFonts w:hint="eastAsia"/>
          <w:b/>
          <w:bCs/>
          <w:sz w:val="24"/>
          <w:szCs w:val="24"/>
        </w:rPr>
        <w:t>项目名称：</w:t>
      </w:r>
      <w:r>
        <w:rPr>
          <w:rFonts w:hint="eastAsia"/>
          <w:b/>
          <w:bCs/>
          <w:sz w:val="24"/>
          <w:szCs w:val="24"/>
          <w:highlight w:val="yellow"/>
        </w:rPr>
        <w:t>悍将PRO右置车型产线调整项目</w:t>
      </w:r>
    </w:p>
    <w:p w14:paraId="04BAA6F1">
      <w:pPr>
        <w:pStyle w:val="142"/>
        <w:numPr>
          <w:ilvl w:val="0"/>
          <w:numId w:val="8"/>
        </w:numPr>
        <w:rPr>
          <w:b/>
          <w:bCs/>
          <w:sz w:val="24"/>
          <w:szCs w:val="24"/>
        </w:rPr>
      </w:pPr>
      <w:r>
        <w:rPr>
          <w:rFonts w:hint="eastAsia"/>
          <w:b/>
          <w:bCs/>
          <w:sz w:val="24"/>
          <w:szCs w:val="24"/>
        </w:rPr>
        <w:t>项目编号：</w:t>
      </w:r>
      <w:r>
        <w:rPr>
          <w:rFonts w:hint="eastAsia"/>
          <w:b/>
          <w:bCs/>
          <w:sz w:val="24"/>
          <w:szCs w:val="24"/>
          <w:highlight w:val="yellow"/>
        </w:rPr>
        <w:t>ZBGL2026060092</w:t>
      </w:r>
    </w:p>
    <w:p w14:paraId="6AD568C8">
      <w:pPr>
        <w:pStyle w:val="142"/>
        <w:numPr>
          <w:ilvl w:val="0"/>
          <w:numId w:val="8"/>
        </w:numPr>
        <w:rPr>
          <w:b/>
          <w:bCs/>
          <w:sz w:val="24"/>
          <w:szCs w:val="24"/>
        </w:rPr>
      </w:pPr>
      <w:r>
        <w:rPr>
          <w:rFonts w:hint="eastAsia"/>
          <w:b/>
          <w:bCs/>
          <w:sz w:val="24"/>
          <w:szCs w:val="24"/>
        </w:rPr>
        <w:t>招标形式：</w:t>
      </w:r>
      <w:bookmarkStart w:id="22" w:name="_Toc47112482"/>
      <w:r>
        <w:rPr>
          <w:rFonts w:hint="eastAsia" w:hAnsi="宋体" w:eastAsia="宋体" w:cs="宋体"/>
          <w:b/>
          <w:bCs/>
          <w:sz w:val="24"/>
          <w:szCs w:val="24"/>
        </w:rPr>
        <w:t>公开招标</w:t>
      </w:r>
    </w:p>
    <w:p w14:paraId="0CC76C14">
      <w:pPr>
        <w:pStyle w:val="142"/>
        <w:numPr>
          <w:ilvl w:val="0"/>
          <w:numId w:val="8"/>
        </w:numPr>
        <w:rPr>
          <w:b/>
          <w:bCs/>
          <w:sz w:val="24"/>
          <w:szCs w:val="24"/>
        </w:rPr>
      </w:pPr>
      <w:r>
        <w:rPr>
          <w:rFonts w:hint="eastAsia"/>
          <w:b/>
          <w:bCs/>
          <w:sz w:val="24"/>
          <w:szCs w:val="24"/>
        </w:rPr>
        <w:t>项目概况：</w:t>
      </w:r>
      <w:r>
        <w:rPr>
          <w:rFonts w:hint="eastAsia"/>
          <w:b/>
          <w:bCs/>
          <w:sz w:val="24"/>
          <w:szCs w:val="24"/>
          <w:highlight w:val="yellow"/>
          <w:lang w:val="en-US" w:eastAsia="zh-CN"/>
        </w:rPr>
        <w:t>针对新增的驾驶室本体，在自动化焊装线上开发一款车型专用焊接程序，并完成批产调试</w:t>
      </w:r>
      <w:r>
        <w:rPr>
          <w:rFonts w:hint="eastAsia"/>
          <w:b/>
          <w:bCs/>
          <w:sz w:val="24"/>
          <w:szCs w:val="24"/>
          <w:highlight w:val="yellow"/>
        </w:rPr>
        <w:t>。</w:t>
      </w:r>
    </w:p>
    <w:p w14:paraId="129160A4">
      <w:pPr>
        <w:pStyle w:val="142"/>
        <w:numPr>
          <w:ilvl w:val="0"/>
          <w:numId w:val="8"/>
        </w:numPr>
        <w:rPr>
          <w:rFonts w:eastAsia="宋体" w:cs="Times New Roman"/>
          <w:b/>
          <w:bCs/>
          <w:sz w:val="24"/>
          <w:szCs w:val="24"/>
        </w:rPr>
      </w:pPr>
      <w:r>
        <w:rPr>
          <w:rFonts w:hint="eastAsia" w:cs="Times New Roman"/>
          <w:b/>
          <w:bCs/>
          <w:sz w:val="24"/>
          <w:szCs w:val="24"/>
        </w:rPr>
        <w:t>招标内容</w:t>
      </w:r>
      <w:r>
        <w:rPr>
          <w:rFonts w:hint="eastAsia" w:eastAsia="宋体" w:cs="Times New Roman"/>
          <w:b/>
          <w:bCs/>
          <w:sz w:val="24"/>
          <w:szCs w:val="24"/>
        </w:rPr>
        <w:t>具体要求详见《技术标书》。</w:t>
      </w:r>
    </w:p>
    <w:p w14:paraId="6127E976">
      <w:pPr>
        <w:pStyle w:val="142"/>
        <w:numPr>
          <w:ilvl w:val="0"/>
          <w:numId w:val="8"/>
        </w:numPr>
        <w:rPr>
          <w:rFonts w:cs="Times New Roman"/>
          <w:b/>
          <w:bCs/>
          <w:sz w:val="24"/>
          <w:szCs w:val="24"/>
        </w:rPr>
      </w:pPr>
      <w:r>
        <w:rPr>
          <w:rFonts w:hint="eastAsia"/>
          <w:b/>
          <w:bCs/>
          <w:sz w:val="24"/>
          <w:szCs w:val="24"/>
        </w:rPr>
        <w:t>报价：</w:t>
      </w:r>
    </w:p>
    <w:p w14:paraId="2844F1CD">
      <w:pPr>
        <w:spacing w:line="360" w:lineRule="auto"/>
        <w:ind w:firstLine="482" w:firstLineChars="200"/>
        <w:rPr>
          <w:rFonts w:ascii="宋体" w:hAnsi="宋体" w:eastAsia="宋体" w:cs="Times New Roman"/>
          <w:color w:val="000000"/>
          <w:sz w:val="24"/>
          <w:szCs w:val="24"/>
        </w:rPr>
      </w:pPr>
      <w:r>
        <w:rPr>
          <w:rFonts w:hint="eastAsia" w:ascii="宋体" w:hAnsi="宋体" w:eastAsia="宋体" w:cs="宋体"/>
          <w:b/>
          <w:bCs/>
          <w:sz w:val="24"/>
          <w:szCs w:val="24"/>
        </w:rPr>
        <w:t>报价：</w:t>
      </w:r>
      <w:r>
        <w:rPr>
          <w:rFonts w:hint="eastAsia" w:ascii="宋体" w:hAnsi="宋体" w:eastAsia="宋体" w:cs="宋体"/>
          <w:sz w:val="24"/>
          <w:szCs w:val="24"/>
        </w:rPr>
        <w:t>如需要，由</w:t>
      </w:r>
      <w:r>
        <w:rPr>
          <w:rFonts w:hint="eastAsia" w:ascii="宋体" w:hAnsi="宋体" w:eastAsia="宋体" w:cs="Times New Roman"/>
          <w:color w:val="000000"/>
          <w:sz w:val="24"/>
          <w:szCs w:val="24"/>
        </w:rPr>
        <w:t>投标人自行勘察现场，进行合理报价。投标总报价应包括设备费、原厂服务费及相关配件、随机资料、保险、税费、运杂、安装调试、与其他专业配合、配合办理政府验收手续（不限质监验收、消防验收、环评及职业卫生评价、安全评价等）及可预见的风险以及其它不可预见等全部费用。</w:t>
      </w:r>
    </w:p>
    <w:p w14:paraId="299BDB10">
      <w:pPr>
        <w:spacing w:line="360" w:lineRule="auto"/>
        <w:ind w:firstLine="482" w:firstLineChars="200"/>
        <w:rPr>
          <w:rFonts w:ascii="宋体" w:hAnsi="宋体" w:eastAsia="宋体" w:cs="Times New Roman"/>
          <w:color w:val="000000"/>
          <w:sz w:val="24"/>
          <w:szCs w:val="24"/>
        </w:rPr>
      </w:pPr>
      <w:r>
        <w:rPr>
          <w:rFonts w:hint="eastAsia" w:ascii="宋体" w:hAnsi="宋体" w:eastAsia="宋体" w:cs="Times New Roman"/>
          <w:b/>
          <w:bCs/>
          <w:color w:val="000000"/>
          <w:sz w:val="24"/>
          <w:szCs w:val="24"/>
        </w:rPr>
        <w:t>报价货币：</w:t>
      </w:r>
      <w:r>
        <w:rPr>
          <w:rFonts w:hint="eastAsia" w:ascii="宋体" w:hAnsi="宋体" w:eastAsia="宋体" w:cs="Times New Roman"/>
          <w:color w:val="000000"/>
          <w:sz w:val="24"/>
          <w:szCs w:val="24"/>
        </w:rPr>
        <w:t>人民币（</w:t>
      </w:r>
      <w:r>
        <w:rPr>
          <w:rFonts w:hint="eastAsia" w:ascii="宋体" w:hAnsi="宋体" w:eastAsia="宋体" w:cs="Times New Roman"/>
          <w:b/>
          <w:bCs/>
          <w:color w:val="000000"/>
          <w:sz w:val="24"/>
          <w:szCs w:val="24"/>
        </w:rPr>
        <w:t>应同时报含税价和不含税价，写明税率</w:t>
      </w:r>
      <w:r>
        <w:rPr>
          <w:rFonts w:hint="eastAsia" w:ascii="宋体" w:hAnsi="宋体" w:eastAsia="宋体" w:cs="Times New Roman"/>
          <w:color w:val="000000"/>
          <w:sz w:val="24"/>
          <w:szCs w:val="24"/>
        </w:rPr>
        <w:t>）。</w:t>
      </w:r>
    </w:p>
    <w:p w14:paraId="578ECD75">
      <w:pPr>
        <w:pStyle w:val="142"/>
        <w:numPr>
          <w:ilvl w:val="0"/>
          <w:numId w:val="8"/>
        </w:numPr>
        <w:rPr>
          <w:rFonts w:cs="Times New Roman"/>
          <w:b/>
          <w:bCs/>
          <w:sz w:val="24"/>
          <w:szCs w:val="24"/>
        </w:rPr>
      </w:pPr>
      <w:r>
        <w:rPr>
          <w:rFonts w:hint="eastAsia"/>
          <w:b/>
          <w:bCs/>
          <w:sz w:val="24"/>
          <w:szCs w:val="24"/>
        </w:rPr>
        <w:t>招标人信息：</w:t>
      </w:r>
    </w:p>
    <w:p w14:paraId="5B3D2752">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4F61285E">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bookmarkEnd w:id="22"/>
    <w:p w14:paraId="1AF362A3">
      <w:pPr>
        <w:spacing w:line="360" w:lineRule="auto"/>
        <w:ind w:firstLine="482" w:firstLineChars="200"/>
        <w:rPr>
          <w:rFonts w:hint="eastAsia" w:ascii="宋体" w:hAnsi="宋体" w:eastAsia="宋体" w:cs="宋体"/>
          <w:bCs/>
          <w:snapToGrid w:val="0"/>
          <w:kern w:val="0"/>
          <w:sz w:val="24"/>
          <w:szCs w:val="24"/>
          <w:lang w:eastAsia="zh-CN"/>
        </w:rPr>
      </w:pPr>
      <w:bookmarkStart w:id="23" w:name="_Toc47976598"/>
      <w:r>
        <w:rPr>
          <w:rFonts w:hint="eastAsia" w:ascii="宋体" w:hAnsi="宋体" w:eastAsia="宋体" w:cs="宋体"/>
          <w:b/>
          <w:snapToGrid w:val="0"/>
          <w:kern w:val="0"/>
          <w:sz w:val="24"/>
          <w:szCs w:val="24"/>
        </w:rPr>
        <w:t>商务联系人：</w:t>
      </w:r>
      <w:r>
        <w:rPr>
          <w:rFonts w:hint="eastAsia" w:ascii="宋体" w:hAnsi="宋体" w:eastAsia="宋体" w:cs="宋体"/>
          <w:b w:val="0"/>
          <w:bCs/>
          <w:snapToGrid w:val="0"/>
          <w:kern w:val="0"/>
          <w:sz w:val="24"/>
          <w:szCs w:val="24"/>
          <w:lang w:val="en-US" w:eastAsia="zh-CN"/>
        </w:rPr>
        <w:t>喻新</w:t>
      </w:r>
    </w:p>
    <w:p w14:paraId="00E769CA">
      <w:pPr>
        <w:spacing w:line="360" w:lineRule="auto"/>
        <w:ind w:firstLine="482" w:firstLineChars="200"/>
        <w:rPr>
          <w:rFonts w:hint="default" w:ascii="宋体" w:hAnsi="宋体" w:eastAsia="宋体" w:cs="宋体"/>
          <w:bCs/>
          <w:snapToGrid w:val="0"/>
          <w:kern w:val="0"/>
          <w:sz w:val="24"/>
          <w:szCs w:val="24"/>
          <w:highlight w:val="none"/>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highlight w:val="none"/>
          <w:lang w:val="en-US" w:eastAsia="zh-CN"/>
        </w:rPr>
        <w:t>17398245138</w:t>
      </w:r>
    </w:p>
    <w:p w14:paraId="0B5D7BE7">
      <w:pPr>
        <w:spacing w:line="360" w:lineRule="auto"/>
        <w:ind w:firstLine="482" w:firstLineChars="200"/>
        <w:rPr>
          <w:rFonts w:ascii="宋体" w:hAnsi="宋体" w:eastAsia="宋体" w:cs="宋体"/>
          <w:bCs/>
          <w:snapToGrid w:val="0"/>
          <w:kern w:val="0"/>
          <w:sz w:val="24"/>
          <w:szCs w:val="24"/>
          <w:highlight w:val="none"/>
        </w:rPr>
      </w:pPr>
      <w:r>
        <w:rPr>
          <w:rFonts w:hint="eastAsia" w:ascii="宋体" w:hAnsi="宋体" w:eastAsia="宋体" w:cs="宋体"/>
          <w:b/>
          <w:snapToGrid w:val="0"/>
          <w:kern w:val="0"/>
          <w:sz w:val="24"/>
          <w:szCs w:val="24"/>
          <w:highlight w:val="none"/>
        </w:rPr>
        <w:t>邮箱：</w:t>
      </w:r>
      <w:r>
        <w:rPr>
          <w:rFonts w:hint="eastAsia" w:hAnsi="宋体" w:eastAsia="宋体" w:cs="宋体"/>
          <w:color w:val="000000"/>
          <w:sz w:val="24"/>
          <w:szCs w:val="24"/>
          <w:highlight w:val="none"/>
          <w:lang w:val="en-US" w:eastAsia="zh-CN"/>
        </w:rPr>
        <w:t>qkbyuxin</w:t>
      </w:r>
      <w:r>
        <w:rPr>
          <w:rFonts w:hAnsi="宋体" w:eastAsia="宋体" w:cs="宋体"/>
          <w:color w:val="000000"/>
          <w:sz w:val="24"/>
          <w:szCs w:val="24"/>
          <w:highlight w:val="none"/>
        </w:rPr>
        <w:t>@</w:t>
      </w:r>
      <w:r>
        <w:rPr>
          <w:rFonts w:hint="eastAsia" w:hAnsi="宋体" w:eastAsia="宋体" w:cs="宋体"/>
          <w:color w:val="000000"/>
          <w:sz w:val="24"/>
          <w:szCs w:val="24"/>
          <w:highlight w:val="none"/>
        </w:rPr>
        <w:t>sinotruk.com</w:t>
      </w:r>
    </w:p>
    <w:p w14:paraId="53BB6642">
      <w:pPr>
        <w:spacing w:line="360" w:lineRule="auto"/>
        <w:ind w:firstLine="482" w:firstLineChars="200"/>
        <w:rPr>
          <w:rFonts w:hint="eastAsia" w:ascii="宋体" w:hAnsi="宋体" w:eastAsia="宋体" w:cs="宋体"/>
          <w:bCs/>
          <w:snapToGrid w:val="0"/>
          <w:kern w:val="0"/>
          <w:sz w:val="24"/>
          <w:szCs w:val="24"/>
          <w:highlight w:val="none"/>
          <w:lang w:eastAsia="zh-CN"/>
        </w:rPr>
      </w:pPr>
      <w:r>
        <w:rPr>
          <w:rFonts w:hint="eastAsia" w:ascii="宋体" w:hAnsi="宋体" w:eastAsia="宋体" w:cs="宋体"/>
          <w:b/>
          <w:snapToGrid w:val="0"/>
          <w:kern w:val="0"/>
          <w:sz w:val="24"/>
          <w:szCs w:val="24"/>
          <w:highlight w:val="none"/>
        </w:rPr>
        <w:t>技术联系人：</w:t>
      </w:r>
      <w:r>
        <w:rPr>
          <w:rFonts w:hint="eastAsia" w:ascii="宋体" w:hAnsi="宋体" w:eastAsia="宋体" w:cs="宋体"/>
          <w:bCs/>
          <w:snapToGrid w:val="0"/>
          <w:kern w:val="0"/>
          <w:sz w:val="24"/>
          <w:szCs w:val="24"/>
          <w:highlight w:val="none"/>
          <w:lang w:val="en-US" w:eastAsia="zh-CN"/>
        </w:rPr>
        <w:t>陈东旭</w:t>
      </w:r>
    </w:p>
    <w:p w14:paraId="4AC2EFEB">
      <w:pPr>
        <w:spacing w:line="360" w:lineRule="auto"/>
        <w:ind w:firstLine="482" w:firstLineChars="200"/>
        <w:rPr>
          <w:rFonts w:ascii="宋体" w:hAnsi="宋体" w:eastAsia="宋体" w:cs="宋体"/>
          <w:bCs/>
          <w:snapToGrid w:val="0"/>
          <w:kern w:val="0"/>
          <w:sz w:val="24"/>
          <w:szCs w:val="24"/>
          <w:highlight w:val="none"/>
        </w:rPr>
      </w:pPr>
      <w:r>
        <w:rPr>
          <w:rFonts w:hint="eastAsia" w:ascii="宋体" w:hAnsi="宋体" w:eastAsia="宋体" w:cs="宋体"/>
          <w:b/>
          <w:snapToGrid w:val="0"/>
          <w:kern w:val="0"/>
          <w:sz w:val="24"/>
          <w:szCs w:val="24"/>
          <w:highlight w:val="none"/>
        </w:rPr>
        <w:t>电话：</w:t>
      </w:r>
      <w:r>
        <w:rPr>
          <w:rFonts w:hint="eastAsia" w:ascii="宋体" w:hAnsi="宋体" w:eastAsia="宋体" w:cs="宋体"/>
          <w:bCs/>
          <w:snapToGrid w:val="0"/>
          <w:kern w:val="0"/>
          <w:sz w:val="24"/>
          <w:szCs w:val="24"/>
          <w:highlight w:val="none"/>
        </w:rPr>
        <w:t>17860603378</w:t>
      </w:r>
    </w:p>
    <w:p w14:paraId="30AFA023">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highlight w:val="none"/>
        </w:rPr>
        <w:t>邮箱：</w:t>
      </w:r>
      <w:r>
        <w:rPr>
          <w:rFonts w:hint="eastAsia" w:ascii="宋体" w:hAnsi="宋体" w:eastAsia="宋体" w:cs="宋体"/>
          <w:bCs/>
          <w:snapToGrid w:val="0"/>
          <w:kern w:val="0"/>
          <w:sz w:val="24"/>
          <w:szCs w:val="24"/>
          <w:highlight w:val="none"/>
        </w:rPr>
        <w:t>chendongxu@sinotruk.com</w:t>
      </w:r>
    </w:p>
    <w:p w14:paraId="0818C405">
      <w:pPr>
        <w:pStyle w:val="140"/>
      </w:pPr>
      <w:r>
        <w:rPr>
          <w:rFonts w:hint="eastAsia"/>
        </w:rPr>
        <w:t>合格的投标人。</w:t>
      </w:r>
      <w:bookmarkEnd w:id="23"/>
    </w:p>
    <w:p w14:paraId="43FF1430">
      <w:pPr>
        <w:pStyle w:val="141"/>
        <w:numPr>
          <w:ilvl w:val="0"/>
          <w:numId w:val="9"/>
        </w:numPr>
        <w:ind w:left="0" w:firstLine="420" w:firstLineChars="200"/>
        <w:rPr>
          <w:b w:val="0"/>
          <w:bCs/>
          <w:szCs w:val="21"/>
        </w:rPr>
      </w:pPr>
      <w:r>
        <w:rPr>
          <w:rFonts w:hint="eastAsia"/>
          <w:b w:val="0"/>
          <w:bCs/>
          <w:szCs w:val="21"/>
        </w:rPr>
        <w:t>投标人须遵守《中华人民共和国招标投标法》及其它有关的法律和法规；为中华人民共和国境内注册的独立法人机构，具有独立承担民事责任能力；</w:t>
      </w:r>
    </w:p>
    <w:p w14:paraId="0598D3C4">
      <w:pPr>
        <w:pStyle w:val="141"/>
        <w:numPr>
          <w:ilvl w:val="0"/>
          <w:numId w:val="9"/>
        </w:numPr>
        <w:ind w:left="0" w:firstLine="420" w:firstLineChars="200"/>
        <w:rPr>
          <w:b w:val="0"/>
          <w:bCs/>
          <w:szCs w:val="21"/>
        </w:rPr>
      </w:pPr>
      <w:r>
        <w:rPr>
          <w:rFonts w:hint="eastAsia"/>
          <w:b w:val="0"/>
          <w:bCs/>
          <w:szCs w:val="21"/>
        </w:rPr>
        <w:t>拟标投人必须是在中华人民共和国境内注册的独立法人机构，具有独立承担民事责任能力；注册资金不少于</w:t>
      </w:r>
      <w:r>
        <w:rPr>
          <w:rFonts w:hint="eastAsia"/>
          <w:b w:val="0"/>
          <w:bCs/>
          <w:szCs w:val="21"/>
          <w:u w:val="single"/>
        </w:rPr>
        <w:t xml:space="preserve"> 500</w:t>
      </w:r>
      <w:r>
        <w:rPr>
          <w:rFonts w:hint="eastAsia"/>
          <w:b w:val="0"/>
          <w:bCs/>
          <w:szCs w:val="21"/>
        </w:rPr>
        <w:t>万人民币（或等值其他货币）；公司成立</w:t>
      </w:r>
      <w:r>
        <w:rPr>
          <w:rFonts w:hint="eastAsia"/>
          <w:b w:val="0"/>
          <w:bCs/>
          <w:szCs w:val="21"/>
          <w:u w:val="single"/>
        </w:rPr>
        <w:t xml:space="preserve">  3  </w:t>
      </w:r>
      <w:r>
        <w:rPr>
          <w:rFonts w:hint="eastAsia"/>
          <w:b w:val="0"/>
          <w:bCs/>
          <w:szCs w:val="21"/>
        </w:rPr>
        <w:t>年以上（以营业执照成立日期到开标当日满 3 年为准），且经营范围满足招标人需求；并在人员、设备、资金等方面具有承担本项目的能力，且满足技术、质量、资金等要求；</w:t>
      </w:r>
    </w:p>
    <w:p w14:paraId="6AD1AFF7">
      <w:pPr>
        <w:pStyle w:val="141"/>
        <w:numPr>
          <w:ilvl w:val="0"/>
          <w:numId w:val="9"/>
        </w:numPr>
        <w:ind w:left="0" w:firstLine="420" w:firstLineChars="200"/>
        <w:rPr>
          <w:b w:val="0"/>
          <w:bCs/>
          <w:szCs w:val="21"/>
        </w:rPr>
      </w:pPr>
      <w:r>
        <w:rPr>
          <w:rFonts w:hint="eastAsia"/>
          <w:b w:val="0"/>
          <w:bCs/>
          <w:szCs w:val="21"/>
        </w:rPr>
        <w:t>投标人须具有良好的商业信誉和健全的财务会计制度，财务状况和市场行为良好。没有处于被有权机关吊销营业执照、吊销资质、停业整顿、取消投标资格以及财产被接管、冻结或进入破产程序等；</w:t>
      </w:r>
    </w:p>
    <w:p w14:paraId="4B05242C">
      <w:pPr>
        <w:pStyle w:val="141"/>
        <w:numPr>
          <w:ilvl w:val="0"/>
          <w:numId w:val="9"/>
        </w:numPr>
        <w:ind w:left="0" w:firstLine="420" w:firstLineChars="200"/>
        <w:rPr>
          <w:b w:val="0"/>
          <w:bCs/>
          <w:szCs w:val="21"/>
        </w:rPr>
      </w:pPr>
      <w:r>
        <w:rPr>
          <w:rFonts w:hint="eastAsia"/>
          <w:b w:val="0"/>
          <w:bCs/>
          <w:szCs w:val="21"/>
        </w:rPr>
        <w:t>拟投标人在“国家企业信用信息公示系统”、“中国执行信息公开网”、“信用中国”、“天眼查”“裁判文书网”等信息平台中，无行政处罚及失信记录等信息；</w:t>
      </w:r>
    </w:p>
    <w:p w14:paraId="31201F8D">
      <w:pPr>
        <w:pStyle w:val="141"/>
        <w:numPr>
          <w:ilvl w:val="0"/>
          <w:numId w:val="9"/>
        </w:numPr>
        <w:ind w:left="0" w:firstLine="420" w:firstLineChars="200"/>
        <w:rPr>
          <w:b w:val="0"/>
          <w:bCs/>
          <w:szCs w:val="21"/>
        </w:rPr>
      </w:pPr>
      <w:r>
        <w:rPr>
          <w:rFonts w:hint="eastAsia"/>
          <w:b w:val="0"/>
          <w:bCs/>
          <w:szCs w:val="21"/>
        </w:rPr>
        <w:t>无招标违规、谎报年度报告信息、提供虚假资质资料等行为或其他行政处罚记录；</w:t>
      </w:r>
    </w:p>
    <w:p w14:paraId="1BF7B6C3">
      <w:pPr>
        <w:pStyle w:val="141"/>
        <w:numPr>
          <w:ilvl w:val="0"/>
          <w:numId w:val="9"/>
        </w:numPr>
        <w:ind w:left="0" w:firstLine="420" w:firstLineChars="200"/>
        <w:rPr>
          <w:b w:val="0"/>
          <w:bCs/>
          <w:szCs w:val="21"/>
        </w:rPr>
      </w:pPr>
      <w:r>
        <w:rPr>
          <w:rFonts w:hint="eastAsia"/>
          <w:b w:val="0"/>
          <w:bCs/>
          <w:szCs w:val="21"/>
        </w:rPr>
        <w:t>近三年内在经营活动中无与本项目有关的违法及重大违规情况；</w:t>
      </w:r>
    </w:p>
    <w:p w14:paraId="6329FA1A">
      <w:pPr>
        <w:pStyle w:val="141"/>
        <w:numPr>
          <w:ilvl w:val="0"/>
          <w:numId w:val="9"/>
        </w:numPr>
        <w:ind w:left="0" w:firstLine="420" w:firstLineChars="200"/>
        <w:rPr>
          <w:b w:val="0"/>
          <w:bCs/>
          <w:szCs w:val="21"/>
        </w:rPr>
      </w:pPr>
      <w:r>
        <w:rPr>
          <w:rFonts w:hint="eastAsia"/>
          <w:b w:val="0"/>
          <w:bCs/>
          <w:szCs w:val="21"/>
        </w:rPr>
        <w:t>投标人没有被列入招标人处《黑名单》（《黑名单》指投标人与招标人在以往或正在进行的合作中，存在招标人认为的违反合同约定或违反法律法规等的失信行为）的声明；</w:t>
      </w:r>
    </w:p>
    <w:p w14:paraId="25F418D7">
      <w:pPr>
        <w:pStyle w:val="141"/>
        <w:numPr>
          <w:ilvl w:val="0"/>
          <w:numId w:val="9"/>
        </w:numPr>
        <w:ind w:left="0" w:firstLine="420" w:firstLineChars="200"/>
        <w:rPr>
          <w:b w:val="0"/>
          <w:bCs/>
          <w:szCs w:val="21"/>
        </w:rPr>
      </w:pPr>
      <w:r>
        <w:rPr>
          <w:rFonts w:hint="eastAsia"/>
          <w:b w:val="0"/>
          <w:bCs/>
          <w:szCs w:val="21"/>
        </w:rPr>
        <w:t>公司经营范围满足招标项目需求；</w:t>
      </w:r>
    </w:p>
    <w:p w14:paraId="19E3625F">
      <w:pPr>
        <w:pStyle w:val="141"/>
        <w:numPr>
          <w:ilvl w:val="0"/>
          <w:numId w:val="9"/>
        </w:numPr>
        <w:ind w:left="0" w:firstLine="420" w:firstLineChars="200"/>
        <w:rPr>
          <w:b w:val="0"/>
          <w:bCs/>
          <w:szCs w:val="21"/>
        </w:rPr>
      </w:pPr>
      <w:r>
        <w:rPr>
          <w:rFonts w:hint="eastAsia"/>
          <w:b w:val="0"/>
          <w:bCs/>
          <w:szCs w:val="21"/>
        </w:rPr>
        <w:t>投标人须具有履行招标文件所有设备、专业技术等要求的能力；</w:t>
      </w:r>
    </w:p>
    <w:p w14:paraId="1F46D78F">
      <w:pPr>
        <w:pStyle w:val="141"/>
        <w:numPr>
          <w:ilvl w:val="0"/>
          <w:numId w:val="9"/>
        </w:numPr>
        <w:ind w:left="0" w:firstLine="420" w:firstLineChars="200"/>
        <w:rPr>
          <w:b w:val="0"/>
          <w:bCs/>
          <w:szCs w:val="21"/>
        </w:rPr>
      </w:pPr>
      <w:r>
        <w:rPr>
          <w:rFonts w:hint="eastAsia"/>
          <w:b w:val="0"/>
          <w:bCs/>
          <w:szCs w:val="21"/>
        </w:rPr>
        <w:t>投标人须有依法缴纳税收和社会保障资金的良好记录；</w:t>
      </w:r>
    </w:p>
    <w:p w14:paraId="43EEB46D">
      <w:pPr>
        <w:pStyle w:val="141"/>
        <w:numPr>
          <w:ilvl w:val="0"/>
          <w:numId w:val="9"/>
        </w:numPr>
        <w:ind w:left="0" w:firstLine="420" w:firstLineChars="200"/>
        <w:rPr>
          <w:b w:val="0"/>
          <w:bCs/>
          <w:szCs w:val="21"/>
        </w:rPr>
      </w:pPr>
      <w:r>
        <w:rPr>
          <w:rFonts w:hint="eastAsia"/>
          <w:b w:val="0"/>
          <w:bCs/>
          <w:szCs w:val="21"/>
        </w:rPr>
        <w:t>具有本次招标货物的供货、安装、售后服务等的相应资质；</w:t>
      </w:r>
    </w:p>
    <w:p w14:paraId="6200CA95">
      <w:pPr>
        <w:pStyle w:val="141"/>
        <w:numPr>
          <w:ilvl w:val="0"/>
          <w:numId w:val="9"/>
        </w:numPr>
        <w:ind w:left="0" w:firstLine="420" w:firstLineChars="200"/>
        <w:rPr>
          <w:b w:val="0"/>
          <w:bCs/>
          <w:szCs w:val="21"/>
        </w:rPr>
      </w:pPr>
      <w:r>
        <w:rPr>
          <w:rFonts w:hint="eastAsia"/>
          <w:b w:val="0"/>
          <w:bCs/>
          <w:szCs w:val="21"/>
        </w:rPr>
        <w:t>投标人须认可招标人的工作指令，包括节、假日能正常开展工作的要求。</w:t>
      </w:r>
    </w:p>
    <w:p w14:paraId="663A62A4">
      <w:pPr>
        <w:pStyle w:val="141"/>
        <w:numPr>
          <w:ilvl w:val="0"/>
          <w:numId w:val="9"/>
        </w:numPr>
        <w:ind w:left="0" w:firstLine="420" w:firstLineChars="200"/>
        <w:rPr>
          <w:b w:val="0"/>
          <w:bCs/>
          <w:szCs w:val="21"/>
        </w:rPr>
      </w:pPr>
      <w:r>
        <w:rPr>
          <w:rFonts w:hint="eastAsia"/>
          <w:b w:val="0"/>
          <w:bCs/>
          <w:szCs w:val="21"/>
        </w:rPr>
        <w:t>拟投标人的直接或间接股东、法定代表人、董事、监事、高管非重汽员工及其亲属；</w:t>
      </w:r>
    </w:p>
    <w:p w14:paraId="624DB4DE">
      <w:pPr>
        <w:pStyle w:val="141"/>
        <w:numPr>
          <w:ilvl w:val="0"/>
          <w:numId w:val="9"/>
        </w:numPr>
        <w:ind w:left="0" w:firstLine="420" w:firstLineChars="200"/>
        <w:rPr>
          <w:b w:val="0"/>
          <w:bCs/>
          <w:szCs w:val="21"/>
        </w:rPr>
      </w:pPr>
      <w:r>
        <w:rPr>
          <w:rFonts w:hint="eastAsia"/>
          <w:b w:val="0"/>
          <w:bCs/>
          <w:szCs w:val="21"/>
        </w:rPr>
        <w:t>投标人必须是最终投标、签订合同的单位，不得以任何理由将已中标项目以任何形式转包或者分包给其他单位；</w:t>
      </w:r>
    </w:p>
    <w:p w14:paraId="6DC723FD">
      <w:pPr>
        <w:pStyle w:val="141"/>
        <w:numPr>
          <w:ilvl w:val="0"/>
          <w:numId w:val="9"/>
        </w:numPr>
        <w:ind w:left="0" w:firstLine="420" w:firstLineChars="200"/>
        <w:rPr>
          <w:b w:val="0"/>
          <w:bCs/>
          <w:szCs w:val="21"/>
        </w:rPr>
      </w:pPr>
      <w:r>
        <w:rPr>
          <w:rFonts w:hint="eastAsia"/>
          <w:b w:val="0"/>
          <w:bCs/>
          <w:szCs w:val="21"/>
        </w:rPr>
        <w:t>本次招标项目不接受联合体投标，不允许代理商参标；</w:t>
      </w:r>
    </w:p>
    <w:p w14:paraId="21C470DA">
      <w:pPr>
        <w:pStyle w:val="141"/>
        <w:numPr>
          <w:ilvl w:val="0"/>
          <w:numId w:val="9"/>
        </w:numPr>
        <w:ind w:left="0" w:firstLine="420" w:firstLineChars="200"/>
        <w:rPr>
          <w:b w:val="0"/>
          <w:bCs/>
          <w:szCs w:val="21"/>
        </w:rPr>
      </w:pPr>
      <w:r>
        <w:rPr>
          <w:rFonts w:hint="eastAsia"/>
          <w:b w:val="0"/>
          <w:bCs/>
          <w:szCs w:val="21"/>
        </w:rPr>
        <w:t>法律、行政法规规定的其他条件；</w:t>
      </w:r>
    </w:p>
    <w:p w14:paraId="0F243350">
      <w:pPr>
        <w:pStyle w:val="140"/>
        <w:rPr>
          <w:rFonts w:cs="Times New Roman"/>
        </w:rPr>
      </w:pPr>
      <w:r>
        <w:rPr>
          <w:rFonts w:hint="eastAsia" w:cs="Times New Roman"/>
        </w:rPr>
        <w:t>招标文件的领取、答疑、应标及投标报名</w:t>
      </w:r>
    </w:p>
    <w:p w14:paraId="7801CBD5">
      <w:pPr>
        <w:pStyle w:val="142"/>
        <w:numPr>
          <w:ilvl w:val="0"/>
          <w:numId w:val="10"/>
        </w:numPr>
        <w:jc w:val="both"/>
        <w:rPr>
          <w:rFonts w:eastAsia="宋体" w:cs="Times New Roman"/>
          <w:szCs w:val="21"/>
          <w:highlight w:val="yellow"/>
        </w:rPr>
      </w:pPr>
      <w:r>
        <w:rPr>
          <w:rFonts w:hint="eastAsia" w:eastAsia="宋体" w:cs="Times New Roman"/>
          <w:b/>
          <w:bCs/>
          <w:szCs w:val="21"/>
          <w:highlight w:val="yellow"/>
        </w:rPr>
        <w:t>发标时间：</w:t>
      </w:r>
      <w:r>
        <w:rPr>
          <w:rFonts w:hint="eastAsia" w:eastAsia="宋体" w:cs="Times New Roman"/>
          <w:szCs w:val="21"/>
          <w:highlight w:val="yellow"/>
        </w:rPr>
        <w:t>2026年</w:t>
      </w:r>
      <w:r>
        <w:rPr>
          <w:rFonts w:hint="eastAsia" w:eastAsia="宋体" w:cs="Times New Roman"/>
          <w:szCs w:val="21"/>
          <w:highlight w:val="yellow"/>
          <w:lang w:val="en-US" w:eastAsia="zh-CN"/>
        </w:rPr>
        <w:t>6</w:t>
      </w:r>
      <w:r>
        <w:rPr>
          <w:rFonts w:hint="eastAsia" w:eastAsia="宋体" w:cs="Times New Roman"/>
          <w:szCs w:val="21"/>
          <w:highlight w:val="yellow"/>
        </w:rPr>
        <w:t>月</w:t>
      </w:r>
      <w:r>
        <w:rPr>
          <w:rFonts w:hint="eastAsia" w:eastAsia="宋体" w:cs="Times New Roman"/>
          <w:szCs w:val="21"/>
          <w:highlight w:val="yellow"/>
          <w:lang w:val="en-US" w:eastAsia="zh-CN"/>
        </w:rPr>
        <w:t>9</w:t>
      </w:r>
      <w:r>
        <w:rPr>
          <w:rFonts w:hint="eastAsia" w:eastAsia="宋体" w:cs="Times New Roman"/>
          <w:szCs w:val="21"/>
          <w:highlight w:val="yellow"/>
        </w:rPr>
        <w:t>日</w:t>
      </w:r>
    </w:p>
    <w:p w14:paraId="4933DEB7">
      <w:pPr>
        <w:pStyle w:val="142"/>
        <w:numPr>
          <w:ilvl w:val="0"/>
          <w:numId w:val="10"/>
        </w:numPr>
        <w:jc w:val="both"/>
        <w:rPr>
          <w:b/>
          <w:bCs/>
          <w:szCs w:val="21"/>
        </w:rPr>
      </w:pPr>
      <w:r>
        <w:rPr>
          <w:rFonts w:hint="eastAsia" w:eastAsia="宋体" w:cs="Times New Roman"/>
          <w:b/>
          <w:bCs/>
          <w:szCs w:val="21"/>
        </w:rPr>
        <w:t>招标文件领取方式、地点及领取截止时间</w:t>
      </w:r>
      <w:r>
        <w:rPr>
          <w:rFonts w:hint="eastAsia" w:cs="Times New Roman"/>
          <w:b/>
          <w:bCs/>
          <w:szCs w:val="21"/>
        </w:rPr>
        <w:t>：</w:t>
      </w:r>
    </w:p>
    <w:p w14:paraId="4CD2B537">
      <w:pPr>
        <w:pStyle w:val="142"/>
        <w:ind w:firstLine="211" w:firstLineChars="100"/>
        <w:jc w:val="both"/>
        <w:rPr>
          <w:rFonts w:eastAsia="宋体"/>
          <w:szCs w:val="21"/>
        </w:rPr>
      </w:pPr>
      <w:r>
        <w:rPr>
          <w:rFonts w:hint="eastAsia" w:eastAsia="宋体" w:cs="Times New Roman"/>
          <w:b/>
          <w:bCs/>
          <w:szCs w:val="21"/>
        </w:rPr>
        <w:t>地点（线上）：</w:t>
      </w:r>
      <w:r>
        <w:rPr>
          <w:rFonts w:hint="eastAsia"/>
          <w:szCs w:val="21"/>
        </w:rPr>
        <w:t>中国重汽e采通平台、中国重汽官网</w:t>
      </w:r>
    </w:p>
    <w:p w14:paraId="28142B5C">
      <w:pPr>
        <w:pStyle w:val="142"/>
        <w:ind w:firstLine="211" w:firstLineChars="100"/>
        <w:jc w:val="both"/>
        <w:rPr>
          <w:rFonts w:eastAsia="宋体" w:cs="Times New Roman"/>
          <w:szCs w:val="21"/>
          <w:highlight w:val="yellow"/>
        </w:rPr>
      </w:pPr>
      <w:r>
        <w:rPr>
          <w:rFonts w:hint="eastAsia" w:eastAsia="宋体" w:cs="Times New Roman"/>
          <w:b/>
          <w:bCs/>
          <w:szCs w:val="21"/>
          <w:highlight w:val="yellow"/>
        </w:rPr>
        <w:t>领取截止时间：</w:t>
      </w:r>
      <w:r>
        <w:rPr>
          <w:rFonts w:hint="eastAsia" w:eastAsia="宋体" w:cs="Times New Roman"/>
          <w:szCs w:val="21"/>
          <w:highlight w:val="yellow"/>
        </w:rPr>
        <w:t>2026年</w:t>
      </w:r>
      <w:r>
        <w:rPr>
          <w:rFonts w:hint="eastAsia" w:eastAsia="宋体" w:cs="Times New Roman"/>
          <w:szCs w:val="21"/>
          <w:highlight w:val="yellow"/>
          <w:lang w:val="en-US" w:eastAsia="zh-CN"/>
        </w:rPr>
        <w:t>6</w:t>
      </w:r>
      <w:r>
        <w:rPr>
          <w:rFonts w:hint="eastAsia" w:eastAsia="宋体" w:cs="Times New Roman"/>
          <w:szCs w:val="21"/>
          <w:highlight w:val="yellow"/>
        </w:rPr>
        <w:t>月</w:t>
      </w:r>
      <w:r>
        <w:rPr>
          <w:rFonts w:eastAsia="宋体" w:cs="Times New Roman"/>
          <w:szCs w:val="21"/>
          <w:highlight w:val="yellow"/>
        </w:rPr>
        <w:t>1</w:t>
      </w:r>
      <w:r>
        <w:rPr>
          <w:rFonts w:hint="eastAsia" w:eastAsia="宋体" w:cs="Times New Roman"/>
          <w:szCs w:val="21"/>
          <w:highlight w:val="yellow"/>
          <w:lang w:val="en-US" w:eastAsia="zh-CN"/>
        </w:rPr>
        <w:t>4</w:t>
      </w:r>
      <w:r>
        <w:rPr>
          <w:rFonts w:hint="eastAsia" w:eastAsia="宋体" w:cs="Times New Roman"/>
          <w:szCs w:val="21"/>
          <w:highlight w:val="yellow"/>
        </w:rPr>
        <w:t>日</w:t>
      </w:r>
    </w:p>
    <w:p w14:paraId="3D2432F6">
      <w:pPr>
        <w:pStyle w:val="142"/>
        <w:numPr>
          <w:ilvl w:val="0"/>
          <w:numId w:val="10"/>
        </w:numPr>
        <w:jc w:val="both"/>
        <w:rPr>
          <w:rFonts w:eastAsia="宋体" w:cs="Times New Roman"/>
          <w:szCs w:val="21"/>
          <w:highlight w:val="yellow"/>
        </w:rPr>
      </w:pPr>
      <w:r>
        <w:rPr>
          <w:rFonts w:hint="eastAsia" w:eastAsia="宋体" w:cs="Times New Roman"/>
          <w:b/>
          <w:bCs/>
          <w:szCs w:val="21"/>
          <w:highlight w:val="yellow"/>
        </w:rPr>
        <w:t>答疑时间：</w:t>
      </w:r>
      <w:r>
        <w:rPr>
          <w:rFonts w:hint="eastAsia" w:eastAsia="宋体" w:cs="Times New Roman"/>
          <w:szCs w:val="21"/>
          <w:highlight w:val="yellow"/>
        </w:rPr>
        <w:t>2026年</w:t>
      </w:r>
      <w:r>
        <w:rPr>
          <w:rFonts w:hint="eastAsia" w:eastAsia="宋体" w:cs="Times New Roman"/>
          <w:szCs w:val="21"/>
          <w:highlight w:val="yellow"/>
          <w:lang w:val="en-US" w:eastAsia="zh-CN"/>
        </w:rPr>
        <w:t>6</w:t>
      </w:r>
      <w:r>
        <w:rPr>
          <w:rFonts w:hint="eastAsia" w:eastAsia="宋体" w:cs="Times New Roman"/>
          <w:szCs w:val="21"/>
          <w:highlight w:val="yellow"/>
        </w:rPr>
        <w:t>月</w:t>
      </w:r>
      <w:r>
        <w:rPr>
          <w:rFonts w:hint="eastAsia" w:eastAsia="宋体" w:cs="Times New Roman"/>
          <w:szCs w:val="21"/>
          <w:highlight w:val="yellow"/>
          <w:lang w:val="en-US" w:eastAsia="zh-CN"/>
        </w:rPr>
        <w:t>18</w:t>
      </w:r>
      <w:r>
        <w:rPr>
          <w:rFonts w:hint="eastAsia" w:eastAsia="宋体" w:cs="Times New Roman"/>
          <w:szCs w:val="21"/>
          <w:highlight w:val="yellow"/>
        </w:rPr>
        <w:t>日</w:t>
      </w:r>
      <w:r>
        <w:rPr>
          <w:rFonts w:hint="eastAsia" w:eastAsia="宋体" w:cs="Times New Roman"/>
          <w:szCs w:val="21"/>
          <w:highlight w:val="yellow"/>
          <w:lang w:val="en-US" w:eastAsia="zh-CN"/>
        </w:rPr>
        <w:t>17</w:t>
      </w:r>
      <w:r>
        <w:rPr>
          <w:rFonts w:hint="eastAsia" w:eastAsia="宋体" w:cs="Times New Roman"/>
          <w:szCs w:val="21"/>
          <w:highlight w:val="yellow"/>
        </w:rPr>
        <w:t>:00前</w:t>
      </w:r>
    </w:p>
    <w:p w14:paraId="0DE8A292">
      <w:pPr>
        <w:pStyle w:val="142"/>
        <w:numPr>
          <w:ilvl w:val="0"/>
          <w:numId w:val="10"/>
        </w:numPr>
        <w:jc w:val="both"/>
        <w:rPr>
          <w:rFonts w:eastAsia="宋体" w:cs="Times New Roman"/>
          <w:b/>
          <w:bCs/>
          <w:szCs w:val="21"/>
        </w:rPr>
      </w:pPr>
      <w:r>
        <w:rPr>
          <w:rFonts w:hint="eastAsia" w:eastAsia="宋体" w:cs="Times New Roman"/>
          <w:b/>
          <w:bCs/>
          <w:szCs w:val="21"/>
        </w:rPr>
        <w:t>提交疑问方式：</w:t>
      </w:r>
    </w:p>
    <w:p w14:paraId="527FB678">
      <w:pPr>
        <w:pStyle w:val="142"/>
        <w:ind w:firstLine="210" w:firstLineChars="100"/>
        <w:jc w:val="both"/>
        <w:rPr>
          <w:rFonts w:eastAsia="宋体" w:cs="Times New Roman"/>
          <w:szCs w:val="21"/>
        </w:rPr>
      </w:pPr>
      <w:r>
        <w:rPr>
          <w:rFonts w:hint="eastAsia" w:eastAsia="宋体" w:cs="Times New Roman"/>
          <w:szCs w:val="21"/>
        </w:rPr>
        <w:t>如果投标人对招标文件商务部分、技术部分有疑问，请各投标人在本答疑环节提出。</w:t>
      </w:r>
    </w:p>
    <w:p w14:paraId="163EFCC6">
      <w:pPr>
        <w:pStyle w:val="142"/>
        <w:ind w:firstLine="211" w:firstLineChars="100"/>
        <w:jc w:val="both"/>
        <w:rPr>
          <w:rFonts w:eastAsia="宋体" w:cs="Times New Roman"/>
          <w:szCs w:val="21"/>
        </w:rPr>
      </w:pPr>
      <w:r>
        <w:rPr>
          <w:rFonts w:hint="eastAsia" w:eastAsia="宋体" w:cs="Times New Roman"/>
          <w:b/>
          <w:bCs/>
          <w:szCs w:val="21"/>
        </w:rPr>
        <w:t>提交疑问时间：</w:t>
      </w:r>
      <w:r>
        <w:rPr>
          <w:rFonts w:hint="eastAsia" w:eastAsia="宋体" w:cs="Times New Roman"/>
          <w:szCs w:val="21"/>
          <w:highlight w:val="yellow"/>
        </w:rPr>
        <w:t>2026年</w:t>
      </w:r>
      <w:r>
        <w:rPr>
          <w:rFonts w:hint="eastAsia" w:eastAsia="宋体" w:cs="Times New Roman"/>
          <w:szCs w:val="21"/>
          <w:highlight w:val="yellow"/>
          <w:lang w:val="en-US" w:eastAsia="zh-CN"/>
        </w:rPr>
        <w:t>6</w:t>
      </w:r>
      <w:r>
        <w:rPr>
          <w:rFonts w:hint="eastAsia" w:eastAsia="宋体" w:cs="Times New Roman"/>
          <w:szCs w:val="21"/>
          <w:highlight w:val="yellow"/>
        </w:rPr>
        <w:t>月</w:t>
      </w:r>
      <w:r>
        <w:rPr>
          <w:rFonts w:hint="eastAsia" w:eastAsia="宋体" w:cs="Times New Roman"/>
          <w:szCs w:val="21"/>
          <w:highlight w:val="yellow"/>
          <w:lang w:val="en-US" w:eastAsia="zh-CN"/>
        </w:rPr>
        <w:t>18</w:t>
      </w:r>
      <w:r>
        <w:rPr>
          <w:rFonts w:hint="eastAsia" w:eastAsia="宋体" w:cs="Times New Roman"/>
          <w:szCs w:val="21"/>
          <w:highlight w:val="yellow"/>
        </w:rPr>
        <w:t>日</w:t>
      </w:r>
      <w:r>
        <w:rPr>
          <w:rFonts w:hint="eastAsia" w:eastAsia="宋体" w:cs="Times New Roman"/>
          <w:szCs w:val="21"/>
          <w:highlight w:val="yellow"/>
          <w:lang w:val="en-US" w:eastAsia="zh-CN"/>
        </w:rPr>
        <w:t>17</w:t>
      </w:r>
      <w:r>
        <w:rPr>
          <w:rFonts w:hint="eastAsia" w:eastAsia="宋体" w:cs="Times New Roman"/>
          <w:szCs w:val="21"/>
          <w:highlight w:val="yellow"/>
        </w:rPr>
        <w:t>:00前</w:t>
      </w:r>
    </w:p>
    <w:p w14:paraId="6C069E8B">
      <w:pPr>
        <w:pStyle w:val="142"/>
        <w:ind w:firstLine="211" w:firstLineChars="100"/>
        <w:jc w:val="both"/>
        <w:rPr>
          <w:rFonts w:eastAsia="宋体" w:cs="Times New Roman"/>
          <w:szCs w:val="21"/>
        </w:rPr>
      </w:pPr>
      <w:r>
        <w:rPr>
          <w:rFonts w:hint="eastAsia" w:eastAsia="宋体" w:cs="Times New Roman"/>
          <w:b/>
          <w:bCs/>
          <w:szCs w:val="21"/>
        </w:rPr>
        <w:t>提交疑问方式：</w:t>
      </w:r>
      <w:r>
        <w:rPr>
          <w:rFonts w:hint="eastAsia" w:eastAsia="宋体" w:cs="Times New Roman"/>
          <w:szCs w:val="21"/>
        </w:rPr>
        <w:t>将答疑问题以word文件格式发送至联系人邮件内，同时发送技术联系人及商务联系人，并电话联系工作人员查收，邮件名格式为：XXX公司（五个字以内公司简称）XX项目答疑文件。</w:t>
      </w:r>
    </w:p>
    <w:p w14:paraId="6BC6F0A2">
      <w:pPr>
        <w:pStyle w:val="142"/>
        <w:ind w:firstLine="210" w:firstLineChars="100"/>
        <w:jc w:val="both"/>
        <w:rPr>
          <w:rFonts w:eastAsia="宋体" w:cs="Times New Roman"/>
          <w:szCs w:val="21"/>
        </w:rPr>
      </w:pPr>
      <w:r>
        <w:rPr>
          <w:rFonts w:hint="eastAsia" w:eastAsia="宋体" w:cs="Times New Roman"/>
          <w:szCs w:val="21"/>
        </w:rPr>
        <w:t>同时必须在邮件中以文字方式提供投标人全称、投标授权人姓名、联系方式（固定电话、手机、电子邮箱），并提供附件2法定代表人授权委托书。</w:t>
      </w:r>
    </w:p>
    <w:p w14:paraId="30AF4ACC">
      <w:pPr>
        <w:pStyle w:val="142"/>
        <w:numPr>
          <w:ilvl w:val="0"/>
          <w:numId w:val="10"/>
        </w:numPr>
        <w:jc w:val="both"/>
        <w:rPr>
          <w:rFonts w:eastAsia="宋体" w:cs="Times New Roman"/>
          <w:szCs w:val="21"/>
        </w:rPr>
      </w:pPr>
      <w:r>
        <w:rPr>
          <w:rFonts w:hint="eastAsia" w:eastAsia="宋体" w:cs="Times New Roman"/>
          <w:b/>
          <w:bCs/>
          <w:szCs w:val="21"/>
        </w:rPr>
        <w:t>领取答疑、澄清和修改文件时间</w:t>
      </w:r>
      <w:r>
        <w:rPr>
          <w:rFonts w:hint="eastAsia" w:eastAsia="宋体" w:cs="Times New Roman"/>
          <w:szCs w:val="21"/>
        </w:rPr>
        <w:t>：</w:t>
      </w:r>
      <w:r>
        <w:rPr>
          <w:rFonts w:hint="eastAsia" w:eastAsia="宋体" w:cs="Times New Roman"/>
          <w:szCs w:val="21"/>
          <w:highlight w:val="yellow"/>
        </w:rPr>
        <w:t>2026年</w:t>
      </w:r>
      <w:r>
        <w:rPr>
          <w:rFonts w:hint="eastAsia" w:eastAsia="宋体" w:cs="Times New Roman"/>
          <w:szCs w:val="21"/>
          <w:highlight w:val="yellow"/>
          <w:lang w:val="en-US" w:eastAsia="zh-CN"/>
        </w:rPr>
        <w:t>6</w:t>
      </w:r>
      <w:r>
        <w:rPr>
          <w:rFonts w:hint="eastAsia" w:eastAsia="宋体" w:cs="Times New Roman"/>
          <w:szCs w:val="21"/>
          <w:highlight w:val="yellow"/>
        </w:rPr>
        <w:t>月</w:t>
      </w:r>
      <w:r>
        <w:rPr>
          <w:rFonts w:hint="eastAsia" w:eastAsia="宋体" w:cs="Times New Roman"/>
          <w:szCs w:val="21"/>
          <w:highlight w:val="yellow"/>
          <w:lang w:val="en-US" w:eastAsia="zh-CN"/>
        </w:rPr>
        <w:t>18</w:t>
      </w:r>
      <w:r>
        <w:rPr>
          <w:rFonts w:hint="eastAsia" w:eastAsia="宋体" w:cs="Times New Roman"/>
          <w:szCs w:val="21"/>
          <w:highlight w:val="yellow"/>
        </w:rPr>
        <w:t>日17:00前</w:t>
      </w:r>
      <w:r>
        <w:rPr>
          <w:rFonts w:hint="eastAsia" w:cs="Times New Roman"/>
          <w:szCs w:val="21"/>
          <w:highlight w:val="yellow"/>
        </w:rPr>
        <w:t>；</w:t>
      </w:r>
    </w:p>
    <w:p w14:paraId="07592DDB">
      <w:pPr>
        <w:pStyle w:val="142"/>
        <w:numPr>
          <w:ilvl w:val="0"/>
          <w:numId w:val="10"/>
        </w:numPr>
        <w:ind w:left="0" w:firstLine="0"/>
        <w:jc w:val="both"/>
        <w:rPr>
          <w:rFonts w:eastAsia="宋体" w:cs="Times New Roman"/>
          <w:szCs w:val="21"/>
        </w:rPr>
      </w:pPr>
      <w:r>
        <w:rPr>
          <w:rFonts w:hint="eastAsia" w:eastAsia="宋体" w:cs="Times New Roman"/>
          <w:b/>
          <w:bCs/>
          <w:szCs w:val="21"/>
        </w:rPr>
        <w:t>答疑、澄清和修改文件方式</w:t>
      </w:r>
      <w:r>
        <w:rPr>
          <w:rFonts w:hint="eastAsia" w:eastAsia="宋体" w:cs="Times New Roman"/>
          <w:szCs w:val="21"/>
        </w:rPr>
        <w:t>：招标人将以电子邮件的方式将招标文件的答疑澄清文件发送至答疑文件提交时登记的电子邮箱。</w:t>
      </w:r>
    </w:p>
    <w:p w14:paraId="187E4020">
      <w:pPr>
        <w:pStyle w:val="142"/>
        <w:numPr>
          <w:ilvl w:val="0"/>
          <w:numId w:val="10"/>
        </w:numPr>
        <w:jc w:val="both"/>
        <w:rPr>
          <w:rFonts w:eastAsia="宋体" w:cs="Times New Roman"/>
          <w:b/>
          <w:bCs/>
          <w:szCs w:val="21"/>
          <w:highlight w:val="yellow"/>
        </w:rPr>
      </w:pPr>
      <w:r>
        <w:rPr>
          <w:rFonts w:hint="eastAsia" w:eastAsia="宋体" w:cs="Times New Roman"/>
          <w:b/>
          <w:bCs/>
          <w:szCs w:val="21"/>
          <w:highlight w:val="yellow"/>
        </w:rPr>
        <w:t>报名方式</w:t>
      </w:r>
      <w:r>
        <w:rPr>
          <w:rFonts w:hint="eastAsia" w:cs="Times New Roman"/>
          <w:b/>
          <w:bCs/>
          <w:szCs w:val="21"/>
          <w:highlight w:val="yellow"/>
        </w:rPr>
        <w:t>：</w:t>
      </w:r>
    </w:p>
    <w:p w14:paraId="6492F6E4">
      <w:pPr>
        <w:pStyle w:val="113"/>
        <w:ind w:firstLine="420"/>
        <w:rPr>
          <w:rFonts w:eastAsia="宋体" w:cs="宋体"/>
          <w:sz w:val="21"/>
          <w:szCs w:val="21"/>
        </w:rPr>
      </w:pPr>
      <w:r>
        <w:rPr>
          <w:rFonts w:hint="eastAsia" w:eastAsia="宋体" w:cs="宋体"/>
          <w:sz w:val="21"/>
          <w:szCs w:val="21"/>
        </w:rPr>
        <w:t>拟投标人根据招标人在中国重汽官网等公开媒体上发布的招标信息，在“中国重汽e采通”平台报名。</w:t>
      </w:r>
      <w:r>
        <w:rPr>
          <w:rFonts w:hint="eastAsia" w:eastAsia="宋体" w:cs="宋体"/>
          <w:b/>
          <w:bCs/>
          <w:sz w:val="21"/>
          <w:szCs w:val="21"/>
        </w:rPr>
        <w:t>按照中国重汽e采通“SRM非生产供应商注册手册”（附件16）进行注册</w:t>
      </w:r>
      <w:r>
        <w:rPr>
          <w:rFonts w:hint="eastAsia" w:eastAsia="宋体" w:cs="宋体"/>
          <w:sz w:val="21"/>
          <w:szCs w:val="21"/>
        </w:rPr>
        <w:t>，注册完毕后按照</w:t>
      </w:r>
      <w:r>
        <w:rPr>
          <w:rFonts w:hint="eastAsia" w:eastAsia="宋体" w:cs="宋体"/>
          <w:b/>
          <w:sz w:val="21"/>
          <w:szCs w:val="21"/>
        </w:rPr>
        <w:t>“SRM系统供应商用户手册（附件17）”，</w:t>
      </w:r>
      <w:r>
        <w:rPr>
          <w:rFonts w:hint="eastAsia" w:eastAsia="宋体" w:cs="宋体"/>
          <w:sz w:val="21"/>
          <w:szCs w:val="21"/>
        </w:rPr>
        <w:t>登录</w:t>
      </w:r>
      <w:r>
        <w:rPr>
          <w:rFonts w:hint="eastAsia" w:eastAsia="宋体" w:cs="宋体"/>
          <w:b/>
          <w:sz w:val="21"/>
          <w:szCs w:val="21"/>
        </w:rPr>
        <w:t>重汽e采通平台</w:t>
      </w:r>
      <w:r>
        <w:rPr>
          <w:rFonts w:hint="eastAsia" w:eastAsia="宋体" w:cs="宋体"/>
          <w:sz w:val="21"/>
          <w:szCs w:val="21"/>
        </w:rPr>
        <w:t>后进入“供应商应标”，选择对应的项目，点击“</w:t>
      </w:r>
      <w:r>
        <w:rPr>
          <w:rFonts w:hint="eastAsia" w:eastAsia="宋体" w:cs="宋体"/>
          <w:b/>
          <w:bCs/>
          <w:sz w:val="21"/>
          <w:szCs w:val="21"/>
        </w:rPr>
        <w:t>应标</w:t>
      </w:r>
      <w:r>
        <w:rPr>
          <w:rFonts w:hint="eastAsia" w:eastAsia="宋体" w:cs="宋体"/>
          <w:sz w:val="21"/>
          <w:szCs w:val="21"/>
        </w:rPr>
        <w:t>”</w:t>
      </w:r>
      <w:r>
        <w:rPr>
          <w:rFonts w:hint="eastAsia" w:eastAsia="宋体" w:cs="宋体"/>
          <w:b/>
          <w:bCs/>
          <w:sz w:val="21"/>
          <w:szCs w:val="21"/>
          <w:highlight w:val="red"/>
        </w:rPr>
        <w:t>后按照招标文件第三部分投标文件组成资格证明文件中的1.1-1.13准备资料并</w:t>
      </w:r>
      <w:r>
        <w:rPr>
          <w:rFonts w:hint="eastAsia" w:eastAsia="宋体" w:cs="宋体"/>
          <w:sz w:val="21"/>
          <w:szCs w:val="21"/>
          <w:highlight w:val="red"/>
        </w:rPr>
        <w:t>上</w:t>
      </w:r>
      <w:r>
        <w:rPr>
          <w:rFonts w:hint="eastAsia" w:eastAsia="宋体" w:cs="宋体"/>
          <w:sz w:val="21"/>
          <w:szCs w:val="21"/>
        </w:rPr>
        <w:t>传，资质审查通过即为报名成功；公示期间请尽快报名。</w:t>
      </w:r>
    </w:p>
    <w:p w14:paraId="01C01F18">
      <w:pPr>
        <w:pStyle w:val="113"/>
        <w:ind w:firstLine="422"/>
        <w:rPr>
          <w:rFonts w:eastAsia="宋体" w:cs="宋体"/>
          <w:b/>
          <w:bCs/>
          <w:sz w:val="21"/>
          <w:szCs w:val="21"/>
        </w:rPr>
      </w:pPr>
      <w:r>
        <w:rPr>
          <w:rFonts w:hint="eastAsia" w:eastAsia="宋体" w:cs="宋体"/>
          <w:b/>
          <w:bCs/>
          <w:sz w:val="21"/>
          <w:szCs w:val="21"/>
        </w:rPr>
        <w:t>报名时提供的资料不合格的会在系统被驳回，请及时查阅审核状态并及时补齐资料，不能按时补充资料的视为自动放弃本次投标。</w:t>
      </w:r>
    </w:p>
    <w:p w14:paraId="51E456E0">
      <w:pPr>
        <w:pStyle w:val="113"/>
        <w:ind w:firstLine="422"/>
        <w:rPr>
          <w:rFonts w:eastAsia="宋体" w:cs="宋体"/>
          <w:b/>
          <w:bCs/>
          <w:sz w:val="21"/>
          <w:szCs w:val="21"/>
        </w:rPr>
      </w:pPr>
      <w:r>
        <w:rPr>
          <w:rFonts w:hint="eastAsia" w:eastAsia="宋体" w:cs="宋体"/>
          <w:b/>
          <w:bCs/>
          <w:sz w:val="21"/>
          <w:szCs w:val="21"/>
        </w:rPr>
        <w:t>请投标人自行确认中国重汽e采通系统中供应商信息完整、准确，因供应商信息不全或错误导致的报名不成功，由投标人自行承担。</w:t>
      </w:r>
    </w:p>
    <w:p w14:paraId="333B9891">
      <w:pPr>
        <w:pStyle w:val="142"/>
        <w:ind w:firstLine="420" w:firstLineChars="200"/>
        <w:jc w:val="both"/>
        <w:rPr>
          <w:rFonts w:hAnsi="宋体" w:eastAsia="宋体" w:cs="宋体"/>
          <w:szCs w:val="21"/>
          <w:highlight w:val="yellow"/>
        </w:rPr>
      </w:pPr>
      <w:r>
        <w:rPr>
          <w:rFonts w:hint="eastAsia" w:hAnsi="宋体" w:eastAsia="宋体" w:cs="宋体"/>
          <w:szCs w:val="21"/>
          <w:highlight w:val="yellow"/>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w:t>
      </w:r>
    </w:p>
    <w:p w14:paraId="6D2F55D1">
      <w:pPr>
        <w:pStyle w:val="142"/>
        <w:numPr>
          <w:ilvl w:val="0"/>
          <w:numId w:val="10"/>
        </w:numPr>
        <w:jc w:val="both"/>
        <w:rPr>
          <w:rFonts w:eastAsia="宋体" w:cs="Times New Roman"/>
          <w:b/>
          <w:bCs/>
          <w:szCs w:val="21"/>
        </w:rPr>
      </w:pPr>
      <w:r>
        <w:rPr>
          <w:rFonts w:hint="eastAsia" w:eastAsia="宋体" w:cs="Times New Roman"/>
          <w:b/>
          <w:bCs/>
          <w:szCs w:val="21"/>
        </w:rPr>
        <w:t>应标截止时间</w:t>
      </w:r>
    </w:p>
    <w:p w14:paraId="47B82CB2">
      <w:pPr>
        <w:pStyle w:val="113"/>
        <w:spacing w:line="240" w:lineRule="auto"/>
        <w:ind w:firstLine="420"/>
        <w:rPr>
          <w:rFonts w:eastAsia="宋体" w:cs="宋体"/>
          <w:sz w:val="21"/>
          <w:szCs w:val="21"/>
          <w:highlight w:val="yellow"/>
        </w:rPr>
      </w:pPr>
      <w:r>
        <w:rPr>
          <w:rFonts w:hint="eastAsia" w:eastAsia="宋体" w:cs="宋体"/>
          <w:bCs/>
          <w:sz w:val="21"/>
          <w:szCs w:val="21"/>
          <w:highlight w:val="yellow"/>
        </w:rPr>
        <w:t>2026年</w:t>
      </w:r>
      <w:r>
        <w:rPr>
          <w:rFonts w:hint="eastAsia" w:eastAsia="宋体" w:cs="宋体"/>
          <w:bCs/>
          <w:sz w:val="21"/>
          <w:szCs w:val="21"/>
          <w:highlight w:val="yellow"/>
          <w:lang w:val="en-US" w:eastAsia="zh-CN"/>
        </w:rPr>
        <w:t>6</w:t>
      </w:r>
      <w:r>
        <w:rPr>
          <w:rFonts w:hint="eastAsia" w:eastAsia="宋体" w:cs="宋体"/>
          <w:bCs/>
          <w:sz w:val="21"/>
          <w:szCs w:val="21"/>
          <w:highlight w:val="yellow"/>
        </w:rPr>
        <w:t>月</w:t>
      </w:r>
      <w:r>
        <w:rPr>
          <w:rFonts w:hint="eastAsia" w:eastAsia="宋体" w:cs="宋体"/>
          <w:bCs/>
          <w:sz w:val="21"/>
          <w:szCs w:val="21"/>
          <w:highlight w:val="yellow"/>
          <w:lang w:val="en-US" w:eastAsia="zh-CN"/>
        </w:rPr>
        <w:t>14</w:t>
      </w:r>
      <w:r>
        <w:rPr>
          <w:rFonts w:hint="eastAsia" w:eastAsia="宋体" w:cs="宋体"/>
          <w:bCs/>
          <w:sz w:val="21"/>
          <w:szCs w:val="21"/>
          <w:highlight w:val="yellow"/>
        </w:rPr>
        <w:t>日</w:t>
      </w:r>
      <w:r>
        <w:rPr>
          <w:rFonts w:eastAsia="宋体" w:cs="宋体"/>
          <w:bCs/>
          <w:sz w:val="21"/>
          <w:szCs w:val="21"/>
          <w:highlight w:val="yellow"/>
        </w:rPr>
        <w:t>23</w:t>
      </w:r>
      <w:r>
        <w:rPr>
          <w:rFonts w:hint="eastAsia" w:eastAsia="宋体" w:cs="宋体"/>
          <w:bCs/>
          <w:sz w:val="21"/>
          <w:szCs w:val="21"/>
          <w:highlight w:val="yellow"/>
        </w:rPr>
        <w:t>时</w:t>
      </w:r>
      <w:r>
        <w:rPr>
          <w:rFonts w:eastAsia="宋体" w:cs="宋体"/>
          <w:bCs/>
          <w:sz w:val="21"/>
          <w:szCs w:val="21"/>
          <w:highlight w:val="yellow"/>
        </w:rPr>
        <w:t>59</w:t>
      </w:r>
      <w:r>
        <w:rPr>
          <w:rFonts w:hint="eastAsia" w:eastAsia="宋体" w:cs="宋体"/>
          <w:bCs/>
          <w:sz w:val="21"/>
          <w:szCs w:val="21"/>
          <w:highlight w:val="yellow"/>
        </w:rPr>
        <w:t>分</w:t>
      </w:r>
      <w:r>
        <w:rPr>
          <w:rFonts w:eastAsia="宋体" w:cs="宋体"/>
          <w:bCs/>
          <w:sz w:val="21"/>
          <w:szCs w:val="21"/>
          <w:highlight w:val="yellow"/>
        </w:rPr>
        <w:t>59</w:t>
      </w:r>
      <w:r>
        <w:rPr>
          <w:rFonts w:hint="eastAsia" w:eastAsia="宋体" w:cs="宋体"/>
          <w:bCs/>
          <w:sz w:val="21"/>
          <w:szCs w:val="21"/>
          <w:highlight w:val="yellow"/>
        </w:rPr>
        <w:t>秒</w:t>
      </w:r>
    </w:p>
    <w:p w14:paraId="7392F29B">
      <w:pPr>
        <w:pStyle w:val="142"/>
        <w:jc w:val="both"/>
        <w:rPr>
          <w:rFonts w:eastAsia="宋体" w:cs="Times New Roman"/>
          <w:szCs w:val="21"/>
          <w:highlight w:val="yellow"/>
        </w:rPr>
      </w:pPr>
      <w:r>
        <w:rPr>
          <w:rFonts w:hint="eastAsia" w:eastAsia="宋体" w:cs="宋体"/>
          <w:b/>
          <w:bCs/>
          <w:szCs w:val="21"/>
        </w:rPr>
        <w:t>注：请务必在应标截止时间前完成注册及应标操作，注册审核需2-4日，应标截止时间精确到秒，逾期将无法应标。请自行掌握时间，避免无法应标。</w:t>
      </w:r>
    </w:p>
    <w:p w14:paraId="1C09714E">
      <w:pPr>
        <w:pStyle w:val="140"/>
        <w:rPr>
          <w:rFonts w:ascii="宋体" w:eastAsia="宋体" w:cs="Times New Roman"/>
        </w:rPr>
      </w:pPr>
      <w:r>
        <w:rPr>
          <w:rFonts w:hint="eastAsia" w:cs="Times New Roman"/>
        </w:rPr>
        <w:t>投标文件编制</w:t>
      </w:r>
    </w:p>
    <w:p w14:paraId="6C357E35">
      <w:pPr>
        <w:pStyle w:val="141"/>
        <w:numPr>
          <w:ilvl w:val="0"/>
          <w:numId w:val="11"/>
        </w:numPr>
        <w:ind w:firstLine="0"/>
        <w:rPr>
          <w:b w:val="0"/>
        </w:rPr>
      </w:pPr>
      <w:r>
        <w:rPr>
          <w:rFonts w:hint="eastAsia"/>
          <w:b w:val="0"/>
        </w:rPr>
        <w:t>投标文件的组成</w:t>
      </w:r>
    </w:p>
    <w:p w14:paraId="139140B7">
      <w:pPr>
        <w:pStyle w:val="141"/>
        <w:numPr>
          <w:ilvl w:val="0"/>
          <w:numId w:val="0"/>
        </w:numPr>
        <w:rPr>
          <w:rFonts w:eastAsia="宋体" w:cs="Times New Roman"/>
          <w:b w:val="0"/>
          <w:bCs/>
        </w:rPr>
      </w:pPr>
      <w:r>
        <w:rPr>
          <w:rFonts w:hint="eastAsia" w:eastAsia="宋体" w:cs="Times New Roman"/>
          <w:b w:val="0"/>
          <w:bCs/>
        </w:rPr>
        <w:t>投标人编写的投标文件由</w:t>
      </w:r>
      <w:r>
        <w:rPr>
          <w:rFonts w:hint="eastAsia" w:eastAsia="宋体" w:cs="Times New Roman"/>
        </w:rPr>
        <w:t>《投标文件（资质标）》、《投标文件（技术标）》、《投标文件（商务标）》（开标一览表）</w:t>
      </w:r>
      <w:r>
        <w:rPr>
          <w:rFonts w:hint="eastAsia" w:eastAsia="宋体" w:cs="Times New Roman"/>
          <w:b w:val="0"/>
          <w:bCs/>
        </w:rPr>
        <w:t>文件组成，共计</w:t>
      </w:r>
      <w:r>
        <w:rPr>
          <w:rFonts w:hint="eastAsia" w:eastAsia="宋体" w:cs="Times New Roman"/>
          <w:b w:val="0"/>
          <w:bCs/>
          <w:u w:val="single"/>
        </w:rPr>
        <w:t xml:space="preserve"> </w:t>
      </w:r>
      <w:r>
        <w:rPr>
          <w:rFonts w:hint="eastAsia" w:cs="Times New Roman"/>
          <w:b w:val="0"/>
          <w:bCs/>
          <w:u w:val="single"/>
        </w:rPr>
        <w:t>3</w:t>
      </w:r>
      <w:r>
        <w:rPr>
          <w:rFonts w:hint="eastAsia" w:eastAsia="宋体" w:cs="Times New Roman"/>
          <w:b w:val="0"/>
          <w:bCs/>
          <w:u w:val="single"/>
        </w:rPr>
        <w:t xml:space="preserve"> </w:t>
      </w:r>
      <w:r>
        <w:rPr>
          <w:rFonts w:hint="eastAsia" w:eastAsia="宋体" w:cs="Times New Roman"/>
          <w:b w:val="0"/>
          <w:bCs/>
        </w:rPr>
        <w:t>个文件。</w:t>
      </w:r>
    </w:p>
    <w:p w14:paraId="2C3BC921">
      <w:pPr>
        <w:pStyle w:val="143"/>
        <w:numPr>
          <w:ilvl w:val="0"/>
          <w:numId w:val="12"/>
        </w:numPr>
        <w:rPr>
          <w:rFonts w:hAnsi="宋体" w:eastAsia="宋体" w:cs="宋体"/>
        </w:rPr>
      </w:pPr>
      <w:r>
        <w:rPr>
          <w:rFonts w:hint="eastAsia" w:hAnsi="宋体" w:eastAsia="宋体" w:cs="宋体"/>
        </w:rPr>
        <w:t>资质文件：</w:t>
      </w:r>
    </w:p>
    <w:p w14:paraId="0F44BEDD">
      <w:pPr>
        <w:pStyle w:val="144"/>
        <w:numPr>
          <w:ilvl w:val="0"/>
          <w:numId w:val="13"/>
        </w:numPr>
        <w:rPr>
          <w:rFonts w:hAnsi="宋体" w:eastAsia="宋体" w:cs="宋体"/>
          <w:bCs/>
        </w:rPr>
      </w:pPr>
      <w:r>
        <w:rPr>
          <w:rFonts w:hint="eastAsia" w:hAnsi="宋体" w:eastAsia="宋体" w:cs="宋体"/>
          <w:bCs/>
        </w:rPr>
        <w:t>法定代表人身份证明；</w:t>
      </w:r>
    </w:p>
    <w:p w14:paraId="510063B4">
      <w:pPr>
        <w:pStyle w:val="144"/>
        <w:numPr>
          <w:ilvl w:val="0"/>
          <w:numId w:val="13"/>
        </w:numPr>
        <w:rPr>
          <w:rFonts w:hAnsi="宋体" w:eastAsia="宋体" w:cs="宋体"/>
          <w:bCs/>
        </w:rPr>
      </w:pPr>
      <w:r>
        <w:rPr>
          <w:rFonts w:hint="eastAsia" w:hAnsi="宋体" w:eastAsia="宋体" w:cs="宋体"/>
          <w:bCs/>
        </w:rPr>
        <w:t>法定代表人授权委托书（授权人需带身份证原件）；</w:t>
      </w:r>
    </w:p>
    <w:p w14:paraId="5E6D2807">
      <w:pPr>
        <w:pStyle w:val="144"/>
        <w:numPr>
          <w:ilvl w:val="0"/>
          <w:numId w:val="13"/>
        </w:numPr>
        <w:rPr>
          <w:rFonts w:hAnsi="宋体" w:eastAsia="宋体" w:cs="宋体"/>
          <w:bCs/>
        </w:rPr>
      </w:pPr>
      <w:r>
        <w:rPr>
          <w:rFonts w:hint="eastAsia" w:hAnsi="宋体" w:eastAsia="宋体" w:cs="宋体"/>
          <w:bCs/>
        </w:rPr>
        <w:t>营业执照副本原件或复印件并加盖公章；</w:t>
      </w:r>
    </w:p>
    <w:p w14:paraId="705A0C93">
      <w:pPr>
        <w:pStyle w:val="144"/>
        <w:numPr>
          <w:ilvl w:val="0"/>
          <w:numId w:val="13"/>
        </w:numPr>
        <w:rPr>
          <w:rFonts w:hAnsi="宋体" w:eastAsia="宋体" w:cs="宋体"/>
          <w:bCs/>
        </w:rPr>
      </w:pPr>
      <w:r>
        <w:rPr>
          <w:rFonts w:hint="eastAsia" w:hAnsi="宋体" w:eastAsia="宋体" w:cs="宋体"/>
          <w:bCs/>
        </w:rPr>
        <w:t>投标函（附件1）；</w:t>
      </w:r>
    </w:p>
    <w:p w14:paraId="27C7D001">
      <w:pPr>
        <w:pStyle w:val="144"/>
        <w:numPr>
          <w:ilvl w:val="0"/>
          <w:numId w:val="13"/>
        </w:numPr>
        <w:ind w:left="0" w:firstLine="0"/>
        <w:rPr>
          <w:rFonts w:hAnsi="宋体" w:eastAsia="宋体" w:cs="宋体"/>
          <w:bCs/>
        </w:rPr>
      </w:pPr>
      <w:r>
        <w:rPr>
          <w:rFonts w:hint="eastAsia" w:hAnsi="宋体" w:eastAsia="宋体" w:cs="宋体"/>
          <w:bCs/>
        </w:rPr>
        <w:t>投标人应具有相应生产证明，若非原厂商需提供原厂商授权书（原件或加盖投标单位公章的彩色打印件）；</w:t>
      </w:r>
    </w:p>
    <w:p w14:paraId="79BFF521">
      <w:pPr>
        <w:pStyle w:val="144"/>
        <w:numPr>
          <w:ilvl w:val="0"/>
          <w:numId w:val="13"/>
        </w:numPr>
        <w:ind w:left="0" w:firstLine="0"/>
        <w:rPr>
          <w:rFonts w:hAnsi="宋体" w:eastAsia="宋体" w:cs="宋体"/>
          <w:bCs/>
        </w:rPr>
      </w:pPr>
      <w:r>
        <w:rPr>
          <w:rFonts w:hint="eastAsia" w:hAnsi="宋体" w:eastAsia="宋体" w:cs="宋体"/>
          <w:bCs/>
        </w:rPr>
        <w:t>2022年1月1日至今，企业近三年同类项目业绩证明，须提供用户清单、采购合同复印件；</w:t>
      </w:r>
    </w:p>
    <w:p w14:paraId="76F26B4B">
      <w:pPr>
        <w:pStyle w:val="144"/>
        <w:numPr>
          <w:ilvl w:val="0"/>
          <w:numId w:val="13"/>
        </w:numPr>
        <w:ind w:left="0" w:firstLine="0"/>
        <w:rPr>
          <w:rFonts w:hAnsi="宋体" w:eastAsia="宋体" w:cs="宋体"/>
          <w:bCs/>
        </w:rPr>
      </w:pPr>
      <w:r>
        <w:rPr>
          <w:rFonts w:hint="eastAsia" w:hAnsi="宋体" w:eastAsia="宋体" w:cs="宋体"/>
          <w:bCs/>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48AEE5C5">
      <w:pPr>
        <w:pStyle w:val="144"/>
        <w:numPr>
          <w:ilvl w:val="0"/>
          <w:numId w:val="13"/>
        </w:numPr>
        <w:ind w:left="0" w:firstLine="0"/>
        <w:rPr>
          <w:rFonts w:hAnsi="宋体" w:eastAsia="宋体" w:cs="宋体"/>
          <w:bCs/>
        </w:rPr>
      </w:pPr>
      <w:r>
        <w:rPr>
          <w:rFonts w:hint="eastAsia" w:hAnsi="宋体" w:eastAsia="宋体" w:cs="宋体"/>
          <w:bCs/>
        </w:rPr>
        <w:t>近三年内在经营活动中无与本项目有关的违法及重大违规行为的声明；</w:t>
      </w:r>
    </w:p>
    <w:p w14:paraId="2623D6FF">
      <w:pPr>
        <w:pStyle w:val="144"/>
        <w:numPr>
          <w:ilvl w:val="0"/>
          <w:numId w:val="13"/>
        </w:numPr>
        <w:ind w:left="0" w:firstLine="0"/>
        <w:rPr>
          <w:rFonts w:hAnsi="宋体" w:eastAsia="宋体" w:cs="宋体"/>
          <w:bCs/>
        </w:rPr>
      </w:pPr>
      <w:r>
        <w:rPr>
          <w:rFonts w:hint="eastAsia" w:hAnsi="宋体" w:eastAsia="宋体" w:cs="宋体"/>
          <w:bCs/>
        </w:rPr>
        <w:t>投标人在国家企业信用信息公示系统中无与本项目有关的行政处罚、经营异常和失信信息的声明；（附投标当日系统内相关截图或报告）</w:t>
      </w:r>
    </w:p>
    <w:p w14:paraId="60246C02">
      <w:pPr>
        <w:pStyle w:val="144"/>
        <w:numPr>
          <w:ilvl w:val="0"/>
          <w:numId w:val="13"/>
        </w:numPr>
        <w:rPr>
          <w:rFonts w:hAnsi="宋体" w:eastAsia="宋体" w:cs="宋体"/>
          <w:bCs/>
        </w:rPr>
      </w:pPr>
      <w:r>
        <w:rPr>
          <w:rFonts w:hint="eastAsia" w:hAnsi="宋体" w:eastAsia="宋体" w:cs="宋体"/>
          <w:bCs/>
        </w:rPr>
        <w:t>企业信用证明材料（征信中心出具的信用报告）；</w:t>
      </w:r>
    </w:p>
    <w:p w14:paraId="3DD25D58">
      <w:pPr>
        <w:pStyle w:val="144"/>
        <w:numPr>
          <w:ilvl w:val="0"/>
          <w:numId w:val="13"/>
        </w:numPr>
        <w:rPr>
          <w:rFonts w:hAnsi="宋体" w:eastAsia="宋体" w:cs="宋体"/>
          <w:bCs/>
        </w:rPr>
      </w:pPr>
      <w:r>
        <w:rPr>
          <w:rFonts w:hint="eastAsia" w:hAnsi="宋体" w:eastAsia="宋体" w:cs="宋体"/>
          <w:bCs/>
        </w:rPr>
        <w:t>企业最近半年完税证明，并附年度纳税信用评价信息（可从电子税务局查询截图，需加盖公章）；</w:t>
      </w:r>
    </w:p>
    <w:p w14:paraId="71A7AACF">
      <w:pPr>
        <w:pStyle w:val="144"/>
        <w:numPr>
          <w:ilvl w:val="0"/>
          <w:numId w:val="13"/>
        </w:numPr>
        <w:rPr>
          <w:rFonts w:hAnsi="宋体" w:eastAsia="宋体" w:cs="宋体"/>
          <w:bCs/>
        </w:rPr>
      </w:pPr>
      <w:r>
        <w:rPr>
          <w:rFonts w:hint="eastAsia" w:hAnsi="宋体" w:eastAsia="宋体" w:cs="宋体"/>
          <w:bCs/>
        </w:rPr>
        <w:t>企业对外担保说明（写明贵单位对外有无对外担保和质押业务，需加盖公章）。</w:t>
      </w:r>
    </w:p>
    <w:p w14:paraId="5004EAB6">
      <w:pPr>
        <w:pStyle w:val="144"/>
        <w:numPr>
          <w:ilvl w:val="0"/>
          <w:numId w:val="13"/>
        </w:numPr>
        <w:rPr>
          <w:rFonts w:hAnsi="宋体" w:eastAsia="宋体" w:cs="宋体"/>
          <w:bCs/>
        </w:rPr>
      </w:pPr>
      <w:r>
        <w:rPr>
          <w:rFonts w:hint="eastAsia" w:hAnsi="宋体" w:eastAsia="宋体" w:cs="宋体"/>
          <w:bCs/>
        </w:rPr>
        <w:t>保密承诺函（附件4）；</w:t>
      </w:r>
    </w:p>
    <w:p w14:paraId="75766C4B">
      <w:pPr>
        <w:pStyle w:val="144"/>
        <w:numPr>
          <w:ilvl w:val="0"/>
          <w:numId w:val="13"/>
        </w:numPr>
        <w:rPr>
          <w:rFonts w:hAnsi="宋体" w:eastAsia="宋体" w:cs="宋体"/>
          <w:bCs/>
        </w:rPr>
      </w:pPr>
      <w:r>
        <w:rPr>
          <w:rFonts w:hint="eastAsia" w:hAnsi="宋体" w:eastAsia="宋体" w:cs="宋体"/>
          <w:bCs/>
        </w:rPr>
        <w:t>有效期内的生产许可证（实行生产许可制度的企业提供）加盖公章（如需）；</w:t>
      </w:r>
    </w:p>
    <w:p w14:paraId="31C685EB">
      <w:pPr>
        <w:pStyle w:val="144"/>
        <w:numPr>
          <w:ilvl w:val="0"/>
          <w:numId w:val="13"/>
        </w:numPr>
        <w:rPr>
          <w:rFonts w:hAnsi="宋体" w:eastAsia="宋体" w:cs="宋体"/>
          <w:bCs/>
        </w:rPr>
      </w:pPr>
      <w:r>
        <w:rPr>
          <w:rFonts w:hint="eastAsia" w:hAnsi="宋体" w:eastAsia="宋体" w:cs="宋体"/>
          <w:bCs/>
        </w:rPr>
        <w:t>产品鉴定证书（如需）；</w:t>
      </w:r>
    </w:p>
    <w:p w14:paraId="1670D954">
      <w:pPr>
        <w:pStyle w:val="144"/>
        <w:numPr>
          <w:ilvl w:val="0"/>
          <w:numId w:val="13"/>
        </w:numPr>
        <w:rPr>
          <w:rFonts w:hAnsi="宋体" w:eastAsia="宋体" w:cs="宋体"/>
          <w:bCs/>
        </w:rPr>
      </w:pPr>
      <w:r>
        <w:rPr>
          <w:rFonts w:hint="eastAsia" w:hAnsi="宋体" w:eastAsia="宋体" w:cs="宋体"/>
          <w:bCs/>
        </w:rPr>
        <w:t>质量体系认证证书（如需）；</w:t>
      </w:r>
    </w:p>
    <w:p w14:paraId="3CB996FD">
      <w:pPr>
        <w:pStyle w:val="144"/>
        <w:numPr>
          <w:ilvl w:val="0"/>
          <w:numId w:val="13"/>
        </w:numPr>
        <w:rPr>
          <w:rFonts w:hAnsi="宋体" w:eastAsia="宋体" w:cs="宋体"/>
          <w:bCs/>
        </w:rPr>
      </w:pPr>
      <w:r>
        <w:rPr>
          <w:rFonts w:hint="eastAsia" w:hAnsi="宋体" w:eastAsia="宋体" w:cs="宋体"/>
          <w:bCs/>
        </w:rPr>
        <w:t>产品和主要元器件“CCC”认证证书（如需）；</w:t>
      </w:r>
    </w:p>
    <w:p w14:paraId="073852C1">
      <w:pPr>
        <w:pStyle w:val="144"/>
        <w:numPr>
          <w:ilvl w:val="0"/>
          <w:numId w:val="13"/>
        </w:numPr>
        <w:rPr>
          <w:rFonts w:hAnsi="宋体" w:eastAsia="宋体" w:cs="宋体"/>
          <w:bCs/>
        </w:rPr>
      </w:pPr>
      <w:r>
        <w:rPr>
          <w:rFonts w:hint="eastAsia" w:hAnsi="宋体" w:eastAsia="宋体" w:cs="宋体"/>
          <w:bCs/>
        </w:rPr>
        <w:t>产品的检测、检验报告复印件（如有，需权威部门出具）；</w:t>
      </w:r>
    </w:p>
    <w:p w14:paraId="64D2F805">
      <w:pPr>
        <w:pStyle w:val="144"/>
        <w:numPr>
          <w:ilvl w:val="0"/>
          <w:numId w:val="13"/>
        </w:numPr>
        <w:rPr>
          <w:rFonts w:hAnsi="宋体" w:eastAsia="宋体" w:cs="宋体"/>
          <w:bCs/>
        </w:rPr>
      </w:pPr>
      <w:r>
        <w:rPr>
          <w:rFonts w:hint="eastAsia" w:hAnsi="宋体" w:eastAsia="宋体" w:cs="宋体"/>
          <w:bCs/>
        </w:rPr>
        <w:t>招标文件要求的其它必要资格文件（如需）；</w:t>
      </w:r>
    </w:p>
    <w:p w14:paraId="7E932E12">
      <w:pPr>
        <w:pStyle w:val="144"/>
        <w:numPr>
          <w:ilvl w:val="0"/>
          <w:numId w:val="13"/>
        </w:numPr>
        <w:rPr>
          <w:rFonts w:hAnsi="宋体" w:eastAsia="宋体" w:cs="宋体"/>
          <w:bCs/>
        </w:rPr>
      </w:pPr>
      <w:r>
        <w:rPr>
          <w:rFonts w:hint="eastAsia" w:hAnsi="宋体" w:eastAsia="宋体" w:cs="宋体"/>
          <w:bCs/>
        </w:rPr>
        <w:t>投标方认为对其投标有利的其他资料（如需）；</w:t>
      </w:r>
    </w:p>
    <w:p w14:paraId="59F5B149">
      <w:pPr>
        <w:pStyle w:val="144"/>
        <w:numPr>
          <w:ilvl w:val="0"/>
          <w:numId w:val="13"/>
        </w:numPr>
        <w:rPr>
          <w:rFonts w:hAnsi="宋体" w:eastAsia="宋体" w:cs="宋体"/>
          <w:bCs/>
        </w:rPr>
      </w:pPr>
      <w:r>
        <w:rPr>
          <w:rFonts w:hint="eastAsia" w:hAnsi="宋体" w:eastAsia="宋体" w:cs="宋体"/>
          <w:bCs/>
        </w:rPr>
        <w:t>投标保证金缴纳凭证，同时正文描述付款账号、户名、开户行名称、开户行行号、保证金金额。</w:t>
      </w:r>
    </w:p>
    <w:p w14:paraId="0EAD1CF8">
      <w:pPr>
        <w:pStyle w:val="144"/>
        <w:numPr>
          <w:ilvl w:val="0"/>
          <w:numId w:val="14"/>
        </w:numPr>
        <w:ind w:left="10" w:firstLine="0"/>
        <w:rPr>
          <w:rFonts w:hAnsi="宋体" w:eastAsia="宋体" w:cs="宋体"/>
          <w:bCs/>
        </w:rPr>
      </w:pPr>
      <w:r>
        <w:rPr>
          <w:rFonts w:hint="eastAsia" w:hAnsi="宋体" w:eastAsia="宋体" w:cs="宋体"/>
          <w:bCs/>
        </w:rPr>
        <w:t>对于投标人资质审核不通过的，招标人有权拒绝其投标。</w:t>
      </w:r>
    </w:p>
    <w:p w14:paraId="20A6EF09">
      <w:pPr>
        <w:pStyle w:val="143"/>
        <w:numPr>
          <w:ilvl w:val="0"/>
          <w:numId w:val="12"/>
        </w:numPr>
        <w:rPr>
          <w:rFonts w:hAnsi="宋体" w:eastAsia="宋体" w:cs="宋体"/>
        </w:rPr>
      </w:pPr>
      <w:r>
        <w:rPr>
          <w:rFonts w:hint="eastAsia" w:hAnsi="宋体" w:eastAsia="宋体" w:cs="宋体"/>
        </w:rPr>
        <w:t>技术标：</w:t>
      </w:r>
    </w:p>
    <w:p w14:paraId="778CF096">
      <w:pPr>
        <w:pStyle w:val="144"/>
        <w:numPr>
          <w:ilvl w:val="0"/>
          <w:numId w:val="15"/>
        </w:numPr>
        <w:ind w:left="0" w:firstLine="0"/>
        <w:rPr>
          <w:rFonts w:hAnsi="宋体" w:eastAsia="宋体" w:cs="宋体"/>
          <w:bCs/>
          <w:szCs w:val="21"/>
        </w:rPr>
      </w:pPr>
      <w:r>
        <w:rPr>
          <w:rFonts w:hint="eastAsia" w:hAnsi="宋体" w:eastAsia="宋体" w:cs="宋体"/>
          <w:bCs/>
          <w:szCs w:val="21"/>
        </w:rPr>
        <w:t>技术配置对比表。</w:t>
      </w:r>
    </w:p>
    <w:p w14:paraId="161C8C26">
      <w:pPr>
        <w:pStyle w:val="144"/>
        <w:numPr>
          <w:ilvl w:val="0"/>
          <w:numId w:val="15"/>
        </w:numPr>
        <w:ind w:left="0" w:firstLine="0"/>
        <w:rPr>
          <w:rFonts w:hAnsi="宋体" w:eastAsia="宋体" w:cs="宋体"/>
          <w:bCs/>
        </w:rPr>
      </w:pPr>
      <w:r>
        <w:rPr>
          <w:rFonts w:hint="eastAsia" w:hAnsi="宋体" w:eastAsia="宋体" w:cs="宋体"/>
          <w:bCs/>
        </w:rPr>
        <w:t>技术规格偏离表</w:t>
      </w:r>
      <w:r>
        <w:rPr>
          <w:rFonts w:hint="eastAsia" w:hAnsi="宋体" w:eastAsia="宋体" w:cs="宋体"/>
          <w:color w:val="000000"/>
          <w:szCs w:val="21"/>
        </w:rPr>
        <w:t>（附件5-1），</w:t>
      </w:r>
      <w:r>
        <w:rPr>
          <w:rFonts w:hint="eastAsia" w:hAnsi="宋体" w:eastAsia="宋体" w:cs="宋体"/>
          <w:b/>
          <w:color w:val="000000"/>
          <w:szCs w:val="21"/>
        </w:rPr>
        <w:t>必须先进行两列要求一一对照，不允许直接写无偏离；</w:t>
      </w:r>
    </w:p>
    <w:p w14:paraId="0335624F">
      <w:pPr>
        <w:pStyle w:val="144"/>
        <w:numPr>
          <w:ilvl w:val="0"/>
          <w:numId w:val="15"/>
        </w:numPr>
        <w:ind w:left="0" w:firstLine="0"/>
        <w:rPr>
          <w:rFonts w:hAnsi="宋体" w:eastAsia="宋体" w:cs="宋体"/>
          <w:bCs/>
        </w:rPr>
      </w:pPr>
      <w:r>
        <w:rPr>
          <w:rFonts w:hint="eastAsia" w:hAnsi="宋体" w:eastAsia="宋体" w:cs="宋体"/>
          <w:bCs/>
          <w:szCs w:val="21"/>
        </w:rPr>
        <w:t>投标设备配置明细表</w:t>
      </w:r>
      <w:r>
        <w:rPr>
          <w:rFonts w:hint="eastAsia" w:hAnsi="宋体" w:eastAsia="宋体" w:cs="宋体"/>
          <w:color w:val="000000"/>
          <w:szCs w:val="21"/>
        </w:rPr>
        <w:t>（附件5-2），列明项目设备分项配置规格型号、品牌等信息，非标机械部件提供单件图纸（要求分项明细与附表9-1完全对应），但</w:t>
      </w:r>
      <w:r>
        <w:rPr>
          <w:rFonts w:hint="eastAsia" w:hAnsi="宋体" w:eastAsia="宋体" w:cs="宋体"/>
          <w:b/>
          <w:color w:val="000000"/>
          <w:szCs w:val="21"/>
        </w:rPr>
        <w:t>注意：此表在技术标书中，禁止出现任何分项价格及项目总价；</w:t>
      </w:r>
    </w:p>
    <w:p w14:paraId="08D830C3">
      <w:pPr>
        <w:pStyle w:val="144"/>
        <w:numPr>
          <w:ilvl w:val="0"/>
          <w:numId w:val="15"/>
        </w:numPr>
        <w:rPr>
          <w:rFonts w:hAnsi="宋体" w:eastAsia="宋体" w:cs="宋体"/>
          <w:bCs/>
          <w:szCs w:val="21"/>
        </w:rPr>
      </w:pPr>
      <w:r>
        <w:rPr>
          <w:rFonts w:hint="eastAsia" w:hAnsi="宋体" w:eastAsia="宋体" w:cs="宋体"/>
          <w:bCs/>
          <w:szCs w:val="21"/>
        </w:rPr>
        <w:t xml:space="preserve">技术性能、参数的描述； </w:t>
      </w:r>
    </w:p>
    <w:p w14:paraId="5EDB7978">
      <w:pPr>
        <w:pStyle w:val="144"/>
        <w:numPr>
          <w:ilvl w:val="0"/>
          <w:numId w:val="15"/>
        </w:numPr>
        <w:rPr>
          <w:rFonts w:hAnsi="宋体" w:eastAsia="宋体" w:cs="宋体"/>
          <w:bCs/>
          <w:szCs w:val="21"/>
        </w:rPr>
      </w:pPr>
      <w:r>
        <w:rPr>
          <w:rFonts w:hint="eastAsia" w:hAnsi="宋体" w:eastAsia="宋体" w:cs="宋体"/>
          <w:bCs/>
          <w:szCs w:val="21"/>
        </w:rPr>
        <w:t xml:space="preserve">备品备件工具材料明细表； </w:t>
      </w:r>
    </w:p>
    <w:p w14:paraId="4C6FC558">
      <w:pPr>
        <w:pStyle w:val="144"/>
        <w:numPr>
          <w:ilvl w:val="0"/>
          <w:numId w:val="15"/>
        </w:numPr>
        <w:rPr>
          <w:rFonts w:hAnsi="宋体" w:eastAsia="宋体" w:cs="宋体"/>
          <w:bCs/>
          <w:szCs w:val="21"/>
        </w:rPr>
      </w:pPr>
      <w:r>
        <w:rPr>
          <w:rFonts w:hint="eastAsia" w:hAnsi="宋体" w:eastAsia="宋体" w:cs="宋体"/>
          <w:color w:val="000000"/>
          <w:szCs w:val="21"/>
        </w:rPr>
        <w:t>供货期及保证措施；</w:t>
      </w:r>
    </w:p>
    <w:p w14:paraId="58A9467B">
      <w:pPr>
        <w:pStyle w:val="144"/>
        <w:numPr>
          <w:ilvl w:val="0"/>
          <w:numId w:val="15"/>
        </w:numPr>
        <w:rPr>
          <w:bCs/>
          <w:szCs w:val="21"/>
        </w:rPr>
      </w:pPr>
      <w:r>
        <w:rPr>
          <w:rFonts w:hint="eastAsia" w:hAnsi="宋体" w:eastAsia="宋体" w:cs="宋体"/>
          <w:color w:val="000000"/>
          <w:szCs w:val="21"/>
        </w:rPr>
        <w:t>产品的技术服务和售后服务内容及措施;</w:t>
      </w:r>
    </w:p>
    <w:p w14:paraId="64670B79">
      <w:pPr>
        <w:pStyle w:val="144"/>
        <w:numPr>
          <w:ilvl w:val="0"/>
          <w:numId w:val="15"/>
        </w:numPr>
        <w:rPr>
          <w:bCs/>
          <w:szCs w:val="21"/>
        </w:rPr>
      </w:pPr>
      <w:r>
        <w:rPr>
          <w:rFonts w:hint="eastAsia" w:hAnsi="宋体" w:eastAsia="宋体" w:cs="宋体"/>
          <w:color w:val="000000"/>
          <w:szCs w:val="21"/>
        </w:rPr>
        <w:t>交货进度及计划；</w:t>
      </w:r>
    </w:p>
    <w:p w14:paraId="21987117">
      <w:pPr>
        <w:pStyle w:val="144"/>
        <w:numPr>
          <w:ilvl w:val="0"/>
          <w:numId w:val="15"/>
        </w:numPr>
        <w:rPr>
          <w:bCs/>
          <w:szCs w:val="21"/>
        </w:rPr>
      </w:pPr>
      <w:r>
        <w:rPr>
          <w:rFonts w:hint="eastAsia" w:hAnsi="宋体" w:eastAsia="宋体" w:cs="宋体"/>
          <w:color w:val="000000"/>
          <w:szCs w:val="21"/>
        </w:rPr>
        <w:t>投标产品技术支持材料；</w:t>
      </w:r>
    </w:p>
    <w:p w14:paraId="6FEB6DF5">
      <w:pPr>
        <w:pStyle w:val="144"/>
        <w:numPr>
          <w:ilvl w:val="0"/>
          <w:numId w:val="15"/>
        </w:numPr>
        <w:rPr>
          <w:bCs/>
          <w:szCs w:val="21"/>
        </w:rPr>
      </w:pPr>
      <w:r>
        <w:rPr>
          <w:rFonts w:hint="eastAsia" w:hAnsi="宋体" w:eastAsia="宋体" w:cs="宋体"/>
          <w:color w:val="000000"/>
          <w:szCs w:val="21"/>
        </w:rPr>
        <w:t>设备质量承诺函（附件7）；</w:t>
      </w:r>
    </w:p>
    <w:p w14:paraId="177B3EDC">
      <w:pPr>
        <w:pStyle w:val="143"/>
        <w:numPr>
          <w:ilvl w:val="0"/>
          <w:numId w:val="12"/>
        </w:numPr>
        <w:rPr>
          <w:rFonts w:hAnsi="宋体" w:eastAsia="宋体" w:cs="宋体"/>
        </w:rPr>
      </w:pPr>
      <w:r>
        <w:rPr>
          <w:rFonts w:hint="eastAsia" w:hAnsi="宋体" w:eastAsia="宋体" w:cs="宋体"/>
        </w:rPr>
        <w:t>商务标：</w:t>
      </w:r>
    </w:p>
    <w:p w14:paraId="33B5B9A8">
      <w:pPr>
        <w:pStyle w:val="144"/>
        <w:numPr>
          <w:ilvl w:val="0"/>
          <w:numId w:val="16"/>
        </w:numPr>
        <w:rPr>
          <w:rFonts w:hAnsi="宋体" w:eastAsia="宋体" w:cs="宋体"/>
          <w:bCs/>
        </w:rPr>
      </w:pPr>
      <w:r>
        <w:rPr>
          <w:rFonts w:hint="eastAsia" w:hAnsi="宋体" w:eastAsia="宋体" w:cs="宋体"/>
          <w:bCs/>
        </w:rPr>
        <w:t>开标一览表（附件8）;</w:t>
      </w:r>
    </w:p>
    <w:p w14:paraId="6C34F28A">
      <w:pPr>
        <w:pStyle w:val="144"/>
        <w:numPr>
          <w:ilvl w:val="0"/>
          <w:numId w:val="16"/>
        </w:numPr>
        <w:rPr>
          <w:rFonts w:hAnsi="宋体" w:eastAsia="宋体" w:cs="宋体"/>
          <w:bCs/>
          <w:szCs w:val="21"/>
        </w:rPr>
      </w:pPr>
      <w:r>
        <w:rPr>
          <w:rFonts w:hint="eastAsia" w:hAnsi="宋体" w:eastAsia="宋体" w:cs="宋体"/>
          <w:bCs/>
          <w:szCs w:val="21"/>
        </w:rPr>
        <w:t>投标函（附件1）;</w:t>
      </w:r>
    </w:p>
    <w:p w14:paraId="75C21329">
      <w:pPr>
        <w:pStyle w:val="144"/>
        <w:numPr>
          <w:ilvl w:val="0"/>
          <w:numId w:val="16"/>
        </w:numPr>
        <w:ind w:left="0" w:firstLine="0"/>
        <w:rPr>
          <w:rFonts w:hAnsi="宋体" w:eastAsia="宋体" w:cs="宋体"/>
          <w:bCs/>
          <w:szCs w:val="21"/>
        </w:rPr>
      </w:pPr>
      <w:r>
        <w:rPr>
          <w:rFonts w:hint="eastAsia" w:hAnsi="宋体" w:eastAsia="宋体" w:cs="宋体"/>
          <w:bCs/>
          <w:szCs w:val="21"/>
        </w:rPr>
        <w:t>投标报价明细表（附件9-1至9-5）</w:t>
      </w:r>
      <w:r>
        <w:rPr>
          <w:rFonts w:hint="eastAsia" w:hAnsi="宋体" w:eastAsia="宋体" w:cs="宋体"/>
          <w:b/>
          <w:szCs w:val="21"/>
        </w:rPr>
        <w:t>【分项报价中需明确：规格型号、材质、重量、数量、品牌、价格等信息，注明是否包含加工费等其他费用】</w:t>
      </w:r>
      <w:r>
        <w:rPr>
          <w:rFonts w:hint="eastAsia" w:hAnsi="宋体" w:eastAsia="宋体" w:cs="宋体"/>
          <w:bCs/>
          <w:szCs w:val="21"/>
        </w:rPr>
        <w:t>；</w:t>
      </w:r>
    </w:p>
    <w:p w14:paraId="4C7CFCBF">
      <w:pPr>
        <w:pStyle w:val="144"/>
        <w:numPr>
          <w:ilvl w:val="0"/>
          <w:numId w:val="16"/>
        </w:numPr>
        <w:rPr>
          <w:rFonts w:hAnsi="宋体" w:eastAsia="宋体" w:cs="宋体"/>
          <w:bCs/>
          <w:szCs w:val="21"/>
        </w:rPr>
      </w:pPr>
      <w:r>
        <w:rPr>
          <w:rFonts w:hint="eastAsia" w:hAnsi="宋体" w:eastAsia="宋体" w:cs="宋体"/>
          <w:bCs/>
          <w:szCs w:val="21"/>
        </w:rPr>
        <w:t>商务条款偏离表</w:t>
      </w:r>
      <w:r>
        <w:rPr>
          <w:rFonts w:hint="eastAsia" w:hAnsi="宋体" w:eastAsia="宋体" w:cs="宋体"/>
          <w:color w:val="000000"/>
          <w:szCs w:val="21"/>
        </w:rPr>
        <w:t>（附件10）</w:t>
      </w:r>
      <w:r>
        <w:rPr>
          <w:rFonts w:hint="eastAsia" w:hAnsi="宋体" w:eastAsia="宋体" w:cs="宋体"/>
          <w:bCs/>
          <w:szCs w:val="21"/>
        </w:rPr>
        <w:t>；</w:t>
      </w:r>
    </w:p>
    <w:p w14:paraId="43444996">
      <w:pPr>
        <w:pStyle w:val="144"/>
        <w:numPr>
          <w:ilvl w:val="0"/>
          <w:numId w:val="16"/>
        </w:numPr>
        <w:rPr>
          <w:rFonts w:hAnsi="宋体" w:eastAsia="宋体" w:cs="宋体"/>
          <w:bCs/>
          <w:szCs w:val="21"/>
        </w:rPr>
      </w:pPr>
      <w:r>
        <w:rPr>
          <w:rFonts w:hint="eastAsia" w:hAnsi="宋体" w:eastAsia="宋体" w:cs="宋体"/>
          <w:color w:val="000000"/>
          <w:szCs w:val="21"/>
        </w:rPr>
        <w:t>投标人承诺（附件11）</w:t>
      </w:r>
    </w:p>
    <w:p w14:paraId="4ECCFD31">
      <w:pPr>
        <w:pStyle w:val="144"/>
        <w:numPr>
          <w:ilvl w:val="0"/>
          <w:numId w:val="16"/>
        </w:numPr>
        <w:rPr>
          <w:rFonts w:hAnsi="宋体" w:eastAsia="宋体" w:cs="宋体"/>
          <w:bCs/>
          <w:szCs w:val="21"/>
        </w:rPr>
      </w:pPr>
      <w:r>
        <w:rPr>
          <w:rFonts w:hint="eastAsia" w:hAnsi="宋体" w:eastAsia="宋体" w:cs="宋体"/>
          <w:bCs/>
          <w:szCs w:val="21"/>
        </w:rPr>
        <w:t>备配件目录价格及折扣报价表</w:t>
      </w:r>
    </w:p>
    <w:p w14:paraId="52B51256">
      <w:pPr>
        <w:pStyle w:val="144"/>
        <w:numPr>
          <w:ilvl w:val="0"/>
          <w:numId w:val="16"/>
        </w:numPr>
        <w:rPr>
          <w:rFonts w:hAnsi="宋体" w:eastAsia="宋体" w:cs="宋体"/>
          <w:bCs/>
          <w:szCs w:val="21"/>
        </w:rPr>
      </w:pPr>
      <w:r>
        <w:rPr>
          <w:rFonts w:hint="eastAsia" w:hAnsi="宋体" w:eastAsia="宋体" w:cs="宋体"/>
          <w:color w:val="000000"/>
          <w:szCs w:val="21"/>
        </w:rPr>
        <w:t>服务承诺函（附件12），</w:t>
      </w:r>
      <w:r>
        <w:rPr>
          <w:rFonts w:hint="eastAsia" w:hAnsi="宋体" w:eastAsia="宋体" w:cs="宋体"/>
          <w:b/>
          <w:color w:val="000000"/>
          <w:szCs w:val="21"/>
        </w:rPr>
        <w:t>需写明质保期以外服务费用情况</w:t>
      </w:r>
      <w:r>
        <w:rPr>
          <w:rFonts w:hint="eastAsia" w:hAnsi="宋体" w:eastAsia="宋体" w:cs="宋体"/>
          <w:color w:val="000000"/>
          <w:szCs w:val="21"/>
        </w:rPr>
        <w:t>；</w:t>
      </w:r>
    </w:p>
    <w:p w14:paraId="5CDB8AC7">
      <w:pPr>
        <w:pStyle w:val="144"/>
        <w:numPr>
          <w:ilvl w:val="0"/>
          <w:numId w:val="14"/>
        </w:numPr>
        <w:ind w:left="10" w:firstLine="0"/>
        <w:rPr>
          <w:rFonts w:hAnsi="宋体" w:eastAsia="宋体" w:cs="宋体"/>
          <w:bCs/>
        </w:rPr>
      </w:pPr>
      <w:r>
        <w:rPr>
          <w:rFonts w:hint="eastAsia" w:hAnsi="宋体" w:eastAsia="宋体" w:cs="宋体"/>
          <w:bCs/>
        </w:rPr>
        <w:t>商务报价注意内容：项目预算价：</w:t>
      </w:r>
      <w:r>
        <w:rPr>
          <w:rFonts w:hint="eastAsia" w:hAnsi="宋体" w:eastAsia="宋体" w:cs="宋体"/>
          <w:bCs/>
          <w:highlight w:val="yellow"/>
        </w:rPr>
        <w:t>人民币</w:t>
      </w:r>
      <w:r>
        <w:rPr>
          <w:rFonts w:hint="eastAsia" w:hAnsi="宋体" w:eastAsia="宋体" w:cs="宋体"/>
          <w:bCs/>
          <w:highlight w:val="yellow"/>
          <w:u w:val="single"/>
        </w:rPr>
        <w:t xml:space="preserve"> </w:t>
      </w:r>
      <w:r>
        <w:rPr>
          <w:rFonts w:hint="eastAsia" w:hAnsi="宋体" w:eastAsia="宋体" w:cs="宋体"/>
          <w:bCs/>
          <w:highlight w:val="yellow"/>
          <w:u w:val="single"/>
          <w:lang w:val="en-US" w:eastAsia="zh-CN"/>
        </w:rPr>
        <w:t>9.88</w:t>
      </w:r>
      <w:r>
        <w:rPr>
          <w:rFonts w:hint="eastAsia" w:hAnsi="宋体" w:eastAsia="宋体" w:cs="宋体"/>
          <w:bCs/>
          <w:highlight w:val="yellow"/>
          <w:u w:val="single"/>
        </w:rPr>
        <w:t xml:space="preserve"> </w:t>
      </w:r>
      <w:r>
        <w:rPr>
          <w:rFonts w:hint="eastAsia" w:hAnsi="宋体" w:eastAsia="宋体" w:cs="宋体"/>
          <w:bCs/>
          <w:highlight w:val="yellow"/>
        </w:rPr>
        <w:t>万元（含</w:t>
      </w:r>
      <w:r>
        <w:rPr>
          <w:rFonts w:hint="eastAsia" w:hAnsi="宋体" w:eastAsia="宋体" w:cs="宋体"/>
          <w:bCs/>
          <w:highlight w:val="yellow"/>
          <w:u w:val="single"/>
          <w:lang w:val="en-US" w:eastAsia="zh-CN"/>
        </w:rPr>
        <w:t>6</w:t>
      </w:r>
      <w:r>
        <w:rPr>
          <w:rFonts w:hint="eastAsia" w:hAnsi="宋体" w:eastAsia="宋体" w:cs="宋体"/>
          <w:bCs/>
          <w:highlight w:val="yellow"/>
        </w:rPr>
        <w:t>%增值税）</w:t>
      </w:r>
      <w:r>
        <w:rPr>
          <w:rFonts w:hint="eastAsia" w:hAnsi="宋体" w:eastAsia="宋体" w:cs="宋体"/>
          <w:bCs/>
        </w:rPr>
        <w:t>。</w:t>
      </w:r>
    </w:p>
    <w:p w14:paraId="364F2C96">
      <w:pPr>
        <w:pStyle w:val="141"/>
        <w:numPr>
          <w:ilvl w:val="0"/>
          <w:numId w:val="11"/>
        </w:numPr>
        <w:ind w:firstLine="0"/>
        <w:rPr>
          <w:rFonts w:cs="Times New Roman"/>
          <w:b w:val="0"/>
        </w:rPr>
      </w:pPr>
      <w:r>
        <w:rPr>
          <w:rFonts w:hint="eastAsia" w:cs="Times New Roman"/>
          <w:b w:val="0"/>
        </w:rPr>
        <w:t>投标文件的投递</w:t>
      </w:r>
    </w:p>
    <w:p w14:paraId="2885E3E6">
      <w:pPr>
        <w:pStyle w:val="144"/>
        <w:numPr>
          <w:ilvl w:val="0"/>
          <w:numId w:val="17"/>
        </w:numPr>
        <w:rPr>
          <w:rFonts w:eastAsia="宋体" w:cs="Times New Roman"/>
          <w:b/>
        </w:rPr>
      </w:pPr>
      <w:r>
        <w:rPr>
          <w:rFonts w:hint="eastAsia" w:eastAsia="宋体" w:cs="Times New Roman"/>
          <w:b/>
        </w:rPr>
        <w:t>投标方式：</w:t>
      </w:r>
    </w:p>
    <w:p w14:paraId="4AA97B85">
      <w:pPr>
        <w:spacing w:line="360" w:lineRule="auto"/>
        <w:ind w:firstLine="422" w:firstLineChars="200"/>
        <w:rPr>
          <w:rFonts w:eastAsia="宋体" w:cs="宋体"/>
          <w:bCs/>
          <w:szCs w:val="21"/>
        </w:rPr>
      </w:pPr>
      <w:r>
        <w:rPr>
          <w:rFonts w:hint="eastAsia" w:eastAsia="宋体" w:cs="宋体"/>
          <w:b/>
          <w:szCs w:val="21"/>
        </w:rPr>
        <w:t>在中国重汽e采通平台应标成功后，进入“供应商投标”环节，投递盖章扫描版电子标书（包含资质标书、技术标书、商务标书），</w:t>
      </w:r>
      <w:r>
        <w:rPr>
          <w:rFonts w:ascii="宋体" w:hAnsi="宋体" w:eastAsia="宋体" w:cs="宋体"/>
          <w:szCs w:val="21"/>
        </w:rPr>
        <w:t>若逾期未</w:t>
      </w:r>
      <w:r>
        <w:rPr>
          <w:rFonts w:hint="eastAsia" w:ascii="宋体" w:hAnsi="宋体" w:eastAsia="宋体" w:cs="宋体"/>
          <w:szCs w:val="21"/>
        </w:rPr>
        <w:t>在中国</w:t>
      </w:r>
      <w:r>
        <w:rPr>
          <w:rFonts w:ascii="宋体" w:hAnsi="宋体" w:eastAsia="宋体" w:cs="宋体"/>
          <w:szCs w:val="21"/>
        </w:rPr>
        <w:t>重汽e采通</w:t>
      </w:r>
      <w:r>
        <w:rPr>
          <w:rFonts w:hint="eastAsia" w:ascii="宋体" w:hAnsi="宋体" w:eastAsia="宋体" w:cs="宋体"/>
          <w:szCs w:val="21"/>
        </w:rPr>
        <w:t>平台</w:t>
      </w:r>
      <w:r>
        <w:rPr>
          <w:rFonts w:ascii="宋体" w:hAnsi="宋体" w:eastAsia="宋体" w:cs="宋体"/>
          <w:szCs w:val="21"/>
        </w:rPr>
        <w:t>上传</w:t>
      </w:r>
      <w:r>
        <w:rPr>
          <w:rFonts w:hint="eastAsia" w:ascii="宋体" w:hAnsi="宋体" w:eastAsia="宋体" w:cs="宋体"/>
          <w:szCs w:val="21"/>
        </w:rPr>
        <w:t>电子</w:t>
      </w:r>
      <w:r>
        <w:rPr>
          <w:rFonts w:ascii="宋体" w:hAnsi="宋体" w:eastAsia="宋体" w:cs="宋体"/>
          <w:szCs w:val="21"/>
        </w:rPr>
        <w:t>标书，即便递交了纸版投标文件，一律视为无效投标</w:t>
      </w:r>
      <w:r>
        <w:rPr>
          <w:rFonts w:hint="eastAsia" w:eastAsia="宋体" w:cs="宋体"/>
          <w:b/>
          <w:szCs w:val="21"/>
        </w:rPr>
        <w:t>。</w:t>
      </w:r>
    </w:p>
    <w:p w14:paraId="6C3A0C44">
      <w:pPr>
        <w:spacing w:line="360" w:lineRule="auto"/>
        <w:ind w:firstLine="420" w:firstLineChars="200"/>
        <w:rPr>
          <w:rFonts w:eastAsia="宋体" w:cs="宋体"/>
          <w:bCs/>
          <w:szCs w:val="21"/>
        </w:rPr>
      </w:pPr>
      <w:r>
        <w:rPr>
          <w:rFonts w:hint="eastAsia" w:eastAsia="宋体" w:cs="宋体"/>
          <w:bCs/>
          <w:szCs w:val="21"/>
        </w:rPr>
        <w:t>纸质版投标文件的份数要求为</w:t>
      </w:r>
      <w:r>
        <w:rPr>
          <w:rFonts w:hint="eastAsia" w:ascii="宋体" w:hAnsi="宋体" w:eastAsia="宋体" w:cs="宋体"/>
          <w:b/>
          <w:szCs w:val="21"/>
        </w:rPr>
        <w:t>正本一份，副本二份，</w:t>
      </w:r>
      <w:r>
        <w:rPr>
          <w:rFonts w:hint="eastAsia" w:ascii="宋体" w:hAnsi="宋体" w:eastAsia="宋体" w:cs="宋体"/>
          <w:bCs/>
          <w:szCs w:val="21"/>
        </w:rPr>
        <w:t>资质投标书、技术投标书及商务投标书的</w:t>
      </w:r>
      <w:r>
        <w:rPr>
          <w:rFonts w:hint="eastAsia" w:eastAsia="宋体" w:cs="宋体"/>
          <w:b/>
          <w:szCs w:val="21"/>
        </w:rPr>
        <w:t>同类文件封装在一个包封里，包封表面按照附件13标注文件信息；共计三个包封</w:t>
      </w:r>
      <w:r>
        <w:rPr>
          <w:rFonts w:hint="eastAsia" w:eastAsia="宋体" w:cs="宋体"/>
          <w:bCs/>
          <w:szCs w:val="21"/>
        </w:rPr>
        <w:t>。</w:t>
      </w:r>
    </w:p>
    <w:p w14:paraId="0626DD64">
      <w:pPr>
        <w:pStyle w:val="17"/>
        <w:spacing w:line="360" w:lineRule="auto"/>
        <w:ind w:firstLine="420" w:firstLineChars="200"/>
        <w:rPr>
          <w:rFonts w:eastAsia="宋体" w:cs="宋体" w:asciiTheme="minorHAnsi" w:hAnsiTheme="minorHAnsi"/>
          <w:bCs/>
          <w:szCs w:val="21"/>
        </w:rPr>
      </w:pPr>
      <w:r>
        <w:rPr>
          <w:rFonts w:hint="eastAsia" w:eastAsia="宋体" w:cs="宋体" w:asciiTheme="minorHAnsi" w:hAnsiTheme="minorHAnsi"/>
          <w:bCs/>
          <w:szCs w:val="21"/>
        </w:rPr>
        <w:t>如选择到场参与开标，自行携带纸质投标文件于开标前至开标地点即可。</w:t>
      </w:r>
    </w:p>
    <w:p w14:paraId="0459142F">
      <w:pPr>
        <w:pStyle w:val="144"/>
        <w:numPr>
          <w:ilvl w:val="0"/>
          <w:numId w:val="0"/>
        </w:numPr>
        <w:rPr>
          <w:rFonts w:eastAsia="宋体" w:cs="Times New Roman"/>
          <w:bCs/>
          <w:szCs w:val="21"/>
        </w:rPr>
      </w:pPr>
      <w:r>
        <w:rPr>
          <w:rFonts w:hint="eastAsia" w:eastAsia="宋体" w:cs="宋体" w:asciiTheme="minorHAnsi" w:hAnsiTheme="minorHAnsi"/>
          <w:bCs/>
          <w:szCs w:val="21"/>
        </w:rPr>
        <w:t>如选择线上参与开标，纸质投标文件需在开标日前两天，邮寄到指定地址。</w:t>
      </w:r>
    </w:p>
    <w:p w14:paraId="30C39A70">
      <w:pPr>
        <w:pStyle w:val="144"/>
        <w:numPr>
          <w:ilvl w:val="0"/>
          <w:numId w:val="17"/>
        </w:numPr>
        <w:rPr>
          <w:rFonts w:eastAsia="宋体" w:cs="Times New Roman"/>
          <w:bCs/>
        </w:rPr>
      </w:pPr>
      <w:r>
        <w:rPr>
          <w:rFonts w:hint="eastAsia" w:eastAsia="宋体" w:cs="Times New Roman"/>
          <w:b/>
        </w:rPr>
        <w:t>邮寄地址：</w:t>
      </w:r>
      <w:r>
        <w:rPr>
          <w:rFonts w:hint="eastAsia" w:eastAsia="宋体" w:cs="Times New Roman"/>
          <w:bCs/>
        </w:rPr>
        <w:t>山东省济南市章丘区潘王路东园区十一号路北，</w:t>
      </w:r>
      <w:r>
        <w:rPr>
          <w:rFonts w:eastAsia="宋体" w:cs="Times New Roman"/>
          <w:bCs/>
        </w:rPr>
        <w:t xml:space="preserve"> </w:t>
      </w:r>
    </w:p>
    <w:p w14:paraId="12E69AA1">
      <w:pPr>
        <w:pStyle w:val="144"/>
        <w:numPr>
          <w:ilvl w:val="0"/>
          <w:numId w:val="17"/>
        </w:numPr>
        <w:rPr>
          <w:rFonts w:eastAsia="宋体" w:cs="Times New Roman"/>
          <w:bCs/>
        </w:rPr>
      </w:pPr>
      <w:r>
        <w:rPr>
          <w:rFonts w:hint="eastAsia" w:eastAsia="宋体" w:cs="Times New Roman"/>
          <w:b/>
        </w:rPr>
        <w:t>联系人及联系方式：</w:t>
      </w:r>
      <w:r>
        <w:rPr>
          <w:rFonts w:hint="eastAsia" w:eastAsia="宋体" w:cs="Times New Roman"/>
          <w:b/>
          <w:lang w:val="en-US" w:eastAsia="zh-CN"/>
        </w:rPr>
        <w:t>喻新</w:t>
      </w:r>
      <w:r>
        <w:rPr>
          <w:rFonts w:hint="eastAsia" w:eastAsia="宋体" w:cs="Times New Roman"/>
          <w:bCs/>
        </w:rPr>
        <w:t>/</w:t>
      </w:r>
      <w:r>
        <w:rPr>
          <w:rFonts w:hint="eastAsia" w:eastAsia="宋体" w:cs="Times New Roman"/>
          <w:bCs/>
          <w:lang w:val="en-US" w:eastAsia="zh-CN"/>
        </w:rPr>
        <w:t>17398245138</w:t>
      </w:r>
    </w:p>
    <w:p w14:paraId="197A8D25">
      <w:pPr>
        <w:pStyle w:val="144"/>
        <w:numPr>
          <w:ilvl w:val="0"/>
          <w:numId w:val="17"/>
        </w:numPr>
        <w:rPr>
          <w:rFonts w:eastAsia="宋体" w:cs="Times New Roman"/>
          <w:bCs/>
          <w:highlight w:val="yellow"/>
        </w:rPr>
      </w:pPr>
      <w:r>
        <w:rPr>
          <w:rFonts w:hint="eastAsia" w:eastAsia="宋体" w:cs="Times New Roman"/>
          <w:b/>
          <w:highlight w:val="yellow"/>
        </w:rPr>
        <w:t>投标文件递交截止时间：</w:t>
      </w:r>
      <w:r>
        <w:rPr>
          <w:rFonts w:hint="eastAsia" w:eastAsia="宋体" w:cs="Times New Roman"/>
          <w:bCs/>
          <w:highlight w:val="yellow"/>
        </w:rPr>
        <w:t>2026年</w:t>
      </w:r>
      <w:r>
        <w:rPr>
          <w:rFonts w:hint="eastAsia" w:eastAsia="宋体" w:cs="Times New Roman"/>
          <w:bCs/>
          <w:highlight w:val="yellow"/>
          <w:lang w:val="en-US" w:eastAsia="zh-CN"/>
        </w:rPr>
        <w:t>6</w:t>
      </w:r>
      <w:r>
        <w:rPr>
          <w:rFonts w:hint="eastAsia" w:eastAsia="宋体" w:cs="Times New Roman"/>
          <w:bCs/>
          <w:highlight w:val="yellow"/>
        </w:rPr>
        <w:t>月</w:t>
      </w:r>
      <w:r>
        <w:rPr>
          <w:rFonts w:hint="eastAsia" w:eastAsia="宋体" w:cs="Times New Roman"/>
          <w:bCs/>
          <w:highlight w:val="yellow"/>
          <w:lang w:val="en-US" w:eastAsia="zh-CN"/>
        </w:rPr>
        <w:t>22</w:t>
      </w:r>
      <w:r>
        <w:rPr>
          <w:rFonts w:hint="eastAsia" w:eastAsia="宋体" w:cs="Times New Roman"/>
          <w:bCs/>
          <w:highlight w:val="yellow"/>
        </w:rPr>
        <w:t>日上午</w:t>
      </w:r>
      <w:r>
        <w:rPr>
          <w:rFonts w:eastAsia="宋体" w:cs="Times New Roman"/>
          <w:bCs/>
          <w:highlight w:val="yellow"/>
        </w:rPr>
        <w:t>8</w:t>
      </w:r>
      <w:r>
        <w:rPr>
          <w:rFonts w:hint="eastAsia" w:eastAsia="宋体" w:cs="Times New Roman"/>
          <w:bCs/>
          <w:highlight w:val="yellow"/>
        </w:rPr>
        <w:t>:00:00</w:t>
      </w:r>
    </w:p>
    <w:p w14:paraId="284CF414">
      <w:pPr>
        <w:pStyle w:val="144"/>
        <w:numPr>
          <w:ilvl w:val="0"/>
          <w:numId w:val="17"/>
        </w:numPr>
        <w:rPr>
          <w:rFonts w:eastAsia="宋体" w:cs="Times New Roman"/>
          <w:bCs/>
        </w:rPr>
      </w:pPr>
      <w:r>
        <w:rPr>
          <w:rFonts w:hint="eastAsia" w:eastAsia="宋体" w:cs="Times New Roman"/>
          <w:b/>
        </w:rPr>
        <w:t>投标文件有效期：</w:t>
      </w:r>
      <w:r>
        <w:rPr>
          <w:rFonts w:hint="eastAsia" w:eastAsia="宋体" w:cs="Times New Roman"/>
          <w:bCs/>
        </w:rPr>
        <w:t>自开标之日起90个日历日</w:t>
      </w:r>
    </w:p>
    <w:p w14:paraId="0771B6DC">
      <w:pPr>
        <w:pStyle w:val="144"/>
        <w:numPr>
          <w:ilvl w:val="0"/>
          <w:numId w:val="17"/>
        </w:numPr>
        <w:ind w:left="0" w:firstLine="0"/>
        <w:rPr>
          <w:rFonts w:eastAsia="宋体" w:cs="Times New Roman"/>
          <w:bCs/>
        </w:rPr>
      </w:pPr>
      <w:r>
        <w:rPr>
          <w:rFonts w:hint="eastAsia" w:eastAsia="宋体" w:cs="Times New Roman"/>
          <w:bCs/>
        </w:rPr>
        <w:t>纸质版投标文件和电子版投标文件必须保证内容一致；如确实存在不一致的，以电子标书为准，同时要求投标人对纸版标书做出修正。</w:t>
      </w:r>
    </w:p>
    <w:p w14:paraId="0564BBF6">
      <w:pPr>
        <w:pStyle w:val="144"/>
        <w:numPr>
          <w:ilvl w:val="0"/>
          <w:numId w:val="17"/>
        </w:numPr>
        <w:ind w:left="0" w:firstLine="0"/>
        <w:rPr>
          <w:rFonts w:hAnsi="宋体" w:eastAsia="宋体" w:cs="宋体"/>
          <w:szCs w:val="21"/>
        </w:rPr>
      </w:pPr>
      <w:r>
        <w:rPr>
          <w:rFonts w:hint="eastAsia" w:hAnsi="宋体" w:eastAsia="宋体" w:cs="宋体"/>
          <w:b/>
          <w:bCs/>
          <w:szCs w:val="21"/>
        </w:rPr>
        <w:t>投标文件的装订：</w:t>
      </w:r>
      <w:r>
        <w:rPr>
          <w:rFonts w:hint="eastAsia" w:hAnsi="宋体" w:eastAsia="宋体" w:cs="宋体"/>
          <w:szCs w:val="21"/>
        </w:rPr>
        <w:t>投标人必须将投标文件按照资质标文件1册、技术标文件1册、商务标文件1册</w:t>
      </w:r>
      <w:r>
        <w:rPr>
          <w:rFonts w:hint="eastAsia" w:hAnsi="宋体" w:eastAsia="宋体" w:cs="宋体"/>
          <w:b/>
          <w:bCs/>
          <w:szCs w:val="21"/>
        </w:rPr>
        <w:t>分别进行</w:t>
      </w:r>
      <w:r>
        <w:rPr>
          <w:rFonts w:hint="eastAsia" w:hAnsi="宋体" w:eastAsia="宋体" w:cs="宋体"/>
          <w:bCs/>
          <w:szCs w:val="21"/>
        </w:rPr>
        <w:t>胶装</w:t>
      </w:r>
      <w:r>
        <w:rPr>
          <w:rFonts w:hint="eastAsia" w:hAnsi="宋体" w:eastAsia="宋体" w:cs="宋体"/>
          <w:szCs w:val="21"/>
        </w:rPr>
        <w:t>，各自不允许超过两册。</w:t>
      </w:r>
    </w:p>
    <w:p w14:paraId="5E059364">
      <w:pPr>
        <w:pStyle w:val="144"/>
        <w:numPr>
          <w:ilvl w:val="0"/>
          <w:numId w:val="0"/>
        </w:numPr>
        <w:rPr>
          <w:rFonts w:eastAsia="宋体" w:cs="Times New Roman"/>
          <w:bCs/>
          <w:szCs w:val="21"/>
        </w:rPr>
      </w:pPr>
      <w:r>
        <w:rPr>
          <w:rFonts w:hint="eastAsia" w:hAnsi="宋体" w:eastAsia="宋体" w:cs="宋体"/>
          <w:b/>
          <w:bCs/>
          <w:szCs w:val="21"/>
        </w:rPr>
        <w:t>技术标书和商务标书不单独装订的，投标文件做无效标处理。</w:t>
      </w:r>
    </w:p>
    <w:p w14:paraId="2CB7B85A">
      <w:pPr>
        <w:pStyle w:val="140"/>
        <w:rPr>
          <w:rFonts w:cs="Times New Roman"/>
        </w:rPr>
      </w:pPr>
      <w:bookmarkStart w:id="24" w:name="_Toc47976601"/>
      <w:r>
        <w:rPr>
          <w:rFonts w:hint="eastAsia" w:cs="Times New Roman"/>
        </w:rPr>
        <w:t>投标保证金收取、缴纳有效期及罚没</w:t>
      </w:r>
    </w:p>
    <w:p w14:paraId="788B9241">
      <w:pPr>
        <w:pStyle w:val="140"/>
        <w:numPr>
          <w:ilvl w:val="0"/>
          <w:numId w:val="18"/>
        </w:numPr>
        <w:rPr>
          <w:rFonts w:ascii="宋体" w:hAnsi="宋体" w:eastAsia="宋体" w:cs="宋体"/>
          <w:b w:val="0"/>
          <w:bCs w:val="0"/>
          <w:sz w:val="21"/>
          <w:szCs w:val="21"/>
          <w:u w:val="single"/>
        </w:rPr>
      </w:pPr>
      <w:r>
        <w:rPr>
          <w:rFonts w:hint="eastAsia" w:ascii="宋体" w:hAnsi="宋体" w:eastAsia="宋体" w:cs="宋体"/>
          <w:b w:val="0"/>
          <w:bCs w:val="0"/>
          <w:sz w:val="21"/>
          <w:szCs w:val="21"/>
        </w:rPr>
        <w:t>投标保证金的缴纳</w:t>
      </w:r>
    </w:p>
    <w:p w14:paraId="3B0E6476">
      <w:pPr>
        <w:pStyle w:val="140"/>
        <w:numPr>
          <w:ilvl w:val="0"/>
          <w:numId w:val="19"/>
        </w:numPr>
        <w:rPr>
          <w:rFonts w:ascii="宋体" w:hAnsi="宋体" w:eastAsia="宋体" w:cs="宋体"/>
          <w:sz w:val="21"/>
          <w:szCs w:val="21"/>
          <w:u w:val="single"/>
        </w:rPr>
      </w:pPr>
      <w:r>
        <w:rPr>
          <w:rFonts w:hint="eastAsia" w:ascii="宋体" w:hAnsi="宋体" w:eastAsia="宋体" w:cs="宋体"/>
          <w:sz w:val="21"/>
          <w:szCs w:val="21"/>
        </w:rPr>
        <w:t>投标保证金的缴纳形式：电汇</w:t>
      </w:r>
    </w:p>
    <w:p w14:paraId="7CC6CC42">
      <w:pPr>
        <w:pStyle w:val="140"/>
        <w:numPr>
          <w:ilvl w:val="0"/>
          <w:numId w:val="19"/>
        </w:numPr>
        <w:rPr>
          <w:rFonts w:ascii="宋体" w:hAnsi="宋体" w:eastAsia="宋体" w:cs="宋体"/>
          <w:sz w:val="21"/>
          <w:szCs w:val="21"/>
          <w:u w:val="single"/>
        </w:rPr>
      </w:pPr>
      <w:r>
        <w:rPr>
          <w:rFonts w:hint="eastAsia" w:ascii="宋体" w:hAnsi="宋体" w:eastAsia="宋体" w:cs="宋体"/>
          <w:sz w:val="21"/>
          <w:szCs w:val="21"/>
        </w:rPr>
        <w:t>投标保证金的金额：</w:t>
      </w:r>
      <w:r>
        <w:rPr>
          <w:rFonts w:hint="eastAsia" w:ascii="宋体" w:hAnsi="宋体" w:eastAsia="宋体" w:cs="宋体"/>
          <w:sz w:val="21"/>
          <w:szCs w:val="21"/>
          <w:highlight w:val="yellow"/>
        </w:rPr>
        <w:t>人民币</w:t>
      </w:r>
      <w:r>
        <w:rPr>
          <w:rFonts w:hint="eastAsia" w:ascii="宋体" w:hAnsi="宋体" w:eastAsia="宋体" w:cs="宋体"/>
          <w:sz w:val="21"/>
          <w:szCs w:val="21"/>
          <w:highlight w:val="yellow"/>
          <w:u w:val="single"/>
        </w:rPr>
        <w:t xml:space="preserve"> </w:t>
      </w:r>
      <w:r>
        <w:rPr>
          <w:rFonts w:hint="eastAsia" w:ascii="宋体" w:hAnsi="宋体" w:eastAsia="宋体" w:cs="宋体"/>
          <w:sz w:val="21"/>
          <w:szCs w:val="21"/>
          <w:highlight w:val="yellow"/>
          <w:u w:val="single"/>
          <w:lang w:val="en-US" w:eastAsia="zh-CN"/>
        </w:rPr>
        <w:t>5</w:t>
      </w:r>
      <w:r>
        <w:rPr>
          <w:rFonts w:hint="eastAsia" w:ascii="宋体" w:hAnsi="宋体" w:eastAsia="宋体" w:cs="宋体"/>
          <w:sz w:val="21"/>
          <w:szCs w:val="21"/>
          <w:highlight w:val="yellow"/>
          <w:u w:val="single"/>
        </w:rPr>
        <w:t xml:space="preserve">000 </w:t>
      </w:r>
      <w:r>
        <w:rPr>
          <w:rFonts w:hint="eastAsia" w:ascii="宋体" w:hAnsi="宋体" w:eastAsia="宋体" w:cs="宋体"/>
          <w:sz w:val="21"/>
          <w:szCs w:val="21"/>
          <w:highlight w:val="yellow"/>
        </w:rPr>
        <w:t>元</w:t>
      </w:r>
    </w:p>
    <w:p w14:paraId="1104BB55">
      <w:pPr>
        <w:pStyle w:val="144"/>
        <w:numPr>
          <w:ilvl w:val="0"/>
          <w:numId w:val="14"/>
        </w:numPr>
        <w:ind w:left="10" w:firstLine="0"/>
        <w:rPr>
          <w:rFonts w:cs="Times New Roman"/>
          <w:bCs/>
        </w:rPr>
      </w:pPr>
      <w:r>
        <w:rPr>
          <w:rFonts w:hint="eastAsia" w:cs="Times New Roman"/>
          <w:bCs/>
        </w:rPr>
        <w:t>开户名称：中国重汽集团济南商用车有限公司</w:t>
      </w:r>
    </w:p>
    <w:p w14:paraId="2C10A472">
      <w:pPr>
        <w:pStyle w:val="144"/>
        <w:numPr>
          <w:ilvl w:val="0"/>
          <w:numId w:val="14"/>
        </w:numPr>
        <w:ind w:left="10" w:firstLine="0"/>
        <w:rPr>
          <w:rFonts w:cs="Times New Roman"/>
          <w:bCs/>
        </w:rPr>
      </w:pPr>
      <w:r>
        <w:rPr>
          <w:rFonts w:hint="eastAsia" w:cs="Times New Roman"/>
          <w:bCs/>
        </w:rPr>
        <w:t>开户银行：中国银行股份有限公司济南分行</w:t>
      </w:r>
    </w:p>
    <w:p w14:paraId="453652F2">
      <w:pPr>
        <w:pStyle w:val="144"/>
        <w:numPr>
          <w:ilvl w:val="0"/>
          <w:numId w:val="14"/>
        </w:numPr>
        <w:ind w:left="10" w:firstLine="0"/>
        <w:rPr>
          <w:rFonts w:cs="Times New Roman"/>
          <w:bCs/>
        </w:rPr>
      </w:pPr>
      <w:r>
        <w:rPr>
          <w:rFonts w:hint="eastAsia" w:cs="Times New Roman"/>
          <w:bCs/>
        </w:rPr>
        <w:t>银行账号：237744219844</w:t>
      </w:r>
    </w:p>
    <w:p w14:paraId="598AC89A">
      <w:pPr>
        <w:pStyle w:val="144"/>
        <w:numPr>
          <w:ilvl w:val="0"/>
          <w:numId w:val="14"/>
        </w:numPr>
        <w:ind w:left="10" w:firstLine="0"/>
        <w:rPr>
          <w:rFonts w:cs="Times New Roman"/>
          <w:bCs/>
        </w:rPr>
      </w:pPr>
      <w:r>
        <w:rPr>
          <w:rFonts w:hint="eastAsia" w:cs="Times New Roman"/>
          <w:bCs/>
        </w:rPr>
        <w:t>联行号：104451039687</w:t>
      </w:r>
    </w:p>
    <w:p w14:paraId="467749B7">
      <w:pPr>
        <w:pStyle w:val="144"/>
        <w:numPr>
          <w:ilvl w:val="0"/>
          <w:numId w:val="14"/>
        </w:numPr>
        <w:ind w:left="10" w:firstLine="0"/>
        <w:rPr>
          <w:rFonts w:cs="Times New Roman"/>
          <w:bCs/>
        </w:rPr>
      </w:pPr>
      <w:r>
        <w:rPr>
          <w:rFonts w:hint="eastAsia" w:cs="Times New Roman"/>
          <w:bCs/>
        </w:rPr>
        <w:t>投标保证金应从投标人的基本账户转出至上述账户并到账，否则视为无效投标。转账附言：公司名称+项目名称+投标保证金。</w:t>
      </w:r>
    </w:p>
    <w:p w14:paraId="477C11CF">
      <w:pPr>
        <w:pStyle w:val="140"/>
        <w:numPr>
          <w:ilvl w:val="0"/>
          <w:numId w:val="19"/>
        </w:numPr>
        <w:rPr>
          <w:rFonts w:ascii="宋体" w:hAnsi="宋体" w:eastAsia="宋体" w:cs="宋体"/>
          <w:b w:val="0"/>
          <w:bCs w:val="0"/>
          <w:sz w:val="21"/>
          <w:szCs w:val="21"/>
        </w:rPr>
      </w:pPr>
      <w:r>
        <w:rPr>
          <w:rFonts w:hint="eastAsia" w:ascii="宋体" w:hAnsi="宋体" w:eastAsia="宋体" w:cs="宋体"/>
          <w:b w:val="0"/>
          <w:bCs w:val="0"/>
          <w:sz w:val="21"/>
          <w:szCs w:val="21"/>
          <w:highlight w:val="yellow"/>
        </w:rPr>
        <w:t>保证金缴纳截止时间：2026年</w:t>
      </w:r>
      <w:r>
        <w:rPr>
          <w:rFonts w:hint="eastAsia" w:ascii="宋体" w:hAnsi="宋体" w:eastAsia="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月</w:t>
      </w:r>
      <w:r>
        <w:rPr>
          <w:rFonts w:hint="eastAsia" w:ascii="宋体" w:hAnsi="宋体" w:eastAsia="宋体" w:cs="宋体"/>
          <w:b w:val="0"/>
          <w:bCs w:val="0"/>
          <w:sz w:val="21"/>
          <w:szCs w:val="21"/>
          <w:highlight w:val="yellow"/>
          <w:lang w:val="en-US" w:eastAsia="zh-CN"/>
        </w:rPr>
        <w:t>18</w:t>
      </w:r>
      <w:r>
        <w:rPr>
          <w:rFonts w:hint="eastAsia" w:ascii="宋体" w:hAnsi="宋体" w:eastAsia="宋体" w:cs="宋体"/>
          <w:b w:val="0"/>
          <w:bCs w:val="0"/>
          <w:sz w:val="21"/>
          <w:szCs w:val="21"/>
          <w:highlight w:val="yellow"/>
        </w:rPr>
        <w:t>日</w:t>
      </w:r>
      <w:r>
        <w:rPr>
          <w:rFonts w:ascii="宋体" w:hAnsi="宋体" w:eastAsia="宋体" w:cs="宋体"/>
          <w:b w:val="0"/>
          <w:bCs w:val="0"/>
          <w:sz w:val="21"/>
          <w:szCs w:val="21"/>
          <w:highlight w:val="yellow"/>
        </w:rPr>
        <w:t>23</w:t>
      </w:r>
      <w:r>
        <w:rPr>
          <w:rFonts w:hint="eastAsia" w:ascii="宋体" w:hAnsi="宋体" w:eastAsia="宋体" w:cs="宋体"/>
          <w:b w:val="0"/>
          <w:bCs w:val="0"/>
          <w:sz w:val="21"/>
          <w:szCs w:val="21"/>
          <w:highlight w:val="yellow"/>
        </w:rPr>
        <w:t>:</w:t>
      </w:r>
      <w:r>
        <w:rPr>
          <w:rFonts w:ascii="宋体" w:hAnsi="宋体" w:eastAsia="宋体" w:cs="宋体"/>
          <w:b w:val="0"/>
          <w:bCs w:val="0"/>
          <w:sz w:val="21"/>
          <w:szCs w:val="21"/>
          <w:highlight w:val="yellow"/>
        </w:rPr>
        <w:t>59</w:t>
      </w:r>
      <w:r>
        <w:rPr>
          <w:rFonts w:hint="eastAsia" w:ascii="宋体" w:hAnsi="宋体" w:eastAsia="宋体" w:cs="宋体"/>
          <w:b w:val="0"/>
          <w:bCs w:val="0"/>
          <w:sz w:val="21"/>
          <w:szCs w:val="21"/>
          <w:highlight w:val="yellow"/>
        </w:rPr>
        <w:t>（同应标截止时间）</w:t>
      </w:r>
    </w:p>
    <w:p w14:paraId="5B5808EF">
      <w:pPr>
        <w:pStyle w:val="140"/>
        <w:numPr>
          <w:ilvl w:val="0"/>
          <w:numId w:val="18"/>
        </w:numPr>
        <w:ind w:left="0" w:firstLine="0"/>
        <w:rPr>
          <w:rFonts w:ascii="宋体" w:hAnsi="宋体" w:eastAsia="宋体" w:cs="宋体"/>
          <w:b w:val="0"/>
          <w:bCs w:val="0"/>
          <w:sz w:val="21"/>
          <w:szCs w:val="21"/>
        </w:rPr>
      </w:pPr>
      <w:r>
        <w:rPr>
          <w:rFonts w:hint="eastAsia" w:ascii="宋体" w:hAnsi="宋体" w:eastAsia="宋体" w:cs="宋体"/>
          <w:b w:val="0"/>
          <w:bCs w:val="0"/>
          <w:sz w:val="21"/>
          <w:szCs w:val="21"/>
        </w:rPr>
        <w:t>从银行基本账户转账的拟投标人，须在规定的时间之前将投标保证金从其单位基本帐户转出并到账，否则视为无效投标；未按规定提交保证金的拟投标人，其投标文件视为无效投标。拟投标人应充分考虑银行信息交换时间，由此带来的保证金不能按时到帐的责任由拟投标人自行承担。</w:t>
      </w:r>
    </w:p>
    <w:p w14:paraId="51DFA4F2">
      <w:pPr>
        <w:pStyle w:val="140"/>
        <w:numPr>
          <w:ilvl w:val="0"/>
          <w:numId w:val="18"/>
        </w:numPr>
        <w:ind w:left="0" w:firstLine="0"/>
        <w:rPr>
          <w:rFonts w:ascii="宋体" w:hAnsi="宋体" w:eastAsia="宋体" w:cs="宋体"/>
          <w:b w:val="0"/>
          <w:bCs w:val="0"/>
          <w:sz w:val="21"/>
          <w:szCs w:val="21"/>
        </w:rPr>
      </w:pPr>
      <w:r>
        <w:rPr>
          <w:rFonts w:hint="eastAsia" w:ascii="宋体" w:hAnsi="宋体" w:eastAsia="宋体" w:cs="宋体"/>
          <w:b w:val="0"/>
          <w:bCs w:val="0"/>
          <w:sz w:val="21"/>
          <w:szCs w:val="21"/>
        </w:rPr>
        <w:t>对于没有中标的投标人，投标保证金将于招标人内部完成中标人评审并确认最终中标人后在 30 工作日内予以原路返还（无息）；对于中标方，投标保证金将在签订合同后 30 个工作日内原路返还（无息）。</w:t>
      </w:r>
    </w:p>
    <w:p w14:paraId="59DFC711">
      <w:pPr>
        <w:pStyle w:val="140"/>
        <w:numPr>
          <w:ilvl w:val="0"/>
          <w:numId w:val="18"/>
        </w:numPr>
        <w:ind w:left="0" w:firstLine="0"/>
        <w:rPr>
          <w:rFonts w:ascii="宋体" w:hAnsi="宋体" w:eastAsia="仿宋_GB2312" w:cs="宋体"/>
          <w:b w:val="0"/>
          <w:bCs w:val="0"/>
          <w:sz w:val="24"/>
          <w:szCs w:val="24"/>
        </w:rPr>
      </w:pPr>
      <w:r>
        <w:rPr>
          <w:rFonts w:hint="eastAsia" w:ascii="宋体" w:hAnsi="宋体" w:eastAsia="宋体" w:cs="宋体"/>
          <w:b w:val="0"/>
          <w:bCs w:val="0"/>
          <w:sz w:val="21"/>
          <w:szCs w:val="21"/>
        </w:rPr>
        <w:t>发生以下情况时，有权没收保证金：</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①供应商在提交响应文件截止时间后撤回响应文件的；投标人递送投标文件后，无正当理由放弃投标的；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②供应商在响应文件中提供虚假材料的；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③除因不可抗力或谈判文件、询价通知书认可的情形以外，成交供应商不与采购人签订合同的；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④供应商与采购人、其他供应商或者采购代理机构恶意串通、围标、陪标的；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⑥截至开标前3天，投标人无正当理由、未以书面形式向招标人递交说明而在投标截止日不来投标的。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⑦自中标通知书发出之日起30日内，中标人无正当理由投标人无正当签订合同的；</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rPr>
        <w:t>⑧采购文件规定的其他情形。</w:t>
      </w:r>
    </w:p>
    <w:bookmarkEnd w:id="24"/>
    <w:p w14:paraId="4F2CC153">
      <w:pPr>
        <w:pStyle w:val="140"/>
      </w:pPr>
      <w:r>
        <w:rPr>
          <w:rFonts w:hint="eastAsia"/>
        </w:rPr>
        <w:t>开评标</w:t>
      </w:r>
    </w:p>
    <w:p w14:paraId="79C3E751">
      <w:pPr>
        <w:pStyle w:val="140"/>
        <w:numPr>
          <w:ilvl w:val="0"/>
          <w:numId w:val="20"/>
        </w:numPr>
        <w:ind w:firstLine="0"/>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开标时间：2026年</w:t>
      </w:r>
      <w:r>
        <w:rPr>
          <w:rFonts w:hint="eastAsia" w:ascii="宋体" w:hAnsi="宋体" w:eastAsia="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月</w:t>
      </w:r>
      <w:r>
        <w:rPr>
          <w:rFonts w:ascii="宋体" w:hAnsi="宋体" w:eastAsia="宋体" w:cs="宋体"/>
          <w:b w:val="0"/>
          <w:bCs w:val="0"/>
          <w:sz w:val="21"/>
          <w:szCs w:val="21"/>
          <w:highlight w:val="yellow"/>
        </w:rPr>
        <w:t>2</w:t>
      </w:r>
      <w:r>
        <w:rPr>
          <w:rFonts w:hint="eastAsia" w:ascii="宋体" w:hAnsi="宋体" w:eastAsia="宋体" w:cs="宋体"/>
          <w:b w:val="0"/>
          <w:bCs w:val="0"/>
          <w:sz w:val="21"/>
          <w:szCs w:val="21"/>
          <w:highlight w:val="yellow"/>
          <w:lang w:val="en-US" w:eastAsia="zh-CN"/>
        </w:rPr>
        <w:t>2</w:t>
      </w:r>
      <w:r>
        <w:rPr>
          <w:rFonts w:hint="eastAsia" w:ascii="宋体" w:hAnsi="宋体" w:eastAsia="宋体" w:cs="宋体"/>
          <w:b w:val="0"/>
          <w:bCs w:val="0"/>
          <w:sz w:val="21"/>
          <w:szCs w:val="21"/>
          <w:highlight w:val="yellow"/>
        </w:rPr>
        <w:t>日9:00:00（暂定，以实际通知为准）</w:t>
      </w:r>
    </w:p>
    <w:p w14:paraId="3BD67450">
      <w:pPr>
        <w:pStyle w:val="140"/>
        <w:numPr>
          <w:ilvl w:val="0"/>
          <w:numId w:val="20"/>
        </w:numPr>
        <w:ind w:firstLine="0"/>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开标地点：山东省济南市章丘区潘王路东园区十一号路北，济南轻卡制造公司</w:t>
      </w:r>
    </w:p>
    <w:p w14:paraId="795E69DB">
      <w:pPr>
        <w:pStyle w:val="140"/>
        <w:numPr>
          <w:ilvl w:val="0"/>
          <w:numId w:val="20"/>
        </w:numPr>
        <w:ind w:firstLine="0"/>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开标方式：</w:t>
      </w:r>
    </w:p>
    <w:p w14:paraId="30F03FE0">
      <w:pPr>
        <w:numPr>
          <w:ilvl w:val="0"/>
          <w:numId w:val="21"/>
        </w:numPr>
        <w:spacing w:line="360" w:lineRule="auto"/>
        <w:ind w:left="11" w:firstLine="0"/>
        <w:rPr>
          <w:rFonts w:ascii="宋体" w:hAnsi="宋体" w:eastAsia="宋体" w:cs="宋体"/>
          <w:color w:val="000000"/>
          <w:szCs w:val="21"/>
        </w:rPr>
      </w:pPr>
      <w:r>
        <w:rPr>
          <w:rFonts w:hint="eastAsia" w:ascii="宋体" w:hAnsi="Courier New" w:eastAsia="宋体" w:cs="Times New Roman"/>
          <w:bCs/>
        </w:rPr>
        <w:t>现场招</w:t>
      </w:r>
      <w:r>
        <w:rPr>
          <w:rFonts w:hint="eastAsia" w:ascii="宋体" w:hAnsi="宋体" w:eastAsia="宋体" w:cs="宋体"/>
          <w:szCs w:val="21"/>
        </w:rPr>
        <w:t>标：</w:t>
      </w:r>
      <w:r>
        <w:rPr>
          <w:rFonts w:hint="eastAsia" w:ascii="宋体" w:hAnsi="宋体" w:eastAsia="宋体" w:cs="宋体"/>
          <w:color w:val="000000"/>
          <w:szCs w:val="21"/>
        </w:rPr>
        <w:t>原则上来现场参与开标。如因特殊情况无法现场参与，需在开标前三日，通知招标人，由招标人创建视频链接，并在报名结束后统一通知。</w:t>
      </w:r>
    </w:p>
    <w:p w14:paraId="1B422B21">
      <w:pPr>
        <w:pStyle w:val="140"/>
        <w:numPr>
          <w:ilvl w:val="0"/>
          <w:numId w:val="21"/>
        </w:numPr>
        <w:ind w:left="11" w:firstLine="0"/>
        <w:rPr>
          <w:rFonts w:ascii="宋体" w:hAnsi="宋体" w:eastAsia="宋体" w:cs="宋体"/>
          <w:color w:val="000000"/>
          <w:sz w:val="21"/>
          <w:szCs w:val="21"/>
        </w:rPr>
      </w:pPr>
      <w:r>
        <w:rPr>
          <w:rFonts w:hint="eastAsia" w:ascii="宋体" w:eastAsia="宋体" w:cs="Times New Roman"/>
          <w:b w:val="0"/>
          <w:sz w:val="21"/>
        </w:rPr>
        <w:t>线上招标：</w:t>
      </w:r>
      <w:r>
        <w:rPr>
          <w:rFonts w:hint="eastAsia" w:ascii="宋体" w:hAnsi="宋体" w:eastAsia="宋体" w:cs="宋体"/>
          <w:b w:val="0"/>
          <w:bCs w:val="0"/>
          <w:sz w:val="21"/>
          <w:szCs w:val="21"/>
        </w:rPr>
        <w:t>因招标人原因，允许各投标方通过视频会议等形式线上招标，所需过程资料均通过e采通进行提报，由</w:t>
      </w:r>
      <w:r>
        <w:rPr>
          <w:rFonts w:hint="eastAsia" w:ascii="宋体" w:hAnsi="宋体" w:eastAsia="宋体" w:cs="宋体"/>
          <w:color w:val="000000"/>
          <w:sz w:val="21"/>
          <w:szCs w:val="21"/>
        </w:rPr>
        <w:t>招标人创建视频链接，并在报名结束后统一通知。</w:t>
      </w:r>
    </w:p>
    <w:p w14:paraId="415F44CE">
      <w:pPr>
        <w:pStyle w:val="140"/>
        <w:numPr>
          <w:ilvl w:val="0"/>
          <w:numId w:val="20"/>
        </w:numPr>
        <w:ind w:firstLine="0"/>
        <w:rPr>
          <w:rFonts w:ascii="宋体" w:hAnsi="宋体" w:eastAsia="宋体" w:cs="宋体"/>
          <w:b w:val="0"/>
          <w:bCs w:val="0"/>
          <w:sz w:val="21"/>
          <w:szCs w:val="21"/>
        </w:rPr>
      </w:pPr>
      <w:r>
        <w:rPr>
          <w:rFonts w:hint="eastAsia" w:ascii="宋体" w:hAnsi="宋体" w:eastAsia="宋体" w:cs="宋体"/>
          <w:b w:val="0"/>
          <w:bCs w:val="0"/>
          <w:sz w:val="21"/>
          <w:szCs w:val="21"/>
        </w:rPr>
        <w:t>评标</w:t>
      </w:r>
    </w:p>
    <w:p w14:paraId="4DDC72B4">
      <w:pPr>
        <w:pStyle w:val="140"/>
        <w:numPr>
          <w:ilvl w:val="0"/>
          <w:numId w:val="22"/>
        </w:numPr>
        <w:ind w:left="0" w:firstLine="0"/>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评标方法</w:t>
      </w:r>
    </w:p>
    <w:p w14:paraId="71E2BC2C">
      <w:pPr>
        <w:pStyle w:val="144"/>
        <w:numPr>
          <w:ilvl w:val="0"/>
          <w:numId w:val="14"/>
        </w:numPr>
        <w:ind w:left="10" w:firstLine="0"/>
        <w:rPr>
          <w:rFonts w:cs="Times New Roman"/>
          <w:bCs/>
          <w:szCs w:val="21"/>
        </w:rPr>
      </w:pPr>
      <w:r>
        <w:rPr>
          <w:rFonts w:hint="eastAsia" w:hAnsi="宋体" w:eastAsia="宋体" w:cs="宋体"/>
          <w:b/>
          <w:bCs/>
          <w:szCs w:val="21"/>
        </w:rPr>
        <w:t>资质标审核</w:t>
      </w:r>
      <w:bookmarkStart w:id="25" w:name="OLE_LINK2"/>
      <w:r>
        <w:rPr>
          <w:rFonts w:hint="eastAsia" w:hAnsi="宋体" w:eastAsia="宋体" w:cs="宋体"/>
          <w:b/>
          <w:bCs/>
          <w:szCs w:val="21"/>
        </w:rPr>
        <w:t>→</w:t>
      </w:r>
      <w:bookmarkEnd w:id="25"/>
      <w:r>
        <w:rPr>
          <w:rFonts w:hint="eastAsia" w:hAnsi="宋体" w:eastAsia="宋体" w:cs="宋体"/>
          <w:b/>
          <w:bCs/>
          <w:szCs w:val="21"/>
        </w:rPr>
        <w:t>唱标→技术标评审→商务标评审。</w:t>
      </w:r>
    </w:p>
    <w:p w14:paraId="75E0C529">
      <w:pPr>
        <w:pStyle w:val="144"/>
        <w:numPr>
          <w:ilvl w:val="0"/>
          <w:numId w:val="14"/>
        </w:numPr>
        <w:ind w:left="10" w:firstLine="0"/>
        <w:rPr>
          <w:rFonts w:cs="Times New Roman"/>
          <w:bCs/>
        </w:rPr>
      </w:pPr>
      <w:r>
        <w:rPr>
          <w:rFonts w:hint="eastAsia" w:cs="Times New Roman"/>
          <w:bCs/>
        </w:rPr>
        <w:t>评标方法（综合评分法）</w:t>
      </w:r>
    </w:p>
    <w:p w14:paraId="444C081D">
      <w:pPr>
        <w:pStyle w:val="140"/>
        <w:numPr>
          <w:ilvl w:val="0"/>
          <w:numId w:val="0"/>
        </w:numPr>
        <w:rPr>
          <w:rFonts w:ascii="宋体" w:hAnsi="宋体" w:eastAsia="宋体" w:cs="宋体"/>
          <w:b w:val="0"/>
          <w:bCs w:val="0"/>
          <w:sz w:val="21"/>
          <w:szCs w:val="21"/>
        </w:rPr>
      </w:pPr>
      <w:r>
        <w:rPr>
          <w:rFonts w:hint="eastAsia" w:ascii="宋体" w:hAnsi="宋体" w:eastAsia="宋体" w:cs="宋体"/>
          <w:b w:val="0"/>
          <w:bCs w:val="0"/>
          <w:sz w:val="21"/>
          <w:szCs w:val="21"/>
        </w:rPr>
        <w:t>本次招标采用综合评分法评标，即在最大限度地满足招标文件实质性要求的前提下，按照评分标准中规定的评分因素和评分细则进行综合评价、评分。</w:t>
      </w:r>
    </w:p>
    <w:p w14:paraId="21C1663B">
      <w:pPr>
        <w:pStyle w:val="140"/>
        <w:numPr>
          <w:ilvl w:val="0"/>
          <w:numId w:val="0"/>
        </w:numPr>
        <w:rPr>
          <w:rFonts w:ascii="宋体" w:hAnsi="宋体" w:eastAsia="宋体" w:cs="宋体"/>
          <w:b w:val="0"/>
          <w:bCs w:val="0"/>
          <w:sz w:val="21"/>
          <w:szCs w:val="21"/>
        </w:rPr>
      </w:pPr>
      <w:r>
        <w:rPr>
          <w:rFonts w:hint="eastAsia" w:ascii="宋体" w:hAnsi="宋体" w:eastAsia="宋体" w:cs="宋体"/>
          <w:b w:val="0"/>
          <w:bCs w:val="0"/>
          <w:sz w:val="21"/>
          <w:szCs w:val="21"/>
        </w:rPr>
        <w:t>评标委员会各成员独立对每一份有效投标文件进行评价并对除报价以外的评分项目进行评分，报价得分由工作人员通过计算得出。</w:t>
      </w:r>
    </w:p>
    <w:p w14:paraId="6A1C439D">
      <w:pPr>
        <w:pStyle w:val="140"/>
        <w:numPr>
          <w:ilvl w:val="0"/>
          <w:numId w:val="22"/>
        </w:numPr>
        <w:ind w:left="0" w:firstLine="0"/>
        <w:rPr>
          <w:rFonts w:ascii="宋体" w:hAnsi="宋体" w:eastAsia="宋体" w:cs="宋体"/>
          <w:b w:val="0"/>
          <w:bCs w:val="0"/>
          <w:sz w:val="21"/>
          <w:szCs w:val="21"/>
        </w:rPr>
      </w:pPr>
      <w:r>
        <w:rPr>
          <w:rFonts w:hint="eastAsia" w:ascii="宋体" w:hAnsi="宋体" w:eastAsia="宋体" w:cs="宋体"/>
          <w:b w:val="0"/>
          <w:bCs w:val="0"/>
          <w:sz w:val="21"/>
          <w:szCs w:val="21"/>
        </w:rPr>
        <w:t>评标流程</w:t>
      </w:r>
    </w:p>
    <w:p w14:paraId="115E835C">
      <w:pPr>
        <w:numPr>
          <w:ilvl w:val="0"/>
          <w:numId w:val="23"/>
        </w:numPr>
        <w:spacing w:line="360" w:lineRule="auto"/>
        <w:rPr>
          <w:rFonts w:ascii="宋体" w:hAnsi="宋体" w:eastAsia="宋体" w:cs="宋体"/>
          <w:b/>
          <w:color w:val="000000"/>
          <w:szCs w:val="21"/>
        </w:rPr>
      </w:pPr>
      <w:r>
        <w:rPr>
          <w:rFonts w:hint="eastAsia" w:ascii="宋体" w:hAnsi="宋体" w:eastAsia="宋体" w:cs="宋体"/>
          <w:b/>
          <w:color w:val="000000"/>
          <w:szCs w:val="21"/>
        </w:rPr>
        <w:t>应标资格审查：在“中国重汽e采通”应标报名时，</w:t>
      </w:r>
      <w:r>
        <w:rPr>
          <w:rFonts w:hint="eastAsia" w:ascii="宋体" w:hAnsi="宋体" w:eastAsia="宋体" w:cs="宋体"/>
          <w:b/>
          <w:bCs/>
          <w:color w:val="000000"/>
          <w:szCs w:val="21"/>
        </w:rPr>
        <w:t>按照第一部分第四条投标文件编制资格证明文件中的1.1-1.</w:t>
      </w:r>
      <w:r>
        <w:rPr>
          <w:rFonts w:hint="eastAsia" w:ascii="宋体" w:hAnsi="宋体" w:cs="宋体"/>
          <w:b/>
          <w:bCs/>
          <w:color w:val="000000"/>
          <w:szCs w:val="21"/>
        </w:rPr>
        <w:t>23</w:t>
      </w:r>
      <w:r>
        <w:rPr>
          <w:rFonts w:hint="eastAsia" w:ascii="宋体" w:hAnsi="宋体" w:eastAsia="宋体" w:cs="宋体"/>
          <w:b/>
          <w:bCs/>
          <w:color w:val="000000"/>
          <w:szCs w:val="21"/>
        </w:rPr>
        <w:t>准备资料，上传完毕后，等待审核</w:t>
      </w:r>
      <w:r>
        <w:rPr>
          <w:rFonts w:hint="eastAsia" w:ascii="宋体" w:hAnsi="宋体" w:eastAsia="宋体" w:cs="宋体"/>
          <w:b/>
          <w:color w:val="000000"/>
          <w:szCs w:val="21"/>
        </w:rPr>
        <w:t>；</w:t>
      </w:r>
    </w:p>
    <w:p w14:paraId="32C3C6D7">
      <w:pPr>
        <w:numPr>
          <w:ilvl w:val="0"/>
          <w:numId w:val="23"/>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通过应标资格审查的单位进入投标环节，按照“SRM系统供应商用户手册（附件17）”，在重汽e采通平台投递电子标书（包含资质标、技术标、商务标）；没有通过应标资质审查的单位不能进入投标环节；</w:t>
      </w:r>
    </w:p>
    <w:p w14:paraId="7C38988E">
      <w:pPr>
        <w:numPr>
          <w:ilvl w:val="0"/>
          <w:numId w:val="23"/>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资质标评审：资质标审核通过的单位，可以进入公开唱标环节；</w:t>
      </w:r>
    </w:p>
    <w:p w14:paraId="518E4848">
      <w:pPr>
        <w:numPr>
          <w:ilvl w:val="0"/>
          <w:numId w:val="23"/>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公开唱标：公示资质标入围单位的开标价格及商务条款响应情况；</w:t>
      </w:r>
    </w:p>
    <w:p w14:paraId="117DB0AA">
      <w:pPr>
        <w:numPr>
          <w:ilvl w:val="0"/>
          <w:numId w:val="23"/>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评分详见评分标准；</w:t>
      </w:r>
    </w:p>
    <w:p w14:paraId="58D6B07B">
      <w:pPr>
        <w:numPr>
          <w:ilvl w:val="0"/>
          <w:numId w:val="23"/>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商务标评审：商务条款相应确认→价格澄清→商务标评审；评审期间产生的商务价格澄清均由投标人在重汽e采通平台限时内完成提交；</w:t>
      </w:r>
    </w:p>
    <w:p w14:paraId="26F24856">
      <w:pPr>
        <w:pStyle w:val="144"/>
        <w:numPr>
          <w:ilvl w:val="0"/>
          <w:numId w:val="14"/>
        </w:numPr>
        <w:ind w:left="10" w:firstLine="0"/>
        <w:rPr>
          <w:rFonts w:cs="Times New Roman"/>
          <w:b/>
        </w:rPr>
      </w:pPr>
      <w:r>
        <w:rPr>
          <w:rFonts w:hint="eastAsia" w:cs="Times New Roman"/>
          <w:b/>
        </w:rPr>
        <w:t>注意：投标人均需要自带笔记本电脑在重汽e采通进行自主投标和提交澄清函；投标和提交澄清函均有时间限制，超时未提交的按无效处理。</w:t>
      </w:r>
    </w:p>
    <w:p w14:paraId="50E43ABB">
      <w:pPr>
        <w:pStyle w:val="140"/>
        <w:numPr>
          <w:ilvl w:val="0"/>
          <w:numId w:val="22"/>
        </w:numPr>
        <w:ind w:left="0" w:firstLine="0"/>
        <w:rPr>
          <w:rFonts w:ascii="宋体" w:hAnsi="宋体" w:eastAsia="宋体" w:cs="宋体"/>
          <w:b w:val="0"/>
          <w:bCs w:val="0"/>
          <w:sz w:val="21"/>
          <w:szCs w:val="21"/>
          <w:highlight w:val="yellow"/>
        </w:rPr>
      </w:pPr>
      <w:r>
        <w:rPr>
          <w:rFonts w:hint="eastAsia" w:ascii="宋体" w:hAnsi="宋体" w:eastAsia="宋体" w:cs="宋体"/>
          <w:sz w:val="21"/>
          <w:szCs w:val="21"/>
          <w:highlight w:val="yellow"/>
        </w:rPr>
        <w:t>评分标准</w:t>
      </w:r>
    </w:p>
    <w:tbl>
      <w:tblPr>
        <w:tblStyle w:val="37"/>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34AC4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348C45A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2388B143">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6B9557D4">
            <w:pPr>
              <w:spacing w:line="320" w:lineRule="exact"/>
              <w:ind w:right="34" w:rightChars="16"/>
              <w:jc w:val="center"/>
              <w:rPr>
                <w:rFonts w:eastAsia="宋体"/>
                <w:b/>
                <w:szCs w:val="21"/>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277F9CA">
            <w:pPr>
              <w:spacing w:line="320" w:lineRule="exact"/>
              <w:ind w:right="34" w:rightChars="16"/>
              <w:jc w:val="center"/>
              <w:rPr>
                <w:b/>
                <w:szCs w:val="21"/>
              </w:rPr>
            </w:pPr>
            <w:r>
              <w:rPr>
                <w:rFonts w:hint="eastAsia"/>
                <w:b/>
              </w:rPr>
              <w:t>最高</w:t>
            </w:r>
          </w:p>
          <w:p w14:paraId="515C40AF">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5D164C23">
            <w:pPr>
              <w:spacing w:line="320" w:lineRule="exact"/>
              <w:ind w:right="34" w:rightChars="16"/>
              <w:jc w:val="center"/>
              <w:rPr>
                <w:b/>
                <w:szCs w:val="21"/>
              </w:rPr>
            </w:pPr>
            <w:r>
              <w:rPr>
                <w:rFonts w:hint="eastAsia"/>
                <w:b/>
              </w:rPr>
              <w:t>评分标准</w:t>
            </w:r>
          </w:p>
        </w:tc>
      </w:tr>
      <w:tr w14:paraId="3537FE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6423978E">
            <w:pPr>
              <w:jc w:val="center"/>
              <w:rPr>
                <w:rFonts w:ascii="宋体" w:eastAsia="宋体"/>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3181B050">
            <w:pPr>
              <w:spacing w:line="440" w:lineRule="exact"/>
              <w:jc w:val="center"/>
              <w:rPr>
                <w:rFonts w:ascii="宋体" w:eastAsia="宋体"/>
                <w:szCs w:val="21"/>
              </w:rPr>
            </w:pPr>
            <w:r>
              <w:rPr>
                <w:rFonts w:hint="eastAsia" w:ascii="宋体"/>
                <w:b/>
                <w:bCs/>
                <w:szCs w:val="21"/>
                <w:lang w:val="en-US" w:eastAsia="zh-CN"/>
              </w:rPr>
              <w:t>4</w:t>
            </w:r>
            <w:r>
              <w:rPr>
                <w:rFonts w:hint="eastAsia" w:ascii="宋体"/>
                <w:b/>
                <w:bCs/>
                <w:szCs w:val="21"/>
              </w:rPr>
              <w:t>0%</w:t>
            </w:r>
          </w:p>
        </w:tc>
        <w:tc>
          <w:tcPr>
            <w:tcW w:w="970" w:type="dxa"/>
            <w:tcBorders>
              <w:top w:val="single" w:color="auto" w:sz="4" w:space="0"/>
              <w:left w:val="single" w:color="auto" w:sz="4" w:space="0"/>
              <w:right w:val="single" w:color="auto" w:sz="4" w:space="0"/>
            </w:tcBorders>
            <w:shd w:val="clear" w:color="auto" w:fill="auto"/>
            <w:vAlign w:val="center"/>
          </w:tcPr>
          <w:p w14:paraId="34D6D3AD">
            <w:pPr>
              <w:pStyle w:val="11"/>
              <w:spacing w:line="320" w:lineRule="exact"/>
              <w:jc w:val="center"/>
              <w:rPr>
                <w:rFonts w:ascii="宋体" w:hAnsi="宋体" w:eastAsia="宋体" w:cs="宋体"/>
                <w:szCs w:val="21"/>
              </w:rPr>
            </w:pPr>
            <w:r>
              <w:rPr>
                <w:rFonts w:hint="eastAsia" w:ascii="宋体" w:hAnsi="宋体" w:eastAsia="宋体" w:cs="宋体"/>
                <w:szCs w:val="21"/>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5291020F">
            <w:pPr>
              <w:jc w:val="center"/>
              <w:rPr>
                <w:rFonts w:ascii="宋体" w:eastAsia="宋体"/>
                <w:szCs w:val="21"/>
              </w:rPr>
            </w:pPr>
            <w:r>
              <w:rPr>
                <w:rFonts w:ascii="宋体"/>
                <w:szCs w:val="21"/>
              </w:rPr>
              <w:t>40</w:t>
            </w:r>
          </w:p>
        </w:tc>
        <w:tc>
          <w:tcPr>
            <w:tcW w:w="6153" w:type="dxa"/>
            <w:tcBorders>
              <w:top w:val="single" w:color="auto" w:sz="4" w:space="0"/>
              <w:left w:val="single" w:color="auto" w:sz="4" w:space="0"/>
              <w:bottom w:val="single" w:color="auto" w:sz="4" w:space="0"/>
              <w:right w:val="single" w:color="auto" w:sz="4" w:space="0"/>
            </w:tcBorders>
            <w:shd w:val="clear" w:color="auto" w:fill="auto"/>
            <w:vAlign w:val="center"/>
          </w:tcPr>
          <w:p w14:paraId="381D2722">
            <w:pPr>
              <w:pStyle w:val="11"/>
              <w:spacing w:line="320" w:lineRule="exact"/>
              <w:rPr>
                <w:rFonts w:ascii="宋体" w:hAnsi="宋体" w:eastAsia="宋体" w:cs="宋体"/>
                <w:szCs w:val="21"/>
              </w:rPr>
            </w:pPr>
            <w:r>
              <w:rPr>
                <w:rFonts w:hint="eastAsia" w:ascii="宋体" w:hAnsi="宋体" w:eastAsia="宋体" w:cs="宋体"/>
                <w:szCs w:val="21"/>
              </w:rPr>
              <w:t>所报产品的技术方案先进，装备制造能力、生产设备、加工工艺先进，各系统完善、性能可靠，设备主要核心部件具备自身技术优势，技术参数优于招标文件要求，良得20-40分，一般得0-20分。</w:t>
            </w:r>
          </w:p>
        </w:tc>
      </w:tr>
      <w:tr w14:paraId="22401F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6CC6F5FF">
            <w:pPr>
              <w:widowControl/>
              <w:jc w:val="center"/>
              <w:rPr>
                <w:rFonts w:ascii="宋体"/>
              </w:rPr>
            </w:pPr>
          </w:p>
        </w:tc>
        <w:tc>
          <w:tcPr>
            <w:tcW w:w="520" w:type="dxa"/>
            <w:vMerge w:val="continue"/>
            <w:tcBorders>
              <w:left w:val="single" w:color="auto" w:sz="4" w:space="0"/>
              <w:right w:val="single" w:color="auto" w:sz="4" w:space="0"/>
            </w:tcBorders>
            <w:vAlign w:val="center"/>
          </w:tcPr>
          <w:p w14:paraId="6CAF7A2C">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38BFBB51">
            <w:pPr>
              <w:pStyle w:val="11"/>
              <w:spacing w:line="340" w:lineRule="exact"/>
              <w:jc w:val="center"/>
              <w:rPr>
                <w:rFonts w:ascii="宋体" w:hAnsi="宋体" w:eastAsia="宋体" w:cs="宋体"/>
                <w:szCs w:val="21"/>
              </w:rPr>
            </w:pPr>
            <w:r>
              <w:rPr>
                <w:rFonts w:hint="eastAsia" w:ascii="宋体" w:hAnsi="宋体" w:eastAsia="宋体" w:cs="宋体"/>
                <w:szCs w:val="21"/>
              </w:rPr>
              <w:t>产品质量及保证措施</w:t>
            </w:r>
          </w:p>
        </w:tc>
        <w:tc>
          <w:tcPr>
            <w:tcW w:w="650" w:type="dxa"/>
            <w:tcBorders>
              <w:top w:val="single" w:color="auto" w:sz="4" w:space="0"/>
              <w:left w:val="single" w:color="auto" w:sz="4" w:space="0"/>
              <w:bottom w:val="nil"/>
              <w:right w:val="single" w:color="auto" w:sz="4" w:space="0"/>
            </w:tcBorders>
            <w:vAlign w:val="center"/>
          </w:tcPr>
          <w:p w14:paraId="29068CDD">
            <w:pPr>
              <w:spacing w:line="440" w:lineRule="exact"/>
              <w:jc w:val="center"/>
              <w:rPr>
                <w:rFonts w:ascii="宋体" w:eastAsia="宋体"/>
                <w:szCs w:val="21"/>
              </w:rPr>
            </w:pPr>
            <w:r>
              <w:rPr>
                <w:rFonts w:ascii="宋体"/>
                <w:szCs w:val="21"/>
              </w:rPr>
              <w:t>15</w:t>
            </w:r>
          </w:p>
        </w:tc>
        <w:tc>
          <w:tcPr>
            <w:tcW w:w="6153" w:type="dxa"/>
            <w:tcBorders>
              <w:top w:val="single" w:color="auto" w:sz="4" w:space="0"/>
              <w:left w:val="single" w:color="auto" w:sz="4" w:space="0"/>
              <w:bottom w:val="nil"/>
              <w:right w:val="single" w:color="auto" w:sz="4" w:space="0"/>
            </w:tcBorders>
            <w:shd w:val="clear" w:color="auto" w:fill="auto"/>
            <w:vAlign w:val="center"/>
          </w:tcPr>
          <w:p w14:paraId="7DB74339">
            <w:pPr>
              <w:pStyle w:val="11"/>
              <w:spacing w:line="340" w:lineRule="exact"/>
              <w:rPr>
                <w:rFonts w:ascii="宋体" w:hAnsi="宋体" w:eastAsia="宋体" w:cs="宋体"/>
                <w:szCs w:val="21"/>
              </w:rPr>
            </w:pPr>
            <w:r>
              <w:rPr>
                <w:rFonts w:hint="eastAsia" w:ascii="宋体" w:hAnsi="宋体" w:eastAsia="宋体" w:cs="宋体"/>
                <w:szCs w:val="21"/>
              </w:rPr>
              <w:t>具有良好的质量管理体系和完备的检测体系，保证提供的产品质量、性能稳定可靠。根据提供的证明资料进行综合评审，优得</w:t>
            </w:r>
            <w:r>
              <w:rPr>
                <w:rFonts w:hint="eastAsia" w:ascii="宋体" w:hAnsi="宋体" w:cs="宋体"/>
                <w:szCs w:val="21"/>
              </w:rPr>
              <w:t>1</w:t>
            </w:r>
            <w:r>
              <w:rPr>
                <w:rFonts w:ascii="宋体" w:hAnsi="宋体" w:cs="宋体"/>
                <w:szCs w:val="21"/>
              </w:rPr>
              <w:t>5</w:t>
            </w:r>
            <w:r>
              <w:rPr>
                <w:rFonts w:hint="eastAsia" w:ascii="宋体" w:hAnsi="宋体" w:eastAsia="宋体" w:cs="宋体"/>
                <w:szCs w:val="21"/>
              </w:rPr>
              <w:t>分，良得6</w:t>
            </w:r>
            <w:r>
              <w:rPr>
                <w:rFonts w:hint="eastAsia" w:ascii="宋体" w:hAnsi="宋体" w:cs="宋体"/>
                <w:szCs w:val="21"/>
              </w:rPr>
              <w:t>-9</w:t>
            </w:r>
            <w:r>
              <w:rPr>
                <w:rFonts w:hint="eastAsia" w:ascii="宋体" w:hAnsi="宋体" w:eastAsia="宋体" w:cs="宋体"/>
                <w:szCs w:val="21"/>
              </w:rPr>
              <w:t>分，一般得1-</w:t>
            </w:r>
            <w:r>
              <w:rPr>
                <w:rFonts w:hint="eastAsia" w:ascii="宋体" w:hAnsi="宋体" w:cs="宋体"/>
                <w:szCs w:val="21"/>
              </w:rPr>
              <w:t>5</w:t>
            </w:r>
            <w:r>
              <w:rPr>
                <w:rFonts w:hint="eastAsia" w:ascii="宋体" w:hAnsi="宋体" w:eastAsia="宋体" w:cs="宋体"/>
                <w:szCs w:val="21"/>
              </w:rPr>
              <w:t>分。</w:t>
            </w:r>
          </w:p>
        </w:tc>
      </w:tr>
      <w:tr w14:paraId="22CB5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04131FB5">
            <w:pPr>
              <w:widowControl/>
              <w:jc w:val="center"/>
              <w:rPr>
                <w:rFonts w:ascii="宋体"/>
              </w:rPr>
            </w:pPr>
          </w:p>
        </w:tc>
        <w:tc>
          <w:tcPr>
            <w:tcW w:w="520" w:type="dxa"/>
            <w:vMerge w:val="continue"/>
            <w:tcBorders>
              <w:left w:val="single" w:color="auto" w:sz="4" w:space="0"/>
              <w:right w:val="single" w:color="auto" w:sz="4" w:space="0"/>
            </w:tcBorders>
            <w:vAlign w:val="center"/>
          </w:tcPr>
          <w:p w14:paraId="7492E400">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73F22F8F">
            <w:pPr>
              <w:pStyle w:val="11"/>
              <w:spacing w:line="340" w:lineRule="exact"/>
              <w:jc w:val="center"/>
              <w:rPr>
                <w:rFonts w:ascii="宋体" w:hAnsi="宋体" w:eastAsia="宋体" w:cs="宋体"/>
                <w:szCs w:val="21"/>
              </w:rPr>
            </w:pPr>
            <w:r>
              <w:rPr>
                <w:rFonts w:hint="eastAsia" w:ascii="宋体" w:hAnsi="宋体" w:eastAsia="宋体" w:cs="宋体"/>
                <w:szCs w:val="21"/>
              </w:rPr>
              <w:t>业绩</w:t>
            </w:r>
          </w:p>
        </w:tc>
        <w:tc>
          <w:tcPr>
            <w:tcW w:w="650" w:type="dxa"/>
            <w:tcBorders>
              <w:top w:val="single" w:color="auto" w:sz="4" w:space="0"/>
              <w:left w:val="single" w:color="auto" w:sz="4" w:space="0"/>
              <w:bottom w:val="nil"/>
              <w:right w:val="single" w:color="auto" w:sz="4" w:space="0"/>
            </w:tcBorders>
            <w:vAlign w:val="center"/>
          </w:tcPr>
          <w:p w14:paraId="46BA7671">
            <w:pPr>
              <w:jc w:val="center"/>
              <w:rPr>
                <w:rFonts w:ascii="宋体"/>
                <w:szCs w:val="21"/>
              </w:rPr>
            </w:pPr>
            <w:r>
              <w:rPr>
                <w:rFonts w:hint="eastAsia" w:ascii="宋体"/>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055BCDB4">
            <w:pPr>
              <w:pStyle w:val="11"/>
              <w:spacing w:line="340" w:lineRule="exact"/>
              <w:rPr>
                <w:rFonts w:ascii="宋体" w:hAnsi="宋体" w:eastAsia="宋体" w:cs="宋体"/>
                <w:szCs w:val="21"/>
              </w:rPr>
            </w:pPr>
            <w:r>
              <w:rPr>
                <w:rFonts w:ascii="宋体" w:hAnsi="宋体" w:eastAsia="宋体" w:cs="宋体"/>
                <w:szCs w:val="21"/>
              </w:rPr>
              <w:t>投标人在2023年1月1日以来在中国与本标同类规格产品的业绩，以合同复印件加盖公章为准（须有客户联系方式及联系人以供招标人核实确认），每个合同加</w:t>
            </w:r>
            <w:r>
              <w:rPr>
                <w:rFonts w:hint="eastAsia" w:ascii="宋体" w:hAnsi="宋体" w:cs="宋体"/>
                <w:szCs w:val="21"/>
              </w:rPr>
              <w:t>2</w:t>
            </w:r>
            <w:r>
              <w:rPr>
                <w:rFonts w:ascii="宋体" w:hAnsi="宋体" w:eastAsia="宋体" w:cs="宋体"/>
                <w:szCs w:val="21"/>
              </w:rPr>
              <w:t>分，满分</w:t>
            </w:r>
            <w:r>
              <w:rPr>
                <w:rFonts w:hint="eastAsia" w:ascii="宋体" w:hAnsi="宋体" w:cs="宋体"/>
                <w:szCs w:val="21"/>
              </w:rPr>
              <w:t>10</w:t>
            </w:r>
            <w:r>
              <w:rPr>
                <w:rFonts w:ascii="宋体" w:hAnsi="宋体" w:eastAsia="宋体" w:cs="宋体"/>
                <w:szCs w:val="21"/>
              </w:rPr>
              <w:t>分，没有不得分。</w:t>
            </w:r>
          </w:p>
        </w:tc>
      </w:tr>
      <w:tr w14:paraId="26EF2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72831BA7">
            <w:pPr>
              <w:widowControl/>
              <w:jc w:val="center"/>
              <w:rPr>
                <w:rFonts w:ascii="宋体"/>
              </w:rPr>
            </w:pPr>
          </w:p>
        </w:tc>
        <w:tc>
          <w:tcPr>
            <w:tcW w:w="520" w:type="dxa"/>
            <w:vMerge w:val="continue"/>
            <w:tcBorders>
              <w:left w:val="single" w:color="auto" w:sz="4" w:space="0"/>
              <w:right w:val="single" w:color="auto" w:sz="4" w:space="0"/>
            </w:tcBorders>
            <w:vAlign w:val="center"/>
          </w:tcPr>
          <w:p w14:paraId="4463D3D3">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3C47A960">
            <w:pPr>
              <w:pStyle w:val="11"/>
              <w:spacing w:line="340" w:lineRule="exact"/>
              <w:jc w:val="center"/>
              <w:rPr>
                <w:rFonts w:ascii="宋体" w:hAnsi="宋体" w:eastAsia="宋体" w:cs="宋体"/>
                <w:szCs w:val="21"/>
              </w:rPr>
            </w:pPr>
            <w:r>
              <w:rPr>
                <w:rFonts w:hint="eastAsia" w:ascii="宋体" w:hAnsi="宋体" w:eastAsia="宋体" w:cs="宋体"/>
                <w:szCs w:val="21"/>
              </w:rPr>
              <w:t>供货周期</w:t>
            </w:r>
          </w:p>
        </w:tc>
        <w:tc>
          <w:tcPr>
            <w:tcW w:w="650" w:type="dxa"/>
            <w:tcBorders>
              <w:top w:val="single" w:color="auto" w:sz="4" w:space="0"/>
              <w:left w:val="single" w:color="auto" w:sz="4" w:space="0"/>
              <w:bottom w:val="nil"/>
              <w:right w:val="single" w:color="auto" w:sz="4" w:space="0"/>
            </w:tcBorders>
            <w:vAlign w:val="center"/>
          </w:tcPr>
          <w:p w14:paraId="602E1859">
            <w:pPr>
              <w:jc w:val="center"/>
              <w:rPr>
                <w:szCs w:val="21"/>
              </w:rPr>
            </w:pPr>
            <w:r>
              <w:rPr>
                <w:rFonts w:ascii="宋体"/>
                <w:szCs w:val="21"/>
              </w:rPr>
              <w:t>25</w:t>
            </w:r>
          </w:p>
        </w:tc>
        <w:tc>
          <w:tcPr>
            <w:tcW w:w="6153" w:type="dxa"/>
            <w:tcBorders>
              <w:top w:val="single" w:color="auto" w:sz="4" w:space="0"/>
              <w:left w:val="single" w:color="auto" w:sz="4" w:space="0"/>
              <w:bottom w:val="nil"/>
              <w:right w:val="single" w:color="auto" w:sz="4" w:space="0"/>
            </w:tcBorders>
            <w:shd w:val="clear" w:color="auto" w:fill="auto"/>
            <w:vAlign w:val="center"/>
          </w:tcPr>
          <w:p w14:paraId="6D2A5AB8">
            <w:pPr>
              <w:pStyle w:val="11"/>
              <w:spacing w:line="340" w:lineRule="exact"/>
              <w:rPr>
                <w:rFonts w:ascii="宋体" w:hAnsi="宋体" w:eastAsia="宋体" w:cs="宋体"/>
                <w:szCs w:val="21"/>
              </w:rPr>
            </w:pPr>
            <w:r>
              <w:rPr>
                <w:rFonts w:hint="eastAsia" w:ascii="宋体" w:hAnsi="宋体" w:eastAsia="宋体" w:cs="宋体"/>
                <w:szCs w:val="21"/>
              </w:rPr>
              <w:t>响应供货期和现场停工期基本要求，有详细可行的行动计划能保证项目进度，有风险管理措施；加工、制作方案合理、完善、切实可行能确保安全；能满足交货期者视情况得</w:t>
            </w:r>
            <w:r>
              <w:rPr>
                <w:rFonts w:ascii="宋体" w:hAnsi="宋体" w:cs="宋体"/>
                <w:szCs w:val="21"/>
              </w:rPr>
              <w:t>15</w:t>
            </w:r>
            <w:r>
              <w:rPr>
                <w:rFonts w:hint="eastAsia" w:ascii="宋体" w:hAnsi="宋体" w:eastAsia="宋体" w:cs="宋体"/>
                <w:szCs w:val="21"/>
              </w:rPr>
              <w:t>分；货期优于招标方要求，且理由充分的情况1</w:t>
            </w:r>
            <w:r>
              <w:rPr>
                <w:rFonts w:ascii="宋体" w:hAnsi="宋体" w:eastAsia="宋体" w:cs="宋体"/>
                <w:szCs w:val="21"/>
              </w:rPr>
              <w:t>6</w:t>
            </w:r>
            <w:r>
              <w:rPr>
                <w:rFonts w:hint="eastAsia" w:ascii="宋体" w:hAnsi="宋体" w:eastAsia="宋体" w:cs="宋体"/>
                <w:szCs w:val="21"/>
              </w:rPr>
              <w:t>-</w:t>
            </w:r>
            <w:r>
              <w:rPr>
                <w:rFonts w:ascii="宋体" w:hAnsi="宋体" w:eastAsia="宋体" w:cs="宋体"/>
                <w:szCs w:val="21"/>
              </w:rPr>
              <w:t>2</w:t>
            </w:r>
            <w:r>
              <w:rPr>
                <w:rFonts w:hint="eastAsia" w:ascii="宋体" w:hAnsi="宋体" w:cs="宋体"/>
                <w:szCs w:val="21"/>
              </w:rPr>
              <w:t>5</w:t>
            </w:r>
            <w:r>
              <w:rPr>
                <w:rFonts w:hint="eastAsia" w:ascii="宋体" w:hAnsi="宋体" w:eastAsia="宋体" w:cs="宋体"/>
                <w:szCs w:val="21"/>
              </w:rPr>
              <w:t>分。</w:t>
            </w:r>
          </w:p>
        </w:tc>
      </w:tr>
      <w:tr w14:paraId="493070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09269062">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123AAFBD">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1D1BFBB6">
            <w:pPr>
              <w:pStyle w:val="11"/>
              <w:spacing w:line="340" w:lineRule="exact"/>
              <w:jc w:val="center"/>
              <w:rPr>
                <w:rFonts w:ascii="宋体" w:hAnsi="宋体" w:eastAsia="宋体" w:cs="宋体"/>
                <w:szCs w:val="21"/>
              </w:rPr>
            </w:pPr>
            <w:r>
              <w:rPr>
                <w:rFonts w:hint="eastAsia" w:ascii="宋体" w:hAnsi="宋体" w:eastAsia="宋体" w:cs="宋体"/>
                <w:szCs w:val="21"/>
              </w:rPr>
              <w:t>质保期及售后服务</w:t>
            </w:r>
          </w:p>
        </w:tc>
        <w:tc>
          <w:tcPr>
            <w:tcW w:w="650" w:type="dxa"/>
            <w:tcBorders>
              <w:top w:val="single" w:color="auto" w:sz="4" w:space="0"/>
              <w:left w:val="single" w:color="auto" w:sz="4" w:space="0"/>
              <w:bottom w:val="nil"/>
              <w:right w:val="single" w:color="auto" w:sz="4" w:space="0"/>
            </w:tcBorders>
            <w:vAlign w:val="center"/>
          </w:tcPr>
          <w:p w14:paraId="7E18D7C1">
            <w:pPr>
              <w:jc w:val="center"/>
              <w:rPr>
                <w:rFonts w:ascii="宋体"/>
                <w:szCs w:val="21"/>
              </w:rPr>
            </w:pPr>
            <w:r>
              <w:rPr>
                <w:rFonts w:hint="eastAsia" w:ascii="宋体"/>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0745B804">
            <w:pPr>
              <w:pStyle w:val="11"/>
              <w:spacing w:line="340" w:lineRule="exact"/>
              <w:rPr>
                <w:rFonts w:ascii="宋体" w:hAnsi="宋体" w:eastAsia="宋体" w:cs="宋体"/>
                <w:szCs w:val="21"/>
              </w:rPr>
            </w:pPr>
            <w:r>
              <w:rPr>
                <w:rFonts w:hint="eastAsia" w:ascii="宋体" w:hAnsi="宋体" w:eastAsia="宋体" w:cs="宋体"/>
                <w:szCs w:val="21"/>
              </w:rPr>
              <w:t>根据投标文件中提供的质量保证措施、售后服务方案等的响应情况进行综合评审，优得</w:t>
            </w:r>
            <w:r>
              <w:rPr>
                <w:rFonts w:hint="eastAsia" w:ascii="宋体" w:hAnsi="宋体" w:cs="宋体"/>
                <w:szCs w:val="21"/>
              </w:rPr>
              <w:t>10</w:t>
            </w:r>
            <w:r>
              <w:rPr>
                <w:rFonts w:hint="eastAsia" w:ascii="宋体" w:hAnsi="宋体" w:eastAsia="宋体" w:cs="宋体"/>
                <w:szCs w:val="21"/>
              </w:rPr>
              <w:t>分，良</w:t>
            </w:r>
            <w:r>
              <w:rPr>
                <w:rFonts w:hint="eastAsia" w:ascii="宋体" w:hAnsi="宋体" w:cs="宋体"/>
                <w:szCs w:val="21"/>
              </w:rPr>
              <w:t>5</w:t>
            </w:r>
            <w:r>
              <w:rPr>
                <w:rFonts w:hint="eastAsia" w:ascii="宋体" w:hAnsi="宋体" w:eastAsia="宋体" w:cs="宋体"/>
                <w:szCs w:val="21"/>
              </w:rPr>
              <w:t>-</w:t>
            </w:r>
            <w:r>
              <w:rPr>
                <w:rFonts w:hint="eastAsia" w:ascii="宋体" w:hAnsi="宋体" w:cs="宋体"/>
                <w:szCs w:val="21"/>
              </w:rPr>
              <w:t>10</w:t>
            </w:r>
            <w:r>
              <w:rPr>
                <w:rFonts w:hint="eastAsia" w:ascii="宋体" w:hAnsi="宋体" w:eastAsia="宋体" w:cs="宋体"/>
                <w:szCs w:val="21"/>
              </w:rPr>
              <w:t>分，一般1-</w:t>
            </w:r>
            <w:r>
              <w:rPr>
                <w:rFonts w:hint="eastAsia" w:ascii="宋体" w:hAnsi="宋体" w:cs="宋体"/>
                <w:szCs w:val="21"/>
              </w:rPr>
              <w:t>5</w:t>
            </w:r>
            <w:r>
              <w:rPr>
                <w:rFonts w:hint="eastAsia" w:ascii="宋体" w:hAnsi="宋体" w:eastAsia="宋体" w:cs="宋体"/>
                <w:szCs w:val="21"/>
              </w:rPr>
              <w:t>分。</w:t>
            </w:r>
          </w:p>
        </w:tc>
      </w:tr>
      <w:tr w14:paraId="443A1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424757A4">
            <w:pPr>
              <w:jc w:val="center"/>
              <w:rPr>
                <w:rFonts w:ascii="宋体" w:eastAsia="宋体"/>
                <w:szCs w:val="21"/>
              </w:rPr>
            </w:pPr>
            <w:r>
              <w:rPr>
                <w:rFonts w:hint="eastAsia" w:ascii="宋体"/>
                <w:szCs w:val="21"/>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6E18CC6C">
            <w:pPr>
              <w:jc w:val="center"/>
              <w:rPr>
                <w:rFonts w:ascii="宋体" w:eastAsia="宋体"/>
                <w:b/>
                <w:szCs w:val="21"/>
              </w:rPr>
            </w:pPr>
            <w:r>
              <w:rPr>
                <w:rFonts w:hint="eastAsia" w:ascii="宋体"/>
                <w:b/>
                <w:szCs w:val="21"/>
                <w:lang w:val="en-US" w:eastAsia="zh-CN"/>
              </w:rPr>
              <w:t>6</w:t>
            </w:r>
            <w:r>
              <w:rPr>
                <w:rFonts w:hint="eastAsia" w:ascii="宋体"/>
                <w:b/>
                <w:szCs w:val="21"/>
              </w:rPr>
              <w:t>0%</w:t>
            </w:r>
          </w:p>
        </w:tc>
        <w:tc>
          <w:tcPr>
            <w:tcW w:w="970" w:type="dxa"/>
            <w:tcBorders>
              <w:top w:val="single" w:color="auto" w:sz="4" w:space="0"/>
              <w:left w:val="single" w:color="auto" w:sz="4" w:space="0"/>
              <w:bottom w:val="single" w:color="auto" w:sz="4" w:space="0"/>
              <w:right w:val="single" w:color="auto" w:sz="4" w:space="0"/>
            </w:tcBorders>
            <w:vAlign w:val="center"/>
          </w:tcPr>
          <w:p w14:paraId="5952DDD7">
            <w:pPr>
              <w:jc w:val="center"/>
              <w:rPr>
                <w:rFonts w:ascii="宋体"/>
                <w:b/>
                <w:szCs w:val="21"/>
              </w:rPr>
            </w:pPr>
            <w:r>
              <w:rPr>
                <w:rFonts w:hint="eastAsia" w:ascii="宋体" w:hAnsi="宋体"/>
              </w:rPr>
              <w:t>投标报价</w:t>
            </w:r>
          </w:p>
        </w:tc>
        <w:tc>
          <w:tcPr>
            <w:tcW w:w="650" w:type="dxa"/>
            <w:tcBorders>
              <w:top w:val="single" w:color="auto" w:sz="4" w:space="0"/>
              <w:left w:val="single" w:color="auto" w:sz="4" w:space="0"/>
              <w:bottom w:val="nil"/>
              <w:right w:val="single" w:color="auto" w:sz="4" w:space="0"/>
            </w:tcBorders>
            <w:vAlign w:val="center"/>
          </w:tcPr>
          <w:p w14:paraId="0ABA6608">
            <w:pPr>
              <w:spacing w:line="440" w:lineRule="exact"/>
              <w:jc w:val="center"/>
              <w:rPr>
                <w:rFonts w:ascii="宋体" w:hAnsi="宋体" w:eastAsia="宋体"/>
              </w:rPr>
            </w:pPr>
            <w:r>
              <w:rPr>
                <w:rFonts w:hint="eastAsia" w:ascii="宋体" w:hAnsi="宋体"/>
              </w:rPr>
              <w:t>100</w:t>
            </w:r>
          </w:p>
        </w:tc>
        <w:tc>
          <w:tcPr>
            <w:tcW w:w="6153" w:type="dxa"/>
            <w:tcBorders>
              <w:top w:val="single" w:color="auto" w:sz="4" w:space="0"/>
              <w:left w:val="single" w:color="auto" w:sz="4" w:space="0"/>
              <w:bottom w:val="nil"/>
              <w:right w:val="single" w:color="auto" w:sz="4" w:space="0"/>
            </w:tcBorders>
            <w:vAlign w:val="center"/>
          </w:tcPr>
          <w:p w14:paraId="343347E1">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1B9AD71A">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10DF90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535"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3DCBF48">
            <w:pPr>
              <w:rPr>
                <w:rFonts w:ascii="宋体"/>
                <w:szCs w:val="21"/>
              </w:rPr>
            </w:pPr>
            <w:r>
              <w:rPr>
                <w:rFonts w:hint="eastAsia" w:ascii="宋体" w:hAnsi="宋体"/>
              </w:rPr>
              <w:t>备注：</w:t>
            </w:r>
          </w:p>
          <w:p w14:paraId="1604CC59">
            <w:pPr>
              <w:rPr>
                <w:rFonts w:ascii="宋体"/>
              </w:rPr>
            </w:pPr>
            <w:r>
              <w:rPr>
                <w:rFonts w:hint="eastAsia" w:ascii="宋体" w:hAnsi="宋体"/>
              </w:rPr>
              <w:t>1、通过初审者为有效投标。</w:t>
            </w:r>
          </w:p>
          <w:p w14:paraId="5F5842BD">
            <w:pPr>
              <w:rPr>
                <w:rFonts w:ascii="宋体" w:eastAsia="宋体"/>
                <w:b/>
                <w:bCs/>
                <w:color w:val="FF0000"/>
                <w:sz w:val="18"/>
                <w:szCs w:val="18"/>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0881BEA3">
            <w:pPr>
              <w:rPr>
                <w:rFonts w:ascii="宋体" w:hAnsi="宋体"/>
              </w:rPr>
            </w:pPr>
            <w:r>
              <w:rPr>
                <w:rFonts w:hint="eastAsia" w:ascii="宋体" w:hAnsi="宋体"/>
              </w:rPr>
              <w:t>3、评委打分超过得分界限或未按本方法赋分时，该评委的打分按废票处理。</w:t>
            </w:r>
          </w:p>
          <w:p w14:paraId="34810ABC">
            <w:pPr>
              <w:rPr>
                <w:rFonts w:ascii="宋体"/>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6FBB48CC">
      <w:pPr>
        <w:pStyle w:val="140"/>
      </w:pPr>
      <w:r>
        <w:rPr>
          <w:rFonts w:hint="eastAsia"/>
        </w:rPr>
        <w:t>定标</w:t>
      </w:r>
    </w:p>
    <w:p w14:paraId="6C89F1A7">
      <w:pPr>
        <w:pStyle w:val="140"/>
        <w:numPr>
          <w:ilvl w:val="0"/>
          <w:numId w:val="0"/>
        </w:numPr>
        <w:rPr>
          <w:rFonts w:ascii="宋体" w:hAnsi="宋体" w:eastAsia="宋体" w:cs="宋体"/>
          <w:b w:val="0"/>
          <w:bCs w:val="0"/>
          <w:sz w:val="21"/>
          <w:szCs w:val="21"/>
        </w:rPr>
      </w:pPr>
      <w:r>
        <w:rPr>
          <w:rFonts w:hint="eastAsia" w:ascii="宋体" w:hAnsi="宋体" w:eastAsia="宋体" w:cs="宋体"/>
          <w:b w:val="0"/>
          <w:bCs w:val="0"/>
          <w:sz w:val="21"/>
          <w:szCs w:val="21"/>
        </w:rPr>
        <w:t>本项目只产生</w:t>
      </w:r>
      <w:r>
        <w:rPr>
          <w:rFonts w:hint="eastAsia" w:ascii="宋体" w:hAnsi="宋体" w:eastAsia="宋体" w:cs="宋体"/>
          <w:b w:val="0"/>
          <w:bCs w:val="0"/>
          <w:sz w:val="21"/>
          <w:szCs w:val="21"/>
          <w:u w:val="single"/>
        </w:rPr>
        <w:t>1</w:t>
      </w:r>
      <w:r>
        <w:rPr>
          <w:rFonts w:hint="eastAsia" w:ascii="宋体" w:hAnsi="宋体" w:eastAsia="宋体" w:cs="宋体"/>
          <w:b w:val="0"/>
          <w:bCs w:val="0"/>
          <w:sz w:val="21"/>
          <w:szCs w:val="21"/>
        </w:rPr>
        <w:t>个中标人。中标人签订合同前须进行最终审查。最终审查的对象是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的，则本次评标作废或变更意向中标人。</w:t>
      </w:r>
    </w:p>
    <w:p w14:paraId="1F66EF9C">
      <w:pPr>
        <w:pStyle w:val="140"/>
      </w:pPr>
      <w:r>
        <w:rPr>
          <w:rFonts w:hint="eastAsia"/>
        </w:rPr>
        <w:t>废标及终止招标</w:t>
      </w:r>
    </w:p>
    <w:p w14:paraId="2882499B">
      <w:pPr>
        <w:spacing w:line="360" w:lineRule="auto"/>
        <w:rPr>
          <w:rFonts w:ascii="宋体" w:hAnsi="宋体" w:eastAsia="宋体" w:cs="宋体"/>
          <w:color w:val="000000"/>
          <w:szCs w:val="21"/>
        </w:rPr>
      </w:pPr>
      <w:r>
        <w:rPr>
          <w:rFonts w:ascii="宋体" w:hAnsi="宋体" w:eastAsia="宋体" w:cs="宋体"/>
          <w:color w:val="000000"/>
          <w:szCs w:val="21"/>
        </w:rPr>
        <w:t>1.</w:t>
      </w:r>
      <w:r>
        <w:rPr>
          <w:rFonts w:hint="eastAsia" w:ascii="宋体" w:hAnsi="宋体" w:eastAsia="宋体" w:cs="宋体"/>
          <w:color w:val="000000"/>
          <w:szCs w:val="21"/>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23E5A91">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(1)</w:t>
      </w:r>
      <w:r>
        <w:rPr>
          <w:rFonts w:hint="eastAsia" w:ascii="宋体" w:hAnsi="宋体" w:eastAsia="宋体" w:cs="宋体"/>
          <w:color w:val="000000"/>
          <w:szCs w:val="21"/>
        </w:rPr>
        <w:t>投标人提供的有关资格、资质证明文件不合格、不真实或提供虚假投标材料；</w:t>
      </w:r>
    </w:p>
    <w:p w14:paraId="608C8E34">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(2)</w:t>
      </w:r>
      <w:r>
        <w:rPr>
          <w:rFonts w:hint="eastAsia" w:ascii="宋体" w:hAnsi="宋体" w:eastAsia="宋体" w:cs="宋体"/>
          <w:color w:val="000000"/>
          <w:szCs w:val="21"/>
        </w:rPr>
        <w:t>投标人在报价有效期内撤回投标；</w:t>
      </w:r>
    </w:p>
    <w:p w14:paraId="6C15D6FF">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(3)</w:t>
      </w:r>
      <w:r>
        <w:rPr>
          <w:rFonts w:hint="eastAsia" w:ascii="宋体" w:hAnsi="宋体" w:eastAsia="宋体" w:cs="宋体"/>
          <w:color w:val="000000"/>
          <w:szCs w:val="21"/>
        </w:rPr>
        <w:t>在整个评标过程中，投标人有企图影响评标结果公正性的任何活动；</w:t>
      </w:r>
    </w:p>
    <w:p w14:paraId="04DF3E86">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(4)</w:t>
      </w:r>
      <w:r>
        <w:rPr>
          <w:rFonts w:hint="eastAsia" w:ascii="宋体" w:hAnsi="宋体" w:eastAsia="宋体" w:cs="宋体"/>
          <w:color w:val="000000"/>
          <w:szCs w:val="21"/>
        </w:rPr>
        <w:t>投标人以任何方式诋毁其他投标人；</w:t>
      </w:r>
    </w:p>
    <w:p w14:paraId="12C1AA89">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(5)</w:t>
      </w:r>
      <w:r>
        <w:rPr>
          <w:rFonts w:hint="eastAsia" w:ascii="宋体" w:hAnsi="宋体" w:eastAsia="宋体" w:cs="宋体"/>
          <w:color w:val="000000"/>
          <w:szCs w:val="21"/>
        </w:rPr>
        <w:t>投标人串通投标；</w:t>
      </w:r>
    </w:p>
    <w:p w14:paraId="79996D6E">
      <w:pPr>
        <w:pStyle w:val="17"/>
        <w:spacing w:line="360" w:lineRule="auto"/>
        <w:ind w:left="425" w:hanging="425"/>
        <w:rPr>
          <w:rFonts w:hAnsi="宋体" w:eastAsia="宋体" w:cs="宋体"/>
          <w:szCs w:val="21"/>
        </w:rPr>
      </w:pPr>
      <w:r>
        <w:rPr>
          <w:rFonts w:hAnsi="宋体" w:eastAsia="宋体" w:cs="宋体"/>
          <w:szCs w:val="21"/>
        </w:rPr>
        <w:t>(6)</w:t>
      </w:r>
      <w:r>
        <w:rPr>
          <w:rFonts w:hint="eastAsia" w:hAnsi="宋体" w:eastAsia="宋体" w:cs="宋体"/>
          <w:color w:val="000000"/>
          <w:szCs w:val="21"/>
        </w:rPr>
        <w:t>投标人被举报、检举，并经招标人查实无误的；</w:t>
      </w:r>
    </w:p>
    <w:p w14:paraId="5D82B4B8">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(7)</w:t>
      </w:r>
      <w:r>
        <w:rPr>
          <w:rFonts w:hint="eastAsia" w:ascii="宋体" w:hAnsi="宋体" w:eastAsia="宋体" w:cs="宋体"/>
          <w:color w:val="000000"/>
          <w:szCs w:val="21"/>
        </w:rPr>
        <w:t>以他人名义投标或者以其他方式弄虚作假，骗取中标的；</w:t>
      </w:r>
    </w:p>
    <w:p w14:paraId="027F588D">
      <w:pPr>
        <w:spacing w:line="360" w:lineRule="auto"/>
        <w:rPr>
          <w:rFonts w:ascii="宋体" w:hAnsi="宋体" w:eastAsia="宋体" w:cs="宋体"/>
          <w:szCs w:val="21"/>
        </w:rPr>
      </w:pPr>
      <w:r>
        <w:rPr>
          <w:rFonts w:ascii="宋体" w:hAnsi="宋体" w:eastAsia="宋体" w:cs="宋体"/>
          <w:szCs w:val="21"/>
        </w:rPr>
        <w:t>(8)</w:t>
      </w:r>
      <w:r>
        <w:rPr>
          <w:rFonts w:hint="eastAsia" w:ascii="宋体" w:hAnsi="宋体" w:eastAsia="宋体" w:cs="宋体"/>
          <w:szCs w:val="21"/>
        </w:rPr>
        <w:t>投标人负责人为同一人或者存在控股、管理关系的不同单位；</w:t>
      </w:r>
    </w:p>
    <w:p w14:paraId="71157126">
      <w:pPr>
        <w:spacing w:line="360" w:lineRule="auto"/>
        <w:rPr>
          <w:rFonts w:ascii="宋体" w:hAnsi="宋体" w:eastAsia="宋体" w:cs="宋体"/>
          <w:szCs w:val="21"/>
        </w:rPr>
      </w:pPr>
      <w:r>
        <w:rPr>
          <w:rFonts w:ascii="宋体" w:hAnsi="宋体" w:eastAsia="宋体" w:cs="宋体"/>
          <w:szCs w:val="21"/>
        </w:rPr>
        <w:t>(9)</w:t>
      </w:r>
      <w:r>
        <w:rPr>
          <w:rFonts w:hint="eastAsia" w:ascii="宋体" w:hAnsi="宋体" w:eastAsia="宋体" w:cs="宋体"/>
          <w:szCs w:val="21"/>
        </w:rPr>
        <w:t>有效投标不足三家；</w:t>
      </w:r>
    </w:p>
    <w:p w14:paraId="2ED71CF3">
      <w:pPr>
        <w:spacing w:line="360" w:lineRule="auto"/>
        <w:ind w:left="425" w:right="2" w:hanging="425"/>
        <w:rPr>
          <w:rFonts w:ascii="宋体" w:hAnsi="宋体" w:eastAsia="宋体" w:cs="宋体"/>
          <w:szCs w:val="21"/>
        </w:rPr>
      </w:pPr>
      <w:r>
        <w:rPr>
          <w:rFonts w:ascii="宋体" w:hAnsi="宋体" w:eastAsia="宋体" w:cs="宋体"/>
          <w:szCs w:val="21"/>
        </w:rPr>
        <w:t>(10)</w:t>
      </w:r>
      <w:r>
        <w:rPr>
          <w:rFonts w:hint="eastAsia" w:ascii="宋体" w:hAnsi="宋体" w:eastAsia="宋体" w:cs="宋体"/>
          <w:szCs w:val="21"/>
        </w:rPr>
        <w:t>不同投标人的投标文件异常一致或者投标报价呈规律性差异的；</w:t>
      </w:r>
    </w:p>
    <w:p w14:paraId="2352E5F3">
      <w:pPr>
        <w:spacing w:line="360" w:lineRule="auto"/>
        <w:ind w:left="425" w:right="2" w:hanging="425"/>
        <w:rPr>
          <w:rFonts w:ascii="宋体" w:hAnsi="宋体" w:eastAsia="宋体" w:cs="宋体"/>
          <w:szCs w:val="21"/>
        </w:rPr>
      </w:pPr>
      <w:r>
        <w:rPr>
          <w:rFonts w:ascii="宋体" w:hAnsi="宋体" w:eastAsia="宋体" w:cs="宋体"/>
          <w:szCs w:val="21"/>
        </w:rPr>
        <w:t>(11)</w:t>
      </w:r>
      <w:r>
        <w:rPr>
          <w:rFonts w:hint="eastAsia" w:ascii="宋体" w:hAnsi="宋体" w:eastAsia="宋体" w:cs="宋体"/>
          <w:szCs w:val="21"/>
        </w:rPr>
        <w:t>投标人报价均超过</w:t>
      </w:r>
      <w:r>
        <w:rPr>
          <w:rFonts w:hint="eastAsia" w:ascii="宋体" w:hAnsi="宋体" w:cs="宋体"/>
          <w:szCs w:val="21"/>
        </w:rPr>
        <w:t>最高限价</w:t>
      </w:r>
      <w:r>
        <w:rPr>
          <w:rFonts w:hint="eastAsia" w:ascii="宋体" w:hAnsi="宋体" w:eastAsia="宋体" w:cs="宋体"/>
          <w:szCs w:val="21"/>
        </w:rPr>
        <w:t>的；</w:t>
      </w:r>
    </w:p>
    <w:p w14:paraId="655E01BD">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(12)</w:t>
      </w:r>
      <w:r>
        <w:rPr>
          <w:rFonts w:hint="eastAsia" w:ascii="宋体" w:hAnsi="宋体" w:eastAsia="宋体" w:cs="宋体"/>
          <w:color w:val="000000"/>
          <w:szCs w:val="21"/>
        </w:rPr>
        <w:t>未按要求填报商务报价资料，对招标开展造成较大影响；</w:t>
      </w:r>
    </w:p>
    <w:p w14:paraId="6F8F9148">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(13)</w:t>
      </w:r>
      <w:r>
        <w:rPr>
          <w:rFonts w:hint="eastAsia" w:ascii="宋体" w:hAnsi="宋体" w:eastAsia="宋体" w:cs="宋体"/>
          <w:szCs w:val="21"/>
        </w:rPr>
        <w:t>未按照招标人规定的时间内在中国重汽e采通完成投标的；</w:t>
      </w:r>
    </w:p>
    <w:p w14:paraId="7D8F0937">
      <w:pPr>
        <w:spacing w:line="360" w:lineRule="auto"/>
        <w:ind w:left="425" w:right="2" w:hanging="425"/>
        <w:rPr>
          <w:rFonts w:ascii="宋体" w:hAnsi="宋体" w:eastAsia="宋体" w:cs="宋体"/>
          <w:color w:val="000000"/>
          <w:szCs w:val="21"/>
        </w:rPr>
      </w:pPr>
      <w:r>
        <w:rPr>
          <w:rFonts w:ascii="宋体" w:hAnsi="宋体" w:eastAsia="宋体" w:cs="宋体"/>
          <w:color w:val="000000"/>
          <w:szCs w:val="21"/>
        </w:rPr>
        <w:t>(14)</w:t>
      </w:r>
      <w:r>
        <w:rPr>
          <w:rFonts w:hint="eastAsia" w:ascii="宋体" w:hAnsi="宋体" w:eastAsia="宋体" w:cs="宋体"/>
          <w:color w:val="000000"/>
          <w:szCs w:val="21"/>
        </w:rPr>
        <w:t>法律、法规规定的其他情况。</w:t>
      </w:r>
    </w:p>
    <w:p w14:paraId="038019F4">
      <w:pPr>
        <w:spacing w:line="360" w:lineRule="auto"/>
        <w:ind w:left="425" w:right="2" w:hanging="425"/>
        <w:rPr>
          <w:rFonts w:ascii="宋体" w:hAnsi="宋体" w:eastAsia="宋体" w:cs="宋体"/>
          <w:szCs w:val="21"/>
        </w:rPr>
      </w:pPr>
      <w:r>
        <w:rPr>
          <w:rFonts w:hint="eastAsia" w:ascii="宋体" w:hAnsi="宋体" w:cs="宋体"/>
          <w:szCs w:val="21"/>
        </w:rPr>
        <w:t>2</w:t>
      </w:r>
      <w:r>
        <w:rPr>
          <w:rFonts w:ascii="宋体" w:hAnsi="宋体" w:eastAsia="宋体" w:cs="宋体"/>
          <w:szCs w:val="21"/>
        </w:rPr>
        <w:t>.</w:t>
      </w:r>
      <w:r>
        <w:rPr>
          <w:rFonts w:hint="eastAsia" w:ascii="宋体" w:hAnsi="宋体" w:eastAsia="宋体" w:cs="宋体"/>
          <w:szCs w:val="21"/>
        </w:rPr>
        <w:t>出现下列情形之一，招标人有权否决所有投标人的投标，并终止招标。</w:t>
      </w:r>
    </w:p>
    <w:p w14:paraId="4922BA6E">
      <w:pPr>
        <w:spacing w:line="360" w:lineRule="auto"/>
        <w:rPr>
          <w:rFonts w:ascii="宋体" w:hAnsi="宋体" w:eastAsia="宋体" w:cs="宋体"/>
          <w:b/>
          <w:bCs/>
          <w:color w:val="FF0000"/>
          <w:sz w:val="18"/>
          <w:szCs w:val="18"/>
        </w:rPr>
      </w:pPr>
      <w:r>
        <w:rPr>
          <w:rFonts w:ascii="宋体" w:hAnsi="宋体" w:eastAsia="宋体" w:cs="宋体"/>
          <w:szCs w:val="21"/>
        </w:rPr>
        <w:t>(</w:t>
      </w:r>
      <w:r>
        <w:rPr>
          <w:rFonts w:hint="eastAsia" w:ascii="宋体" w:hAnsi="宋体" w:cs="宋体"/>
          <w:szCs w:val="21"/>
        </w:rPr>
        <w:t>1</w:t>
      </w:r>
      <w:r>
        <w:rPr>
          <w:rFonts w:ascii="宋体" w:hAnsi="宋体" w:eastAsia="宋体" w:cs="宋体"/>
          <w:szCs w:val="21"/>
        </w:rPr>
        <w:t>)</w:t>
      </w:r>
      <w:r>
        <w:rPr>
          <w:rFonts w:hint="eastAsia" w:ascii="宋体" w:hAnsi="宋体" w:eastAsia="宋体" w:cs="宋体"/>
          <w:szCs w:val="21"/>
        </w:rPr>
        <w:t>符合条件的投标人或者对招标文件做实质响应的投标人不足三家的；</w:t>
      </w:r>
    </w:p>
    <w:p w14:paraId="0A18D542">
      <w:pPr>
        <w:spacing w:line="360" w:lineRule="auto"/>
        <w:ind w:left="425" w:right="2" w:hanging="425"/>
        <w:rPr>
          <w:rFonts w:ascii="宋体" w:hAnsi="宋体" w:eastAsia="宋体" w:cs="宋体"/>
          <w:szCs w:val="21"/>
        </w:rPr>
      </w:pPr>
      <w:r>
        <w:rPr>
          <w:rFonts w:ascii="宋体" w:hAnsi="宋体" w:eastAsia="宋体" w:cs="宋体"/>
          <w:szCs w:val="21"/>
        </w:rPr>
        <w:t>(</w:t>
      </w:r>
      <w:r>
        <w:rPr>
          <w:rFonts w:hint="eastAsia" w:ascii="宋体" w:hAnsi="宋体" w:cs="宋体"/>
          <w:szCs w:val="21"/>
        </w:rPr>
        <w:t>2</w:t>
      </w:r>
      <w:r>
        <w:rPr>
          <w:rFonts w:ascii="宋体" w:hAnsi="宋体" w:eastAsia="宋体" w:cs="宋体"/>
          <w:szCs w:val="21"/>
        </w:rPr>
        <w:t>)</w:t>
      </w:r>
      <w:r>
        <w:rPr>
          <w:rFonts w:hint="eastAsia" w:ascii="宋体" w:hAnsi="宋体" w:eastAsia="宋体" w:cs="宋体"/>
          <w:szCs w:val="21"/>
        </w:rPr>
        <w:t>出现影响采购公正的违法、违规行为的；</w:t>
      </w:r>
    </w:p>
    <w:p w14:paraId="1B3C4773">
      <w:pPr>
        <w:spacing w:line="360" w:lineRule="auto"/>
        <w:ind w:left="425" w:right="2" w:hanging="425"/>
        <w:rPr>
          <w:rFonts w:ascii="宋体" w:hAnsi="宋体" w:eastAsia="宋体" w:cs="宋体"/>
          <w:bCs/>
          <w:szCs w:val="21"/>
        </w:rPr>
      </w:pPr>
      <w:r>
        <w:rPr>
          <w:rFonts w:ascii="宋体" w:hAnsi="宋体" w:eastAsia="宋体" w:cs="宋体"/>
          <w:bCs/>
          <w:szCs w:val="21"/>
        </w:rPr>
        <w:t>(</w:t>
      </w:r>
      <w:r>
        <w:rPr>
          <w:rFonts w:hint="eastAsia" w:ascii="宋体" w:hAnsi="宋体" w:cs="宋体"/>
          <w:bCs/>
          <w:szCs w:val="21"/>
        </w:rPr>
        <w:t>3</w:t>
      </w:r>
      <w:r>
        <w:rPr>
          <w:rFonts w:ascii="宋体" w:hAnsi="宋体" w:eastAsia="宋体" w:cs="宋体"/>
          <w:bCs/>
          <w:szCs w:val="21"/>
        </w:rPr>
        <w:t>)</w:t>
      </w:r>
      <w:r>
        <w:rPr>
          <w:rFonts w:hint="eastAsia" w:ascii="宋体" w:hAnsi="宋体" w:eastAsia="宋体" w:cs="宋体"/>
          <w:bCs/>
          <w:szCs w:val="21"/>
        </w:rPr>
        <w:t>评标委员会经评审，认为所有投标都不符合招标文件要求的；</w:t>
      </w:r>
    </w:p>
    <w:p w14:paraId="70E34884">
      <w:pPr>
        <w:spacing w:line="360" w:lineRule="auto"/>
        <w:ind w:left="425" w:right="2" w:hanging="425"/>
      </w:pPr>
      <w:r>
        <w:rPr>
          <w:rFonts w:ascii="宋体" w:hAnsi="宋体" w:eastAsia="宋体" w:cs="宋体"/>
          <w:bCs/>
          <w:szCs w:val="21"/>
        </w:rPr>
        <w:t>(</w:t>
      </w:r>
      <w:r>
        <w:rPr>
          <w:rFonts w:hint="eastAsia" w:ascii="宋体" w:hAnsi="宋体" w:cs="宋体"/>
          <w:bCs/>
          <w:szCs w:val="21"/>
        </w:rPr>
        <w:t>4</w:t>
      </w:r>
      <w:r>
        <w:rPr>
          <w:rFonts w:ascii="宋体" w:hAnsi="宋体" w:eastAsia="宋体" w:cs="宋体"/>
          <w:bCs/>
          <w:szCs w:val="21"/>
        </w:rPr>
        <w:t>)</w:t>
      </w:r>
      <w:r>
        <w:rPr>
          <w:rFonts w:hint="eastAsia" w:ascii="宋体" w:hAnsi="宋体" w:eastAsia="宋体" w:cs="宋体"/>
          <w:bCs/>
          <w:szCs w:val="21"/>
        </w:rPr>
        <w:t>因重大变故，采购任务取消的</w:t>
      </w:r>
      <w:bookmarkStart w:id="26" w:name="OLE_LINK25"/>
      <w:bookmarkStart w:id="27" w:name="OLE_LINK26"/>
      <w:bookmarkStart w:id="28" w:name="OLE_LINK27"/>
      <w:bookmarkStart w:id="29" w:name="OLE_LINK28"/>
      <w:bookmarkStart w:id="30" w:name="OLE_LINK29"/>
      <w:r>
        <w:rPr>
          <w:rFonts w:hint="eastAsia" w:ascii="宋体" w:hAnsi="宋体" w:eastAsia="宋体" w:cs="宋体"/>
          <w:bCs/>
          <w:szCs w:val="21"/>
        </w:rPr>
        <w:t>；</w:t>
      </w:r>
      <w:bookmarkEnd w:id="26"/>
      <w:bookmarkEnd w:id="27"/>
      <w:bookmarkEnd w:id="28"/>
      <w:bookmarkEnd w:id="29"/>
      <w:bookmarkEnd w:id="30"/>
    </w:p>
    <w:p w14:paraId="3E8430EF">
      <w:pPr>
        <w:pStyle w:val="17"/>
        <w:spacing w:line="360" w:lineRule="auto"/>
        <w:ind w:left="425" w:hanging="425"/>
        <w:rPr>
          <w:rFonts w:hAnsi="宋体" w:eastAsia="宋体" w:cs="宋体"/>
          <w:bCs/>
          <w:szCs w:val="21"/>
        </w:rPr>
      </w:pPr>
      <w:r>
        <w:rPr>
          <w:rFonts w:hAnsi="宋体" w:eastAsia="宋体" w:cs="宋体"/>
          <w:bCs/>
          <w:szCs w:val="21"/>
        </w:rPr>
        <w:t>(</w:t>
      </w:r>
      <w:r>
        <w:rPr>
          <w:rFonts w:hint="eastAsia" w:hAnsi="宋体" w:cs="宋体"/>
          <w:bCs/>
          <w:szCs w:val="21"/>
        </w:rPr>
        <w:t>5</w:t>
      </w:r>
      <w:r>
        <w:rPr>
          <w:rFonts w:hAnsi="宋体" w:eastAsia="宋体" w:cs="宋体"/>
          <w:bCs/>
          <w:szCs w:val="21"/>
        </w:rPr>
        <w:t>)</w:t>
      </w:r>
      <w:r>
        <w:rPr>
          <w:rFonts w:hint="eastAsia" w:hAnsi="宋体" w:eastAsia="宋体" w:cs="宋体"/>
          <w:bCs/>
          <w:szCs w:val="21"/>
        </w:rPr>
        <w:t>投标人投标文件付款方式偏离招标文件的；</w:t>
      </w:r>
    </w:p>
    <w:p w14:paraId="01B5E07C">
      <w:pPr>
        <w:pStyle w:val="17"/>
        <w:spacing w:line="360" w:lineRule="auto"/>
        <w:ind w:left="425" w:hanging="425"/>
        <w:rPr>
          <w:rFonts w:hAnsi="宋体" w:eastAsia="宋体" w:cs="宋体"/>
          <w:bCs/>
          <w:szCs w:val="21"/>
        </w:rPr>
      </w:pPr>
      <w:r>
        <w:rPr>
          <w:rFonts w:hint="eastAsia" w:hAnsi="宋体" w:cs="宋体"/>
          <w:bCs/>
          <w:szCs w:val="21"/>
        </w:rPr>
        <w:t>(6)</w:t>
      </w:r>
      <w:r>
        <w:rPr>
          <w:rFonts w:hint="eastAsia" w:hAnsi="宋体" w:eastAsia="宋体" w:cs="宋体"/>
          <w:bCs/>
          <w:szCs w:val="21"/>
        </w:rPr>
        <w:t>招标人认为其他应终止招标的情形。</w:t>
      </w:r>
    </w:p>
    <w:p w14:paraId="32444D2A">
      <w:pPr>
        <w:spacing w:line="360" w:lineRule="auto"/>
        <w:rPr>
          <w:szCs w:val="21"/>
        </w:rPr>
      </w:pPr>
      <w:r>
        <w:rPr>
          <w:rFonts w:hint="eastAsia" w:ascii="宋体" w:hAnsi="宋体" w:eastAsia="宋体" w:cs="宋体"/>
          <w:szCs w:val="21"/>
        </w:rPr>
        <w:t>3</w:t>
      </w:r>
      <w:r>
        <w:rPr>
          <w:rFonts w:ascii="Times New Roman" w:hAnsi="Times New Roman" w:eastAsia="宋体" w:cs="Times New Roman"/>
          <w:szCs w:val="21"/>
        </w:rPr>
        <w:t>.</w:t>
      </w:r>
      <w:r>
        <w:rPr>
          <w:rFonts w:hint="eastAsia" w:ascii="宋体" w:hAnsi="宋体" w:eastAsia="宋体" w:cs="宋体"/>
          <w:color w:val="000000"/>
          <w:szCs w:val="21"/>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DB232F2">
      <w:pPr>
        <w:pStyle w:val="140"/>
      </w:pPr>
      <w:r>
        <w:rPr>
          <w:rFonts w:hint="eastAsia"/>
        </w:rPr>
        <w:t>合同签订</w:t>
      </w:r>
    </w:p>
    <w:p w14:paraId="66659A01">
      <w:pPr>
        <w:spacing w:line="360" w:lineRule="auto"/>
        <w:rPr>
          <w:rFonts w:ascii="宋体" w:hAnsi="宋体" w:cs="宋体"/>
          <w:color w:val="000000"/>
          <w:szCs w:val="21"/>
        </w:rPr>
      </w:pPr>
      <w:r>
        <w:rPr>
          <w:rFonts w:hint="eastAsia" w:ascii="宋体" w:hAnsi="宋体" w:cs="宋体"/>
          <w:color w:val="000000"/>
          <w:szCs w:val="21"/>
        </w:rPr>
        <w:t>1.招标人根据评标工作小组的评标结果确定中标人，在重汽e采通平台公布中标结果，并发送中标通知。</w:t>
      </w:r>
    </w:p>
    <w:p w14:paraId="22FACD8E">
      <w:pPr>
        <w:spacing w:line="360" w:lineRule="auto"/>
        <w:rPr>
          <w:rFonts w:ascii="宋体" w:hAnsi="宋体" w:cs="宋体"/>
          <w:color w:val="000000"/>
          <w:szCs w:val="21"/>
        </w:rPr>
      </w:pPr>
      <w:r>
        <w:rPr>
          <w:rFonts w:hint="eastAsia" w:ascii="宋体" w:hAnsi="宋体" w:cs="宋体"/>
          <w:color w:val="000000"/>
          <w:szCs w:val="21"/>
        </w:rPr>
        <w:t>2.中标人应该在中标通知书规定的时间、地点与招标人签订采购合同，否则按照开标后撤回投标处理。</w:t>
      </w:r>
    </w:p>
    <w:p w14:paraId="2538F3FF">
      <w:pPr>
        <w:spacing w:line="360" w:lineRule="auto"/>
        <w:rPr>
          <w:rFonts w:ascii="宋体" w:hAnsi="宋体" w:cs="宋体"/>
          <w:color w:val="000000"/>
          <w:szCs w:val="21"/>
        </w:rPr>
      </w:pPr>
      <w:r>
        <w:rPr>
          <w:rFonts w:hint="eastAsia" w:ascii="宋体" w:hAnsi="宋体" w:cs="宋体"/>
          <w:color w:val="000000"/>
          <w:szCs w:val="21"/>
        </w:rPr>
        <w:t>3.中标人应当按照合同约定的履约责任，在保证质量的前提下完成中标项目，不得将中标项目转包或分包给他人，否则视为违约，招标人有权解除合同。</w:t>
      </w:r>
    </w:p>
    <w:p w14:paraId="093D653B">
      <w:pPr>
        <w:spacing w:line="360" w:lineRule="auto"/>
        <w:rPr>
          <w:rFonts w:ascii="宋体" w:hAnsi="宋体" w:cs="宋体"/>
          <w:b/>
          <w:szCs w:val="21"/>
        </w:rPr>
      </w:pPr>
      <w:r>
        <w:rPr>
          <w:rFonts w:hint="eastAsia" w:ascii="宋体" w:hAnsi="宋体" w:cs="宋体"/>
          <w:b/>
          <w:szCs w:val="21"/>
        </w:rPr>
        <w:t>4.中标人由于履行义务的能力或信用有严重缺陷，招标人有权取消其中标资格，招标人将从中标候选单位中依序重新确定中标人，或重新组织招标；</w:t>
      </w:r>
    </w:p>
    <w:p w14:paraId="29D4030B">
      <w:pPr>
        <w:spacing w:line="360" w:lineRule="auto"/>
        <w:rPr>
          <w:rFonts w:ascii="宋体" w:hAnsi="宋体" w:eastAsia="宋体" w:cs="宋体"/>
          <w:color w:val="000000"/>
          <w:szCs w:val="21"/>
        </w:rPr>
      </w:pPr>
      <w:r>
        <w:rPr>
          <w:rFonts w:hint="eastAsia" w:ascii="宋体" w:hAnsi="宋体" w:cs="宋体"/>
          <w:b/>
          <w:szCs w:val="21"/>
        </w:rPr>
        <w:t>5.合同以双方最终签署的版本为准。</w:t>
      </w:r>
    </w:p>
    <w:p w14:paraId="528A6C5D">
      <w:pPr>
        <w:pStyle w:val="140"/>
      </w:pPr>
      <w:r>
        <w:rPr>
          <w:rFonts w:hint="eastAsia"/>
        </w:rPr>
        <w:t>交货及付款</w:t>
      </w:r>
    </w:p>
    <w:p w14:paraId="15A685A7">
      <w:pPr>
        <w:pStyle w:val="140"/>
        <w:numPr>
          <w:ilvl w:val="0"/>
          <w:numId w:val="24"/>
        </w:numPr>
        <w:rPr>
          <w:rFonts w:ascii="宋体" w:hAnsi="宋体" w:eastAsia="宋体" w:cs="宋体"/>
          <w:sz w:val="21"/>
          <w:szCs w:val="21"/>
        </w:rPr>
      </w:pPr>
      <w:r>
        <w:rPr>
          <w:rFonts w:hint="eastAsia" w:ascii="宋体" w:hAnsi="宋体" w:eastAsia="宋体" w:cs="宋体"/>
          <w:sz w:val="21"/>
          <w:szCs w:val="21"/>
        </w:rPr>
        <w:t>交货期：</w:t>
      </w:r>
    </w:p>
    <w:p w14:paraId="7DF388EE">
      <w:pPr>
        <w:pStyle w:val="140"/>
        <w:numPr>
          <w:ilvl w:val="0"/>
          <w:numId w:val="0"/>
        </w:numPr>
        <w:ind w:firstLine="420" w:firstLineChars="200"/>
        <w:rPr>
          <w:rFonts w:hAnsi="宋体" w:eastAsia="宋体" w:cs="宋体"/>
          <w:b w:val="0"/>
          <w:bCs w:val="0"/>
          <w:color w:val="000000"/>
          <w:sz w:val="21"/>
          <w:szCs w:val="21"/>
        </w:rPr>
      </w:pPr>
      <w:r>
        <w:rPr>
          <w:rFonts w:hint="eastAsia" w:hAnsi="宋体" w:eastAsia="宋体" w:cs="宋体"/>
          <w:b w:val="0"/>
          <w:bCs w:val="0"/>
          <w:color w:val="000000"/>
          <w:sz w:val="21"/>
          <w:szCs w:val="21"/>
        </w:rPr>
        <w:t>详见技术标书。</w:t>
      </w:r>
    </w:p>
    <w:p w14:paraId="0113CBEA">
      <w:pPr>
        <w:pStyle w:val="140"/>
        <w:numPr>
          <w:ilvl w:val="0"/>
          <w:numId w:val="0"/>
        </w:numPr>
        <w:ind w:firstLine="420" w:firstLineChars="200"/>
        <w:rPr>
          <w:rFonts w:ascii="宋体" w:hAnsi="宋体" w:eastAsia="宋体" w:cs="宋体"/>
          <w:b w:val="0"/>
          <w:bCs w:val="0"/>
          <w:sz w:val="21"/>
          <w:szCs w:val="21"/>
        </w:rPr>
      </w:pPr>
      <w:r>
        <w:rPr>
          <w:rFonts w:hint="eastAsia" w:hAnsi="宋体" w:eastAsia="宋体" w:cs="宋体"/>
          <w:b w:val="0"/>
          <w:bCs w:val="0"/>
          <w:color w:val="000000"/>
          <w:sz w:val="21"/>
          <w:szCs w:val="21"/>
        </w:rPr>
        <w:t>安装调试工期超过规定时间的，投标人应当随标书提供详细的工期计划。</w:t>
      </w:r>
    </w:p>
    <w:p w14:paraId="0CA4A3CF">
      <w:pPr>
        <w:pStyle w:val="140"/>
        <w:numPr>
          <w:ilvl w:val="0"/>
          <w:numId w:val="24"/>
        </w:numPr>
        <w:rPr>
          <w:rFonts w:ascii="宋体" w:hAnsi="宋体" w:eastAsia="宋体" w:cs="宋体"/>
          <w:sz w:val="21"/>
          <w:szCs w:val="21"/>
          <w:highlight w:val="none"/>
        </w:rPr>
      </w:pPr>
      <w:r>
        <w:rPr>
          <w:rFonts w:hint="eastAsia" w:ascii="宋体" w:hAnsi="宋体" w:eastAsia="宋体" w:cs="宋体"/>
          <w:sz w:val="21"/>
          <w:szCs w:val="21"/>
          <w:highlight w:val="none"/>
        </w:rPr>
        <w:t>交货地点：招标方指定地点</w:t>
      </w:r>
    </w:p>
    <w:p w14:paraId="34C44855">
      <w:pPr>
        <w:pStyle w:val="140"/>
        <w:numPr>
          <w:ilvl w:val="0"/>
          <w:numId w:val="24"/>
        </w:numPr>
        <w:rPr>
          <w:rFonts w:ascii="宋体" w:hAnsi="宋体" w:eastAsia="宋体" w:cs="宋体"/>
          <w:sz w:val="21"/>
          <w:szCs w:val="21"/>
        </w:rPr>
      </w:pPr>
      <w:r>
        <w:rPr>
          <w:rFonts w:hint="eastAsia" w:ascii="宋体" w:hAnsi="宋体" w:eastAsia="宋体" w:cs="宋体"/>
          <w:sz w:val="21"/>
          <w:szCs w:val="21"/>
        </w:rPr>
        <w:t>交货方式：</w:t>
      </w:r>
      <w:r>
        <w:rPr>
          <w:rFonts w:hint="eastAsia" w:ascii="宋体" w:hAnsi="宋体" w:eastAsia="宋体" w:cs="宋体"/>
          <w:b w:val="0"/>
          <w:bCs w:val="0"/>
          <w:sz w:val="21"/>
          <w:szCs w:val="21"/>
        </w:rPr>
        <w:t>交钥匙方式；</w:t>
      </w:r>
    </w:p>
    <w:p w14:paraId="1510E25E">
      <w:pPr>
        <w:pStyle w:val="140"/>
        <w:numPr>
          <w:ilvl w:val="0"/>
          <w:numId w:val="24"/>
        </w:numPr>
        <w:rPr>
          <w:rFonts w:ascii="宋体" w:hAnsi="宋体" w:eastAsia="宋体" w:cs="宋体"/>
          <w:b w:val="0"/>
          <w:bCs w:val="0"/>
          <w:sz w:val="21"/>
          <w:szCs w:val="21"/>
        </w:rPr>
      </w:pPr>
      <w:r>
        <w:rPr>
          <w:rFonts w:hint="eastAsia" w:ascii="宋体" w:hAnsi="宋体" w:eastAsia="宋体" w:cs="宋体"/>
          <w:sz w:val="21"/>
          <w:szCs w:val="21"/>
        </w:rPr>
        <w:t>付款方式：</w:t>
      </w:r>
      <w:r>
        <w:rPr>
          <w:rFonts w:hint="eastAsia" w:ascii="宋体" w:hAnsi="宋体" w:eastAsia="宋体" w:cs="宋体"/>
          <w:b w:val="0"/>
          <w:bCs w:val="0"/>
          <w:sz w:val="21"/>
          <w:szCs w:val="21"/>
        </w:rPr>
        <w:t>半年期商业汇票（包括银行承兑汇票和商业承兑汇票）；</w:t>
      </w:r>
    </w:p>
    <w:p w14:paraId="2A12AEF9">
      <w:pPr>
        <w:pStyle w:val="140"/>
        <w:numPr>
          <w:ilvl w:val="0"/>
          <w:numId w:val="0"/>
        </w:numPr>
        <w:ind w:left="425" w:hanging="425"/>
        <w:rPr>
          <w:rFonts w:ascii="宋体" w:hAnsi="宋体" w:eastAsia="宋体" w:cs="宋体"/>
          <w:sz w:val="21"/>
          <w:szCs w:val="21"/>
        </w:rPr>
      </w:pPr>
      <w:r>
        <w:rPr>
          <w:rFonts w:hint="eastAsia" w:ascii="宋体" w:hAnsi="宋体" w:eastAsia="宋体" w:cs="宋体"/>
          <w:sz w:val="21"/>
          <w:szCs w:val="21"/>
        </w:rPr>
        <w:t>5</w:t>
      </w:r>
      <w:r>
        <w:rPr>
          <w:rFonts w:ascii="宋体" w:hAnsi="宋体" w:eastAsia="宋体" w:cs="宋体"/>
          <w:sz w:val="21"/>
          <w:szCs w:val="21"/>
        </w:rPr>
        <w:t>.</w:t>
      </w:r>
      <w:r>
        <w:rPr>
          <w:rFonts w:hint="eastAsia" w:ascii="宋体" w:hAnsi="宋体" w:eastAsia="宋体" w:cs="宋体"/>
          <w:sz w:val="21"/>
          <w:szCs w:val="21"/>
        </w:rPr>
        <w:t>付款节点：</w:t>
      </w:r>
      <w:r>
        <w:rPr>
          <w:rFonts w:hint="eastAsia" w:ascii="宋体" w:hAnsi="宋体" w:eastAsia="宋体" w:cs="宋体"/>
          <w:sz w:val="21"/>
          <w:szCs w:val="21"/>
          <w:lang w:val="en-US" w:eastAsia="zh-CN"/>
        </w:rPr>
        <w:t>9</w:t>
      </w:r>
      <w:r>
        <w:rPr>
          <w:rFonts w:hint="eastAsia" w:ascii="宋体" w:hAnsi="宋体" w:eastAsia="宋体" w:cs="宋体"/>
          <w:sz w:val="21"/>
          <w:szCs w:val="21"/>
        </w:rPr>
        <w:t>:1</w:t>
      </w:r>
    </w:p>
    <w:p w14:paraId="398BCDDC">
      <w:pPr>
        <w:pStyle w:val="127"/>
        <w:snapToGrid w:val="0"/>
        <w:spacing w:line="360" w:lineRule="auto"/>
        <w:ind w:firstLine="0" w:firstLineChars="0"/>
        <w:jc w:val="left"/>
        <w:rPr>
          <w:rFonts w:ascii="宋体" w:hAnsi="宋体" w:eastAsia="宋体" w:cs="宋体"/>
          <w:szCs w:val="21"/>
        </w:rPr>
      </w:pPr>
      <w:r>
        <w:rPr>
          <w:rFonts w:hint="eastAsia" w:ascii="宋体" w:hAnsi="宋体" w:eastAsia="宋体" w:cs="宋体"/>
          <w:szCs w:val="21"/>
        </w:rPr>
        <w:t>A.设备验收合格后，中标人提交金额为合同含税价款</w:t>
      </w:r>
      <w:r>
        <w:rPr>
          <w:rFonts w:hint="eastAsia" w:ascii="宋体" w:hAnsi="宋体" w:eastAsia="宋体" w:cs="宋体"/>
          <w:szCs w:val="21"/>
          <w:lang w:val="en-US" w:eastAsia="zh-CN"/>
        </w:rPr>
        <w:t>10</w:t>
      </w:r>
      <w:r>
        <w:rPr>
          <w:rFonts w:hint="eastAsia" w:ascii="宋体" w:hAnsi="宋体" w:eastAsia="宋体" w:cs="宋体"/>
          <w:szCs w:val="21"/>
        </w:rPr>
        <w:t>0%的增值税专用发票（含复印件二份），经招标人依照财务制度审核通过后支付</w:t>
      </w:r>
      <w:r>
        <w:rPr>
          <w:rFonts w:hint="eastAsia" w:ascii="宋体" w:hAnsi="宋体" w:eastAsia="宋体" w:cs="宋体"/>
          <w:szCs w:val="21"/>
          <w:lang w:val="en-US" w:eastAsia="zh-CN"/>
        </w:rPr>
        <w:t>9</w:t>
      </w:r>
      <w:r>
        <w:rPr>
          <w:rFonts w:hint="eastAsia" w:ascii="宋体" w:hAnsi="宋体" w:eastAsia="宋体" w:cs="宋体"/>
          <w:szCs w:val="21"/>
        </w:rPr>
        <w:t>0%；</w:t>
      </w:r>
    </w:p>
    <w:p w14:paraId="073E7A0F">
      <w:pPr>
        <w:pStyle w:val="127"/>
        <w:snapToGrid w:val="0"/>
        <w:spacing w:line="360" w:lineRule="auto"/>
        <w:ind w:firstLine="0" w:firstLineChars="0"/>
        <w:jc w:val="left"/>
        <w:rPr>
          <w:rFonts w:ascii="宋体" w:hAnsi="宋体" w:eastAsia="宋体" w:cs="宋体"/>
          <w:szCs w:val="21"/>
        </w:rPr>
      </w:pPr>
      <w:r>
        <w:rPr>
          <w:rFonts w:hint="eastAsia" w:ascii="宋体" w:hAnsi="宋体" w:eastAsia="宋体" w:cs="宋体"/>
          <w:szCs w:val="21"/>
          <w:lang w:val="en-US" w:eastAsia="zh-CN"/>
        </w:rPr>
        <w:t>B</w:t>
      </w:r>
      <w:r>
        <w:rPr>
          <w:rFonts w:hint="eastAsia" w:ascii="宋体" w:hAnsi="宋体" w:eastAsia="宋体" w:cs="宋体"/>
          <w:szCs w:val="21"/>
        </w:rPr>
        <w:t>.合同总价款的10%作为本合同约定设备的质量保证金，质量保证金在质量保证期内不计利息。待每套合同设备质量保证期满，中标人向招标人提交金额为合同价款10%的收据（正本一份，复印件二份）及设备使用单位的使用情况说明，经招标人依照财务制度审核通过后支付。如有质量问题，质量保证金予以相应扣除。</w:t>
      </w:r>
    </w:p>
    <w:p w14:paraId="655AF65E">
      <w:pPr>
        <w:pStyle w:val="140"/>
      </w:pPr>
      <w:r>
        <w:rPr>
          <w:rFonts w:hint="eastAsia"/>
        </w:rPr>
        <w:t>质保期</w:t>
      </w:r>
    </w:p>
    <w:p w14:paraId="2AAE1A40">
      <w:pPr>
        <w:pStyle w:val="140"/>
        <w:numPr>
          <w:ilvl w:val="0"/>
          <w:numId w:val="0"/>
        </w:numPr>
        <w:ind w:firstLine="422" w:firstLineChars="200"/>
        <w:rPr>
          <w:rFonts w:ascii="宋体" w:hAnsi="宋体" w:eastAsia="宋体" w:cs="宋体"/>
          <w:sz w:val="21"/>
          <w:szCs w:val="21"/>
        </w:rPr>
      </w:pPr>
      <w:r>
        <w:rPr>
          <w:rFonts w:hint="eastAsia" w:ascii="宋体" w:hAnsi="宋体" w:eastAsia="宋体" w:cs="宋体"/>
          <w:sz w:val="21"/>
          <w:szCs w:val="21"/>
        </w:rPr>
        <w:t>质保期：</w:t>
      </w:r>
      <w:r>
        <w:rPr>
          <w:rFonts w:hint="eastAsia" w:ascii="宋体" w:hAnsi="宋体" w:eastAsia="宋体" w:cs="宋体"/>
          <w:b w:val="0"/>
          <w:bCs w:val="0"/>
          <w:sz w:val="21"/>
          <w:szCs w:val="21"/>
        </w:rPr>
        <w:t>自设备验收文件最终签署之日起壹年。（投标人可在满足上述最短质保期基础上竞报）</w:t>
      </w:r>
    </w:p>
    <w:p w14:paraId="5B2088EB">
      <w:pPr>
        <w:pStyle w:val="140"/>
      </w:pPr>
      <w:r>
        <w:rPr>
          <w:rFonts w:hint="eastAsia"/>
        </w:rPr>
        <w:t>本次招标最终解释权归中国重汽集团济南商用车有限公司。</w:t>
      </w:r>
    </w:p>
    <w:p w14:paraId="588C54DA">
      <w:pPr>
        <w:pStyle w:val="140"/>
        <w:numPr>
          <w:ilvl w:val="0"/>
          <w:numId w:val="0"/>
        </w:numPr>
        <w:ind w:left="420" w:hanging="420"/>
      </w:pPr>
    </w:p>
    <w:p w14:paraId="22736C31">
      <w:pPr>
        <w:pStyle w:val="140"/>
        <w:numPr>
          <w:ilvl w:val="0"/>
          <w:numId w:val="0"/>
        </w:numPr>
        <w:ind w:left="420" w:hanging="420"/>
      </w:pPr>
    </w:p>
    <w:p w14:paraId="6AA89F9A">
      <w:pPr>
        <w:pStyle w:val="140"/>
        <w:numPr>
          <w:ilvl w:val="0"/>
          <w:numId w:val="0"/>
        </w:numPr>
        <w:ind w:left="420" w:hanging="420"/>
      </w:pPr>
    </w:p>
    <w:p w14:paraId="108152F3">
      <w:pPr>
        <w:pStyle w:val="140"/>
        <w:numPr>
          <w:ilvl w:val="0"/>
          <w:numId w:val="0"/>
        </w:numPr>
        <w:ind w:left="420" w:hanging="420"/>
      </w:pPr>
    </w:p>
    <w:p w14:paraId="2B5B6AE1">
      <w:pPr>
        <w:pStyle w:val="140"/>
        <w:numPr>
          <w:ilvl w:val="0"/>
          <w:numId w:val="0"/>
        </w:numPr>
        <w:ind w:left="420" w:hanging="420"/>
      </w:pPr>
    </w:p>
    <w:p w14:paraId="5077533C">
      <w:pPr>
        <w:pStyle w:val="140"/>
        <w:numPr>
          <w:ilvl w:val="0"/>
          <w:numId w:val="0"/>
        </w:numPr>
        <w:ind w:left="420" w:hanging="420"/>
      </w:pPr>
    </w:p>
    <w:p w14:paraId="156B0699">
      <w:pPr>
        <w:pStyle w:val="140"/>
        <w:numPr>
          <w:ilvl w:val="0"/>
          <w:numId w:val="0"/>
        </w:numPr>
        <w:ind w:left="420" w:hanging="420"/>
      </w:pPr>
    </w:p>
    <w:p w14:paraId="339F2647">
      <w:pPr>
        <w:pStyle w:val="140"/>
        <w:numPr>
          <w:ilvl w:val="0"/>
          <w:numId w:val="0"/>
        </w:numPr>
        <w:ind w:left="420" w:hanging="420"/>
      </w:pPr>
    </w:p>
    <w:p w14:paraId="32989CEC">
      <w:pPr>
        <w:pStyle w:val="140"/>
        <w:numPr>
          <w:ilvl w:val="0"/>
          <w:numId w:val="0"/>
        </w:numPr>
        <w:ind w:left="420" w:hanging="420"/>
      </w:pPr>
    </w:p>
    <w:p w14:paraId="05BCBE96">
      <w:pPr>
        <w:pStyle w:val="140"/>
        <w:numPr>
          <w:ilvl w:val="0"/>
          <w:numId w:val="0"/>
        </w:numPr>
        <w:ind w:left="420" w:hanging="420"/>
      </w:pPr>
    </w:p>
    <w:p w14:paraId="3102B00B">
      <w:pPr>
        <w:pStyle w:val="140"/>
        <w:numPr>
          <w:ilvl w:val="0"/>
          <w:numId w:val="0"/>
        </w:numPr>
        <w:ind w:left="420" w:hanging="420"/>
      </w:pPr>
    </w:p>
    <w:p w14:paraId="42D633AF">
      <w:pPr>
        <w:pStyle w:val="140"/>
        <w:numPr>
          <w:ilvl w:val="0"/>
          <w:numId w:val="0"/>
        </w:numPr>
        <w:ind w:left="420" w:hanging="420"/>
      </w:pPr>
    </w:p>
    <w:p w14:paraId="451C2535">
      <w:pPr>
        <w:pStyle w:val="140"/>
        <w:numPr>
          <w:ilvl w:val="0"/>
          <w:numId w:val="0"/>
        </w:numPr>
        <w:ind w:left="420" w:hanging="420"/>
      </w:pPr>
    </w:p>
    <w:p w14:paraId="7B3761FF">
      <w:pPr>
        <w:pStyle w:val="140"/>
        <w:numPr>
          <w:ilvl w:val="0"/>
          <w:numId w:val="0"/>
        </w:numPr>
        <w:ind w:left="420" w:hanging="420"/>
      </w:pPr>
    </w:p>
    <w:p w14:paraId="68634493">
      <w:pPr>
        <w:pStyle w:val="140"/>
        <w:numPr>
          <w:ilvl w:val="0"/>
          <w:numId w:val="0"/>
        </w:numPr>
        <w:ind w:left="420" w:hanging="420"/>
      </w:pPr>
    </w:p>
    <w:p w14:paraId="7B7B3F47">
      <w:pPr>
        <w:pStyle w:val="140"/>
        <w:numPr>
          <w:ilvl w:val="0"/>
          <w:numId w:val="0"/>
        </w:numPr>
        <w:ind w:left="420" w:hanging="420"/>
      </w:pPr>
    </w:p>
    <w:p w14:paraId="307E7014">
      <w:pPr>
        <w:pStyle w:val="140"/>
        <w:numPr>
          <w:ilvl w:val="0"/>
          <w:numId w:val="0"/>
        </w:numPr>
        <w:ind w:left="420" w:hanging="420"/>
      </w:pPr>
    </w:p>
    <w:p w14:paraId="728F0627">
      <w:pPr>
        <w:pStyle w:val="140"/>
        <w:numPr>
          <w:ilvl w:val="0"/>
          <w:numId w:val="0"/>
        </w:numPr>
        <w:ind w:left="420" w:hanging="420"/>
      </w:pPr>
    </w:p>
    <w:p w14:paraId="3C00ECC8">
      <w:pPr>
        <w:pStyle w:val="140"/>
        <w:numPr>
          <w:ilvl w:val="0"/>
          <w:numId w:val="0"/>
        </w:numPr>
        <w:ind w:left="420" w:hanging="420"/>
      </w:pPr>
    </w:p>
    <w:p w14:paraId="1C10D602">
      <w:pPr>
        <w:pStyle w:val="140"/>
        <w:numPr>
          <w:ilvl w:val="0"/>
          <w:numId w:val="0"/>
        </w:numPr>
        <w:ind w:left="420" w:hanging="420"/>
      </w:pPr>
    </w:p>
    <w:p w14:paraId="43BE8D7B">
      <w:pPr>
        <w:pStyle w:val="140"/>
        <w:numPr>
          <w:ilvl w:val="0"/>
          <w:numId w:val="0"/>
        </w:numPr>
        <w:ind w:left="420" w:hanging="420"/>
      </w:pPr>
    </w:p>
    <w:p w14:paraId="4B51A5F9">
      <w:pPr>
        <w:pStyle w:val="140"/>
        <w:numPr>
          <w:ilvl w:val="0"/>
          <w:numId w:val="0"/>
        </w:numPr>
        <w:ind w:left="420" w:hanging="420"/>
      </w:pPr>
    </w:p>
    <w:p w14:paraId="0CB0DF28">
      <w:pPr>
        <w:spacing w:line="360" w:lineRule="auto"/>
        <w:rPr>
          <w:rFonts w:ascii="宋体" w:hAnsi="宋体" w:eastAsia="宋体" w:cs="Times New Roman"/>
          <w:b/>
          <w:sz w:val="36"/>
          <w:szCs w:val="36"/>
        </w:rPr>
        <w:sectPr>
          <w:pgSz w:w="11907" w:h="16840"/>
          <w:pgMar w:top="1304" w:right="1418" w:bottom="1304" w:left="1418" w:header="724" w:footer="851" w:gutter="0"/>
          <w:pgNumType w:fmt="decimal"/>
          <w:cols w:space="720" w:num="1"/>
          <w:docGrid w:linePitch="290" w:charSpace="-3931"/>
        </w:sectPr>
      </w:pPr>
    </w:p>
    <w:p w14:paraId="3085E255">
      <w:pPr>
        <w:keepNext/>
        <w:keepLines/>
        <w:spacing w:before="120" w:after="120" w:line="360" w:lineRule="auto"/>
        <w:jc w:val="center"/>
        <w:outlineLvl w:val="0"/>
        <w:rPr>
          <w:rFonts w:hint="eastAsia" w:ascii="黑体" w:hAnsi="等线" w:eastAsia="黑体" w:cs="Times New Roman"/>
          <w:kern w:val="44"/>
          <w:sz w:val="28"/>
          <w:szCs w:val="28"/>
          <w:highlight w:val="none"/>
        </w:rPr>
      </w:pPr>
      <w:bookmarkStart w:id="31" w:name="_Toc1071"/>
      <w:bookmarkStart w:id="32" w:name="_Toc4960"/>
      <w:bookmarkStart w:id="33" w:name="_Toc9658377"/>
      <w:bookmarkStart w:id="34" w:name="_Toc8924"/>
      <w:bookmarkStart w:id="35" w:name="_Toc25529"/>
      <w:r>
        <w:rPr>
          <w:rFonts w:hint="eastAsia" w:ascii="黑体" w:hAnsi="Courier New" w:eastAsia="黑体" w:cstheme="minorBidi"/>
          <w:b/>
          <w:bCs/>
          <w:kern w:val="2"/>
          <w:sz w:val="36"/>
          <w:szCs w:val="36"/>
          <w:lang w:val="en-US" w:eastAsia="zh-CN" w:bidi="ar-SA"/>
        </w:rPr>
        <w:t>第二部分  技术标书</w:t>
      </w:r>
      <w:bookmarkEnd w:id="31"/>
      <w:bookmarkEnd w:id="32"/>
    </w:p>
    <w:p w14:paraId="3A86C52A">
      <w:pPr>
        <w:keepNext/>
        <w:keepLines/>
        <w:spacing w:before="120" w:after="120" w:line="360" w:lineRule="auto"/>
        <w:jc w:val="center"/>
        <w:outlineLvl w:val="0"/>
        <w:rPr>
          <w:rFonts w:hint="eastAsia" w:ascii="黑体" w:hAnsi="等线" w:eastAsia="黑体" w:cs="Times New Roman"/>
          <w:kern w:val="44"/>
          <w:sz w:val="28"/>
          <w:szCs w:val="28"/>
          <w:highlight w:val="none"/>
        </w:rPr>
      </w:pPr>
      <w:bookmarkStart w:id="36" w:name="_Toc13241"/>
      <w:bookmarkStart w:id="37" w:name="_Toc15135"/>
      <w:r>
        <w:rPr>
          <w:rFonts w:hint="eastAsia" w:ascii="黑体" w:hAnsi="等线" w:eastAsia="黑体" w:cs="Times New Roman"/>
          <w:kern w:val="44"/>
          <w:sz w:val="28"/>
          <w:szCs w:val="28"/>
          <w:highlight w:val="none"/>
        </w:rPr>
        <w:t>第一章</w:t>
      </w:r>
      <w:r>
        <w:rPr>
          <w:rFonts w:ascii="黑体" w:hAnsi="等线" w:eastAsia="黑体" w:cs="Times New Roman"/>
          <w:kern w:val="44"/>
          <w:sz w:val="28"/>
          <w:szCs w:val="28"/>
          <w:highlight w:val="none"/>
        </w:rPr>
        <w:t xml:space="preserve">  </w:t>
      </w:r>
      <w:r>
        <w:rPr>
          <w:rFonts w:hint="eastAsia" w:ascii="黑体" w:hAnsi="等线" w:eastAsia="黑体" w:cs="Times New Roman"/>
          <w:kern w:val="44"/>
          <w:sz w:val="28"/>
          <w:szCs w:val="28"/>
          <w:highlight w:val="none"/>
        </w:rPr>
        <w:t>采购货物概况</w:t>
      </w:r>
      <w:bookmarkEnd w:id="33"/>
      <w:bookmarkEnd w:id="34"/>
      <w:bookmarkEnd w:id="35"/>
      <w:bookmarkEnd w:id="36"/>
      <w:bookmarkEnd w:id="37"/>
    </w:p>
    <w:p w14:paraId="19873043">
      <w:pPr>
        <w:keepNext/>
        <w:keepLines/>
        <w:spacing w:before="120" w:after="120" w:line="360" w:lineRule="auto"/>
        <w:jc w:val="center"/>
        <w:outlineLvl w:val="1"/>
        <w:rPr>
          <w:rFonts w:ascii="Arial" w:hAnsi="Arial" w:eastAsia="宋体" w:cs="Times New Roman"/>
          <w:sz w:val="24"/>
          <w:szCs w:val="24"/>
          <w:highlight w:val="none"/>
        </w:rPr>
      </w:pPr>
      <w:bookmarkStart w:id="38" w:name="_Toc9658378"/>
      <w:r>
        <w:rPr>
          <w:rFonts w:hint="eastAsia" w:ascii="Arial" w:hAnsi="Arial" w:eastAsia="宋体" w:cs="Times New Roman"/>
          <w:sz w:val="24"/>
          <w:szCs w:val="24"/>
          <w:highlight w:val="none"/>
        </w:rPr>
        <w:t>第一节</w:t>
      </w:r>
      <w:r>
        <w:rPr>
          <w:rFonts w:ascii="Arial" w:hAnsi="Arial" w:eastAsia="宋体" w:cs="Times New Roman"/>
          <w:sz w:val="24"/>
          <w:szCs w:val="24"/>
          <w:highlight w:val="none"/>
        </w:rPr>
        <w:t xml:space="preserve">  </w:t>
      </w:r>
      <w:r>
        <w:rPr>
          <w:rFonts w:hint="eastAsia" w:ascii="Arial" w:hAnsi="Arial" w:eastAsia="宋体" w:cs="Times New Roman"/>
          <w:sz w:val="24"/>
          <w:szCs w:val="24"/>
          <w:highlight w:val="none"/>
        </w:rPr>
        <w:t>使用环境</w:t>
      </w:r>
      <w:bookmarkEnd w:id="38"/>
    </w:p>
    <w:p w14:paraId="726A9CBF">
      <w:pPr>
        <w:snapToGrid w:val="0"/>
        <w:spacing w:line="360" w:lineRule="auto"/>
        <w:ind w:left="2100" w:leftChars="200" w:hanging="1680" w:hangingChars="700"/>
        <w:rPr>
          <w:rFonts w:hint="eastAsia" w:ascii="宋体" w:hAnsi="宋体" w:eastAsia="宋体" w:cs="宋体"/>
          <w:sz w:val="24"/>
          <w:szCs w:val="24"/>
          <w:highlight w:val="none"/>
          <w:u w:val="single"/>
          <w:shd w:val="pct10" w:color="auto" w:fill="FFFFFF"/>
        </w:rPr>
      </w:pPr>
      <w:r>
        <w:rPr>
          <w:rFonts w:hint="eastAsia" w:ascii="宋体" w:hAnsi="宋体" w:eastAsia="宋体" w:cs="宋体"/>
          <w:sz w:val="24"/>
          <w:szCs w:val="24"/>
          <w:highlight w:val="none"/>
        </w:rPr>
        <w:t>一、项目名称：</w:t>
      </w:r>
      <w:r>
        <w:rPr>
          <w:rFonts w:hint="eastAsia" w:ascii="宋体" w:hAnsi="宋体" w:eastAsia="宋体" w:cs="宋体"/>
          <w:sz w:val="24"/>
          <w:szCs w:val="24"/>
          <w:highlight w:val="none"/>
          <w:u w:val="single"/>
          <w:shd w:val="pct10" w:color="auto" w:fill="FFFFFF"/>
        </w:rPr>
        <w:t>悍将PRO右置车型产线改造项目变更</w:t>
      </w:r>
    </w:p>
    <w:p w14:paraId="425C12DA">
      <w:pPr>
        <w:snapToGrid w:val="0"/>
        <w:spacing w:line="360" w:lineRule="auto"/>
        <w:ind w:left="2100" w:leftChars="200" w:hanging="1680" w:hangingChars="700"/>
        <w:rPr>
          <w:rFonts w:hint="eastAsia" w:ascii="宋体" w:hAnsi="宋体" w:eastAsia="宋体" w:cs="宋体"/>
          <w:sz w:val="24"/>
          <w:szCs w:val="24"/>
          <w:highlight w:val="none"/>
          <w:u w:val="single"/>
          <w:shd w:val="pct10" w:color="auto" w:fill="FFFFFF"/>
        </w:rPr>
      </w:pPr>
      <w:r>
        <w:rPr>
          <w:rFonts w:hint="eastAsia" w:ascii="宋体" w:hAnsi="宋体" w:eastAsia="宋体" w:cs="宋体"/>
          <w:sz w:val="24"/>
          <w:szCs w:val="24"/>
          <w:highlight w:val="none"/>
        </w:rPr>
        <w:t>二、建设地点：</w:t>
      </w:r>
      <w:r>
        <w:rPr>
          <w:rFonts w:hint="eastAsia" w:ascii="宋体" w:hAnsi="宋体" w:eastAsia="宋体" w:cs="宋体"/>
          <w:sz w:val="24"/>
          <w:szCs w:val="24"/>
          <w:highlight w:val="none"/>
          <w:u w:val="single"/>
          <w:shd w:val="pct10" w:color="auto" w:fill="FFFFFF"/>
        </w:rPr>
        <w:t>济南轻卡制造公司</w:t>
      </w:r>
      <w:r>
        <w:rPr>
          <w:rFonts w:ascii="宋体" w:hAnsi="宋体" w:eastAsia="宋体" w:cs="宋体"/>
          <w:sz w:val="24"/>
          <w:szCs w:val="24"/>
          <w:highlight w:val="none"/>
          <w:u w:val="single"/>
          <w:shd w:val="pct10" w:color="auto" w:fill="FFFFFF"/>
        </w:rPr>
        <w:t xml:space="preserve"> </w:t>
      </w:r>
    </w:p>
    <w:p w14:paraId="7B4F704F">
      <w:pPr>
        <w:spacing w:line="360" w:lineRule="auto"/>
        <w:ind w:left="2100" w:leftChars="200" w:hanging="1680" w:hangingChars="700"/>
        <w:rPr>
          <w:rFonts w:hint="eastAsia" w:ascii="宋体" w:hAnsi="宋体" w:eastAsia="宋体" w:cs="宋体"/>
          <w:sz w:val="24"/>
          <w:szCs w:val="24"/>
          <w:highlight w:val="none"/>
          <w:u w:val="single"/>
          <w:shd w:val="pct10" w:color="auto" w:fill="FFFFFF"/>
        </w:rPr>
      </w:pPr>
      <w:r>
        <w:rPr>
          <w:rFonts w:hint="eastAsia" w:ascii="宋体" w:hAnsi="宋体" w:eastAsia="宋体" w:cs="宋体"/>
          <w:sz w:val="24"/>
          <w:szCs w:val="24"/>
          <w:highlight w:val="none"/>
        </w:rPr>
        <w:t>三、使用地点：</w:t>
      </w:r>
      <w:r>
        <w:rPr>
          <w:rFonts w:hint="eastAsia" w:ascii="宋体" w:hAnsi="宋体" w:eastAsia="宋体" w:cs="宋体"/>
          <w:sz w:val="24"/>
          <w:szCs w:val="24"/>
          <w:highlight w:val="none"/>
          <w:u w:val="single"/>
          <w:shd w:val="pct10" w:color="auto" w:fill="FFFFFF"/>
        </w:rPr>
        <w:t>济南轻卡制造公司</w:t>
      </w:r>
      <w:r>
        <w:rPr>
          <w:rFonts w:ascii="宋体" w:hAnsi="宋体" w:eastAsia="宋体" w:cs="宋体"/>
          <w:sz w:val="24"/>
          <w:szCs w:val="24"/>
          <w:highlight w:val="none"/>
          <w:u w:val="single"/>
          <w:shd w:val="pct10" w:color="auto" w:fill="FFFFFF"/>
        </w:rPr>
        <w:t xml:space="preserve"> </w:t>
      </w:r>
    </w:p>
    <w:p w14:paraId="0F924F4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四、工作制度：采用双班工作制，年工作日251天。</w:t>
      </w:r>
    </w:p>
    <w:p w14:paraId="486D113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五、使用地点区域自然环境：</w:t>
      </w:r>
    </w:p>
    <w:p w14:paraId="3D05E512">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海拔高度：1000m以下</w:t>
      </w:r>
    </w:p>
    <w:p w14:paraId="69E60A4C">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室外温度：-20℃～40℃</w:t>
      </w:r>
    </w:p>
    <w:p w14:paraId="6B3D5325">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室内温度：-5℃～45℃</w:t>
      </w:r>
      <w:r>
        <w:rPr>
          <w:rFonts w:hint="eastAsia" w:ascii="宋体" w:hAnsi="宋体" w:eastAsia="宋体" w:cs="宋体"/>
          <w:sz w:val="24"/>
          <w:szCs w:val="24"/>
          <w:highlight w:val="none"/>
        </w:rPr>
        <w:tab/>
      </w:r>
    </w:p>
    <w:p w14:paraId="1BC52604">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环境湿度：在20℃时最大湿度为90%</w:t>
      </w:r>
    </w:p>
    <w:p w14:paraId="29E20105">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压缩空气压力：0.4～0.6Mpa</w:t>
      </w:r>
    </w:p>
    <w:p w14:paraId="625A1A83">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电源电压：380V±15%，50 Hz±2%</w:t>
      </w:r>
    </w:p>
    <w:p w14:paraId="250D8104">
      <w:pPr>
        <w:numPr>
          <w:ilvl w:val="0"/>
          <w:numId w:val="25"/>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本项目的工作制度、产能、节拍及效率如下，投标方提供的设施、设备必须满足此要求。</w:t>
      </w:r>
    </w:p>
    <w:tbl>
      <w:tblPr>
        <w:tblStyle w:val="37"/>
        <w:tblW w:w="4498"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587"/>
        <w:gridCol w:w="3403"/>
        <w:gridCol w:w="763"/>
        <w:gridCol w:w="1187"/>
        <w:gridCol w:w="1580"/>
        <w:gridCol w:w="834"/>
      </w:tblGrid>
      <w:tr w14:paraId="34A107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85" w:hRule="atLeast"/>
          <w:jc w:val="center"/>
        </w:trPr>
        <w:tc>
          <w:tcPr>
            <w:tcW w:w="351" w:type="pct"/>
            <w:tcBorders>
              <w:tl2br w:val="nil"/>
              <w:tr2bl w:val="nil"/>
            </w:tcBorders>
            <w:vAlign w:val="center"/>
          </w:tcPr>
          <w:p w14:paraId="2C8AB23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No.</w:t>
            </w:r>
          </w:p>
        </w:tc>
        <w:tc>
          <w:tcPr>
            <w:tcW w:w="2035" w:type="pct"/>
            <w:tcBorders>
              <w:tl2br w:val="nil"/>
              <w:tr2bl w:val="nil"/>
            </w:tcBorders>
            <w:vAlign w:val="center"/>
          </w:tcPr>
          <w:p w14:paraId="670EC9F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主体工程</w:t>
            </w:r>
          </w:p>
        </w:tc>
        <w:tc>
          <w:tcPr>
            <w:tcW w:w="456" w:type="pct"/>
            <w:tcBorders>
              <w:tl2br w:val="nil"/>
              <w:tr2bl w:val="nil"/>
            </w:tcBorders>
            <w:vAlign w:val="center"/>
          </w:tcPr>
          <w:p w14:paraId="4CCEDD8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班次</w:t>
            </w:r>
          </w:p>
        </w:tc>
        <w:tc>
          <w:tcPr>
            <w:tcW w:w="710" w:type="pct"/>
            <w:tcBorders>
              <w:tl2br w:val="nil"/>
              <w:tr2bl w:val="nil"/>
            </w:tcBorders>
            <w:vAlign w:val="center"/>
          </w:tcPr>
          <w:p w14:paraId="0701D69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工艺节拍</w:t>
            </w:r>
          </w:p>
        </w:tc>
        <w:tc>
          <w:tcPr>
            <w:tcW w:w="945" w:type="pct"/>
            <w:tcBorders>
              <w:tl2br w:val="nil"/>
              <w:tr2bl w:val="nil"/>
            </w:tcBorders>
            <w:vAlign w:val="center"/>
          </w:tcPr>
          <w:p w14:paraId="6355E5B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设备开动率</w:t>
            </w:r>
          </w:p>
        </w:tc>
        <w:tc>
          <w:tcPr>
            <w:tcW w:w="499" w:type="pct"/>
            <w:tcBorders>
              <w:tl2br w:val="nil"/>
              <w:tr2bl w:val="nil"/>
            </w:tcBorders>
            <w:vAlign w:val="center"/>
          </w:tcPr>
          <w:p w14:paraId="178D8F0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1825A4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351" w:type="pct"/>
            <w:tcBorders>
              <w:tl2br w:val="nil"/>
              <w:tr2bl w:val="nil"/>
            </w:tcBorders>
            <w:vAlign w:val="center"/>
          </w:tcPr>
          <w:p w14:paraId="0C19EB1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35" w:type="pct"/>
            <w:tcBorders>
              <w:tl2br w:val="nil"/>
              <w:tr2bl w:val="nil"/>
            </w:tcBorders>
            <w:vAlign w:val="center"/>
          </w:tcPr>
          <w:p w14:paraId="60A80BBF">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焊装线新增车型产线调试</w:t>
            </w:r>
          </w:p>
        </w:tc>
        <w:tc>
          <w:tcPr>
            <w:tcW w:w="456" w:type="pct"/>
            <w:tcBorders>
              <w:tl2br w:val="nil"/>
              <w:tr2bl w:val="nil"/>
            </w:tcBorders>
            <w:vAlign w:val="center"/>
          </w:tcPr>
          <w:p w14:paraId="6478ADB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710" w:type="pct"/>
            <w:tcBorders>
              <w:tl2br w:val="nil"/>
              <w:tr2bl w:val="nil"/>
            </w:tcBorders>
            <w:vAlign w:val="center"/>
          </w:tcPr>
          <w:p w14:paraId="13C9A23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2.2</w:t>
            </w:r>
            <w:r>
              <w:rPr>
                <w:rFonts w:hint="eastAsia" w:ascii="宋体" w:hAnsi="宋体" w:eastAsia="宋体" w:cs="宋体"/>
                <w:color w:val="000000" w:themeColor="text1"/>
                <w:sz w:val="24"/>
                <w:szCs w:val="24"/>
                <w:highlight w:val="none"/>
                <w14:textFill>
                  <w14:solidFill>
                    <w14:schemeClr w14:val="tx1"/>
                  </w14:solidFill>
                </w14:textFill>
              </w:rPr>
              <w:t>min</w:t>
            </w:r>
          </w:p>
        </w:tc>
        <w:tc>
          <w:tcPr>
            <w:tcW w:w="945" w:type="pct"/>
            <w:tcBorders>
              <w:tl2br w:val="nil"/>
              <w:tr2bl w:val="nil"/>
            </w:tcBorders>
            <w:vAlign w:val="center"/>
          </w:tcPr>
          <w:p w14:paraId="37CAD7F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85%</w:t>
            </w:r>
          </w:p>
        </w:tc>
        <w:tc>
          <w:tcPr>
            <w:tcW w:w="499" w:type="pct"/>
            <w:tcBorders>
              <w:tl2br w:val="nil"/>
              <w:tr2bl w:val="nil"/>
            </w:tcBorders>
            <w:vAlign w:val="center"/>
          </w:tcPr>
          <w:p w14:paraId="3BEE3396">
            <w:pPr>
              <w:spacing w:line="360" w:lineRule="auto"/>
              <w:jc w:val="center"/>
              <w:rPr>
                <w:rFonts w:hint="eastAsia" w:ascii="宋体" w:hAnsi="宋体" w:eastAsia="宋体" w:cs="宋体"/>
                <w:sz w:val="24"/>
                <w:szCs w:val="24"/>
                <w:highlight w:val="none"/>
              </w:rPr>
            </w:pPr>
          </w:p>
        </w:tc>
      </w:tr>
    </w:tbl>
    <w:p w14:paraId="40DCC45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p w14:paraId="1163BA0D">
      <w:pPr>
        <w:pStyle w:val="127"/>
        <w:widowControl/>
        <w:numPr>
          <w:ilvl w:val="0"/>
          <w:numId w:val="26"/>
        </w:numPr>
        <w:spacing w:line="360" w:lineRule="auto"/>
        <w:ind w:left="420" w:leftChars="0" w:hanging="420" w:firstLineChars="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设备开动率指设备计划生产时间内：设备实际开动时间/（设备实际开动时间+设备停机时间）</w:t>
      </w:r>
      <w:r>
        <w:rPr>
          <w:rFonts w:hint="eastAsia" w:ascii="宋体" w:hAnsi="宋体" w:eastAsia="宋体" w:cs="宋体"/>
          <w:sz w:val="24"/>
          <w:szCs w:val="24"/>
          <w:highlight w:val="none"/>
          <w:lang w:eastAsia="zh-CN"/>
        </w:rPr>
        <w:t>。</w:t>
      </w:r>
    </w:p>
    <w:p w14:paraId="3894D142">
      <w:pPr>
        <w:pStyle w:val="127"/>
        <w:widowControl/>
        <w:numPr>
          <w:ilvl w:val="0"/>
          <w:numId w:val="26"/>
        </w:numPr>
        <w:spacing w:line="360" w:lineRule="auto"/>
        <w:ind w:left="420" w:leftChars="0" w:hanging="420" w:firstLineChars="0"/>
        <w:contextualSpacing/>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需要投标方对生产线各工位进行节拍平衡调试。</w:t>
      </w:r>
    </w:p>
    <w:p w14:paraId="6991B421">
      <w:pPr>
        <w:pStyle w:val="127"/>
        <w:widowControl/>
        <w:numPr>
          <w:ilvl w:val="0"/>
          <w:numId w:val="26"/>
        </w:numPr>
        <w:spacing w:line="360" w:lineRule="auto"/>
        <w:ind w:left="420" w:leftChars="0" w:hanging="420" w:firstLineChars="0"/>
        <w:contextualSpacing/>
        <w:jc w:val="left"/>
        <w:rPr>
          <w:rFonts w:hint="eastAsia" w:ascii="Arial" w:hAnsi="Arial" w:eastAsia="宋体" w:cs="Times New Roman"/>
          <w:sz w:val="24"/>
          <w:szCs w:val="24"/>
          <w:highlight w:val="none"/>
        </w:rPr>
      </w:pPr>
      <w:r>
        <w:rPr>
          <w:rFonts w:hint="eastAsia" w:ascii="宋体" w:hAnsi="宋体" w:eastAsia="宋体" w:cs="宋体"/>
          <w:sz w:val="24"/>
          <w:szCs w:val="24"/>
          <w:highlight w:val="none"/>
        </w:rPr>
        <w:t>节拍要求仅针对悍将PRO右置车型产线改造项目涉及车型，线体内原有车型保持改造前的节拍不变。</w:t>
      </w:r>
      <w:bookmarkStart w:id="39" w:name="_Toc9658379"/>
    </w:p>
    <w:p w14:paraId="3425D918">
      <w:pPr>
        <w:rPr>
          <w:rFonts w:hint="eastAsia" w:ascii="Arial" w:hAnsi="Arial" w:eastAsia="宋体" w:cs="Times New Roman"/>
          <w:sz w:val="24"/>
          <w:szCs w:val="24"/>
          <w:highlight w:val="none"/>
        </w:rPr>
      </w:pPr>
    </w:p>
    <w:p w14:paraId="29641AAB">
      <w:pPr>
        <w:rPr>
          <w:rFonts w:hint="eastAsia" w:ascii="Arial" w:hAnsi="Arial" w:eastAsia="宋体" w:cs="Times New Roman"/>
          <w:sz w:val="24"/>
          <w:szCs w:val="24"/>
          <w:highlight w:val="none"/>
        </w:rPr>
      </w:pPr>
    </w:p>
    <w:p w14:paraId="250095C1">
      <w:pPr>
        <w:rPr>
          <w:rFonts w:hint="eastAsia" w:ascii="Arial" w:hAnsi="Arial" w:eastAsia="宋体" w:cs="Times New Roman"/>
          <w:sz w:val="24"/>
          <w:szCs w:val="24"/>
          <w:highlight w:val="none"/>
        </w:rPr>
      </w:pPr>
    </w:p>
    <w:p w14:paraId="4BC90D51">
      <w:pPr>
        <w:rPr>
          <w:rFonts w:hint="eastAsia" w:ascii="Arial" w:hAnsi="Arial" w:eastAsia="宋体" w:cs="Times New Roman"/>
          <w:sz w:val="24"/>
          <w:szCs w:val="24"/>
          <w:highlight w:val="none"/>
        </w:rPr>
      </w:pPr>
    </w:p>
    <w:p w14:paraId="1B4FFBB7">
      <w:pPr>
        <w:rPr>
          <w:rFonts w:hint="eastAsia" w:ascii="Arial" w:hAnsi="Arial" w:eastAsia="宋体" w:cs="Times New Roman"/>
          <w:sz w:val="24"/>
          <w:szCs w:val="24"/>
          <w:highlight w:val="none"/>
        </w:rPr>
      </w:pPr>
    </w:p>
    <w:p w14:paraId="3AEFF0D4">
      <w:pPr>
        <w:keepNext/>
        <w:keepLines/>
        <w:spacing w:before="120" w:after="120" w:line="360" w:lineRule="auto"/>
        <w:jc w:val="center"/>
        <w:outlineLvl w:val="1"/>
        <w:rPr>
          <w:rFonts w:hint="eastAsia" w:ascii="Arial" w:hAnsi="Arial" w:eastAsia="宋体" w:cs="Times New Roman"/>
          <w:sz w:val="24"/>
          <w:szCs w:val="24"/>
          <w:highlight w:val="none"/>
        </w:rPr>
      </w:pPr>
      <w:r>
        <w:rPr>
          <w:rFonts w:hint="eastAsia" w:ascii="Arial" w:hAnsi="Arial" w:eastAsia="宋体" w:cs="Times New Roman"/>
          <w:sz w:val="24"/>
          <w:szCs w:val="24"/>
          <w:highlight w:val="none"/>
        </w:rPr>
        <w:t>第二节  采购货物概况</w:t>
      </w:r>
      <w:bookmarkEnd w:id="39"/>
    </w:p>
    <w:p w14:paraId="4302E90E">
      <w:pPr>
        <w:spacing w:line="360" w:lineRule="auto"/>
        <w:ind w:firstLine="482" w:firstLineChars="200"/>
        <w:rPr>
          <w:rFonts w:hint="eastAsia" w:ascii="宋体" w:hAnsi="宋体" w:eastAsia="宋体" w:cs="宋体"/>
          <w:sz w:val="24"/>
          <w:szCs w:val="24"/>
          <w:highlight w:val="none"/>
          <w:u w:val="single"/>
          <w:shd w:val="pct10" w:color="auto" w:fill="FFFFFF"/>
        </w:rPr>
      </w:pPr>
      <w:r>
        <w:rPr>
          <w:rFonts w:hint="eastAsia" w:ascii="宋体" w:hAnsi="宋体" w:eastAsia="宋体" w:cs="宋体"/>
          <w:b/>
          <w:sz w:val="24"/>
          <w:szCs w:val="24"/>
          <w:highlight w:val="none"/>
        </w:rPr>
        <w:t>一、货物名称：</w:t>
      </w:r>
      <w:r>
        <w:rPr>
          <w:rFonts w:hint="eastAsia" w:ascii="宋体" w:hAnsi="宋体" w:eastAsia="宋体" w:cs="宋体"/>
          <w:sz w:val="24"/>
          <w:szCs w:val="24"/>
          <w:highlight w:val="none"/>
          <w:u w:val="single"/>
          <w:shd w:val="pct10" w:color="auto" w:fill="FFFFFF"/>
        </w:rPr>
        <w:t>悍将PRO右置车型产线改造项目变更</w:t>
      </w:r>
    </w:p>
    <w:p w14:paraId="0C889867">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二、货物数量：</w:t>
      </w:r>
      <w:r>
        <w:rPr>
          <w:rFonts w:ascii="宋体" w:hAnsi="宋体" w:eastAsia="宋体" w:cs="宋体"/>
          <w:sz w:val="24"/>
          <w:szCs w:val="24"/>
          <w:highlight w:val="none"/>
          <w:u w:val="single"/>
          <w:shd w:val="pct10" w:color="auto" w:fill="FFFFFF"/>
        </w:rPr>
        <w:t xml:space="preserve"> </w:t>
      </w:r>
      <w:r>
        <w:rPr>
          <w:rFonts w:hint="eastAsia" w:ascii="宋体" w:hAnsi="宋体" w:eastAsia="宋体" w:cs="宋体"/>
          <w:sz w:val="24"/>
          <w:szCs w:val="24"/>
          <w:highlight w:val="none"/>
          <w:u w:val="single"/>
          <w:shd w:val="pct10" w:color="auto" w:fill="FFFFFF"/>
        </w:rPr>
        <w:t>一宗</w:t>
      </w:r>
      <w:r>
        <w:rPr>
          <w:rFonts w:ascii="宋体" w:hAnsi="宋体" w:eastAsia="宋体" w:cs="宋体"/>
          <w:sz w:val="24"/>
          <w:szCs w:val="24"/>
          <w:highlight w:val="none"/>
          <w:u w:val="single"/>
          <w:shd w:val="pct10" w:color="auto" w:fill="FFFFFF"/>
        </w:rPr>
        <w:t xml:space="preserve"> </w:t>
      </w:r>
      <w:r>
        <w:rPr>
          <w:rFonts w:hint="eastAsia" w:ascii="宋体" w:hAnsi="宋体" w:eastAsia="宋体" w:cs="宋体"/>
          <w:sz w:val="24"/>
          <w:szCs w:val="24"/>
          <w:highlight w:val="none"/>
        </w:rPr>
        <w:t>（详见下表）</w:t>
      </w:r>
    </w:p>
    <w:p w14:paraId="083C5F33">
      <w:pPr>
        <w:spacing w:line="360" w:lineRule="auto"/>
        <w:ind w:firstLine="482" w:firstLineChars="200"/>
        <w:rPr>
          <w:rFonts w:hint="eastAsia" w:ascii="宋体" w:hAnsi="宋体" w:eastAsia="宋体" w:cs="宋体"/>
          <w:sz w:val="24"/>
          <w:szCs w:val="24"/>
          <w:highlight w:val="none"/>
          <w:u w:val="single"/>
          <w:shd w:val="pct10" w:color="auto" w:fill="FFFFFF"/>
        </w:rPr>
      </w:pPr>
      <w:r>
        <w:rPr>
          <w:rFonts w:hint="eastAsia" w:ascii="宋体" w:hAnsi="宋体" w:eastAsia="宋体" w:cs="宋体"/>
          <w:b/>
          <w:sz w:val="24"/>
          <w:szCs w:val="24"/>
          <w:highlight w:val="none"/>
        </w:rPr>
        <w:t>三、分投分中：</w:t>
      </w:r>
      <w:r>
        <w:rPr>
          <w:rFonts w:hint="eastAsia" w:ascii="宋体" w:hAnsi="宋体" w:eastAsia="宋体" w:cs="宋体"/>
          <w:sz w:val="24"/>
          <w:szCs w:val="24"/>
          <w:highlight w:val="none"/>
          <w:u w:val="single"/>
          <w:shd w:val="pct10" w:color="auto" w:fill="FFFFFF"/>
        </w:rPr>
        <w:t>不允许</w:t>
      </w:r>
    </w:p>
    <w:p w14:paraId="762C537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采购货物主要构成一览表</w:t>
      </w:r>
    </w:p>
    <w:p w14:paraId="57759FF5">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通过焊装线适应性改造，</w:t>
      </w:r>
      <w:r>
        <w:rPr>
          <w:rFonts w:hint="eastAsia" w:ascii="宋体" w:hAnsi="宋体" w:eastAsia="宋体" w:cs="宋体"/>
          <w:sz w:val="24"/>
          <w:szCs w:val="24"/>
          <w:highlight w:val="red"/>
        </w:rPr>
        <w:t>实现全新一代右置重载宽体排半驾驶室</w:t>
      </w:r>
      <w:r>
        <w:rPr>
          <w:rFonts w:hint="eastAsia" w:ascii="宋体" w:hAnsi="宋体" w:eastAsia="宋体" w:cs="宋体"/>
          <w:sz w:val="24"/>
          <w:szCs w:val="24"/>
          <w:highlight w:val="red"/>
          <w:lang w:val="en-US" w:eastAsia="zh-CN"/>
        </w:rPr>
        <w:t>与常规驾驶室的共线生产。</w:t>
      </w:r>
    </w:p>
    <w:p w14:paraId="73E3A5D4">
      <w:pPr>
        <w:spacing w:line="360" w:lineRule="auto"/>
        <w:ind w:left="480"/>
        <w:rPr>
          <w:rFonts w:hint="eastAsia" w:ascii="宋体" w:hAnsi="宋体" w:eastAsia="宋体" w:cs="宋体"/>
          <w:sz w:val="24"/>
          <w:szCs w:val="24"/>
          <w:highlight w:val="none"/>
        </w:rPr>
      </w:pPr>
      <w:r>
        <w:rPr>
          <w:rFonts w:hint="eastAsia" w:ascii="宋体" w:hAnsi="宋体" w:eastAsia="宋体" w:cs="宋体"/>
          <w:sz w:val="24"/>
          <w:szCs w:val="24"/>
          <w:highlight w:val="none"/>
        </w:rPr>
        <w:t>主要供货明细详见下表：</w:t>
      </w:r>
    </w:p>
    <w:tbl>
      <w:tblPr>
        <w:tblStyle w:val="3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794"/>
        <w:gridCol w:w="838"/>
        <w:gridCol w:w="1562"/>
        <w:gridCol w:w="1545"/>
      </w:tblGrid>
      <w:tr w14:paraId="7C2D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25" w:type="dxa"/>
            <w:vAlign w:val="center"/>
          </w:tcPr>
          <w:p w14:paraId="521987A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4794" w:type="dxa"/>
            <w:vAlign w:val="center"/>
          </w:tcPr>
          <w:p w14:paraId="4ABCE77C">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838" w:type="dxa"/>
            <w:vAlign w:val="center"/>
          </w:tcPr>
          <w:p w14:paraId="5A349C38">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562" w:type="dxa"/>
            <w:vAlign w:val="center"/>
          </w:tcPr>
          <w:p w14:paraId="4D32920E">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供货方式</w:t>
            </w:r>
          </w:p>
        </w:tc>
        <w:tc>
          <w:tcPr>
            <w:tcW w:w="1545" w:type="dxa"/>
            <w:vAlign w:val="center"/>
          </w:tcPr>
          <w:p w14:paraId="6A21A621">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232F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25" w:type="dxa"/>
            <w:vAlign w:val="center"/>
          </w:tcPr>
          <w:p w14:paraId="0A8E3BC3">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4794" w:type="dxa"/>
            <w:vAlign w:val="center"/>
          </w:tcPr>
          <w:p w14:paraId="4995C4B1">
            <w:pPr>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自动化焊装线新增车型产线调试</w:t>
            </w:r>
          </w:p>
        </w:tc>
        <w:tc>
          <w:tcPr>
            <w:tcW w:w="838" w:type="dxa"/>
            <w:vAlign w:val="center"/>
          </w:tcPr>
          <w:p w14:paraId="559E8ED0">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宗</w:t>
            </w:r>
          </w:p>
        </w:tc>
        <w:tc>
          <w:tcPr>
            <w:tcW w:w="1562" w:type="dxa"/>
            <w:vAlign w:val="center"/>
          </w:tcPr>
          <w:p w14:paraId="3DB52DD2">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交钥匙方式</w:t>
            </w:r>
          </w:p>
        </w:tc>
        <w:tc>
          <w:tcPr>
            <w:tcW w:w="1545" w:type="dxa"/>
            <w:vAlign w:val="center"/>
          </w:tcPr>
          <w:p w14:paraId="3EA291EF">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改造</w:t>
            </w:r>
          </w:p>
        </w:tc>
      </w:tr>
    </w:tbl>
    <w:p w14:paraId="7D20C8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备注：本表所列采购货物仅为货物的主要构成部分，应配套供货以及招标方所列其它货物（或设备）和服务，请投标方认真阅读“供货范围”。若有异议，不管是多么微小，都应在投标文件“商务偏离”章节中予以详细说明。</w:t>
      </w:r>
    </w:p>
    <w:p w14:paraId="37EB4F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本表“供货方式”：交钥匙方式——卖方负责设备的设计、制造、运输、卸载、安装、调试、试运行、验收以及培训等直至达到买方的各项要求并交付使用。</w:t>
      </w:r>
    </w:p>
    <w:p w14:paraId="14B0B24D">
      <w:pPr>
        <w:pStyle w:val="17"/>
        <w:ind w:firstLine="480" w:firstLineChars="200"/>
        <w:rPr>
          <w:rFonts w:hint="eastAsia" w:hAnsi="宋体" w:eastAsia="宋体" w:cs="宋体"/>
          <w:color w:val="FF0000"/>
          <w:sz w:val="24"/>
          <w:szCs w:val="24"/>
          <w:highlight w:val="none"/>
        </w:rPr>
      </w:pPr>
      <w:r>
        <w:rPr>
          <w:rFonts w:hint="eastAsia" w:hAnsi="宋体" w:eastAsia="宋体" w:cs="宋体"/>
          <w:color w:val="FF0000"/>
          <w:sz w:val="24"/>
          <w:szCs w:val="24"/>
          <w:highlight w:val="none"/>
        </w:rPr>
        <w:t>交货期：</w:t>
      </w:r>
    </w:p>
    <w:p w14:paraId="39DC2831">
      <w:pPr>
        <w:pStyle w:val="17"/>
        <w:spacing w:line="360" w:lineRule="auto"/>
        <w:ind w:firstLine="480" w:firstLineChars="200"/>
        <w:rPr>
          <w:rFonts w:hint="eastAsia" w:hAnsi="宋体" w:eastAsia="宋体" w:cs="宋体"/>
          <w:color w:val="FF0000"/>
          <w:sz w:val="24"/>
          <w:szCs w:val="24"/>
          <w:highlight w:val="yellow"/>
          <w:lang w:eastAsia="zh-CN"/>
        </w:rPr>
      </w:pPr>
      <w:r>
        <w:rPr>
          <w:rFonts w:hint="eastAsia" w:hAnsi="宋体" w:eastAsia="宋体" w:cs="宋体"/>
          <w:color w:val="FF0000"/>
          <w:sz w:val="24"/>
          <w:szCs w:val="24"/>
          <w:highlight w:val="yellow"/>
        </w:rPr>
        <w:t>1、2</w:t>
      </w:r>
      <w:r>
        <w:rPr>
          <w:rFonts w:hAnsi="宋体" w:eastAsia="宋体" w:cs="宋体"/>
          <w:color w:val="FF0000"/>
          <w:sz w:val="24"/>
          <w:szCs w:val="24"/>
          <w:highlight w:val="yellow"/>
        </w:rPr>
        <w:t>02</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年</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月</w:t>
      </w:r>
      <w:r>
        <w:rPr>
          <w:rFonts w:hint="eastAsia" w:hAnsi="宋体" w:eastAsia="宋体" w:cs="宋体"/>
          <w:color w:val="FF0000"/>
          <w:sz w:val="24"/>
          <w:szCs w:val="24"/>
          <w:highlight w:val="yellow"/>
          <w:lang w:val="en-US" w:eastAsia="zh-CN"/>
        </w:rPr>
        <w:t>21</w:t>
      </w:r>
      <w:r>
        <w:rPr>
          <w:rFonts w:hint="eastAsia" w:hAnsi="宋体" w:eastAsia="宋体" w:cs="宋体"/>
          <w:color w:val="FF0000"/>
          <w:sz w:val="24"/>
          <w:szCs w:val="24"/>
          <w:highlight w:val="yellow"/>
        </w:rPr>
        <w:t>日设备进场</w:t>
      </w:r>
      <w:r>
        <w:rPr>
          <w:rFonts w:hint="eastAsia" w:hAnsi="宋体" w:eastAsia="宋体" w:cs="宋体"/>
          <w:color w:val="FF0000"/>
          <w:sz w:val="24"/>
          <w:szCs w:val="24"/>
          <w:highlight w:val="yellow"/>
          <w:lang w:eastAsia="zh-CN"/>
        </w:rPr>
        <w:t>；</w:t>
      </w:r>
    </w:p>
    <w:p w14:paraId="3C7E53D7">
      <w:pPr>
        <w:pStyle w:val="17"/>
        <w:spacing w:line="360" w:lineRule="auto"/>
        <w:ind w:firstLine="480" w:firstLineChars="200"/>
        <w:rPr>
          <w:rFonts w:hint="eastAsia" w:hAnsi="宋体" w:eastAsia="宋体" w:cs="宋体"/>
          <w:color w:val="FF0000"/>
          <w:sz w:val="24"/>
          <w:szCs w:val="24"/>
          <w:highlight w:val="yellow"/>
        </w:rPr>
      </w:pPr>
      <w:r>
        <w:rPr>
          <w:rFonts w:hint="eastAsia" w:hAnsi="宋体" w:eastAsia="宋体" w:cs="宋体"/>
          <w:color w:val="FF0000"/>
          <w:sz w:val="24"/>
          <w:szCs w:val="24"/>
          <w:highlight w:val="yellow"/>
        </w:rPr>
        <w:t>2、</w:t>
      </w:r>
      <w:r>
        <w:rPr>
          <w:rFonts w:hAnsi="宋体" w:eastAsia="宋体" w:cs="宋体"/>
          <w:color w:val="FF0000"/>
          <w:sz w:val="24"/>
          <w:szCs w:val="24"/>
          <w:highlight w:val="yellow"/>
        </w:rPr>
        <w:t>202</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年</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月</w:t>
      </w:r>
      <w:r>
        <w:rPr>
          <w:rFonts w:hint="eastAsia" w:hAnsi="宋体" w:eastAsia="宋体" w:cs="宋体"/>
          <w:color w:val="FF0000"/>
          <w:sz w:val="24"/>
          <w:szCs w:val="24"/>
          <w:highlight w:val="yellow"/>
          <w:lang w:val="en-US" w:eastAsia="zh-CN"/>
        </w:rPr>
        <w:t>26</w:t>
      </w:r>
      <w:r>
        <w:rPr>
          <w:rFonts w:hint="eastAsia" w:hAnsi="宋体" w:eastAsia="宋体" w:cs="宋体"/>
          <w:color w:val="FF0000"/>
          <w:sz w:val="24"/>
          <w:szCs w:val="24"/>
          <w:highlight w:val="yellow"/>
        </w:rPr>
        <w:t>日</w:t>
      </w:r>
      <w:r>
        <w:rPr>
          <w:rFonts w:hint="eastAsia" w:hAnsi="宋体" w:eastAsia="宋体" w:cs="宋体"/>
          <w:color w:val="FF0000"/>
          <w:sz w:val="24"/>
          <w:szCs w:val="24"/>
          <w:highlight w:val="yellow"/>
          <w:lang w:val="en-US" w:eastAsia="zh-CN"/>
        </w:rPr>
        <w:t>安装调试完成；</w:t>
      </w:r>
    </w:p>
    <w:p w14:paraId="3E101A25">
      <w:pPr>
        <w:pStyle w:val="17"/>
        <w:spacing w:line="360" w:lineRule="auto"/>
        <w:ind w:firstLine="480" w:firstLineChars="200"/>
        <w:rPr>
          <w:rFonts w:hint="eastAsia" w:hAnsi="宋体" w:eastAsia="宋体" w:cs="宋体"/>
          <w:color w:val="FF0000"/>
          <w:sz w:val="24"/>
          <w:szCs w:val="24"/>
          <w:highlight w:val="yellow"/>
        </w:rPr>
      </w:pPr>
      <w:r>
        <w:rPr>
          <w:rFonts w:hint="eastAsia" w:hAnsi="宋体" w:eastAsia="宋体" w:cs="宋体"/>
          <w:color w:val="FF0000"/>
          <w:sz w:val="24"/>
          <w:szCs w:val="24"/>
          <w:highlight w:val="yellow"/>
        </w:rPr>
        <w:t>3、</w:t>
      </w:r>
      <w:r>
        <w:rPr>
          <w:rFonts w:hAnsi="宋体" w:eastAsia="宋体" w:cs="宋体"/>
          <w:color w:val="FF0000"/>
          <w:sz w:val="24"/>
          <w:szCs w:val="24"/>
          <w:highlight w:val="yellow"/>
        </w:rPr>
        <w:t>202</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年</w:t>
      </w:r>
      <w:r>
        <w:rPr>
          <w:rFonts w:hint="eastAsia" w:hAnsi="宋体" w:eastAsia="宋体" w:cs="宋体"/>
          <w:color w:val="FF0000"/>
          <w:sz w:val="24"/>
          <w:szCs w:val="24"/>
          <w:highlight w:val="yellow"/>
          <w:lang w:val="en-US" w:eastAsia="zh-CN"/>
        </w:rPr>
        <w:t>6</w:t>
      </w:r>
      <w:r>
        <w:rPr>
          <w:rFonts w:hint="eastAsia" w:hAnsi="宋体" w:eastAsia="宋体" w:cs="宋体"/>
          <w:color w:val="FF0000"/>
          <w:sz w:val="24"/>
          <w:szCs w:val="24"/>
          <w:highlight w:val="yellow"/>
        </w:rPr>
        <w:t>月</w:t>
      </w:r>
      <w:r>
        <w:rPr>
          <w:rFonts w:hint="eastAsia" w:hAnsi="宋体" w:eastAsia="宋体" w:cs="宋体"/>
          <w:color w:val="FF0000"/>
          <w:sz w:val="24"/>
          <w:szCs w:val="24"/>
          <w:highlight w:val="yellow"/>
          <w:lang w:val="en-US" w:eastAsia="zh-CN"/>
        </w:rPr>
        <w:t>30</w:t>
      </w:r>
      <w:r>
        <w:rPr>
          <w:rFonts w:hint="eastAsia" w:hAnsi="宋体" w:eastAsia="宋体" w:cs="宋体"/>
          <w:color w:val="FF0000"/>
          <w:sz w:val="24"/>
          <w:szCs w:val="24"/>
          <w:highlight w:val="yellow"/>
        </w:rPr>
        <w:t>日具备批量生产能力。</w:t>
      </w:r>
    </w:p>
    <w:p w14:paraId="3C6BFB1C">
      <w:pPr>
        <w:spacing w:line="360" w:lineRule="auto"/>
        <w:ind w:firstLine="480" w:firstLineChars="200"/>
        <w:rPr>
          <w:rFonts w:hint="eastAsia" w:ascii="宋体" w:hAnsi="宋体" w:eastAsia="宋体" w:cs="宋体"/>
          <w:sz w:val="24"/>
          <w:szCs w:val="24"/>
          <w:highlight w:val="none"/>
        </w:rPr>
      </w:pPr>
      <w:r>
        <w:rPr>
          <w:rFonts w:hint="eastAsia" w:hAnsi="宋体" w:eastAsia="宋体" w:cs="宋体"/>
          <w:sz w:val="24"/>
          <w:szCs w:val="24"/>
          <w:highlight w:val="none"/>
        </w:rPr>
        <w:t>安装调试时间或终验收时间超过规定时间的，投标方应随标书提供详细的工期计划。</w:t>
      </w:r>
    </w:p>
    <w:p w14:paraId="1125B969">
      <w:pPr>
        <w:spacing w:line="360" w:lineRule="auto"/>
        <w:ind w:firstLine="560" w:firstLineChars="200"/>
        <w:rPr>
          <w:rFonts w:hint="eastAsia" w:ascii="宋体" w:hAnsi="宋体" w:eastAsia="等线" w:cs="宋体"/>
          <w:sz w:val="28"/>
          <w:szCs w:val="28"/>
          <w:highlight w:val="none"/>
        </w:rPr>
      </w:pPr>
      <w:bookmarkStart w:id="40" w:name="_Toc9658380"/>
      <w:r>
        <w:rPr>
          <w:rFonts w:ascii="宋体" w:hAnsi="宋体" w:eastAsia="等线" w:cs="宋体"/>
          <w:sz w:val="28"/>
          <w:szCs w:val="28"/>
          <w:highlight w:val="none"/>
        </w:rPr>
        <w:br w:type="page"/>
      </w:r>
    </w:p>
    <w:p w14:paraId="3F89D3FB">
      <w:pPr>
        <w:keepNext/>
        <w:keepLines/>
        <w:spacing w:before="120" w:after="120" w:line="360" w:lineRule="auto"/>
        <w:jc w:val="center"/>
        <w:outlineLvl w:val="0"/>
        <w:rPr>
          <w:rFonts w:hint="eastAsia" w:ascii="黑体" w:hAnsi="黑体" w:eastAsia="黑体" w:cs="黑体"/>
          <w:kern w:val="44"/>
          <w:sz w:val="28"/>
          <w:szCs w:val="28"/>
          <w:highlight w:val="none"/>
        </w:rPr>
      </w:pPr>
      <w:bookmarkStart w:id="41" w:name="_Toc20308"/>
      <w:bookmarkStart w:id="42" w:name="_Toc28293"/>
      <w:bookmarkStart w:id="43" w:name="_Toc31226"/>
      <w:bookmarkStart w:id="44" w:name="_Toc10813"/>
      <w:r>
        <w:rPr>
          <w:rFonts w:hint="eastAsia" w:ascii="黑体" w:hAnsi="黑体" w:eastAsia="黑体" w:cs="黑体"/>
          <w:kern w:val="44"/>
          <w:sz w:val="28"/>
          <w:szCs w:val="28"/>
          <w:highlight w:val="none"/>
        </w:rPr>
        <w:t>第二章</w:t>
      </w:r>
      <w:r>
        <w:rPr>
          <w:rFonts w:ascii="黑体" w:hAnsi="黑体" w:eastAsia="黑体" w:cs="黑体"/>
          <w:kern w:val="44"/>
          <w:sz w:val="28"/>
          <w:szCs w:val="28"/>
          <w:highlight w:val="none"/>
        </w:rPr>
        <w:t xml:space="preserve">  </w:t>
      </w:r>
      <w:r>
        <w:rPr>
          <w:rFonts w:hint="eastAsia" w:ascii="黑体" w:hAnsi="黑体" w:eastAsia="黑体" w:cs="黑体"/>
          <w:kern w:val="44"/>
          <w:sz w:val="28"/>
          <w:szCs w:val="28"/>
          <w:highlight w:val="none"/>
        </w:rPr>
        <w:t>技术要求</w:t>
      </w:r>
      <w:bookmarkEnd w:id="40"/>
      <w:bookmarkEnd w:id="41"/>
      <w:bookmarkEnd w:id="42"/>
      <w:bookmarkEnd w:id="43"/>
      <w:bookmarkEnd w:id="44"/>
    </w:p>
    <w:p w14:paraId="068CF004">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一、特别提示</w:t>
      </w:r>
    </w:p>
    <w:p w14:paraId="1919A32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、本章技术要求，仅对功能、设计、结构、性能、安装和试验检验等方面，提出了最低和一般性的技术要求，并未对一切技术细节作出规定。</w:t>
      </w:r>
    </w:p>
    <w:p w14:paraId="660EAF9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、本技术要求所使用的标准、规范等，如与投标方所执行的标准、规范不一致时，应按高于本技术要求所列的标准、规范执行。</w:t>
      </w:r>
    </w:p>
    <w:p w14:paraId="5C04BB71">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、投标方认为所供货物必需由招标方配备、解决或提供的其它要求，如设备基础隔振和减振设施、软化水、洁净气源等，均应在投标文件“技术偏离”中予以充分说明。</w:t>
      </w:r>
    </w:p>
    <w:p w14:paraId="0C57D783">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投标方应根据招投标货物具体要求，提出对厂房、设备基础（或安装平台）、公用设施、消防、环保等超出招标文件、投标文件、答疑文件、技术交流文件、技术协议书和合同等规定的、有特殊需要的解释、说明和要求。</w:t>
      </w:r>
    </w:p>
    <w:p w14:paraId="01799C71">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、无论是否有技术偏离，投标方均应在投标文件“技术偏离”中明确作出有无说明。若有异议，不管是多么微小，投标方必须予以明确和详细的说明或澄清。</w:t>
      </w:r>
    </w:p>
    <w:p w14:paraId="04310FAA">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、为避免投标方优势在招标评审时漏项，质保期超出本技术标书要求的，应当在投标文件“技术偏离”中特别注明。</w:t>
      </w:r>
    </w:p>
    <w:p w14:paraId="1F7EFEEF">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7</w:t>
      </w:r>
      <w:r>
        <w:rPr>
          <w:rFonts w:hint="eastAsia" w:ascii="宋体" w:hAnsi="宋体" w:eastAsia="宋体" w:cs="宋体"/>
          <w:sz w:val="24"/>
          <w:szCs w:val="24"/>
          <w:highlight w:val="none"/>
        </w:rPr>
        <w:t>、投标文件中，针对“特别提示”条款所做的回应，将作为投标方能否中标的重要依据之一。</w:t>
      </w:r>
    </w:p>
    <w:p w14:paraId="5689C04F">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二、基本要求</w:t>
      </w:r>
    </w:p>
    <w:p w14:paraId="58B88F24">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、投标方所供的货物，必须符合中国最新版的法律、法规和相关标准、规范的要求，符合项目所在地政府有关特殊要求。</w:t>
      </w:r>
    </w:p>
    <w:p w14:paraId="701DC625">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、投标方所供货物涉及的专利权技术以及知识产权保护的其它技术等，应保证招标方不因此受到任何侵权指控以及实际损失。</w:t>
      </w:r>
    </w:p>
    <w:p w14:paraId="31D26BDD">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、投标方应保证所供货物的先进性、可靠性、经济性和实用性，并为全新货物（或设备）。</w:t>
      </w:r>
    </w:p>
    <w:p w14:paraId="72B23094">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、投标方应满足招标方提出的各项技术要求，必要时应免费提供技术承诺或担保。</w:t>
      </w:r>
    </w:p>
    <w:p w14:paraId="67A60CAD">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、投标方应保证所供货物（或设备）为中国政府指定或规定的主管部门公布的非淘汰货物（或设备），并尽力提供中国政府指定或规定的主管部门认可的环保型和节能型货物（或设备）。</w:t>
      </w:r>
    </w:p>
    <w:p w14:paraId="7D41663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、投标方应保证所供货物的完整性和成套性，能保证货物的正常运行、使用。</w:t>
      </w:r>
    </w:p>
    <w:p w14:paraId="7DE4A093">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7</w:t>
      </w:r>
      <w:r>
        <w:rPr>
          <w:rFonts w:hint="eastAsia" w:ascii="宋体" w:hAnsi="宋体" w:eastAsia="宋体" w:cs="宋体"/>
          <w:sz w:val="24"/>
          <w:szCs w:val="24"/>
          <w:highlight w:val="none"/>
        </w:rPr>
        <w:t>、投标方应对招标方采购的货物所涉及的技术、产能等信息负有保密义务，招标方拥有追究投标方泄密责任的权利；招标方如有需要，投标方应无条件签署保密协议。</w:t>
      </w:r>
    </w:p>
    <w:p w14:paraId="14DB04F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8、程序图纸要求</w:t>
      </w:r>
    </w:p>
    <w:p w14:paraId="3788F2A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8.1 供方必须提供所有设备程序的源代码，包括但不限于 PLC程序、HMI 程序、机器人程序、视觉程序、伺服等。</w:t>
      </w:r>
    </w:p>
    <w:p w14:paraId="20F6C4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8.2 供方所提供的程序不得设置任何密码、保护等限制手段，PLC 不得设置修改下载权限，功能块不得设置密码保护。</w:t>
      </w:r>
    </w:p>
    <w:p w14:paraId="31069C5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8.3 HMI 界面等需要密码保护的程序，供方必须提供所有级别的用户名、密码。</w:t>
      </w:r>
    </w:p>
    <w:p w14:paraId="40A1335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8.4 供方需在设备入场前提供设备程序源码，HMI 界面各级用户名和密码，并保证与现场程序一致。</w:t>
      </w:r>
    </w:p>
    <w:p w14:paraId="55D1987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8.5 供方需在终验收前提供最新的设备程序源码和电气图纸，图纸要求为可编辑原格式（EPLAN、CAD 格式）且与实际接线一致。</w:t>
      </w:r>
    </w:p>
    <w:p w14:paraId="60E3051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9、接口协议要求</w:t>
      </w:r>
    </w:p>
    <w:p w14:paraId="7D7E09A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9.1 供方免费开放所有通讯接口，包括但不限于以太网、RS232、RS485、PROFIBUS、PROFINET、MODBUS 等常见接口，以及设备特有的专用接口。</w:t>
      </w:r>
    </w:p>
    <w:p w14:paraId="1DEDD1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9.2 供方免费提供数据交互功能，交互数据包括但不限于实时数据、历史数据、报警信息等。</w:t>
      </w:r>
    </w:p>
    <w:p w14:paraId="062F95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9.3 供方在设备入场前提供接口的技术文档和参数说明，包括但不限于接口协议、通讯速率、数据格式等。</w:t>
      </w:r>
    </w:p>
    <w:p w14:paraId="2F3BAA2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9.4 设备使用周期内，供方免费派遣技术人员与甲方调试团队共同进行设备通讯接口的调试工作。</w:t>
      </w:r>
    </w:p>
    <w:p w14:paraId="14745D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10、原则上，本项目中电机功率＞7.5kW,必须选用一级能效。电机功率&lt;7.5kW，优先选用一级能效；其中对于能源供应类设备及年运行时间≥2000h工艺设备的电机必须选用一级能效。杜绝选用三级及以下能效。空调必须选用一级能效，变压器最低选用二级能效，对于特殊场景、特殊用途其他设备合性价比综合考虑、充分论证；</w:t>
      </w:r>
    </w:p>
    <w:p w14:paraId="6F6E8E2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11、设备颜色符合《Q-ZZ30070设备设施颜色标识》规定，外观无明显缺陷，重新焊接完成后，对焊接位置进行重新刷漆。</w:t>
      </w:r>
    </w:p>
    <w:p w14:paraId="4503EFFB">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三</w:t>
      </w:r>
      <w:r>
        <w:rPr>
          <w:rFonts w:hint="eastAsia" w:ascii="宋体" w:hAnsi="宋体" w:eastAsia="宋体" w:cs="宋体"/>
          <w:b/>
          <w:sz w:val="24"/>
          <w:szCs w:val="24"/>
          <w:highlight w:val="none"/>
        </w:rPr>
        <w:t>、货物需求一览表</w:t>
      </w:r>
    </w:p>
    <w:tbl>
      <w:tblPr>
        <w:tblStyle w:val="37"/>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4150"/>
        <w:gridCol w:w="945"/>
        <w:gridCol w:w="1616"/>
        <w:gridCol w:w="1257"/>
      </w:tblGrid>
      <w:tr w14:paraId="0FDB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14" w:type="dxa"/>
            <w:vAlign w:val="center"/>
          </w:tcPr>
          <w:p w14:paraId="56359B21">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4150" w:type="dxa"/>
            <w:vAlign w:val="center"/>
          </w:tcPr>
          <w:p w14:paraId="7C00F146">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945" w:type="dxa"/>
            <w:vAlign w:val="center"/>
          </w:tcPr>
          <w:p w14:paraId="630CF281">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6" w:type="dxa"/>
            <w:vAlign w:val="center"/>
          </w:tcPr>
          <w:p w14:paraId="1889B4DD">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供货方式</w:t>
            </w:r>
          </w:p>
        </w:tc>
        <w:tc>
          <w:tcPr>
            <w:tcW w:w="1257" w:type="dxa"/>
            <w:vAlign w:val="center"/>
          </w:tcPr>
          <w:p w14:paraId="5564CCFF">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0126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14:paraId="3F1329E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4150" w:type="dxa"/>
            <w:vAlign w:val="center"/>
          </w:tcPr>
          <w:p w14:paraId="7A7DDBAD">
            <w:pPr>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焊装线新增车型产线调试</w:t>
            </w:r>
          </w:p>
        </w:tc>
        <w:tc>
          <w:tcPr>
            <w:tcW w:w="945" w:type="dxa"/>
            <w:vAlign w:val="center"/>
          </w:tcPr>
          <w:p w14:paraId="639C8B55">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宗</w:t>
            </w:r>
          </w:p>
        </w:tc>
        <w:tc>
          <w:tcPr>
            <w:tcW w:w="1616" w:type="dxa"/>
            <w:vAlign w:val="center"/>
          </w:tcPr>
          <w:p w14:paraId="091B94CD">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交钥匙方式</w:t>
            </w:r>
          </w:p>
        </w:tc>
        <w:tc>
          <w:tcPr>
            <w:tcW w:w="1257" w:type="dxa"/>
            <w:vAlign w:val="center"/>
          </w:tcPr>
          <w:p w14:paraId="3EFF01CA">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改造</w:t>
            </w:r>
          </w:p>
        </w:tc>
      </w:tr>
    </w:tbl>
    <w:p w14:paraId="53A41E57">
      <w:pPr>
        <w:pStyle w:val="127"/>
        <w:numPr>
          <w:ilvl w:val="0"/>
          <w:numId w:val="0"/>
        </w:numPr>
        <w:spacing w:line="360" w:lineRule="auto"/>
        <w:ind w:left="361" w:leftChars="0"/>
        <w:rPr>
          <w:rFonts w:hint="eastAsia" w:ascii="宋体" w:hAnsi="宋体" w:eastAsia="宋体" w:cs="宋体"/>
          <w:b/>
          <w:sz w:val="24"/>
          <w:szCs w:val="24"/>
          <w:highlight w:val="none"/>
          <w:lang w:val="en-US" w:eastAsia="zh-CN"/>
        </w:rPr>
      </w:pPr>
    </w:p>
    <w:p w14:paraId="1A15E0A6">
      <w:pPr>
        <w:pStyle w:val="127"/>
        <w:numPr>
          <w:ilvl w:val="0"/>
          <w:numId w:val="0"/>
        </w:numPr>
        <w:spacing w:line="360" w:lineRule="auto"/>
        <w:ind w:left="361" w:leftChars="0"/>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四、</w:t>
      </w:r>
      <w:r>
        <w:rPr>
          <w:rFonts w:hint="eastAsia" w:ascii="宋体" w:hAnsi="宋体" w:eastAsia="宋体" w:cs="宋体"/>
          <w:b/>
          <w:sz w:val="24"/>
          <w:szCs w:val="24"/>
          <w:highlight w:val="none"/>
        </w:rPr>
        <w:t>技术规范</w:t>
      </w:r>
      <w:bookmarkStart w:id="45" w:name="_Toc9310"/>
    </w:p>
    <w:bookmarkEnd w:id="45"/>
    <w:p w14:paraId="314FA291">
      <w:pPr>
        <w:spacing w:line="360" w:lineRule="auto"/>
        <w:ind w:firstLine="424" w:firstLineChars="177"/>
        <w:rPr>
          <w:rFonts w:hint="eastAsia" w:ascii="黑体" w:hAnsi="黑体" w:eastAsia="黑体" w:cs="宋体"/>
          <w:sz w:val="24"/>
          <w:szCs w:val="24"/>
          <w:highlight w:val="none"/>
          <w:lang w:val="en-US" w:eastAsia="zh-CN"/>
        </w:rPr>
      </w:pPr>
      <w:r>
        <w:rPr>
          <w:rFonts w:hint="eastAsia" w:ascii="黑体" w:hAnsi="黑体" w:eastAsia="黑体" w:cs="宋体"/>
          <w:sz w:val="24"/>
          <w:szCs w:val="24"/>
          <w:highlight w:val="none"/>
          <w:lang w:val="en-US" w:eastAsia="zh-CN"/>
        </w:rPr>
        <w:t>方案描述</w:t>
      </w:r>
    </w:p>
    <w:p w14:paraId="59A51FDC">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全新一代右置重载宽体排半驾驶室</w:t>
      </w:r>
      <w:r>
        <w:rPr>
          <w:rFonts w:hint="eastAsia" w:ascii="宋体" w:hAnsi="宋体" w:eastAsia="宋体" w:cs="宋体"/>
          <w:sz w:val="24"/>
          <w:szCs w:val="24"/>
          <w:highlight w:val="none"/>
          <w:lang w:val="en-US" w:eastAsia="zh-CN"/>
        </w:rPr>
        <w:t>全部采用现有产品件，将顶盖、后围、左/右侧围、地板由普通右置件更换为重载右置件，具体差异详见附图（图中黄色为差异件）。</w:t>
      </w:r>
    </w:p>
    <w:p w14:paraId="390CA793">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①顶盖：</w:t>
      </w:r>
    </w:p>
    <w:p w14:paraId="7A11D911">
      <w:pPr>
        <w:spacing w:line="360" w:lineRule="auto"/>
        <w:jc w:val="center"/>
        <w:rPr>
          <w:rFonts w:hint="eastAsia" w:ascii="宋体" w:hAnsi="宋体" w:eastAsia="宋体" w:cs="宋体"/>
          <w:sz w:val="24"/>
          <w:szCs w:val="24"/>
          <w:highlight w:val="none"/>
          <w:lang w:val="en-US" w:eastAsia="zh-CN"/>
        </w:rPr>
      </w:pPr>
      <w:r>
        <w:drawing>
          <wp:inline distT="0" distB="0" distL="114300" distR="114300">
            <wp:extent cx="4854575" cy="1440180"/>
            <wp:effectExtent l="0" t="0" r="3175"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4"/>
                    <a:stretch>
                      <a:fillRect/>
                    </a:stretch>
                  </pic:blipFill>
                  <pic:spPr>
                    <a:xfrm>
                      <a:off x="0" y="0"/>
                      <a:ext cx="4854575" cy="1440180"/>
                    </a:xfrm>
                    <a:prstGeom prst="rect">
                      <a:avLst/>
                    </a:prstGeom>
                    <a:noFill/>
                    <a:ln w="9525">
                      <a:noFill/>
                    </a:ln>
                  </pic:spPr>
                </pic:pic>
              </a:graphicData>
            </a:graphic>
          </wp:inline>
        </w:drawing>
      </w:r>
    </w:p>
    <w:p w14:paraId="489A5384">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②后围：</w:t>
      </w:r>
    </w:p>
    <w:p w14:paraId="16A3543D">
      <w:pPr>
        <w:spacing w:line="360" w:lineRule="auto"/>
        <w:jc w:val="center"/>
        <w:rPr>
          <w:rFonts w:hint="eastAsia" w:ascii="宋体" w:hAnsi="宋体" w:eastAsia="宋体" w:cs="宋体"/>
          <w:sz w:val="24"/>
          <w:szCs w:val="24"/>
          <w:highlight w:val="none"/>
          <w:lang w:val="en-US" w:eastAsia="zh-CN"/>
        </w:rPr>
      </w:pPr>
      <w:r>
        <w:drawing>
          <wp:inline distT="0" distB="0" distL="114300" distR="114300">
            <wp:extent cx="4514215" cy="1440180"/>
            <wp:effectExtent l="0" t="0" r="635"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5"/>
                    <a:stretch>
                      <a:fillRect/>
                    </a:stretch>
                  </pic:blipFill>
                  <pic:spPr>
                    <a:xfrm>
                      <a:off x="0" y="0"/>
                      <a:ext cx="4514215" cy="1440180"/>
                    </a:xfrm>
                    <a:prstGeom prst="rect">
                      <a:avLst/>
                    </a:prstGeom>
                    <a:noFill/>
                    <a:ln w="9525">
                      <a:noFill/>
                    </a:ln>
                  </pic:spPr>
                </pic:pic>
              </a:graphicData>
            </a:graphic>
          </wp:inline>
        </w:drawing>
      </w:r>
    </w:p>
    <w:p w14:paraId="7BC510C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③侧围：</w:t>
      </w:r>
    </w:p>
    <w:p w14:paraId="225985A8">
      <w:pPr>
        <w:spacing w:line="360" w:lineRule="auto"/>
        <w:jc w:val="center"/>
        <w:rPr>
          <w:rFonts w:hint="eastAsia" w:ascii="宋体" w:hAnsi="宋体" w:eastAsia="宋体" w:cs="宋体"/>
          <w:sz w:val="24"/>
          <w:szCs w:val="24"/>
          <w:highlight w:val="none"/>
          <w:lang w:val="en-US" w:eastAsia="zh-CN"/>
        </w:rPr>
      </w:pPr>
      <w:r>
        <w:drawing>
          <wp:inline distT="0" distB="0" distL="114300" distR="114300">
            <wp:extent cx="4017010" cy="1800225"/>
            <wp:effectExtent l="0" t="0" r="2540" b="952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6"/>
                    <a:stretch>
                      <a:fillRect/>
                    </a:stretch>
                  </pic:blipFill>
                  <pic:spPr>
                    <a:xfrm>
                      <a:off x="0" y="0"/>
                      <a:ext cx="4017010" cy="1800225"/>
                    </a:xfrm>
                    <a:prstGeom prst="rect">
                      <a:avLst/>
                    </a:prstGeom>
                    <a:noFill/>
                    <a:ln w="9525">
                      <a:noFill/>
                    </a:ln>
                  </pic:spPr>
                </pic:pic>
              </a:graphicData>
            </a:graphic>
          </wp:inline>
        </w:drawing>
      </w:r>
    </w:p>
    <w:p w14:paraId="4409A01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④地板面板：</w:t>
      </w:r>
    </w:p>
    <w:p w14:paraId="01B82E12">
      <w:pPr>
        <w:spacing w:line="360" w:lineRule="auto"/>
        <w:jc w:val="center"/>
        <w:rPr>
          <w:rFonts w:hint="eastAsia" w:ascii="宋体" w:hAnsi="宋体" w:eastAsia="宋体" w:cs="宋体"/>
          <w:sz w:val="24"/>
          <w:szCs w:val="24"/>
          <w:highlight w:val="none"/>
          <w:lang w:val="en-US" w:eastAsia="zh-CN"/>
        </w:rPr>
      </w:pPr>
      <w:r>
        <w:drawing>
          <wp:inline distT="0" distB="0" distL="114300" distR="114300">
            <wp:extent cx="4631055" cy="1440180"/>
            <wp:effectExtent l="0" t="0" r="171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rcRect l="906"/>
                    <a:stretch>
                      <a:fillRect/>
                    </a:stretch>
                  </pic:blipFill>
                  <pic:spPr>
                    <a:xfrm>
                      <a:off x="0" y="0"/>
                      <a:ext cx="4631055" cy="1440180"/>
                    </a:xfrm>
                    <a:prstGeom prst="rect">
                      <a:avLst/>
                    </a:prstGeom>
                    <a:noFill/>
                    <a:ln w="9525">
                      <a:noFill/>
                    </a:ln>
                  </pic:spPr>
                </pic:pic>
              </a:graphicData>
            </a:graphic>
          </wp:inline>
        </w:drawing>
      </w:r>
    </w:p>
    <w:p w14:paraId="1906D41C">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⑤地板骨架：</w:t>
      </w:r>
    </w:p>
    <w:p w14:paraId="201A20F7">
      <w:pPr>
        <w:spacing w:line="360" w:lineRule="auto"/>
        <w:jc w:val="center"/>
      </w:pPr>
      <w:r>
        <w:drawing>
          <wp:inline distT="0" distB="0" distL="114300" distR="114300">
            <wp:extent cx="5501640" cy="1440180"/>
            <wp:effectExtent l="0" t="0" r="3810" b="762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8"/>
                    <a:stretch>
                      <a:fillRect/>
                    </a:stretch>
                  </pic:blipFill>
                  <pic:spPr>
                    <a:xfrm>
                      <a:off x="0" y="0"/>
                      <a:ext cx="5501640" cy="1440180"/>
                    </a:xfrm>
                    <a:prstGeom prst="rect">
                      <a:avLst/>
                    </a:prstGeom>
                    <a:noFill/>
                    <a:ln w="9525">
                      <a:noFill/>
                    </a:ln>
                  </pic:spPr>
                </pic:pic>
              </a:graphicData>
            </a:graphic>
          </wp:inline>
        </w:drawing>
      </w:r>
    </w:p>
    <w:p w14:paraId="3FBAA424">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yellow"/>
          <w:lang w:val="en-US" w:eastAsia="zh-CN"/>
        </w:rPr>
        <w:t>生产工艺流程及工艺路线与现有生产工艺流程、工艺路线相同，无变化。需结合现有设备及程序，调试新增车型焊接程序，实现</w:t>
      </w:r>
      <w:r>
        <w:rPr>
          <w:rFonts w:hint="eastAsia" w:ascii="宋体" w:hAnsi="宋体" w:eastAsia="宋体" w:cs="宋体"/>
          <w:sz w:val="24"/>
          <w:szCs w:val="24"/>
          <w:highlight w:val="yellow"/>
        </w:rPr>
        <w:t>全新一代右置重载宽体排半驾驶室</w:t>
      </w:r>
      <w:r>
        <w:rPr>
          <w:rFonts w:hint="eastAsia" w:ascii="宋体" w:hAnsi="宋体" w:eastAsia="宋体" w:cs="宋体"/>
          <w:sz w:val="24"/>
          <w:szCs w:val="24"/>
          <w:highlight w:val="yellow"/>
          <w:lang w:val="en-US" w:eastAsia="zh-CN"/>
        </w:rPr>
        <w:t>与常规驾驶室的共线生产。</w:t>
      </w:r>
      <w:r>
        <w:rPr>
          <w:rFonts w:hint="eastAsia" w:ascii="宋体" w:hAnsi="宋体" w:eastAsia="宋体" w:cs="宋体"/>
          <w:sz w:val="24"/>
          <w:szCs w:val="24"/>
          <w:highlight w:val="none"/>
          <w:lang w:val="en-US" w:eastAsia="zh-CN"/>
        </w:rPr>
        <w:t>项目主要建设内容如下：</w:t>
      </w:r>
    </w:p>
    <w:p w14:paraId="2B9B3F7B">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1）地板骨架、中地板工位和UB010、UB020地板合拼工位机器人及PLC调试；</w:t>
      </w:r>
    </w:p>
    <w:p w14:paraId="6E36871F">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2）中地板转台工位需要增加一套阀岛组件将气缸独立出来单独动作（</w:t>
      </w:r>
      <w:r>
        <w:rPr>
          <w:rFonts w:hint="eastAsia" w:ascii="宋体" w:hAnsi="宋体" w:eastAsia="宋体" w:cs="宋体"/>
          <w:sz w:val="24"/>
          <w:szCs w:val="24"/>
          <w:highlight w:val="red"/>
          <w:lang w:val="en-US" w:eastAsia="zh-CN"/>
        </w:rPr>
        <w:t>阀岛组件由招标方提供，投标方需根据提供的组件完成气路设计、硬件安装及回路调试等人工调试工作</w:t>
      </w:r>
      <w:r>
        <w:rPr>
          <w:rFonts w:hint="eastAsia" w:ascii="宋体" w:hAnsi="宋体" w:eastAsia="宋体" w:cs="宋体"/>
          <w:sz w:val="24"/>
          <w:szCs w:val="24"/>
          <w:highlight w:val="none"/>
          <w:lang w:val="en-US" w:eastAsia="zh-CN"/>
        </w:rPr>
        <w:t>），避开与新增件的干涉；</w:t>
      </w:r>
    </w:p>
    <w:p w14:paraId="4EA7D0DB">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3）焊装线主拼线FR010、FR030合拼工位机器人及PLC调试；</w:t>
      </w:r>
    </w:p>
    <w:p w14:paraId="6708875A">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4）焊装线主拼线顶盖合拼工位机器人及PLC调试；</w:t>
      </w:r>
    </w:p>
    <w:p w14:paraId="601E8A83">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5）焊装线主拼线和侧围单元岛车型识别、总拼等程序调试。</w:t>
      </w:r>
    </w:p>
    <w:p w14:paraId="23066E49">
      <w:pPr>
        <w:spacing w:line="360" w:lineRule="auto"/>
        <w:ind w:firstLine="480" w:firstLineChars="200"/>
        <w:jc w:val="left"/>
        <w:rPr>
          <w:rFonts w:hint="eastAsia" w:ascii="宋体" w:hAnsi="宋体" w:eastAsia="宋体" w:cs="宋体"/>
          <w:color w:val="000000"/>
          <w:sz w:val="24"/>
          <w:szCs w:val="24"/>
          <w:highlight w:val="none"/>
        </w:rPr>
      </w:pPr>
      <w:bookmarkStart w:id="46" w:name="_Toc24489"/>
      <w:r>
        <w:rPr>
          <w:rFonts w:hint="eastAsia" w:ascii="黑体" w:hAnsi="黑体" w:eastAsia="黑体" w:cs="宋体"/>
          <w:sz w:val="24"/>
          <w:szCs w:val="24"/>
          <w:highlight w:val="none"/>
        </w:rPr>
        <w:t>总体技术要求</w:t>
      </w:r>
      <w:bookmarkEnd w:id="46"/>
    </w:p>
    <w:p w14:paraId="2AED6DD8">
      <w:pPr>
        <w:pStyle w:val="127"/>
        <w:numPr>
          <w:ilvl w:val="0"/>
          <w:numId w:val="0"/>
        </w:numPr>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轻卡自动线融入</w:t>
      </w:r>
      <w:r>
        <w:rPr>
          <w:rFonts w:hint="eastAsia" w:ascii="宋体" w:hAnsi="宋体" w:eastAsia="宋体" w:cs="宋体"/>
          <w:sz w:val="24"/>
          <w:szCs w:val="24"/>
          <w:highlight w:val="none"/>
        </w:rPr>
        <w:t>全新一代右置重载宽体排半驾驶室</w:t>
      </w:r>
      <w:r>
        <w:rPr>
          <w:rFonts w:hint="eastAsia" w:ascii="宋体" w:hAnsi="宋体" w:eastAsia="宋体" w:cs="宋体"/>
          <w:sz w:val="24"/>
          <w:szCs w:val="24"/>
          <w:highlight w:val="none"/>
          <w:lang w:val="en-US" w:eastAsia="zh-CN"/>
        </w:rPr>
        <w:t>与常规驾驶室的共线生产。</w:t>
      </w:r>
      <w:r>
        <w:rPr>
          <w:rFonts w:hint="eastAsia" w:ascii="宋体" w:hAnsi="宋体" w:eastAsia="宋体" w:cs="宋体"/>
          <w:color w:val="000000"/>
          <w:sz w:val="24"/>
          <w:szCs w:val="24"/>
          <w:highlight w:val="none"/>
        </w:rPr>
        <w:t>车型生产节拍要求≤2.</w:t>
      </w:r>
      <w:r>
        <w:rPr>
          <w:rFonts w:ascii="宋体" w:hAnsi="宋体" w:eastAsia="宋体" w:cs="宋体"/>
          <w:color w:val="000000"/>
          <w:sz w:val="24"/>
          <w:szCs w:val="24"/>
          <w:highlight w:val="none"/>
        </w:rPr>
        <w:t>2</w:t>
      </w:r>
      <w:r>
        <w:rPr>
          <w:rFonts w:hint="eastAsia" w:ascii="宋体" w:hAnsi="宋体" w:eastAsia="宋体" w:cs="宋体"/>
          <w:color w:val="000000"/>
          <w:sz w:val="24"/>
          <w:szCs w:val="24"/>
          <w:highlight w:val="none"/>
        </w:rPr>
        <w:t>min。</w:t>
      </w:r>
      <w:r>
        <w:rPr>
          <w:rFonts w:hint="eastAsia" w:ascii="宋体" w:hAnsi="宋体" w:eastAsia="宋体" w:cs="宋体"/>
          <w:sz w:val="24"/>
          <w:szCs w:val="24"/>
          <w:highlight w:val="none"/>
        </w:rPr>
        <w:t>总成和零件的上线、焊接、生产过程中的运输、存储和机械设备的动作时间等都应当认</w:t>
      </w:r>
      <w:r>
        <w:rPr>
          <w:rFonts w:hint="eastAsia" w:ascii="宋体" w:hAnsi="宋体" w:eastAsia="宋体" w:cs="宋体"/>
          <w:color w:val="000000"/>
          <w:sz w:val="24"/>
          <w:szCs w:val="24"/>
          <w:highlight w:val="none"/>
        </w:rPr>
        <w:t>为是上述生产节拍的一个组成部分。投标方应认识到生产节拍是一项十分重要的技术指标，投标方应以三维仿真模拟来描述和表达生产节拍的实现（三维仿真模拟仅作为生产节拍的一个参考，不作为生产节拍判定的依据）。</w:t>
      </w:r>
    </w:p>
    <w:p w14:paraId="6A8F4157">
      <w:pPr>
        <w:pStyle w:val="127"/>
        <w:tabs>
          <w:tab w:val="left" w:pos="420"/>
        </w:tabs>
        <w:spacing w:line="360" w:lineRule="auto"/>
        <w:ind w:left="0" w:leftChars="0" w:firstLine="480" w:firstLineChars="200"/>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一个完整的节拍包含：启动→工作→工作结束→传输→回位→等待再次启动</w:t>
      </w:r>
      <w:r>
        <w:rPr>
          <w:rFonts w:hint="eastAsia" w:ascii="宋体" w:hAnsi="宋体" w:eastAsia="宋体" w:cs="宋体"/>
          <w:color w:val="000000"/>
          <w:sz w:val="24"/>
          <w:szCs w:val="24"/>
          <w:highlight w:val="none"/>
          <w:lang w:eastAsia="zh-CN"/>
        </w:rPr>
        <w:t>。</w:t>
      </w:r>
    </w:p>
    <w:p w14:paraId="73125919">
      <w:pPr>
        <w:pStyle w:val="127"/>
        <w:numPr>
          <w:ilvl w:val="0"/>
          <w:numId w:val="0"/>
        </w:numPr>
        <w:spacing w:line="360" w:lineRule="auto"/>
        <w:ind w:firstLine="480" w:firstLineChars="200"/>
        <w:jc w:val="left"/>
        <w:rPr>
          <w:rFonts w:hint="eastAsia" w:ascii="宋体" w:hAnsi="宋体" w:eastAsia="宋体" w:cs="宋体"/>
          <w:color w:val="000000"/>
          <w:sz w:val="24"/>
          <w:szCs w:val="24"/>
          <w:highlight w:val="none"/>
          <w:lang w:eastAsia="zh-CN"/>
        </w:rPr>
      </w:pPr>
      <w:bookmarkStart w:id="47" w:name="_Toc340913564"/>
      <w:r>
        <w:rPr>
          <w:rFonts w:hint="eastAsia" w:ascii="宋体" w:hAnsi="宋体" w:eastAsia="宋体" w:cs="宋体"/>
          <w:sz w:val="24"/>
          <w:szCs w:val="24"/>
          <w:highlight w:val="none"/>
          <w:lang w:val="en-US" w:eastAsia="zh-CN"/>
        </w:rPr>
        <w:t>①</w:t>
      </w:r>
      <w:r>
        <w:rPr>
          <w:rFonts w:hint="eastAsia" w:ascii="宋体" w:hAnsi="宋体" w:eastAsia="宋体" w:cs="宋体"/>
          <w:sz w:val="24"/>
          <w:szCs w:val="24"/>
          <w:highlight w:val="none"/>
        </w:rPr>
        <w:t>驾驶室</w:t>
      </w:r>
      <w:r>
        <w:rPr>
          <w:rFonts w:hint="eastAsia" w:ascii="宋体" w:hAnsi="宋体" w:eastAsia="宋体" w:cs="宋体"/>
          <w:color w:val="000000"/>
          <w:sz w:val="24"/>
          <w:szCs w:val="24"/>
          <w:highlight w:val="none"/>
        </w:rPr>
        <w:t>尺寸标准：全尺寸合格率</w:t>
      </w:r>
      <w:r>
        <w:rPr>
          <w:rFonts w:hint="eastAsia" w:ascii="宋体" w:hAnsi="宋体" w:eastAsia="宋体" w:cs="宋体"/>
          <w:color w:val="000000"/>
          <w:sz w:val="24"/>
          <w:szCs w:val="24"/>
          <w:highlight w:val="none"/>
          <w:lang w:val="en-US" w:eastAsia="zh-CN"/>
        </w:rPr>
        <w:t>88</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1.5mm</w:t>
      </w:r>
      <w:r>
        <w:rPr>
          <w:rFonts w:hint="eastAsia" w:ascii="宋体" w:hAnsi="宋体" w:eastAsia="宋体" w:cs="宋体"/>
          <w:color w:val="000000"/>
          <w:sz w:val="24"/>
          <w:szCs w:val="24"/>
          <w:highlight w:val="none"/>
        </w:rPr>
        <w: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tblGrid>
      <w:tr w14:paraId="1D40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0" w:type="dxa"/>
            <w:gridSpan w:val="2"/>
            <w:vAlign w:val="top"/>
          </w:tcPr>
          <w:p w14:paraId="1FC699B9">
            <w:pPr>
              <w:pStyle w:val="127"/>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vertAlign w:val="baseline"/>
                <w:lang w:val="en-US" w:eastAsia="zh-CN"/>
              </w:rPr>
              <w:t>白车身全尺寸合格率（±1.5mm）</w:t>
            </w:r>
          </w:p>
        </w:tc>
      </w:tr>
      <w:tr w14:paraId="3F6A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18971051">
            <w:pPr>
              <w:pStyle w:val="1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vertAlign w:val="baseline"/>
                <w:lang w:val="en-US" w:eastAsia="zh-CN"/>
              </w:rPr>
              <w:t>第一阶段</w:t>
            </w:r>
          </w:p>
        </w:tc>
        <w:tc>
          <w:tcPr>
            <w:tcW w:w="3095" w:type="dxa"/>
          </w:tcPr>
          <w:p w14:paraId="0DD90704">
            <w:pPr>
              <w:pStyle w:val="127"/>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vertAlign w:val="baseline"/>
                <w:lang w:val="en-US" w:eastAsia="zh-CN"/>
              </w:rPr>
              <w:t>70%</w:t>
            </w:r>
          </w:p>
        </w:tc>
      </w:tr>
      <w:tr w14:paraId="3FD1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top"/>
          </w:tcPr>
          <w:p w14:paraId="5F0A344C">
            <w:pPr>
              <w:pStyle w:val="1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vertAlign w:val="baseline"/>
                <w:lang w:val="en-US" w:eastAsia="zh-CN"/>
              </w:rPr>
              <w:t>量产阶段</w:t>
            </w:r>
          </w:p>
        </w:tc>
        <w:tc>
          <w:tcPr>
            <w:tcW w:w="3095" w:type="dxa"/>
          </w:tcPr>
          <w:p w14:paraId="16C9C2B1">
            <w:pPr>
              <w:pStyle w:val="127"/>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vertAlign w:val="baseline"/>
                <w:lang w:val="en-US" w:eastAsia="zh-CN"/>
              </w:rPr>
              <w:t>88%</w:t>
            </w:r>
          </w:p>
        </w:tc>
      </w:tr>
      <w:bookmarkEnd w:id="47"/>
    </w:tbl>
    <w:p w14:paraId="1DFA8972">
      <w:pPr>
        <w:pStyle w:val="127"/>
        <w:widowControl/>
        <w:spacing w:line="360" w:lineRule="auto"/>
        <w:ind w:firstLine="480" w:firstLineChars="200"/>
        <w:contextualSpacing/>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②</w:t>
      </w:r>
      <w:r>
        <w:rPr>
          <w:rFonts w:hint="eastAsia" w:ascii="宋体" w:hAnsi="宋体" w:eastAsia="宋体" w:cs="宋体"/>
          <w:color w:val="000000"/>
          <w:sz w:val="24"/>
          <w:szCs w:val="24"/>
          <w:highlight w:val="none"/>
        </w:rPr>
        <w:t>焊接质量标准</w:t>
      </w:r>
    </w:p>
    <w:tbl>
      <w:tblPr>
        <w:tblStyle w:val="37"/>
        <w:tblW w:w="914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387"/>
        <w:gridCol w:w="6661"/>
      </w:tblGrid>
      <w:tr w14:paraId="173E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099" w:type="dxa"/>
            <w:vAlign w:val="center"/>
          </w:tcPr>
          <w:p w14:paraId="41353055">
            <w:pPr>
              <w:pStyle w:val="127"/>
              <w:widowControl/>
              <w:spacing w:line="360" w:lineRule="auto"/>
              <w:ind w:firstLine="0" w:firstLineChars="0"/>
              <w:contextualSpacing/>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标准名称</w:t>
            </w:r>
          </w:p>
        </w:tc>
        <w:tc>
          <w:tcPr>
            <w:tcW w:w="1387" w:type="dxa"/>
            <w:vAlign w:val="center"/>
          </w:tcPr>
          <w:p w14:paraId="0B3B95DF">
            <w:pPr>
              <w:pStyle w:val="127"/>
              <w:widowControl/>
              <w:spacing w:line="360" w:lineRule="auto"/>
              <w:ind w:firstLine="0" w:firstLineChars="0"/>
              <w:contextualSpacing/>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标准</w:t>
            </w:r>
          </w:p>
        </w:tc>
        <w:tc>
          <w:tcPr>
            <w:tcW w:w="6661" w:type="dxa"/>
            <w:vAlign w:val="center"/>
          </w:tcPr>
          <w:p w14:paraId="746CB839">
            <w:pPr>
              <w:pStyle w:val="127"/>
              <w:widowControl/>
              <w:spacing w:line="360" w:lineRule="auto"/>
              <w:ind w:firstLine="0" w:firstLineChars="0"/>
              <w:contextualSpacing/>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26C9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99" w:type="dxa"/>
            <w:vAlign w:val="center"/>
          </w:tcPr>
          <w:p w14:paraId="428779C2">
            <w:pPr>
              <w:pStyle w:val="127"/>
              <w:keepNext w:val="0"/>
              <w:keepLines w:val="0"/>
              <w:pageBreakBefore w:val="0"/>
              <w:widowControl/>
              <w:kinsoku/>
              <w:wordWrap/>
              <w:overflowPunct/>
              <w:topLinePunct w:val="0"/>
              <w:autoSpaceDE/>
              <w:autoSpaceDN/>
              <w:bidi w:val="0"/>
              <w:adjustRightInd/>
              <w:snapToGrid/>
              <w:spacing w:line="240" w:lineRule="auto"/>
              <w:ind w:firstLine="0" w:firstLineChars="0"/>
              <w:contextualSpacing/>
              <w:jc w:val="center"/>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点焊质量</w:t>
            </w:r>
          </w:p>
        </w:tc>
        <w:tc>
          <w:tcPr>
            <w:tcW w:w="1387" w:type="dxa"/>
            <w:vAlign w:val="center"/>
          </w:tcPr>
          <w:p w14:paraId="0DCAFA67">
            <w:pPr>
              <w:pStyle w:val="127"/>
              <w:keepNext w:val="0"/>
              <w:keepLines w:val="0"/>
              <w:pageBreakBefore w:val="0"/>
              <w:widowControl/>
              <w:kinsoku/>
              <w:wordWrap/>
              <w:overflowPunct/>
              <w:topLinePunct w:val="0"/>
              <w:autoSpaceDE/>
              <w:autoSpaceDN/>
              <w:bidi w:val="0"/>
              <w:adjustRightInd/>
              <w:snapToGrid/>
              <w:spacing w:line="240" w:lineRule="auto"/>
              <w:ind w:firstLine="0" w:firstLineChars="0"/>
              <w:contextualSpacing/>
              <w:jc w:val="center"/>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Q/ZZ</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30025点焊技术条件</w:t>
            </w:r>
          </w:p>
        </w:tc>
        <w:tc>
          <w:tcPr>
            <w:tcW w:w="6661" w:type="dxa"/>
          </w:tcPr>
          <w:p w14:paraId="2726578D">
            <w:pPr>
              <w:pStyle w:val="127"/>
              <w:keepNext w:val="0"/>
              <w:keepLines w:val="0"/>
              <w:pageBreakBefore w:val="0"/>
              <w:widowControl/>
              <w:kinsoku/>
              <w:wordWrap/>
              <w:overflowPunct/>
              <w:topLinePunct w:val="0"/>
              <w:autoSpaceDE/>
              <w:autoSpaceDN/>
              <w:bidi w:val="0"/>
              <w:adjustRightInd/>
              <w:snapToGrid/>
              <w:spacing w:line="240" w:lineRule="auto"/>
              <w:ind w:firstLine="0" w:firstLineChars="0"/>
              <w:contextualSpacing/>
              <w:jc w:val="center"/>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标准中焊点数量及位置要求与数模文件冲突时，以数模文件为准；凡招标方数模中焊点未明确的，由投标方提出</w:t>
            </w:r>
            <w:r>
              <w:rPr>
                <w:rFonts w:hint="eastAsia" w:ascii="宋体" w:hAnsi="宋体" w:eastAsia="宋体" w:cs="宋体"/>
                <w:color w:val="000000"/>
                <w:sz w:val="22"/>
                <w:szCs w:val="22"/>
                <w:highlight w:val="none"/>
                <w:lang w:val="en-US" w:eastAsia="zh-CN"/>
              </w:rPr>
              <w:t>数量和间距等差异，</w:t>
            </w:r>
            <w:r>
              <w:rPr>
                <w:rFonts w:hint="eastAsia" w:ascii="宋体" w:hAnsi="宋体" w:eastAsia="宋体" w:cs="宋体"/>
                <w:color w:val="000000"/>
                <w:sz w:val="22"/>
                <w:szCs w:val="22"/>
                <w:highlight w:val="none"/>
              </w:rPr>
              <w:t>招标方确认，涉及到自动焊接的需在开标前提出，招标方给予明确。</w:t>
            </w:r>
          </w:p>
        </w:tc>
      </w:tr>
    </w:tbl>
    <w:p w14:paraId="74C00367">
      <w:pPr>
        <w:pStyle w:val="127"/>
        <w:numPr>
          <w:ilvl w:val="0"/>
          <w:numId w:val="0"/>
        </w:numPr>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未作规定的与产品质量有关联的工装公差由投标方提出经招标方认可后执行。产品线改造后现有</w:t>
      </w:r>
      <w:r>
        <w:rPr>
          <w:rFonts w:hint="eastAsia" w:ascii="宋体" w:hAnsi="宋体" w:eastAsia="宋体" w:cs="宋体"/>
          <w:color w:val="000000"/>
          <w:sz w:val="24"/>
          <w:szCs w:val="24"/>
          <w:highlight w:val="none"/>
          <w:lang w:val="en-US" w:eastAsia="zh-CN"/>
        </w:rPr>
        <w:t>驾驶室</w:t>
      </w:r>
      <w:r>
        <w:rPr>
          <w:rFonts w:hint="eastAsia" w:ascii="宋体" w:hAnsi="宋体" w:eastAsia="宋体" w:cs="宋体"/>
          <w:color w:val="000000"/>
          <w:sz w:val="24"/>
          <w:szCs w:val="24"/>
          <w:highlight w:val="none"/>
        </w:rPr>
        <w:t>各项质量标准不得低于改造前的状态。</w:t>
      </w:r>
    </w:p>
    <w:p w14:paraId="19595083">
      <w:pPr>
        <w:keepNext/>
        <w:keepLines/>
        <w:spacing w:before="120" w:after="120" w:line="360" w:lineRule="auto"/>
        <w:jc w:val="center"/>
        <w:outlineLvl w:val="0"/>
        <w:rPr>
          <w:rFonts w:hint="eastAsia" w:ascii="黑体" w:hAnsi="等线" w:eastAsia="黑体" w:cs="Times New Roman"/>
          <w:kern w:val="44"/>
          <w:sz w:val="28"/>
          <w:szCs w:val="28"/>
          <w:highlight w:val="none"/>
          <w:lang w:val="en-GB"/>
        </w:rPr>
      </w:pPr>
      <w:bookmarkStart w:id="48" w:name="_Toc15157"/>
      <w:bookmarkStart w:id="49" w:name="_Toc2566"/>
      <w:bookmarkStart w:id="50" w:name="_Toc30469"/>
      <w:bookmarkStart w:id="51" w:name="_Toc25286"/>
      <w:r>
        <w:rPr>
          <w:rFonts w:hint="eastAsia" w:ascii="黑体" w:hAnsi="等线" w:eastAsia="黑体" w:cs="Times New Roman"/>
          <w:kern w:val="44"/>
          <w:sz w:val="28"/>
          <w:szCs w:val="28"/>
          <w:highlight w:val="none"/>
          <w:lang w:val="en-GB"/>
        </w:rPr>
        <w:t>第三章  供货范围及供货方式</w:t>
      </w:r>
      <w:bookmarkEnd w:id="48"/>
      <w:bookmarkEnd w:id="49"/>
      <w:bookmarkEnd w:id="50"/>
      <w:bookmarkEnd w:id="51"/>
    </w:p>
    <w:p w14:paraId="283E8D08">
      <w:pPr>
        <w:keepNext/>
        <w:keepLines/>
        <w:spacing w:before="120" w:after="120" w:line="360" w:lineRule="auto"/>
        <w:jc w:val="center"/>
        <w:outlineLvl w:val="1"/>
        <w:rPr>
          <w:rFonts w:hint="eastAsia" w:ascii="宋体" w:hAnsi="宋体" w:eastAsia="宋体" w:cs="Times New Roman"/>
          <w:sz w:val="24"/>
          <w:szCs w:val="24"/>
          <w:highlight w:val="none"/>
        </w:rPr>
      </w:pPr>
      <w:bookmarkStart w:id="52" w:name="_Toc9658381"/>
      <w:r>
        <w:rPr>
          <w:rFonts w:hint="eastAsia" w:ascii="宋体" w:hAnsi="宋体" w:eastAsia="宋体" w:cs="Times New Roman"/>
          <w:sz w:val="24"/>
          <w:szCs w:val="24"/>
          <w:highlight w:val="none"/>
        </w:rPr>
        <w:t>第一节</w:t>
      </w:r>
      <w:r>
        <w:rPr>
          <w:rFonts w:ascii="宋体" w:hAnsi="宋体" w:eastAsia="宋体" w:cs="Times New Roman"/>
          <w:sz w:val="24"/>
          <w:szCs w:val="24"/>
          <w:highlight w:val="none"/>
        </w:rPr>
        <w:t xml:space="preserve">  </w:t>
      </w:r>
      <w:r>
        <w:rPr>
          <w:rFonts w:hint="eastAsia" w:ascii="宋体" w:hAnsi="宋体" w:eastAsia="宋体" w:cs="Times New Roman"/>
          <w:sz w:val="24"/>
          <w:szCs w:val="24"/>
          <w:highlight w:val="none"/>
        </w:rPr>
        <w:t>供货范围</w:t>
      </w:r>
      <w:bookmarkEnd w:id="52"/>
    </w:p>
    <w:p w14:paraId="0DBA99F6">
      <w:pPr>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一、供货范围</w:t>
      </w:r>
    </w:p>
    <w:p w14:paraId="2E434222">
      <w:pPr>
        <w:spacing w:line="360" w:lineRule="auto"/>
        <w:ind w:firstLine="241" w:firstLineChars="100"/>
        <w:rPr>
          <w:rFonts w:hint="eastAsia" w:ascii="宋体" w:hAnsi="宋体" w:eastAsia="宋体" w:cs="宋体"/>
          <w:b/>
          <w:sz w:val="24"/>
          <w:szCs w:val="24"/>
          <w:highlight w:val="none"/>
        </w:rPr>
      </w:pPr>
      <w:r>
        <w:rPr>
          <w:rFonts w:hint="eastAsia" w:ascii="宋体" w:hAnsi="宋体" w:eastAsia="宋体" w:cs="宋体"/>
          <w:b/>
          <w:sz w:val="24"/>
          <w:szCs w:val="24"/>
          <w:highlight w:val="none"/>
        </w:rPr>
        <w:t>（一）一般界定</w:t>
      </w:r>
    </w:p>
    <w:p w14:paraId="68BF57FC">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、包括本技术标书所列明的主要货物及货物正常运行所必需的全套连线设备、材料等，如货物端联接法兰外端面之内的、电气系统接口压线板（插座等）之内的设备、材料、联接螺栓、垫片等。</w:t>
      </w:r>
    </w:p>
    <w:p w14:paraId="059ADBE2">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、包括为保证货物正常安装、调试和验收完成及以前所必需的整套配件、附件及材料、油料、控制软件及程序或指令等。</w:t>
      </w:r>
    </w:p>
    <w:p w14:paraId="2B38B16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如果终验收完成后，投标方有需要收回的配件、附件、材料、油料等，应当在投标文件的技术偏离条款中，予以详细说明；否则视同包括在供货范围之内。</w:t>
      </w:r>
    </w:p>
    <w:p w14:paraId="71CD352E">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、包括货物维护维修所必需的专用工具。</w:t>
      </w:r>
    </w:p>
    <w:p w14:paraId="1D5A583B">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1DBC7D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包括为保证货物自身正常运行所必需的、满足使用地点环境条件的通风、冷却、降温等必需设施。</w:t>
      </w:r>
    </w:p>
    <w:p w14:paraId="556F828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如投标方难以提供或无优势提供以及属于选用配置的，则应当在投标文件的技术偏离条款中，予以详细说明并注明投标报价未包含该部分的货值。</w:t>
      </w:r>
    </w:p>
    <w:p w14:paraId="418B7E09">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（二）供货范围边界界定</w:t>
      </w:r>
    </w:p>
    <w:p w14:paraId="6CE10991">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、招标方提供货物所需的建筑物（如厂房等）和构筑物（如混凝土池、砼基础等），包含正常安装施工所需的预埋件（如穿管、预埋螺栓、螺母及垫片）。</w:t>
      </w:r>
    </w:p>
    <w:p w14:paraId="52B4FA29">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招标方提供符合本技术标书中“采购货物概况”和“使用环境”章节所列明品质的电力、自来水、压缩空气、蒸汽、天然气（或煤气）管线至系统接口，如：系统电力接口的接线端，水、气、汽等外围管线端联接法兰外端面。</w:t>
      </w:r>
    </w:p>
    <w:p w14:paraId="757C75D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如果投标方认为能源系统接口地点以及操控地点之间的货物数量不清或难以界定，应当以书面方式询标或以单价方式报价；否则视同满足招标方要求。</w:t>
      </w:r>
    </w:p>
    <w:p w14:paraId="1DE9465F">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、对于招标文件中无明确具体要求而投标方认为必须具备的其它货物，投标方必须将该部分货物单独报价（该报价含运杂费及税费等其它费用，而且不再作为其它报价涉及的其它费用的计算基数）。</w:t>
      </w:r>
    </w:p>
    <w:p w14:paraId="7E773F8C">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、以“交钥匙”方式采购的货物，在满足技术标书本节上述要求之外，同时包括货物正常运行、使用所需要的过桥、护栏、防护网、盖板等辅助设施。</w:t>
      </w:r>
    </w:p>
    <w:p w14:paraId="249BDB5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、技术资料供货范围</w:t>
      </w:r>
    </w:p>
    <w:p w14:paraId="32F46E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技术资料供货范围包括：</w:t>
      </w:r>
    </w:p>
    <w:p w14:paraId="5182D05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、在合同签订后</w:t>
      </w:r>
      <w:r>
        <w:rPr>
          <w:rFonts w:ascii="宋体" w:hAnsi="宋体" w:eastAsia="宋体" w:cs="宋体"/>
          <w:sz w:val="24"/>
          <w:szCs w:val="24"/>
          <w:highlight w:val="none"/>
          <w:u w:val="single"/>
          <w:shd w:val="pct10" w:color="auto" w:fill="FFFFFF"/>
        </w:rPr>
        <w:t xml:space="preserve">30 </w:t>
      </w:r>
      <w:r>
        <w:rPr>
          <w:rFonts w:hint="eastAsia" w:ascii="宋体" w:hAnsi="宋体" w:eastAsia="宋体" w:cs="宋体"/>
          <w:sz w:val="24"/>
          <w:szCs w:val="24"/>
          <w:highlight w:val="none"/>
        </w:rPr>
        <w:t>个日历日内，提供货物基础及相关的设计、制作所需的纸质及电子版资料；电子版文件应当能够使用常用版本软件可以阅读甚至使用，进口货物、设备应有中外文对照。</w:t>
      </w:r>
    </w:p>
    <w:p w14:paraId="752961D7">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、在预验收前，提供货物各部分的功能描述文件、图片、影像等资料（进口、设备应有中外文对照）。</w:t>
      </w:r>
    </w:p>
    <w:p w14:paraId="2885AADA">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、在终验收前，提供为保证货物后续正常运行所需的工装、吊（挂）具明细及其图纸、具体技术要求等资料（如果供货范围包含该部分实物）。</w:t>
      </w:r>
    </w:p>
    <w:p w14:paraId="2F0DA3F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、在终验收前，提供确定的维修所需要且招标方可以自行采购的外购件、外协件、电气元件及主要原材料的供货厂家明细表。</w:t>
      </w:r>
    </w:p>
    <w:p w14:paraId="39F1C977">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、在终验收后、终验收后的第一笔货款支付日之前，提供包括货物的备品备件、易损件和专用耗材的图纸及技术参数、技术要求等资料。</w:t>
      </w:r>
    </w:p>
    <w:p w14:paraId="24B1AB67">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在终验收后、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610FD2F5">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7</w:t>
      </w:r>
      <w:r>
        <w:rPr>
          <w:rFonts w:hint="eastAsia" w:ascii="宋体" w:hAnsi="宋体" w:eastAsia="宋体" w:cs="宋体"/>
          <w:sz w:val="24"/>
          <w:szCs w:val="24"/>
          <w:highlight w:val="none"/>
        </w:rPr>
        <w:t>、在终验收后、终验收后的第一笔货款支付日之前，提供关于采购货物的电气资料（包括接线图、原理图、布线图、梯形图等）、液压（气动）原理图和系统图、安装基础图、维修图等有关的资料（含图片和影像等资料）；非标准货物还应当提供设计总图、全线布置图等详细资料；对于进口设备，应有中外文资料说明。</w:t>
      </w:r>
    </w:p>
    <w:p w14:paraId="2121C31C">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8</w:t>
      </w:r>
      <w:r>
        <w:rPr>
          <w:rFonts w:hint="eastAsia" w:ascii="宋体" w:hAnsi="宋体" w:eastAsia="宋体" w:cs="宋体"/>
          <w:sz w:val="24"/>
          <w:szCs w:val="24"/>
          <w:highlight w:val="none"/>
        </w:rPr>
        <w:t>、本条款所列的技术资料、图片、影像等，投标方应各提供</w:t>
      </w:r>
      <w:r>
        <w:rPr>
          <w:rFonts w:ascii="宋体" w:hAnsi="宋体" w:eastAsia="宋体" w:cs="宋体"/>
          <w:sz w:val="24"/>
          <w:szCs w:val="24"/>
          <w:highlight w:val="none"/>
        </w:rPr>
        <w:t>5</w:t>
      </w:r>
      <w:r>
        <w:rPr>
          <w:rFonts w:hint="eastAsia" w:ascii="宋体" w:hAnsi="宋体" w:eastAsia="宋体" w:cs="宋体"/>
          <w:sz w:val="24"/>
          <w:szCs w:val="24"/>
          <w:highlight w:val="none"/>
        </w:rPr>
        <w:t>套，其中</w:t>
      </w:r>
      <w:r>
        <w:rPr>
          <w:rFonts w:ascii="宋体" w:hAnsi="宋体" w:eastAsia="宋体" w:cs="宋体"/>
          <w:sz w:val="24"/>
          <w:szCs w:val="24"/>
          <w:highlight w:val="none"/>
        </w:rPr>
        <w:t>2</w:t>
      </w:r>
      <w:r>
        <w:rPr>
          <w:rFonts w:hint="eastAsia" w:ascii="宋体" w:hAnsi="宋体" w:eastAsia="宋体" w:cs="宋体"/>
          <w:sz w:val="24"/>
          <w:szCs w:val="24"/>
          <w:highlight w:val="none"/>
        </w:rPr>
        <w:t>套为电子版光（软）盘；每份技术文件应装有目录清单。</w:t>
      </w:r>
    </w:p>
    <w:p w14:paraId="667AEEFE">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9</w:t>
      </w:r>
      <w:r>
        <w:rPr>
          <w:rFonts w:hint="eastAsia" w:ascii="宋体" w:hAnsi="宋体" w:eastAsia="宋体" w:cs="宋体"/>
          <w:sz w:val="24"/>
          <w:szCs w:val="24"/>
          <w:highlight w:val="none"/>
        </w:rPr>
        <w:t>、本条款所列要求，如招标方认为投标方提供的资料不能满足要求时，有权要求投标方免费补充或增加。</w:t>
      </w:r>
    </w:p>
    <w:p w14:paraId="013806B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、供货范围特别提示</w:t>
      </w:r>
    </w:p>
    <w:p w14:paraId="77C154A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如果投标方认为本节所列的供货范围难以满足，则仍需要按照本要求提供，但该部分货物应当在投标报价中单独列明货物名称及品质、货值。</w:t>
      </w:r>
    </w:p>
    <w:p w14:paraId="171C3706">
      <w:pPr>
        <w:keepNext/>
        <w:keepLines/>
        <w:spacing w:before="120" w:after="120" w:line="360" w:lineRule="auto"/>
        <w:jc w:val="center"/>
        <w:outlineLvl w:val="1"/>
        <w:rPr>
          <w:rFonts w:ascii="Arial" w:hAnsi="Arial" w:eastAsia="宋体" w:cs="Times New Roman"/>
          <w:sz w:val="24"/>
          <w:szCs w:val="24"/>
          <w:highlight w:val="none"/>
        </w:rPr>
      </w:pPr>
      <w:bookmarkStart w:id="53" w:name="_Toc9658382"/>
      <w:r>
        <w:rPr>
          <w:rFonts w:hint="eastAsia" w:ascii="Arial" w:hAnsi="Arial" w:eastAsia="宋体" w:cs="Times New Roman"/>
          <w:sz w:val="24"/>
          <w:szCs w:val="24"/>
          <w:highlight w:val="none"/>
        </w:rPr>
        <w:t>第二节</w:t>
      </w:r>
      <w:r>
        <w:rPr>
          <w:rFonts w:ascii="Arial" w:hAnsi="Arial" w:eastAsia="宋体" w:cs="Times New Roman"/>
          <w:sz w:val="24"/>
          <w:szCs w:val="24"/>
          <w:highlight w:val="none"/>
        </w:rPr>
        <w:t xml:space="preserve">  </w:t>
      </w:r>
      <w:r>
        <w:rPr>
          <w:rFonts w:hint="eastAsia" w:ascii="Arial" w:hAnsi="Arial" w:eastAsia="宋体" w:cs="Times New Roman"/>
          <w:sz w:val="24"/>
          <w:szCs w:val="24"/>
          <w:highlight w:val="none"/>
        </w:rPr>
        <w:t>供货方式</w:t>
      </w:r>
      <w:bookmarkEnd w:id="53"/>
    </w:p>
    <w:p w14:paraId="7AC7CF5A">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一、供货方式</w:t>
      </w:r>
    </w:p>
    <w:p w14:paraId="5178DC93">
      <w:pPr>
        <w:spacing w:line="360" w:lineRule="auto"/>
        <w:ind w:firstLine="480" w:firstLineChars="200"/>
        <w:rPr>
          <w:rFonts w:hint="eastAsia" w:ascii="宋体" w:hAnsi="宋体" w:eastAsia="宋体" w:cs="宋体"/>
          <w:b/>
          <w:i/>
          <w:sz w:val="24"/>
          <w:szCs w:val="24"/>
          <w:highlight w:val="none"/>
        </w:rPr>
      </w:pPr>
      <w:r>
        <w:rPr>
          <w:rFonts w:hint="eastAsia" w:ascii="宋体" w:hAnsi="宋体" w:eastAsia="宋体" w:cs="宋体"/>
          <w:sz w:val="24"/>
          <w:szCs w:val="24"/>
          <w:highlight w:val="none"/>
        </w:rPr>
        <w:t>完全交钥匙方式，即本次招标货物至少包括以下货物及服务：非标或特需设计，制造，必要的投标方现场预验收，至交货地点的运输（含定点装卸），安装，调试，招标方安装地竣工验收服务，货物移交，约定培训等全流程范围。</w:t>
      </w:r>
    </w:p>
    <w:p w14:paraId="5233CB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二、供货地点：</w:t>
      </w:r>
      <w:r>
        <w:rPr>
          <w:rFonts w:hint="eastAsia" w:ascii="宋体" w:hAnsi="宋体" w:eastAsia="宋体" w:cs="宋体"/>
          <w:sz w:val="24"/>
          <w:szCs w:val="24"/>
          <w:highlight w:val="none"/>
          <w:lang w:val="en-US" w:eastAsia="zh-CN"/>
        </w:rPr>
        <w:t>济南轻卡制造公司</w:t>
      </w:r>
      <w:r>
        <w:rPr>
          <w:rFonts w:hint="eastAsia" w:ascii="宋体" w:hAnsi="宋体" w:eastAsia="宋体" w:cs="宋体"/>
          <w:sz w:val="24"/>
          <w:szCs w:val="24"/>
          <w:highlight w:val="none"/>
        </w:rPr>
        <w:t>。</w:t>
      </w:r>
    </w:p>
    <w:p w14:paraId="4CCD174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三、供货时间</w:t>
      </w:r>
    </w:p>
    <w:p w14:paraId="6E44D96C">
      <w:pPr>
        <w:pStyle w:val="17"/>
        <w:ind w:firstLine="480" w:firstLineChars="200"/>
        <w:rPr>
          <w:rFonts w:hint="eastAsia" w:hAnsi="宋体" w:eastAsia="宋体" w:cs="宋体"/>
          <w:color w:val="FF0000"/>
          <w:sz w:val="24"/>
          <w:szCs w:val="24"/>
          <w:highlight w:val="none"/>
        </w:rPr>
      </w:pPr>
      <w:r>
        <w:rPr>
          <w:rFonts w:hint="eastAsia" w:hAnsi="宋体" w:eastAsia="宋体" w:cs="宋体"/>
          <w:color w:val="FF0000"/>
          <w:sz w:val="24"/>
          <w:szCs w:val="24"/>
          <w:highlight w:val="none"/>
        </w:rPr>
        <w:t>交货期：</w:t>
      </w:r>
    </w:p>
    <w:p w14:paraId="31B95F93">
      <w:pPr>
        <w:pStyle w:val="17"/>
        <w:spacing w:line="360" w:lineRule="auto"/>
        <w:ind w:firstLine="480" w:firstLineChars="200"/>
        <w:rPr>
          <w:rFonts w:hint="eastAsia" w:hAnsi="宋体" w:eastAsia="宋体" w:cs="宋体"/>
          <w:color w:val="FF0000"/>
          <w:sz w:val="24"/>
          <w:szCs w:val="24"/>
          <w:highlight w:val="none"/>
          <w:lang w:eastAsia="zh-CN"/>
        </w:rPr>
      </w:pPr>
      <w:r>
        <w:rPr>
          <w:rFonts w:hint="eastAsia" w:hAnsi="宋体" w:eastAsia="宋体" w:cs="宋体"/>
          <w:color w:val="FF0000"/>
          <w:sz w:val="24"/>
          <w:szCs w:val="24"/>
          <w:highlight w:val="none"/>
        </w:rPr>
        <w:t>1、2</w:t>
      </w:r>
      <w:r>
        <w:rPr>
          <w:rFonts w:hAnsi="宋体" w:eastAsia="宋体" w:cs="宋体"/>
          <w:color w:val="FF0000"/>
          <w:sz w:val="24"/>
          <w:szCs w:val="24"/>
          <w:highlight w:val="none"/>
        </w:rPr>
        <w:t>02</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年</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月</w:t>
      </w:r>
      <w:r>
        <w:rPr>
          <w:rFonts w:hint="eastAsia" w:hAnsi="宋体" w:eastAsia="宋体" w:cs="宋体"/>
          <w:color w:val="FF0000"/>
          <w:sz w:val="24"/>
          <w:szCs w:val="24"/>
          <w:highlight w:val="none"/>
          <w:lang w:val="en-US" w:eastAsia="zh-CN"/>
        </w:rPr>
        <w:t>21</w:t>
      </w:r>
      <w:r>
        <w:rPr>
          <w:rFonts w:hint="eastAsia" w:hAnsi="宋体" w:eastAsia="宋体" w:cs="宋体"/>
          <w:color w:val="FF0000"/>
          <w:sz w:val="24"/>
          <w:szCs w:val="24"/>
          <w:highlight w:val="none"/>
        </w:rPr>
        <w:t>日设备进场</w:t>
      </w:r>
      <w:r>
        <w:rPr>
          <w:rFonts w:hint="eastAsia" w:hAnsi="宋体" w:eastAsia="宋体" w:cs="宋体"/>
          <w:color w:val="FF0000"/>
          <w:sz w:val="24"/>
          <w:szCs w:val="24"/>
          <w:highlight w:val="none"/>
          <w:lang w:eastAsia="zh-CN"/>
        </w:rPr>
        <w:t>；</w:t>
      </w:r>
    </w:p>
    <w:p w14:paraId="368EBDAE">
      <w:pPr>
        <w:pStyle w:val="17"/>
        <w:spacing w:line="360" w:lineRule="auto"/>
        <w:ind w:firstLine="480" w:firstLineChars="200"/>
        <w:rPr>
          <w:rFonts w:hint="eastAsia" w:hAnsi="宋体" w:eastAsia="宋体" w:cs="宋体"/>
          <w:color w:val="FF0000"/>
          <w:sz w:val="24"/>
          <w:szCs w:val="24"/>
          <w:highlight w:val="none"/>
        </w:rPr>
      </w:pPr>
      <w:r>
        <w:rPr>
          <w:rFonts w:hint="eastAsia" w:hAnsi="宋体" w:eastAsia="宋体" w:cs="宋体"/>
          <w:color w:val="FF0000"/>
          <w:sz w:val="24"/>
          <w:szCs w:val="24"/>
          <w:highlight w:val="none"/>
        </w:rPr>
        <w:t>2、</w:t>
      </w:r>
      <w:r>
        <w:rPr>
          <w:rFonts w:hAnsi="宋体" w:eastAsia="宋体" w:cs="宋体"/>
          <w:color w:val="FF0000"/>
          <w:sz w:val="24"/>
          <w:szCs w:val="24"/>
          <w:highlight w:val="none"/>
        </w:rPr>
        <w:t>202</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年</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月</w:t>
      </w:r>
      <w:r>
        <w:rPr>
          <w:rFonts w:hint="eastAsia" w:hAnsi="宋体" w:eastAsia="宋体" w:cs="宋体"/>
          <w:color w:val="FF0000"/>
          <w:sz w:val="24"/>
          <w:szCs w:val="24"/>
          <w:highlight w:val="none"/>
          <w:lang w:val="en-US" w:eastAsia="zh-CN"/>
        </w:rPr>
        <w:t>26</w:t>
      </w:r>
      <w:r>
        <w:rPr>
          <w:rFonts w:hint="eastAsia" w:hAnsi="宋体" w:eastAsia="宋体" w:cs="宋体"/>
          <w:color w:val="FF0000"/>
          <w:sz w:val="24"/>
          <w:szCs w:val="24"/>
          <w:highlight w:val="none"/>
        </w:rPr>
        <w:t>日</w:t>
      </w:r>
      <w:r>
        <w:rPr>
          <w:rFonts w:hint="eastAsia" w:hAnsi="宋体" w:eastAsia="宋体" w:cs="宋体"/>
          <w:color w:val="FF0000"/>
          <w:sz w:val="24"/>
          <w:szCs w:val="24"/>
          <w:highlight w:val="none"/>
          <w:lang w:val="en-US" w:eastAsia="zh-CN"/>
        </w:rPr>
        <w:t>安装调试完成；</w:t>
      </w:r>
    </w:p>
    <w:p w14:paraId="79060270">
      <w:pPr>
        <w:pStyle w:val="17"/>
        <w:spacing w:line="360" w:lineRule="auto"/>
        <w:ind w:firstLine="480" w:firstLineChars="200"/>
        <w:rPr>
          <w:rFonts w:hint="eastAsia" w:hAnsi="宋体" w:eastAsia="宋体" w:cs="宋体"/>
          <w:color w:val="FF0000"/>
          <w:sz w:val="24"/>
          <w:szCs w:val="24"/>
          <w:highlight w:val="none"/>
        </w:rPr>
      </w:pPr>
      <w:r>
        <w:rPr>
          <w:rFonts w:hint="eastAsia" w:hAnsi="宋体" w:eastAsia="宋体" w:cs="宋体"/>
          <w:color w:val="FF0000"/>
          <w:sz w:val="24"/>
          <w:szCs w:val="24"/>
          <w:highlight w:val="none"/>
        </w:rPr>
        <w:t>3、</w:t>
      </w:r>
      <w:r>
        <w:rPr>
          <w:rFonts w:hAnsi="宋体" w:eastAsia="宋体" w:cs="宋体"/>
          <w:color w:val="FF0000"/>
          <w:sz w:val="24"/>
          <w:szCs w:val="24"/>
          <w:highlight w:val="none"/>
        </w:rPr>
        <w:t>202</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年</w:t>
      </w:r>
      <w:r>
        <w:rPr>
          <w:rFonts w:hint="eastAsia" w:hAnsi="宋体" w:eastAsia="宋体" w:cs="宋体"/>
          <w:color w:val="FF0000"/>
          <w:sz w:val="24"/>
          <w:szCs w:val="24"/>
          <w:highlight w:val="none"/>
          <w:lang w:val="en-US" w:eastAsia="zh-CN"/>
        </w:rPr>
        <w:t>6</w:t>
      </w:r>
      <w:r>
        <w:rPr>
          <w:rFonts w:hint="eastAsia" w:hAnsi="宋体" w:eastAsia="宋体" w:cs="宋体"/>
          <w:color w:val="FF0000"/>
          <w:sz w:val="24"/>
          <w:szCs w:val="24"/>
          <w:highlight w:val="none"/>
        </w:rPr>
        <w:t>月</w:t>
      </w:r>
      <w:r>
        <w:rPr>
          <w:rFonts w:hint="eastAsia" w:hAnsi="宋体" w:eastAsia="宋体" w:cs="宋体"/>
          <w:color w:val="FF0000"/>
          <w:sz w:val="24"/>
          <w:szCs w:val="24"/>
          <w:highlight w:val="none"/>
          <w:lang w:val="en-US" w:eastAsia="zh-CN"/>
        </w:rPr>
        <w:t>30</w:t>
      </w:r>
      <w:r>
        <w:rPr>
          <w:rFonts w:hint="eastAsia" w:hAnsi="宋体" w:eastAsia="宋体" w:cs="宋体"/>
          <w:color w:val="FF0000"/>
          <w:sz w:val="24"/>
          <w:szCs w:val="24"/>
          <w:highlight w:val="none"/>
        </w:rPr>
        <w:t>日具备批量生产能力。</w:t>
      </w:r>
    </w:p>
    <w:p w14:paraId="4B07F85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安装调试时间或终验收时间超过规定时间的，投标方应随标书提供详细的工期计划。</w:t>
      </w:r>
    </w:p>
    <w:p w14:paraId="5CAF934F">
      <w:pPr>
        <w:keepNext/>
        <w:keepLines/>
        <w:spacing w:before="120" w:after="120" w:line="360" w:lineRule="auto"/>
        <w:jc w:val="center"/>
        <w:outlineLvl w:val="0"/>
        <w:rPr>
          <w:rFonts w:hint="eastAsia" w:ascii="黑体" w:hAnsi="等线" w:eastAsia="黑体" w:cs="Times New Roman"/>
          <w:kern w:val="44"/>
          <w:sz w:val="28"/>
          <w:szCs w:val="28"/>
          <w:highlight w:val="none"/>
          <w:lang w:val="en-GB"/>
        </w:rPr>
      </w:pPr>
      <w:bookmarkStart w:id="54" w:name="_Toc18023"/>
      <w:bookmarkStart w:id="55" w:name="_Toc24457"/>
      <w:bookmarkStart w:id="56" w:name="_Toc9658383"/>
      <w:bookmarkStart w:id="57" w:name="_Toc25900"/>
      <w:bookmarkStart w:id="58" w:name="_Toc15536"/>
      <w:r>
        <w:rPr>
          <w:rFonts w:hint="eastAsia" w:ascii="黑体" w:hAnsi="等线" w:eastAsia="黑体" w:cs="Times New Roman"/>
          <w:kern w:val="44"/>
          <w:sz w:val="28"/>
          <w:szCs w:val="28"/>
          <w:highlight w:val="none"/>
          <w:lang w:val="en-GB"/>
        </w:rPr>
        <w:t>第四章  质保期及售后服务</w:t>
      </w:r>
      <w:bookmarkEnd w:id="54"/>
      <w:bookmarkEnd w:id="55"/>
      <w:bookmarkEnd w:id="56"/>
      <w:bookmarkEnd w:id="57"/>
      <w:bookmarkEnd w:id="58"/>
    </w:p>
    <w:p w14:paraId="7301790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一、质保期及质保要求</w:t>
      </w:r>
    </w:p>
    <w:p w14:paraId="4F386E04">
      <w:pPr>
        <w:spacing w:line="360" w:lineRule="auto"/>
        <w:ind w:firstLine="480" w:firstLineChars="200"/>
        <w:jc w:val="left"/>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、全部供货范围内的设备、材料、零配件和工器具等，除合同特别约定外，其质保期均自终验收签字生效之日起</w:t>
      </w:r>
      <w:r>
        <w:rPr>
          <w:rFonts w:hint="eastAsia" w:ascii="宋体" w:hAnsi="宋体" w:eastAsia="宋体" w:cs="宋体"/>
          <w:sz w:val="24"/>
          <w:szCs w:val="24"/>
          <w:highlight w:val="none"/>
          <w:u w:val="single"/>
          <w:shd w:val="pct10" w:color="auto" w:fill="FFFFFF"/>
          <w:lang w:val="en-US" w:eastAsia="zh-CN"/>
        </w:rPr>
        <w:t xml:space="preserve"> 壹 </w:t>
      </w:r>
      <w:r>
        <w:rPr>
          <w:rFonts w:hint="eastAsia" w:ascii="宋体" w:hAnsi="宋体" w:eastAsia="宋体" w:cs="宋体"/>
          <w:sz w:val="24"/>
          <w:szCs w:val="24"/>
          <w:highlight w:val="none"/>
        </w:rPr>
        <w:t>年。</w:t>
      </w:r>
    </w:p>
    <w:p w14:paraId="1A47D24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投标货物或涉及的关键总成和零件，如果有更长时间质保期，允许更改并说明，此将有利于投标方。</w:t>
      </w:r>
    </w:p>
    <w:p w14:paraId="5738F68D">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设计使用寿命短于质保期的易损件除外，但属于易损件的，应当有明确说明。</w:t>
      </w:r>
    </w:p>
    <w:p w14:paraId="67ED0C30">
      <w:pPr>
        <w:spacing w:line="360" w:lineRule="auto"/>
        <w:ind w:firstLine="480" w:firstLineChars="200"/>
        <w:jc w:val="left"/>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、质保期之内，如果货物出现设备、总成、关键零部件或者多处一般零部件的二次以上的更换或维修行为，则质保期自更换或维修行为结束、货物重新正常运行使用之日起重新计算。</w:t>
      </w:r>
    </w:p>
    <w:p w14:paraId="3C940CF8">
      <w:pPr>
        <w:spacing w:line="360" w:lineRule="auto"/>
        <w:ind w:firstLine="480" w:firstLineChars="200"/>
        <w:jc w:val="left"/>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、质保期内免费提供零部件和及时有效的服务。质保期内因货物本身缺陷造成的各种故障，投标方应负责免费维修和服务。</w:t>
      </w:r>
    </w:p>
    <w:p w14:paraId="3202B4BB">
      <w:pPr>
        <w:spacing w:line="360" w:lineRule="auto"/>
        <w:ind w:firstLine="480" w:firstLineChars="200"/>
        <w:jc w:val="left"/>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、质保期终止之日起一年内重复出现的质保期之内出现的故障，仍属质保范围而且应当免费。</w:t>
      </w:r>
    </w:p>
    <w:p w14:paraId="69AA7AC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二、技术及培训服务</w:t>
      </w:r>
    </w:p>
    <w:p w14:paraId="14D81E1D">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、应免费提供一定数量的培训资料。</w:t>
      </w:r>
    </w:p>
    <w:p w14:paraId="1B7D50A0">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、应按要求免费积极协助和提供招标方以及招标方所委托的工程设计单位有关人员所需要的、与货物有关的工程设计资料、技术咨询等。</w:t>
      </w:r>
    </w:p>
    <w:p w14:paraId="48C60056">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、若投标方提供货物涉及到外购外协货物、而且该货物的技术质量等较为关键时，投标方应能保证得到配套厂家的技术支持，并免费为招标方提供技术服务。</w:t>
      </w:r>
    </w:p>
    <w:p w14:paraId="4A1A7FC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三、安装调试及验收服务</w:t>
      </w:r>
    </w:p>
    <w:p w14:paraId="20066912">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指导安装调试或负责安装调试以及协助验收，投标方均应在投标文件中明确其收费额或免费约定，否则视同免费；安装调试及验收服务均应按照合同约定或协议、通知及时组织并完成。因投标方原因造成的延期，所发生的费用全部由投标方承担。</w:t>
      </w:r>
    </w:p>
    <w:p w14:paraId="5028170A">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、若投标方提供的货物涉及到外购外协货物、而且该货物的技术质量等较为关键时，应保证能得到供应商的技术支持，并免费为招标方提供安装使用现场的指导与培训。</w:t>
      </w:r>
    </w:p>
    <w:p w14:paraId="3E1ECDF9">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根据货物的要求，调试及验收可分空载和负载两个阶段进行；招标方将积极协助投标方达到货物的各项技术指标和性能要求。投标方在招标方现场进行的货物的安装、调试和试运行，招标方有权参与，投标方应无条件向招标方提供现场记录和试运行数据及报告。</w:t>
      </w:r>
    </w:p>
    <w:p w14:paraId="0C4FB413">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142CA27">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、投标方应当向招标方提供货物试验、验收的有关标准、规范和方法，同时提供货物涉及并使用的软件合法性证明。</w:t>
      </w:r>
    </w:p>
    <w:p w14:paraId="494FF770">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、服务缺陷视同货物缺陷和履约延期。</w:t>
      </w:r>
    </w:p>
    <w:p w14:paraId="314E7B1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四、售后服务</w:t>
      </w:r>
    </w:p>
    <w:p w14:paraId="5E2E4BF1">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、投标方提供的货物涉及的所有售后服务均由投标方负责。如果发生问题并且收到通知，投标方应当在</w:t>
      </w:r>
      <w:r>
        <w:rPr>
          <w:rFonts w:ascii="宋体" w:hAnsi="宋体" w:eastAsia="宋体" w:cs="宋体"/>
          <w:sz w:val="24"/>
          <w:szCs w:val="24"/>
          <w:highlight w:val="none"/>
        </w:rPr>
        <w:t>2</w:t>
      </w:r>
      <w:r>
        <w:rPr>
          <w:rFonts w:hint="eastAsia" w:ascii="宋体" w:hAnsi="宋体" w:eastAsia="宋体" w:cs="宋体"/>
          <w:sz w:val="24"/>
          <w:szCs w:val="24"/>
          <w:highlight w:val="none"/>
        </w:rPr>
        <w:t>小时内予以答复。</w:t>
      </w:r>
    </w:p>
    <w:p w14:paraId="18BD4211">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、如发现所提供的货物存在问题，需要投标方解决或配合解决时：在质保期之内，应在接到通知后</w:t>
      </w:r>
      <w:r>
        <w:rPr>
          <w:rFonts w:ascii="宋体" w:hAnsi="宋体" w:eastAsia="宋体" w:cs="宋体"/>
          <w:sz w:val="24"/>
          <w:szCs w:val="24"/>
          <w:highlight w:val="none"/>
          <w:u w:val="single"/>
          <w:shd w:val="pct10" w:color="auto" w:fill="FFFFFF"/>
        </w:rPr>
        <w:t xml:space="preserve"> 48 </w:t>
      </w:r>
      <w:r>
        <w:rPr>
          <w:rFonts w:hint="eastAsia" w:ascii="宋体" w:hAnsi="宋体" w:eastAsia="宋体" w:cs="宋体"/>
          <w:sz w:val="24"/>
          <w:szCs w:val="24"/>
          <w:highlight w:val="none"/>
        </w:rPr>
        <w:t>小时内派有关人员到达现场；在质保期之外，应在接到通知后</w:t>
      </w:r>
      <w:r>
        <w:rPr>
          <w:rFonts w:ascii="宋体" w:hAnsi="宋体" w:eastAsia="宋体" w:cs="宋体"/>
          <w:sz w:val="24"/>
          <w:szCs w:val="24"/>
          <w:highlight w:val="none"/>
          <w:u w:val="single"/>
          <w:shd w:val="pct10" w:color="auto" w:fill="FFFFFF"/>
        </w:rPr>
        <w:t xml:space="preserve"> 72 </w:t>
      </w:r>
      <w:r>
        <w:rPr>
          <w:rFonts w:hint="eastAsia" w:ascii="宋体" w:hAnsi="宋体" w:eastAsia="宋体" w:cs="宋体"/>
          <w:sz w:val="24"/>
          <w:szCs w:val="24"/>
          <w:highlight w:val="none"/>
        </w:rPr>
        <w:t>小时内派有关人员到达现场。</w:t>
      </w:r>
    </w:p>
    <w:p w14:paraId="1729BAED">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、投标方派往招标方使用现场的人员，应具有较高的业务素质；现场解决问题时，不得无故拖延或推迟，应为招标方提供最佳的服务。</w:t>
      </w:r>
    </w:p>
    <w:p w14:paraId="7B9401E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五、其它服务</w:t>
      </w:r>
    </w:p>
    <w:p w14:paraId="3DE0D358">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、若投标方所提供货物有需要进口的，投标方一般应自行、自费办理；必要时，买卖双方共同办理。</w:t>
      </w:r>
    </w:p>
    <w:p w14:paraId="5F016D82">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、除招标文件、投标文件、答疑文件、技术协议、合同等约定之外，投标方应免费负责必要的或强制性的货物的检验、试验、化验等直接费用。</w:t>
      </w:r>
    </w:p>
    <w:p w14:paraId="54201DBA">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、本章节条款所列“免费”，并非指定不可收费，而是指招标文件、投标文件、答疑文件、技术交流文件、技术协议书和合同等范围之外，投标方不可另行收取的费用。</w:t>
      </w:r>
    </w:p>
    <w:p w14:paraId="17E53145">
      <w:pPr>
        <w:rPr>
          <w:rFonts w:hint="eastAsia" w:ascii="黑体" w:hAnsi="等线" w:eastAsia="黑体" w:cs="Times New Roman"/>
          <w:szCs w:val="24"/>
          <w:highlight w:val="none"/>
        </w:rPr>
      </w:pPr>
      <w:r>
        <w:rPr>
          <w:rFonts w:ascii="黑体" w:hAnsi="等线" w:eastAsia="黑体" w:cs="Times New Roman"/>
          <w:szCs w:val="24"/>
          <w:highlight w:val="none"/>
        </w:rPr>
        <w:br w:type="page"/>
      </w:r>
    </w:p>
    <w:p w14:paraId="1CDE5EB9">
      <w:pPr>
        <w:keepNext/>
        <w:keepLines/>
        <w:spacing w:before="120" w:after="120" w:line="360" w:lineRule="auto"/>
        <w:jc w:val="center"/>
        <w:outlineLvl w:val="0"/>
        <w:rPr>
          <w:rFonts w:hint="eastAsia" w:ascii="黑体" w:hAnsi="等线" w:eastAsia="黑体" w:cs="Times New Roman"/>
          <w:kern w:val="44"/>
          <w:sz w:val="28"/>
          <w:szCs w:val="28"/>
          <w:highlight w:val="none"/>
          <w:lang w:val="en-GB"/>
        </w:rPr>
      </w:pPr>
      <w:bookmarkStart w:id="59" w:name="_Toc4160"/>
      <w:bookmarkStart w:id="60" w:name="_Toc5083"/>
      <w:bookmarkStart w:id="61" w:name="_Toc11471"/>
      <w:bookmarkStart w:id="62" w:name="_Toc9425"/>
      <w:r>
        <w:rPr>
          <w:rFonts w:hint="eastAsia" w:ascii="黑体" w:hAnsi="等线" w:eastAsia="黑体" w:cs="Times New Roman"/>
          <w:kern w:val="44"/>
          <w:sz w:val="28"/>
          <w:szCs w:val="28"/>
          <w:highlight w:val="none"/>
          <w:lang w:val="en-GB"/>
        </w:rPr>
        <w:t>第五章  验收</w:t>
      </w:r>
      <w:bookmarkEnd w:id="59"/>
      <w:bookmarkEnd w:id="60"/>
      <w:bookmarkEnd w:id="61"/>
      <w:bookmarkEnd w:id="62"/>
    </w:p>
    <w:p w14:paraId="68D0DB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一、验收依据和验收标准</w:t>
      </w:r>
    </w:p>
    <w:p w14:paraId="13C9349A">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、验收标准一般以技术协议书和合同规定验收。无论技术协议书和合同，是否全部并准确列明验收所涉及的相关标准，均作为验收标准之一。</w:t>
      </w:r>
    </w:p>
    <w:p w14:paraId="2BD5FE11">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、如果验收过程中，发现招标文件、投标文件、答疑文件、技术交流文件等与技术协议书、合同存在差异，原则上以涉及条款中对招标方最有利条款为验收依据。</w:t>
      </w:r>
    </w:p>
    <w:p w14:paraId="6D380A4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二、检验</w:t>
      </w:r>
    </w:p>
    <w:p w14:paraId="7599076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如果采购货物涉及必要的或必需的检验，投标方应当在投标文件中明确可能涉及的检验费用，并将该费用包含在投标总报价之内；不作针对性澄清或说明的，视同包含在投标总价之内。基本约定如下：</w:t>
      </w:r>
    </w:p>
    <w:p w14:paraId="42806A87">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、国产货物的检验一般由买卖双方共同进行或按照合同要求进行。</w:t>
      </w:r>
    </w:p>
    <w:p w14:paraId="6B2986B6">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、进口货物的检验，投标方需要按照下述要求进行：</w:t>
      </w:r>
    </w:p>
    <w:p w14:paraId="02DECEB3">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2.1</w:t>
      </w:r>
      <w:r>
        <w:rPr>
          <w:rFonts w:hint="eastAsia" w:ascii="宋体" w:hAnsi="宋体" w:eastAsia="宋体" w:cs="宋体"/>
          <w:sz w:val="24"/>
          <w:szCs w:val="24"/>
          <w:highlight w:val="none"/>
        </w:rPr>
        <w:t>进口货物发货前，应对货物的质量、型号、规格、性能和数量</w:t>
      </w:r>
      <w:r>
        <w:rPr>
          <w:rFonts w:ascii="宋体" w:hAnsi="宋体" w:eastAsia="宋体" w:cs="宋体"/>
          <w:sz w:val="24"/>
          <w:szCs w:val="24"/>
          <w:highlight w:val="none"/>
        </w:rPr>
        <w:t>/</w:t>
      </w:r>
      <w:r>
        <w:rPr>
          <w:rFonts w:hint="eastAsia" w:ascii="宋体" w:hAnsi="宋体" w:eastAsia="宋体" w:cs="宋体"/>
          <w:sz w:val="24"/>
          <w:szCs w:val="24"/>
          <w:highlight w:val="none"/>
        </w:rPr>
        <w:t>重量作精密、全面的检验，并出具证明书，证明所供货物符合合同规定。</w:t>
      </w:r>
    </w:p>
    <w:p w14:paraId="36DCD9CF">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2.2</w:t>
      </w:r>
      <w:r>
        <w:rPr>
          <w:rFonts w:hint="eastAsia" w:ascii="宋体" w:hAnsi="宋体" w:eastAsia="宋体" w:cs="宋体"/>
          <w:sz w:val="24"/>
          <w:szCs w:val="24"/>
          <w:highlight w:val="none"/>
        </w:rPr>
        <w:t>应依据合同规定的要求，提供买卖双方达成一致的货物的验收标准和装箱单，作为招标方检验的依据。</w:t>
      </w:r>
    </w:p>
    <w:p w14:paraId="6EAEC0E3">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2.3</w:t>
      </w:r>
      <w:r>
        <w:rPr>
          <w:rFonts w:hint="eastAsia" w:ascii="宋体" w:hAnsi="宋体" w:eastAsia="宋体" w:cs="宋体"/>
          <w:sz w:val="24"/>
          <w:szCs w:val="24"/>
          <w:highlight w:val="none"/>
        </w:rPr>
        <w:t>进口货物到达目的地后，招标方有权申请中国商品检验检疫局进行检验，如发现货物的品质及规格与合同或发票不符，除招标方的责任外，招标方有权在货物到达卸货目的地后</w:t>
      </w:r>
      <w:r>
        <w:rPr>
          <w:rFonts w:ascii="宋体" w:hAnsi="宋体" w:eastAsia="宋体" w:cs="宋体"/>
          <w:sz w:val="24"/>
          <w:szCs w:val="24"/>
          <w:highlight w:val="none"/>
        </w:rPr>
        <w:t>180</w:t>
      </w:r>
      <w:r>
        <w:rPr>
          <w:rFonts w:hint="eastAsia" w:ascii="宋体" w:hAnsi="宋体" w:eastAsia="宋体" w:cs="宋体"/>
          <w:sz w:val="24"/>
          <w:szCs w:val="24"/>
          <w:highlight w:val="none"/>
        </w:rPr>
        <w:t>个日历日内，根据中国商品检验检疫局出具的证明书向投标方提出索赔，因索赔所发生的一切费用</w:t>
      </w:r>
      <w:r>
        <w:rPr>
          <w:rFonts w:ascii="宋体" w:hAnsi="宋体" w:eastAsia="宋体" w:cs="宋体"/>
          <w:sz w:val="24"/>
          <w:szCs w:val="24"/>
          <w:highlight w:val="none"/>
        </w:rPr>
        <w:t>(</w:t>
      </w:r>
      <w:r>
        <w:rPr>
          <w:rFonts w:hint="eastAsia" w:ascii="宋体" w:hAnsi="宋体" w:eastAsia="宋体" w:cs="宋体"/>
          <w:sz w:val="24"/>
          <w:szCs w:val="24"/>
          <w:highlight w:val="none"/>
        </w:rPr>
        <w:t>包括检验检疫费等</w:t>
      </w:r>
      <w:r>
        <w:rPr>
          <w:rFonts w:ascii="宋体" w:hAnsi="宋体" w:eastAsia="宋体" w:cs="宋体"/>
          <w:sz w:val="24"/>
          <w:szCs w:val="24"/>
          <w:highlight w:val="none"/>
        </w:rPr>
        <w:t>)</w:t>
      </w:r>
      <w:r>
        <w:rPr>
          <w:rFonts w:hint="eastAsia" w:ascii="宋体" w:hAnsi="宋体" w:eastAsia="宋体" w:cs="宋体"/>
          <w:sz w:val="24"/>
          <w:szCs w:val="24"/>
          <w:highlight w:val="none"/>
        </w:rPr>
        <w:t>均由投标方承担。</w:t>
      </w:r>
    </w:p>
    <w:p w14:paraId="4AB8518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三、验收条件</w:t>
      </w:r>
    </w:p>
    <w:p w14:paraId="29240CF3">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验收一般分预验收和终验收两部分。终验收在安装调试完成及试运行后的买方现场进行。但是所有的项目，包括不能预验收的项目和预验收通过的项目都在终验收时重新检验，最终只以终验收为准。</w:t>
      </w:r>
    </w:p>
    <w:p w14:paraId="12518C7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买卖双方按照合同约定执行了合同，同时货物完成了试运行并经检验合格，则具备验收条件。</w:t>
      </w:r>
    </w:p>
    <w:p w14:paraId="0D7C7DD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1.终验收</w:t>
      </w:r>
    </w:p>
    <w:p w14:paraId="4D7B49F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.1终验收一般条件</w:t>
      </w:r>
    </w:p>
    <w:p w14:paraId="17FE33E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ascii="宋体" w:hAnsi="宋体" w:eastAsia="宋体" w:cs="宋体"/>
          <w:sz w:val="24"/>
          <w:szCs w:val="24"/>
          <w:highlight w:val="none"/>
        </w:rPr>
        <w:t>1.1</w:t>
      </w:r>
      <w:r>
        <w:rPr>
          <w:rFonts w:hint="eastAsia" w:ascii="宋体" w:hAnsi="宋体" w:eastAsia="宋体" w:cs="宋体"/>
          <w:sz w:val="24"/>
          <w:szCs w:val="24"/>
          <w:highlight w:val="none"/>
        </w:rPr>
        <w:t>投标方已经按照“供货范围”要求提供了</w:t>
      </w:r>
      <w:r>
        <w:rPr>
          <w:rFonts w:hint="eastAsia" w:ascii="宋体" w:hAnsi="宋体" w:eastAsia="宋体" w:cs="宋体"/>
          <w:sz w:val="24"/>
          <w:szCs w:val="24"/>
          <w:highlight w:val="none"/>
          <w:lang w:val="en-US" w:eastAsia="zh-CN"/>
        </w:rPr>
        <w:t>全部</w:t>
      </w:r>
      <w:r>
        <w:rPr>
          <w:rFonts w:hint="eastAsia" w:ascii="宋体" w:hAnsi="宋体" w:eastAsia="宋体" w:cs="宋体"/>
          <w:sz w:val="24"/>
          <w:szCs w:val="24"/>
          <w:highlight w:val="none"/>
        </w:rPr>
        <w:t>验收资料，并且资料齐全、完整和有效。</w:t>
      </w:r>
    </w:p>
    <w:p w14:paraId="215F56B1">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1.2</w:t>
      </w:r>
      <w:r>
        <w:rPr>
          <w:rFonts w:hint="eastAsia" w:ascii="宋体" w:hAnsi="宋体" w:eastAsia="宋体" w:cs="宋体"/>
          <w:sz w:val="24"/>
          <w:szCs w:val="24"/>
          <w:highlight w:val="none"/>
        </w:rPr>
        <w:t>货物调试完毕，并至少经过了验收要求的负荷试运行；投标方提出验收要求后，在连续1个月的生产周期内，设备故障率(因设备故障造成停线时间/总运行时间)在5%以下。</w:t>
      </w:r>
    </w:p>
    <w:p w14:paraId="6D66125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货物的安全要求符合中国最新的相关法律、法规、标准和规范以及合同要求。</w:t>
      </w:r>
    </w:p>
    <w:p w14:paraId="6AF2FA9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中标方提出终验收前1个月，需向招标方提供的技术文件资料：</w:t>
      </w:r>
    </w:p>
    <w:p w14:paraId="713D6A4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1）所有技术文件资料均为纸质文件3套和电子版文件（含3D和2D）3套（U盘），其中所有电子版文件必须使用国际通用软件以确保能在招标方的计算机中打开并进行编辑和修改。</w:t>
      </w:r>
    </w:p>
    <w:p w14:paraId="005C106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调试程序备份</w:t>
      </w:r>
      <w:r>
        <w:rPr>
          <w:rFonts w:hint="eastAsia" w:ascii="宋体" w:hAnsi="宋体" w:eastAsia="宋体" w:cs="宋体"/>
          <w:sz w:val="24"/>
          <w:szCs w:val="24"/>
          <w:highlight w:val="none"/>
        </w:rPr>
        <w:t>。</w:t>
      </w:r>
    </w:p>
    <w:p w14:paraId="57A4902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2.2终验收标准</w:t>
      </w:r>
    </w:p>
    <w:p w14:paraId="1C227B4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2.2.1投标方派专家到招标方现场进行安装调试和技术指导。所有设备由投标方负责安装、调试完成后，双方在生产地点进行最终验收。</w:t>
      </w:r>
    </w:p>
    <w:p w14:paraId="7CB326B1">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2.2.2设备需连续空运转8小时没有任何故障，其中每间隔4小时允许有30分钟的暂停时间用以设备的检查。在空运转中，所有电器、液压系统需符合有关产品标准。超出以上规定时间，则重新开始计算。</w:t>
      </w:r>
    </w:p>
    <w:p w14:paraId="14391A6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在连续的生产周期内，设备故障率(因设备故障造成停线时间/总运行时间)在</w:t>
      </w:r>
      <w:r>
        <w:rPr>
          <w:rFonts w:ascii="宋体" w:hAnsi="宋体" w:eastAsia="宋体" w:cs="宋体"/>
          <w:sz w:val="24"/>
          <w:szCs w:val="24"/>
          <w:highlight w:val="none"/>
        </w:rPr>
        <w:t>5</w:t>
      </w:r>
      <w:r>
        <w:rPr>
          <w:rFonts w:hint="eastAsia" w:ascii="宋体" w:hAnsi="宋体" w:eastAsia="宋体" w:cs="宋体"/>
          <w:sz w:val="24"/>
          <w:szCs w:val="24"/>
          <w:highlight w:val="none"/>
        </w:rPr>
        <w:t>%以下。在此期间保证现有线体生产的新车型至少有10辆份的测量数据且测量数据均满足尺寸精度要求。驾驶室总数量累计不得低于</w:t>
      </w:r>
      <w:r>
        <w:rPr>
          <w:rFonts w:ascii="宋体" w:hAnsi="宋体" w:eastAsia="宋体" w:cs="宋体"/>
          <w:sz w:val="24"/>
          <w:szCs w:val="24"/>
          <w:highlight w:val="none"/>
        </w:rPr>
        <w:t>20</w:t>
      </w:r>
      <w:r>
        <w:rPr>
          <w:rFonts w:hint="eastAsia" w:ascii="宋体" w:hAnsi="宋体" w:eastAsia="宋体" w:cs="宋体"/>
          <w:sz w:val="24"/>
          <w:szCs w:val="24"/>
          <w:highlight w:val="none"/>
        </w:rPr>
        <w:t>辆份并经过总装装配验证，装配无问题后视为达到申请验收标准。</w:t>
      </w:r>
    </w:p>
    <w:p w14:paraId="1054A1A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2.2.3所有技术文件资料均为电子版文件（含3D和2D）3套（U盘）3套，纸质版文件3份，其中所有电子版文件必须使用国际通用软件以确保能在招标方的计算机中打开并进行编辑和修改。</w:t>
      </w:r>
    </w:p>
    <w:p w14:paraId="4831FC09">
      <w:pPr>
        <w:topLinePunct/>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控制系统运行稳定可靠，能够实现前述远程控制、状态监测、故障报警等功能。</w:t>
      </w:r>
    </w:p>
    <w:p w14:paraId="5661B225">
      <w:pPr>
        <w:topLinePunct/>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试运行期间或之后无维修、调整等行为（特殊情况除外）。</w:t>
      </w:r>
    </w:p>
    <w:p w14:paraId="42E35C4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验收原则上要求一次完成。若一次验收不成功，最多允许两次；如果出现第三次验收失败，重新作价或退货。</w:t>
      </w:r>
    </w:p>
    <w:p w14:paraId="7E73E6C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ascii="宋体" w:hAnsi="宋体" w:eastAsia="宋体" w:cs="宋体"/>
          <w:sz w:val="24"/>
          <w:szCs w:val="24"/>
          <w:highlight w:val="none"/>
        </w:rPr>
        <w:t>2.</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验收通过后买卖双方共同签署验收报告，并移交、核对全部供货范围内物品。</w:t>
      </w:r>
    </w:p>
    <w:p w14:paraId="05E79F09">
      <w:pPr>
        <w:topLinePunct/>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3.技术培训</w:t>
      </w:r>
    </w:p>
    <w:p w14:paraId="0CE19E2B">
      <w:pPr>
        <w:topLinePunct/>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3.1在预验收和终验收期间，投标方应派有经验的专家对招标方相关人员进行理论和实际操作的培训，并提供成套培训资料，所有培训应是免费的。</w:t>
      </w:r>
    </w:p>
    <w:p w14:paraId="1D61D75F">
      <w:pPr>
        <w:rPr>
          <w:rFonts w:hint="eastAsia" w:ascii="黑体" w:hAnsi="等线" w:eastAsia="黑体" w:cs="Times New Roman"/>
          <w:sz w:val="24"/>
          <w:szCs w:val="24"/>
          <w:highlight w:val="none"/>
        </w:rPr>
      </w:pPr>
      <w:bookmarkStart w:id="63" w:name="_Toc9658384"/>
      <w:r>
        <w:rPr>
          <w:rFonts w:ascii="黑体" w:hAnsi="等线" w:eastAsia="黑体" w:cs="Times New Roman"/>
          <w:sz w:val="24"/>
          <w:szCs w:val="24"/>
          <w:highlight w:val="none"/>
        </w:rPr>
        <w:br w:type="page"/>
      </w:r>
    </w:p>
    <w:p w14:paraId="581BC132">
      <w:pPr>
        <w:keepNext/>
        <w:keepLines/>
        <w:spacing w:before="120" w:after="120" w:line="360" w:lineRule="auto"/>
        <w:jc w:val="center"/>
        <w:outlineLvl w:val="0"/>
        <w:rPr>
          <w:rFonts w:hint="eastAsia" w:ascii="黑体" w:hAnsi="等线" w:eastAsia="黑体" w:cs="Times New Roman"/>
          <w:kern w:val="44"/>
          <w:sz w:val="28"/>
          <w:szCs w:val="28"/>
          <w:highlight w:val="none"/>
          <w:lang w:val="en-GB"/>
        </w:rPr>
      </w:pPr>
      <w:bookmarkStart w:id="64" w:name="_Toc4480"/>
      <w:bookmarkStart w:id="65" w:name="_Toc10390"/>
      <w:bookmarkStart w:id="66" w:name="_Toc6604"/>
      <w:bookmarkStart w:id="67" w:name="_Toc18814"/>
      <w:r>
        <w:rPr>
          <w:rFonts w:hint="eastAsia" w:ascii="黑体" w:hAnsi="等线" w:eastAsia="黑体" w:cs="Times New Roman"/>
          <w:kern w:val="44"/>
          <w:sz w:val="28"/>
          <w:szCs w:val="28"/>
          <w:highlight w:val="none"/>
          <w:lang w:val="en-GB"/>
        </w:rPr>
        <w:t>第六章  投标技术文件一般要求</w:t>
      </w:r>
      <w:bookmarkEnd w:id="63"/>
      <w:bookmarkEnd w:id="64"/>
      <w:bookmarkEnd w:id="65"/>
      <w:bookmarkEnd w:id="66"/>
      <w:bookmarkEnd w:id="67"/>
    </w:p>
    <w:p w14:paraId="01E2D3D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一、技术文件一般内容要求</w:t>
      </w:r>
    </w:p>
    <w:p w14:paraId="1D586D62">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、投标方应认真阅读招标文件和本技术标书，并按要求编写投标技术文件。</w:t>
      </w:r>
    </w:p>
    <w:p w14:paraId="2045026D">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、投标技术文件至少应对投标货物的功能用途、技术性能、质量标准、技术参数等作出详细说明。</w:t>
      </w:r>
    </w:p>
    <w:p w14:paraId="4CEE7489">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、投标技术文件至少应根据投标货物的关键设备、总成、零部件或系统作出满足或优于招标文件要求的详细说明。</w:t>
      </w:r>
    </w:p>
    <w:p w14:paraId="0ED45A66">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、投标技术文件至少应按照招标文件要求（或投标方建议）列明备品备件、易损件和专用耗材明细。</w:t>
      </w:r>
    </w:p>
    <w:p w14:paraId="744348D9">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、投标方应当而且必须分别说明所列备品备件、易损件和专用耗材的使用寿命（以有效工作小时数说明）。</w:t>
      </w:r>
    </w:p>
    <w:p w14:paraId="17D3E45E">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、投标的货物，应当根据其配置和备品备件、易损件、专用耗材情况，尽可能详细且分类填入下表：</w:t>
      </w:r>
    </w:p>
    <w:p w14:paraId="6628D9C3">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6.1  </w:t>
      </w:r>
      <w:r>
        <w:rPr>
          <w:rFonts w:hint="eastAsia" w:ascii="宋体" w:hAnsi="宋体" w:eastAsia="宋体" w:cs="宋体"/>
          <w:sz w:val="24"/>
          <w:szCs w:val="24"/>
          <w:highlight w:val="none"/>
        </w:rPr>
        <w:t>投标货物配置一览表：</w:t>
      </w:r>
    </w:p>
    <w:p w14:paraId="432BAA14">
      <w:pPr>
        <w:adjustRightInd w:val="0"/>
        <w:snapToGrid w:val="0"/>
        <w:spacing w:line="360" w:lineRule="auto"/>
        <w:ind w:firstLine="2160" w:firstLineChars="900"/>
        <w:rPr>
          <w:rFonts w:hint="eastAsia" w:ascii="宋体" w:hAnsi="宋体" w:eastAsia="宋体" w:cs="宋体"/>
          <w:sz w:val="24"/>
          <w:szCs w:val="24"/>
          <w:highlight w:val="none"/>
        </w:rPr>
      </w:pPr>
      <w:r>
        <w:rPr>
          <w:rFonts w:hint="eastAsia" w:ascii="宋体" w:hAnsi="宋体" w:eastAsia="宋体" w:cs="宋体"/>
          <w:sz w:val="24"/>
          <w:szCs w:val="24"/>
          <w:highlight w:val="none"/>
        </w:rPr>
        <w:t>投标货物配置一览表</w:t>
      </w:r>
      <w:r>
        <w:rPr>
          <w:rFonts w:ascii="宋体" w:hAnsi="宋体" w:eastAsia="宋体" w:cs="宋体"/>
          <w:sz w:val="24"/>
          <w:szCs w:val="24"/>
          <w:highlight w:val="none"/>
        </w:rPr>
        <w:t xml:space="preserve">          </w:t>
      </w:r>
      <w:r>
        <w:rPr>
          <w:rFonts w:hint="eastAsia" w:ascii="宋体" w:hAnsi="宋体" w:eastAsia="宋体" w:cs="宋体"/>
          <w:sz w:val="24"/>
          <w:szCs w:val="24"/>
          <w:highlight w:val="none"/>
        </w:rPr>
        <w:t>单位：元</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5933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0FEE2B9B">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24" w:type="dxa"/>
          </w:tcPr>
          <w:p w14:paraId="5DFAF364">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236" w:type="dxa"/>
          </w:tcPr>
          <w:p w14:paraId="59C68E6D">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720" w:type="dxa"/>
          </w:tcPr>
          <w:p w14:paraId="0173CFE4">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20" w:type="dxa"/>
          </w:tcPr>
          <w:p w14:paraId="05D7E88B">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720" w:type="dxa"/>
          </w:tcPr>
          <w:p w14:paraId="1555ED49">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720" w:type="dxa"/>
          </w:tcPr>
          <w:p w14:paraId="79A018EA">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2235" w:type="dxa"/>
          </w:tcPr>
          <w:p w14:paraId="4DC2A99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w:t>
            </w:r>
          </w:p>
        </w:tc>
      </w:tr>
      <w:tr w14:paraId="052E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4B0FDD4A">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5D8E4D34">
            <w:pPr>
              <w:adjustRightInd w:val="0"/>
              <w:snapToGrid w:val="0"/>
              <w:spacing w:line="360" w:lineRule="auto"/>
              <w:rPr>
                <w:rFonts w:hint="eastAsia" w:ascii="宋体" w:hAnsi="宋体" w:eastAsia="宋体" w:cs="宋体"/>
                <w:sz w:val="24"/>
                <w:szCs w:val="24"/>
                <w:highlight w:val="none"/>
              </w:rPr>
            </w:pPr>
          </w:p>
        </w:tc>
        <w:tc>
          <w:tcPr>
            <w:tcW w:w="1236" w:type="dxa"/>
          </w:tcPr>
          <w:p w14:paraId="096840FB">
            <w:pPr>
              <w:adjustRightInd w:val="0"/>
              <w:snapToGrid w:val="0"/>
              <w:spacing w:line="360" w:lineRule="auto"/>
              <w:rPr>
                <w:rFonts w:hint="eastAsia" w:ascii="宋体" w:hAnsi="宋体" w:eastAsia="宋体" w:cs="宋体"/>
                <w:sz w:val="24"/>
                <w:szCs w:val="24"/>
                <w:highlight w:val="none"/>
              </w:rPr>
            </w:pPr>
          </w:p>
        </w:tc>
        <w:tc>
          <w:tcPr>
            <w:tcW w:w="720" w:type="dxa"/>
          </w:tcPr>
          <w:p w14:paraId="5C8E6461">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35768F27">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336AB218">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4DFB844E">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2D4A2BB5">
            <w:pPr>
              <w:adjustRightInd w:val="0"/>
              <w:snapToGrid w:val="0"/>
              <w:spacing w:line="360" w:lineRule="auto"/>
              <w:rPr>
                <w:rFonts w:hint="eastAsia" w:ascii="宋体" w:hAnsi="宋体" w:eastAsia="宋体" w:cs="宋体"/>
                <w:sz w:val="24"/>
                <w:szCs w:val="24"/>
                <w:highlight w:val="none"/>
              </w:rPr>
            </w:pPr>
          </w:p>
        </w:tc>
      </w:tr>
      <w:tr w14:paraId="4117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64E7F030">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5C04B0B4">
            <w:pPr>
              <w:adjustRightInd w:val="0"/>
              <w:snapToGrid w:val="0"/>
              <w:spacing w:line="360" w:lineRule="auto"/>
              <w:rPr>
                <w:rFonts w:hint="eastAsia" w:ascii="宋体" w:hAnsi="宋体" w:eastAsia="宋体" w:cs="宋体"/>
                <w:sz w:val="24"/>
                <w:szCs w:val="24"/>
                <w:highlight w:val="none"/>
              </w:rPr>
            </w:pPr>
          </w:p>
        </w:tc>
        <w:tc>
          <w:tcPr>
            <w:tcW w:w="1236" w:type="dxa"/>
          </w:tcPr>
          <w:p w14:paraId="2CD0B17B">
            <w:pPr>
              <w:adjustRightInd w:val="0"/>
              <w:snapToGrid w:val="0"/>
              <w:spacing w:line="360" w:lineRule="auto"/>
              <w:rPr>
                <w:rFonts w:hint="eastAsia" w:ascii="宋体" w:hAnsi="宋体" w:eastAsia="宋体" w:cs="宋体"/>
                <w:sz w:val="24"/>
                <w:szCs w:val="24"/>
                <w:highlight w:val="none"/>
              </w:rPr>
            </w:pPr>
          </w:p>
        </w:tc>
        <w:tc>
          <w:tcPr>
            <w:tcW w:w="720" w:type="dxa"/>
          </w:tcPr>
          <w:p w14:paraId="019F9D78">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6FC9B974">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4C375951">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0DD1E4A2">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4B8F931">
            <w:pPr>
              <w:adjustRightInd w:val="0"/>
              <w:snapToGrid w:val="0"/>
              <w:spacing w:line="360" w:lineRule="auto"/>
              <w:rPr>
                <w:rFonts w:hint="eastAsia" w:ascii="宋体" w:hAnsi="宋体" w:eastAsia="宋体" w:cs="宋体"/>
                <w:sz w:val="24"/>
                <w:szCs w:val="24"/>
                <w:highlight w:val="none"/>
              </w:rPr>
            </w:pPr>
          </w:p>
        </w:tc>
      </w:tr>
      <w:tr w14:paraId="1417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1748E20B">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5E125A4D">
            <w:pPr>
              <w:adjustRightInd w:val="0"/>
              <w:snapToGrid w:val="0"/>
              <w:spacing w:line="360" w:lineRule="auto"/>
              <w:rPr>
                <w:rFonts w:hint="eastAsia" w:ascii="宋体" w:hAnsi="宋体" w:eastAsia="宋体" w:cs="宋体"/>
                <w:sz w:val="24"/>
                <w:szCs w:val="24"/>
                <w:highlight w:val="none"/>
              </w:rPr>
            </w:pPr>
          </w:p>
        </w:tc>
        <w:tc>
          <w:tcPr>
            <w:tcW w:w="1236" w:type="dxa"/>
          </w:tcPr>
          <w:p w14:paraId="3BA5B203">
            <w:pPr>
              <w:adjustRightInd w:val="0"/>
              <w:snapToGrid w:val="0"/>
              <w:spacing w:line="360" w:lineRule="auto"/>
              <w:rPr>
                <w:rFonts w:hint="eastAsia" w:ascii="宋体" w:hAnsi="宋体" w:eastAsia="宋体" w:cs="宋体"/>
                <w:sz w:val="24"/>
                <w:szCs w:val="24"/>
                <w:highlight w:val="none"/>
              </w:rPr>
            </w:pPr>
          </w:p>
        </w:tc>
        <w:tc>
          <w:tcPr>
            <w:tcW w:w="720" w:type="dxa"/>
          </w:tcPr>
          <w:p w14:paraId="71EB9B68">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64368DDA">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5FDA1F1C">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6A9D5CC6">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9F3B978">
            <w:pPr>
              <w:adjustRightInd w:val="0"/>
              <w:snapToGrid w:val="0"/>
              <w:spacing w:line="360" w:lineRule="auto"/>
              <w:rPr>
                <w:rFonts w:hint="eastAsia" w:ascii="宋体" w:hAnsi="宋体" w:eastAsia="宋体" w:cs="宋体"/>
                <w:sz w:val="24"/>
                <w:szCs w:val="24"/>
                <w:highlight w:val="none"/>
              </w:rPr>
            </w:pPr>
          </w:p>
        </w:tc>
      </w:tr>
      <w:tr w14:paraId="6127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5142F657">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247CE5FB">
            <w:pPr>
              <w:adjustRightInd w:val="0"/>
              <w:snapToGrid w:val="0"/>
              <w:spacing w:line="360" w:lineRule="auto"/>
              <w:rPr>
                <w:rFonts w:hint="eastAsia" w:ascii="宋体" w:hAnsi="宋体" w:eastAsia="宋体" w:cs="宋体"/>
                <w:sz w:val="24"/>
                <w:szCs w:val="24"/>
                <w:highlight w:val="none"/>
              </w:rPr>
            </w:pPr>
          </w:p>
        </w:tc>
        <w:tc>
          <w:tcPr>
            <w:tcW w:w="1236" w:type="dxa"/>
          </w:tcPr>
          <w:p w14:paraId="727A1887">
            <w:pPr>
              <w:adjustRightInd w:val="0"/>
              <w:snapToGrid w:val="0"/>
              <w:spacing w:line="360" w:lineRule="auto"/>
              <w:rPr>
                <w:rFonts w:hint="eastAsia" w:ascii="宋体" w:hAnsi="宋体" w:eastAsia="宋体" w:cs="宋体"/>
                <w:sz w:val="24"/>
                <w:szCs w:val="24"/>
                <w:highlight w:val="none"/>
              </w:rPr>
            </w:pPr>
          </w:p>
        </w:tc>
        <w:tc>
          <w:tcPr>
            <w:tcW w:w="720" w:type="dxa"/>
          </w:tcPr>
          <w:p w14:paraId="345ACD67">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70DD7B60">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197CC555">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11D556BF">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2F1881A5">
            <w:pPr>
              <w:adjustRightInd w:val="0"/>
              <w:snapToGrid w:val="0"/>
              <w:spacing w:line="360" w:lineRule="auto"/>
              <w:rPr>
                <w:rFonts w:hint="eastAsia" w:ascii="宋体" w:hAnsi="宋体" w:eastAsia="宋体" w:cs="宋体"/>
                <w:sz w:val="24"/>
                <w:szCs w:val="24"/>
                <w:highlight w:val="none"/>
              </w:rPr>
            </w:pPr>
          </w:p>
        </w:tc>
      </w:tr>
    </w:tbl>
    <w:p w14:paraId="410C4FAF">
      <w:pPr>
        <w:adjustRightInd w:val="0"/>
        <w:snapToGrid w:val="0"/>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6.2  </w:t>
      </w:r>
      <w:r>
        <w:rPr>
          <w:rFonts w:hint="eastAsia" w:ascii="宋体" w:hAnsi="宋体" w:eastAsia="宋体" w:cs="宋体"/>
          <w:sz w:val="24"/>
          <w:szCs w:val="24"/>
          <w:highlight w:val="none"/>
        </w:rPr>
        <w:t>备品备件、易损件和专用耗材明细表：</w:t>
      </w:r>
    </w:p>
    <w:p w14:paraId="5A258E1D">
      <w:pPr>
        <w:adjustRightInd w:val="0"/>
        <w:snapToGrid w:val="0"/>
        <w:spacing w:line="360" w:lineRule="auto"/>
        <w:ind w:firstLine="2160" w:firstLineChars="900"/>
        <w:rPr>
          <w:rFonts w:hint="eastAsia" w:ascii="宋体" w:hAnsi="宋体" w:eastAsia="宋体" w:cs="宋体"/>
          <w:sz w:val="24"/>
          <w:szCs w:val="24"/>
          <w:highlight w:val="none"/>
        </w:rPr>
      </w:pPr>
      <w:r>
        <w:rPr>
          <w:rFonts w:hint="eastAsia" w:ascii="宋体" w:hAnsi="宋体" w:eastAsia="宋体" w:cs="宋体"/>
          <w:sz w:val="24"/>
          <w:szCs w:val="24"/>
          <w:highlight w:val="none"/>
        </w:rPr>
        <w:t>备品备件、易损件和专用耗材明细表</w:t>
      </w:r>
      <w:r>
        <w:rPr>
          <w:rFonts w:ascii="宋体" w:hAnsi="宋体" w:eastAsia="宋体" w:cs="宋体"/>
          <w:sz w:val="24"/>
          <w:szCs w:val="24"/>
          <w:highlight w:val="none"/>
        </w:rPr>
        <w:t xml:space="preserve">             </w:t>
      </w:r>
      <w:r>
        <w:rPr>
          <w:rFonts w:hint="eastAsia" w:ascii="宋体" w:hAnsi="宋体" w:eastAsia="宋体" w:cs="宋体"/>
          <w:sz w:val="24"/>
          <w:szCs w:val="24"/>
          <w:highlight w:val="none"/>
        </w:rPr>
        <w:t>单位：元</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2C62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0A46FDE6">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24" w:type="dxa"/>
          </w:tcPr>
          <w:p w14:paraId="2673F371">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236" w:type="dxa"/>
          </w:tcPr>
          <w:p w14:paraId="73A78652">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720" w:type="dxa"/>
          </w:tcPr>
          <w:p w14:paraId="0EEBA563">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20" w:type="dxa"/>
          </w:tcPr>
          <w:p w14:paraId="091AFE71">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720" w:type="dxa"/>
          </w:tcPr>
          <w:p w14:paraId="2BE653F1">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720" w:type="dxa"/>
          </w:tcPr>
          <w:p w14:paraId="682D2153">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2235" w:type="dxa"/>
          </w:tcPr>
          <w:p w14:paraId="384EB7A4">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w:t>
            </w:r>
          </w:p>
        </w:tc>
      </w:tr>
      <w:tr w14:paraId="3B79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49A84C28">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618B84FE">
            <w:pPr>
              <w:adjustRightInd w:val="0"/>
              <w:snapToGrid w:val="0"/>
              <w:spacing w:line="360" w:lineRule="auto"/>
              <w:rPr>
                <w:rFonts w:hint="eastAsia" w:ascii="宋体" w:hAnsi="宋体" w:eastAsia="宋体" w:cs="宋体"/>
                <w:sz w:val="24"/>
                <w:szCs w:val="24"/>
                <w:highlight w:val="none"/>
              </w:rPr>
            </w:pPr>
          </w:p>
        </w:tc>
        <w:tc>
          <w:tcPr>
            <w:tcW w:w="1236" w:type="dxa"/>
          </w:tcPr>
          <w:p w14:paraId="3BB7A8FE">
            <w:pPr>
              <w:adjustRightInd w:val="0"/>
              <w:snapToGrid w:val="0"/>
              <w:spacing w:line="360" w:lineRule="auto"/>
              <w:rPr>
                <w:rFonts w:hint="eastAsia" w:ascii="宋体" w:hAnsi="宋体" w:eastAsia="宋体" w:cs="宋体"/>
                <w:sz w:val="24"/>
                <w:szCs w:val="24"/>
                <w:highlight w:val="none"/>
              </w:rPr>
            </w:pPr>
          </w:p>
        </w:tc>
        <w:tc>
          <w:tcPr>
            <w:tcW w:w="720" w:type="dxa"/>
          </w:tcPr>
          <w:p w14:paraId="3C2A7E40">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00624634">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6917BCD6">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0490EA7F">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F455E8D">
            <w:pPr>
              <w:adjustRightInd w:val="0"/>
              <w:snapToGrid w:val="0"/>
              <w:spacing w:line="360" w:lineRule="auto"/>
              <w:rPr>
                <w:rFonts w:hint="eastAsia" w:ascii="宋体" w:hAnsi="宋体" w:eastAsia="宋体" w:cs="宋体"/>
                <w:sz w:val="24"/>
                <w:szCs w:val="24"/>
                <w:highlight w:val="none"/>
              </w:rPr>
            </w:pPr>
          </w:p>
        </w:tc>
      </w:tr>
      <w:tr w14:paraId="2070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053C8822">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2CD0CE74">
            <w:pPr>
              <w:adjustRightInd w:val="0"/>
              <w:snapToGrid w:val="0"/>
              <w:spacing w:line="360" w:lineRule="auto"/>
              <w:rPr>
                <w:rFonts w:hint="eastAsia" w:ascii="宋体" w:hAnsi="宋体" w:eastAsia="宋体" w:cs="宋体"/>
                <w:sz w:val="24"/>
                <w:szCs w:val="24"/>
                <w:highlight w:val="none"/>
              </w:rPr>
            </w:pPr>
          </w:p>
        </w:tc>
        <w:tc>
          <w:tcPr>
            <w:tcW w:w="1236" w:type="dxa"/>
          </w:tcPr>
          <w:p w14:paraId="5E9632E1">
            <w:pPr>
              <w:adjustRightInd w:val="0"/>
              <w:snapToGrid w:val="0"/>
              <w:spacing w:line="360" w:lineRule="auto"/>
              <w:rPr>
                <w:rFonts w:hint="eastAsia" w:ascii="宋体" w:hAnsi="宋体" w:eastAsia="宋体" w:cs="宋体"/>
                <w:sz w:val="24"/>
                <w:szCs w:val="24"/>
                <w:highlight w:val="none"/>
              </w:rPr>
            </w:pPr>
          </w:p>
        </w:tc>
        <w:tc>
          <w:tcPr>
            <w:tcW w:w="720" w:type="dxa"/>
          </w:tcPr>
          <w:p w14:paraId="0CAA2DF7">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5FF1D6CA">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40AB1D9A">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5D0D9C8F">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45BEC8B5">
            <w:pPr>
              <w:adjustRightInd w:val="0"/>
              <w:snapToGrid w:val="0"/>
              <w:spacing w:line="360" w:lineRule="auto"/>
              <w:rPr>
                <w:rFonts w:hint="eastAsia" w:ascii="宋体" w:hAnsi="宋体" w:eastAsia="宋体" w:cs="宋体"/>
                <w:sz w:val="24"/>
                <w:szCs w:val="24"/>
                <w:highlight w:val="none"/>
              </w:rPr>
            </w:pPr>
          </w:p>
        </w:tc>
      </w:tr>
      <w:tr w14:paraId="0A0A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41AA1918">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27A7FA9D">
            <w:pPr>
              <w:adjustRightInd w:val="0"/>
              <w:snapToGrid w:val="0"/>
              <w:spacing w:line="360" w:lineRule="auto"/>
              <w:rPr>
                <w:rFonts w:hint="eastAsia" w:ascii="宋体" w:hAnsi="宋体" w:eastAsia="宋体" w:cs="宋体"/>
                <w:sz w:val="24"/>
                <w:szCs w:val="24"/>
                <w:highlight w:val="none"/>
              </w:rPr>
            </w:pPr>
          </w:p>
        </w:tc>
        <w:tc>
          <w:tcPr>
            <w:tcW w:w="1236" w:type="dxa"/>
          </w:tcPr>
          <w:p w14:paraId="17A64966">
            <w:pPr>
              <w:adjustRightInd w:val="0"/>
              <w:snapToGrid w:val="0"/>
              <w:spacing w:line="360" w:lineRule="auto"/>
              <w:rPr>
                <w:rFonts w:hint="eastAsia" w:ascii="宋体" w:hAnsi="宋体" w:eastAsia="宋体" w:cs="宋体"/>
                <w:sz w:val="24"/>
                <w:szCs w:val="24"/>
                <w:highlight w:val="none"/>
              </w:rPr>
            </w:pPr>
          </w:p>
        </w:tc>
        <w:tc>
          <w:tcPr>
            <w:tcW w:w="720" w:type="dxa"/>
          </w:tcPr>
          <w:p w14:paraId="2C0ECCA0">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1CBFF7BA">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79DFB941">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1841B90C">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4D13813">
            <w:pPr>
              <w:adjustRightInd w:val="0"/>
              <w:snapToGrid w:val="0"/>
              <w:spacing w:line="360" w:lineRule="auto"/>
              <w:rPr>
                <w:rFonts w:hint="eastAsia" w:ascii="宋体" w:hAnsi="宋体" w:eastAsia="宋体" w:cs="宋体"/>
                <w:sz w:val="24"/>
                <w:szCs w:val="24"/>
                <w:highlight w:val="none"/>
              </w:rPr>
            </w:pPr>
          </w:p>
        </w:tc>
      </w:tr>
      <w:tr w14:paraId="6C93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7532830E">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634EE7B2">
            <w:pPr>
              <w:adjustRightInd w:val="0"/>
              <w:snapToGrid w:val="0"/>
              <w:spacing w:line="360" w:lineRule="auto"/>
              <w:rPr>
                <w:rFonts w:hint="eastAsia" w:ascii="宋体" w:hAnsi="宋体" w:eastAsia="宋体" w:cs="宋体"/>
                <w:sz w:val="24"/>
                <w:szCs w:val="24"/>
                <w:highlight w:val="none"/>
              </w:rPr>
            </w:pPr>
          </w:p>
        </w:tc>
        <w:tc>
          <w:tcPr>
            <w:tcW w:w="1236" w:type="dxa"/>
          </w:tcPr>
          <w:p w14:paraId="0D31749F">
            <w:pPr>
              <w:adjustRightInd w:val="0"/>
              <w:snapToGrid w:val="0"/>
              <w:spacing w:line="360" w:lineRule="auto"/>
              <w:rPr>
                <w:rFonts w:hint="eastAsia" w:ascii="宋体" w:hAnsi="宋体" w:eastAsia="宋体" w:cs="宋体"/>
                <w:sz w:val="24"/>
                <w:szCs w:val="24"/>
                <w:highlight w:val="none"/>
              </w:rPr>
            </w:pPr>
          </w:p>
        </w:tc>
        <w:tc>
          <w:tcPr>
            <w:tcW w:w="720" w:type="dxa"/>
          </w:tcPr>
          <w:p w14:paraId="58890BE4">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7947ECE3">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29DC72FD">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3D28A96F">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CDE8235">
            <w:pPr>
              <w:adjustRightInd w:val="0"/>
              <w:snapToGrid w:val="0"/>
              <w:spacing w:line="360" w:lineRule="auto"/>
              <w:rPr>
                <w:rFonts w:hint="eastAsia" w:ascii="宋体" w:hAnsi="宋体" w:eastAsia="宋体" w:cs="宋体"/>
                <w:sz w:val="24"/>
                <w:szCs w:val="24"/>
                <w:highlight w:val="none"/>
              </w:rPr>
            </w:pPr>
          </w:p>
        </w:tc>
      </w:tr>
      <w:tr w14:paraId="1759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14:paraId="107121E3">
            <w:pPr>
              <w:adjustRightInd w:val="0"/>
              <w:snapToGrid w:val="0"/>
              <w:spacing w:line="360" w:lineRule="auto"/>
              <w:jc w:val="center"/>
              <w:rPr>
                <w:rFonts w:hint="eastAsia" w:ascii="宋体" w:hAnsi="宋体" w:eastAsia="宋体" w:cs="宋体"/>
                <w:sz w:val="24"/>
                <w:szCs w:val="24"/>
                <w:highlight w:val="none"/>
              </w:rPr>
            </w:pPr>
          </w:p>
        </w:tc>
        <w:tc>
          <w:tcPr>
            <w:tcW w:w="1924" w:type="dxa"/>
          </w:tcPr>
          <w:p w14:paraId="6BC03A81">
            <w:pPr>
              <w:adjustRightInd w:val="0"/>
              <w:snapToGrid w:val="0"/>
              <w:spacing w:line="360" w:lineRule="auto"/>
              <w:rPr>
                <w:rFonts w:hint="eastAsia" w:ascii="宋体" w:hAnsi="宋体" w:eastAsia="宋体" w:cs="宋体"/>
                <w:sz w:val="24"/>
                <w:szCs w:val="24"/>
                <w:highlight w:val="none"/>
              </w:rPr>
            </w:pPr>
          </w:p>
        </w:tc>
        <w:tc>
          <w:tcPr>
            <w:tcW w:w="1236" w:type="dxa"/>
          </w:tcPr>
          <w:p w14:paraId="66615083">
            <w:pPr>
              <w:adjustRightInd w:val="0"/>
              <w:snapToGrid w:val="0"/>
              <w:spacing w:line="360" w:lineRule="auto"/>
              <w:rPr>
                <w:rFonts w:hint="eastAsia" w:ascii="宋体" w:hAnsi="宋体" w:eastAsia="宋体" w:cs="宋体"/>
                <w:sz w:val="24"/>
                <w:szCs w:val="24"/>
                <w:highlight w:val="none"/>
              </w:rPr>
            </w:pPr>
          </w:p>
        </w:tc>
        <w:tc>
          <w:tcPr>
            <w:tcW w:w="720" w:type="dxa"/>
          </w:tcPr>
          <w:p w14:paraId="02F12B71">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6FA0EA44">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75822A58">
            <w:pPr>
              <w:adjustRightInd w:val="0"/>
              <w:snapToGrid w:val="0"/>
              <w:spacing w:line="360" w:lineRule="auto"/>
              <w:jc w:val="center"/>
              <w:rPr>
                <w:rFonts w:hint="eastAsia" w:ascii="宋体" w:hAnsi="宋体" w:eastAsia="宋体" w:cs="宋体"/>
                <w:sz w:val="24"/>
                <w:szCs w:val="24"/>
                <w:highlight w:val="none"/>
              </w:rPr>
            </w:pPr>
          </w:p>
        </w:tc>
        <w:tc>
          <w:tcPr>
            <w:tcW w:w="720" w:type="dxa"/>
          </w:tcPr>
          <w:p w14:paraId="21A577A9">
            <w:pPr>
              <w:adjustRightInd w:val="0"/>
              <w:snapToGrid w:val="0"/>
              <w:spacing w:line="360" w:lineRule="auto"/>
              <w:jc w:val="center"/>
              <w:rPr>
                <w:rFonts w:hint="eastAsia" w:ascii="宋体" w:hAnsi="宋体" w:eastAsia="宋体" w:cs="宋体"/>
                <w:sz w:val="24"/>
                <w:szCs w:val="24"/>
                <w:highlight w:val="none"/>
              </w:rPr>
            </w:pPr>
          </w:p>
        </w:tc>
        <w:tc>
          <w:tcPr>
            <w:tcW w:w="2235" w:type="dxa"/>
          </w:tcPr>
          <w:p w14:paraId="08324538">
            <w:pPr>
              <w:adjustRightInd w:val="0"/>
              <w:snapToGrid w:val="0"/>
              <w:spacing w:line="360" w:lineRule="auto"/>
              <w:rPr>
                <w:rFonts w:hint="eastAsia" w:ascii="宋体" w:hAnsi="宋体" w:eastAsia="宋体" w:cs="宋体"/>
                <w:sz w:val="24"/>
                <w:szCs w:val="24"/>
                <w:highlight w:val="none"/>
              </w:rPr>
            </w:pPr>
          </w:p>
        </w:tc>
      </w:tr>
    </w:tbl>
    <w:p w14:paraId="7AB925BF">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6.3  </w:t>
      </w:r>
      <w:r>
        <w:rPr>
          <w:rFonts w:hint="eastAsia" w:ascii="宋体" w:hAnsi="宋体" w:eastAsia="宋体" w:cs="宋体"/>
          <w:sz w:val="24"/>
          <w:szCs w:val="24"/>
          <w:highlight w:val="none"/>
        </w:rPr>
        <w:t>“一览表”和“明细表”仅作为投标方编制投标技术文件的一般格式。其中序号编写应当便于招标方了解分类或分项货物之间的所属关系，如</w:t>
      </w:r>
      <w:r>
        <w:rPr>
          <w:rFonts w:ascii="宋体" w:hAnsi="宋体" w:eastAsia="宋体" w:cs="宋体"/>
          <w:sz w:val="24"/>
          <w:szCs w:val="24"/>
          <w:highlight w:val="none"/>
        </w:rPr>
        <w:t>1</w:t>
      </w:r>
      <w:r>
        <w:rPr>
          <w:rFonts w:hint="eastAsia" w:ascii="宋体" w:hAnsi="宋体" w:eastAsia="宋体" w:cs="宋体"/>
          <w:sz w:val="24"/>
          <w:szCs w:val="24"/>
          <w:highlight w:val="none"/>
        </w:rPr>
        <w:t>、</w:t>
      </w:r>
      <w:r>
        <w:rPr>
          <w:rFonts w:ascii="宋体" w:hAnsi="宋体" w:eastAsia="宋体" w:cs="宋体"/>
          <w:sz w:val="24"/>
          <w:szCs w:val="24"/>
          <w:highlight w:val="none"/>
        </w:rPr>
        <w:t>1.1</w:t>
      </w:r>
      <w:r>
        <w:rPr>
          <w:rFonts w:hint="eastAsia" w:ascii="宋体" w:hAnsi="宋体" w:eastAsia="宋体" w:cs="宋体"/>
          <w:sz w:val="24"/>
          <w:szCs w:val="24"/>
          <w:highlight w:val="none"/>
        </w:rPr>
        <w:t>、</w:t>
      </w:r>
      <w:r>
        <w:rPr>
          <w:rFonts w:ascii="宋体" w:hAnsi="宋体" w:eastAsia="宋体" w:cs="宋体"/>
          <w:sz w:val="24"/>
          <w:szCs w:val="24"/>
          <w:highlight w:val="none"/>
        </w:rPr>
        <w:t>1.2</w:t>
      </w:r>
      <w:r>
        <w:rPr>
          <w:rFonts w:hint="eastAsia" w:ascii="宋体" w:hAnsi="宋体" w:eastAsia="宋体" w:cs="宋体"/>
          <w:sz w:val="24"/>
          <w:szCs w:val="24"/>
          <w:highlight w:val="none"/>
        </w:rPr>
        <w:t>。</w:t>
      </w:r>
    </w:p>
    <w:p w14:paraId="07E1CA7F">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6.4  </w:t>
      </w:r>
      <w:r>
        <w:rPr>
          <w:rFonts w:hint="eastAsia" w:ascii="宋体" w:hAnsi="宋体" w:eastAsia="宋体" w:cs="宋体"/>
          <w:sz w:val="24"/>
          <w:szCs w:val="24"/>
          <w:highlight w:val="none"/>
        </w:rPr>
        <w:t>应当尽可能将货物的配置列全、列细，这将有助于投标方胜出。</w:t>
      </w:r>
    </w:p>
    <w:p w14:paraId="110D4BB5">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6.5  </w:t>
      </w:r>
      <w:r>
        <w:rPr>
          <w:rFonts w:hint="eastAsia" w:ascii="宋体" w:hAnsi="宋体" w:eastAsia="宋体" w:cs="宋体"/>
          <w:sz w:val="24"/>
          <w:szCs w:val="24"/>
          <w:highlight w:val="none"/>
        </w:rPr>
        <w:t>单价与总价之间、总价与分类小计价之间、分类小计价与合计价之间数据应当齐全而且准确。</w:t>
      </w:r>
    </w:p>
    <w:p w14:paraId="46DABD24">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 xml:space="preserve">6.6  </w:t>
      </w:r>
      <w:r>
        <w:rPr>
          <w:rFonts w:hint="eastAsia" w:ascii="宋体" w:hAnsi="宋体" w:eastAsia="宋体" w:cs="宋体"/>
          <w:sz w:val="24"/>
          <w:szCs w:val="24"/>
          <w:highlight w:val="none"/>
        </w:rPr>
        <w:t>本条款表格中的制造商，应当为全称或公认的简称。</w:t>
      </w:r>
    </w:p>
    <w:p w14:paraId="5D851E9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二、技术文件中货物报价格式要求</w:t>
      </w:r>
    </w:p>
    <w:p w14:paraId="1E27076A">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、货物配置一览表合计价以及备品备件、易损件和专用耗材明细表合计价应当在投标总报价内对应重现而且应当数据准确。</w:t>
      </w:r>
    </w:p>
    <w:p w14:paraId="75752E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其中，质保期之内需要的备品备件、易损件和专用耗材，需要在配置一览表内单独分类列出并计入货物配置一览表合计价。</w:t>
      </w:r>
    </w:p>
    <w:p w14:paraId="6062ADFB">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投标技术文件中，如未按照要求编写、或者存在漏项和缺项，将有可能造成对投标方不必要的误解；必要时，漏项和缺项涉及的费用，将有可能以其它投标方中，相同或相似项目的最高价，计入投标方的投标总报价之内，作为评标的依据之一。</w:t>
      </w:r>
    </w:p>
    <w:p w14:paraId="2B7B6ECD">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、如果投标总报价与其它价格出现错误或不一致，将有可能导致废标。</w:t>
      </w:r>
    </w:p>
    <w:p w14:paraId="0D232C40">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、投标总报价为自合同签定生效至合同无异议执行完毕涉及的招标方需要支付的全部费用。如投标方认为本招标及投标货物涉及特需或专门的设计，应当单独列明设计费。</w:t>
      </w:r>
    </w:p>
    <w:p w14:paraId="18694261">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、备品备件、易损件和专用耗材，招标方将可能与投标方按照投标价格另行签署供货合同。</w:t>
      </w:r>
    </w:p>
    <w:p w14:paraId="0DC4B25C">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6</w:t>
      </w:r>
      <w:r>
        <w:rPr>
          <w:rFonts w:hint="eastAsia" w:ascii="宋体" w:hAnsi="宋体" w:eastAsia="宋体" w:cs="宋体"/>
          <w:sz w:val="24"/>
          <w:szCs w:val="24"/>
          <w:highlight w:val="none"/>
        </w:rPr>
        <w:t>、要求投标总报价、分项报价、明细报价之间应当具有相互间对应关系以及填报分项和明细报价，仅为便于评标而不妨碍投标人以最合适的形式签署合同。</w:t>
      </w:r>
    </w:p>
    <w:p w14:paraId="16AF1DD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三、验收标准及内容要求</w:t>
      </w:r>
    </w:p>
    <w:p w14:paraId="7DB7BD01">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除招标文件明确的验收标准或内容之外，投标方应当在投标文件中提供预验收（必要时）和终验收的标准以及规程；在合同签定之前，经投标方和招标方双方洽谈确认并签署，以作为验收标准执行。</w:t>
      </w:r>
    </w:p>
    <w:p w14:paraId="2DAAD213">
      <w:pPr>
        <w:rPr>
          <w:rFonts w:hint="eastAsia" w:ascii="黑体" w:hAnsi="等线" w:eastAsia="黑体" w:cs="Times New Roman"/>
          <w:sz w:val="24"/>
          <w:szCs w:val="24"/>
          <w:highlight w:val="none"/>
        </w:rPr>
      </w:pPr>
      <w:bookmarkStart w:id="68" w:name="_Toc9658385"/>
      <w:r>
        <w:rPr>
          <w:rFonts w:ascii="黑体" w:hAnsi="等线" w:eastAsia="黑体" w:cs="Times New Roman"/>
          <w:sz w:val="24"/>
          <w:szCs w:val="24"/>
          <w:highlight w:val="none"/>
        </w:rPr>
        <w:br w:type="page"/>
      </w:r>
    </w:p>
    <w:p w14:paraId="7DA60920">
      <w:pPr>
        <w:keepNext/>
        <w:keepLines/>
        <w:spacing w:before="120" w:after="120" w:line="360" w:lineRule="auto"/>
        <w:jc w:val="center"/>
        <w:outlineLvl w:val="0"/>
        <w:rPr>
          <w:rFonts w:hint="eastAsia" w:ascii="黑体" w:hAnsi="等线" w:eastAsia="黑体" w:cs="Times New Roman"/>
          <w:kern w:val="44"/>
          <w:sz w:val="28"/>
          <w:szCs w:val="28"/>
          <w:highlight w:val="none"/>
          <w:lang w:val="en-GB"/>
        </w:rPr>
      </w:pPr>
      <w:bookmarkStart w:id="69" w:name="_Toc23858"/>
      <w:bookmarkStart w:id="70" w:name="_Toc5478"/>
      <w:bookmarkStart w:id="71" w:name="_Toc22678"/>
      <w:bookmarkStart w:id="72" w:name="_Toc18487"/>
      <w:r>
        <w:rPr>
          <w:rFonts w:hint="eastAsia" w:ascii="黑体" w:hAnsi="等线" w:eastAsia="黑体" w:cs="Times New Roman"/>
          <w:kern w:val="44"/>
          <w:sz w:val="28"/>
          <w:szCs w:val="28"/>
          <w:highlight w:val="none"/>
          <w:lang w:val="en-GB"/>
        </w:rPr>
        <w:t>第七章  其它要求及说明</w:t>
      </w:r>
      <w:bookmarkEnd w:id="68"/>
      <w:bookmarkEnd w:id="69"/>
      <w:bookmarkEnd w:id="70"/>
      <w:bookmarkEnd w:id="71"/>
      <w:bookmarkEnd w:id="72"/>
    </w:p>
    <w:p w14:paraId="2E26103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一、要求</w:t>
      </w:r>
    </w:p>
    <w:p w14:paraId="35BE7ABA">
      <w:pPr>
        <w:spacing w:line="360" w:lineRule="auto"/>
        <w:ind w:firstLine="477" w:firstLineChars="199"/>
        <w:rPr>
          <w:rFonts w:hint="eastAsia" w:ascii="宋体" w:hAnsi="宋体" w:eastAsia="宋体" w:cs="宋体"/>
          <w:sz w:val="24"/>
          <w:szCs w:val="24"/>
          <w:highlight w:val="none"/>
        </w:rPr>
      </w:pPr>
      <w:r>
        <w:rPr>
          <w:rFonts w:hint="eastAsia" w:ascii="宋体" w:hAnsi="宋体" w:eastAsia="宋体" w:cs="宋体"/>
          <w:sz w:val="24"/>
          <w:szCs w:val="24"/>
          <w:highlight w:val="none"/>
        </w:rPr>
        <w:t>为保证本技术标书所列采购货物的质量以及先进性、可靠性、经济性和实用性，要求投标方在投标文件中，至少应具备以下资格证明文件或资料：</w:t>
      </w:r>
    </w:p>
    <w:p w14:paraId="5FD671A6">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投标方应是独立法人或得到法人授权的机构。应当在投标文件中提供法人营业执照（复印件）、税务登记证以及组织机构代码证（国外供应商参考该要求提供有效证明文件）、相关类似案例的合同原始证明（采用天然气</w:t>
      </w:r>
      <w:r>
        <w:rPr>
          <w:rFonts w:ascii="宋体" w:hAnsi="宋体" w:eastAsia="宋体" w:cs="宋体"/>
          <w:sz w:val="24"/>
          <w:szCs w:val="24"/>
          <w:highlight w:val="none"/>
        </w:rPr>
        <w:t>/</w:t>
      </w:r>
      <w:r>
        <w:rPr>
          <w:rFonts w:hint="eastAsia" w:ascii="宋体" w:hAnsi="宋体" w:eastAsia="宋体" w:cs="宋体"/>
          <w:sz w:val="24"/>
          <w:szCs w:val="24"/>
          <w:highlight w:val="none"/>
        </w:rPr>
        <w:t>柴油加热方式）、相关案例的验收检测报告，并保证其真实性和有效性。</w:t>
      </w:r>
    </w:p>
    <w:p w14:paraId="520B14A5">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、投标方应当是通过有关资格认证的法人。应当在投标文件中提供有效期内的资格认证证书，如：</w:t>
      </w:r>
      <w:r>
        <w:rPr>
          <w:rFonts w:ascii="宋体" w:hAnsi="宋体" w:eastAsia="宋体" w:cs="宋体"/>
          <w:sz w:val="24"/>
          <w:szCs w:val="24"/>
          <w:highlight w:val="none"/>
        </w:rPr>
        <w:t>ISO9001</w:t>
      </w:r>
      <w:r>
        <w:rPr>
          <w:rFonts w:hint="eastAsia" w:ascii="宋体" w:hAnsi="宋体" w:eastAsia="宋体" w:cs="宋体"/>
          <w:sz w:val="24"/>
          <w:szCs w:val="24"/>
          <w:highlight w:val="none"/>
        </w:rPr>
        <w:t>、</w:t>
      </w:r>
      <w:r>
        <w:rPr>
          <w:rFonts w:ascii="宋体" w:hAnsi="宋体" w:eastAsia="宋体" w:cs="宋体"/>
          <w:sz w:val="24"/>
          <w:szCs w:val="24"/>
          <w:highlight w:val="none"/>
        </w:rPr>
        <w:t>VDA6.1</w:t>
      </w:r>
      <w:r>
        <w:rPr>
          <w:rFonts w:hint="eastAsia" w:ascii="宋体" w:hAnsi="宋体" w:eastAsia="宋体" w:cs="宋体"/>
          <w:sz w:val="24"/>
          <w:szCs w:val="24"/>
          <w:highlight w:val="none"/>
        </w:rPr>
        <w:t>、</w:t>
      </w:r>
      <w:r>
        <w:rPr>
          <w:rFonts w:ascii="宋体" w:hAnsi="宋体" w:eastAsia="宋体" w:cs="宋体"/>
          <w:sz w:val="24"/>
          <w:szCs w:val="24"/>
          <w:highlight w:val="none"/>
        </w:rPr>
        <w:t>QS9000</w:t>
      </w:r>
      <w:r>
        <w:rPr>
          <w:rFonts w:hint="eastAsia" w:ascii="宋体" w:hAnsi="宋体" w:eastAsia="宋体" w:cs="宋体"/>
          <w:sz w:val="24"/>
          <w:szCs w:val="24"/>
          <w:highlight w:val="none"/>
        </w:rPr>
        <w:t>等。</w:t>
      </w:r>
    </w:p>
    <w:p w14:paraId="0F9E2136">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、国产设备应附有采购货物（或设备）涉及的由“中国质量认证中心”颁发的《中国国家强制性产品认证证书》（</w:t>
      </w:r>
      <w:r>
        <w:rPr>
          <w:rFonts w:ascii="宋体" w:hAnsi="宋体" w:eastAsia="宋体" w:cs="宋体"/>
          <w:sz w:val="24"/>
          <w:szCs w:val="24"/>
          <w:highlight w:val="none"/>
        </w:rPr>
        <w:t>CCC</w:t>
      </w:r>
      <w:r>
        <w:rPr>
          <w:rFonts w:hint="eastAsia" w:ascii="宋体" w:hAnsi="宋体" w:eastAsia="宋体" w:cs="宋体"/>
          <w:sz w:val="24"/>
          <w:szCs w:val="24"/>
          <w:highlight w:val="none"/>
        </w:rPr>
        <w:t>证书）。</w:t>
      </w:r>
    </w:p>
    <w:p w14:paraId="36AB5E2B">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4</w:t>
      </w:r>
      <w:r>
        <w:rPr>
          <w:rFonts w:hint="eastAsia" w:ascii="宋体" w:hAnsi="宋体" w:eastAsia="宋体" w:cs="宋体"/>
          <w:sz w:val="24"/>
          <w:szCs w:val="24"/>
          <w:highlight w:val="none"/>
        </w:rPr>
        <w:t>、应附有其它与投标单位、采购货物有关的荣誉证书或资料。</w:t>
      </w:r>
    </w:p>
    <w:p w14:paraId="5B212AB0">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w:t>
      </w:r>
      <w:r>
        <w:rPr>
          <w:rFonts w:hint="eastAsia" w:ascii="宋体" w:hAnsi="宋体" w:eastAsia="宋体" w:cs="宋体"/>
          <w:sz w:val="24"/>
          <w:szCs w:val="24"/>
          <w:highlight w:val="none"/>
        </w:rPr>
        <w:t>、必须附有投标货物涉及产品要求的、国家或行业管理规定要求的、或者投标方认为能够体现其投标货物合法性及先进性的最高级别的证明材料（投标货物不涉及的除外）：</w:t>
      </w:r>
    </w:p>
    <w:p w14:paraId="12ACF367">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5.1</w:t>
      </w:r>
      <w:r>
        <w:rPr>
          <w:rFonts w:hint="eastAsia" w:ascii="宋体" w:hAnsi="宋体" w:eastAsia="宋体" w:cs="宋体"/>
          <w:sz w:val="24"/>
          <w:szCs w:val="24"/>
          <w:highlight w:val="none"/>
        </w:rPr>
        <w:t>国家相关机构颁发的有效期之内所必需的《生产许可证》。</w:t>
      </w:r>
    </w:p>
    <w:p w14:paraId="78C51A3D">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5.2</w:t>
      </w:r>
      <w:r>
        <w:rPr>
          <w:rFonts w:hint="eastAsia" w:ascii="宋体" w:hAnsi="宋体" w:eastAsia="宋体" w:cs="宋体"/>
          <w:sz w:val="24"/>
          <w:szCs w:val="24"/>
          <w:highlight w:val="none"/>
        </w:rPr>
        <w:t>产品（或技术）鉴定报告</w:t>
      </w:r>
      <w:r>
        <w:rPr>
          <w:rFonts w:ascii="宋体" w:hAnsi="宋体" w:eastAsia="宋体" w:cs="宋体"/>
          <w:sz w:val="24"/>
          <w:szCs w:val="24"/>
          <w:highlight w:val="none"/>
        </w:rPr>
        <w:t>/</w:t>
      </w:r>
      <w:r>
        <w:rPr>
          <w:rFonts w:hint="eastAsia" w:ascii="宋体" w:hAnsi="宋体" w:eastAsia="宋体" w:cs="宋体"/>
          <w:sz w:val="24"/>
          <w:szCs w:val="24"/>
          <w:highlight w:val="none"/>
        </w:rPr>
        <w:t>证书、专利证书或专利许可证书、新技术成果证书等。</w:t>
      </w:r>
    </w:p>
    <w:p w14:paraId="79249B29">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5.3</w:t>
      </w:r>
      <w:r>
        <w:rPr>
          <w:rFonts w:hint="eastAsia" w:ascii="宋体" w:hAnsi="宋体" w:eastAsia="宋体" w:cs="宋体"/>
          <w:sz w:val="24"/>
          <w:szCs w:val="24"/>
          <w:highlight w:val="none"/>
        </w:rPr>
        <w:t>产品相关检验、试验报告，如：型式试验检验报告、安全试验检验报告、电弧效应试验报告、噪声检测报告等</w:t>
      </w:r>
    </w:p>
    <w:p w14:paraId="2BC359DB">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5.4</w:t>
      </w:r>
      <w:r>
        <w:rPr>
          <w:rFonts w:hint="eastAsia" w:ascii="宋体" w:hAnsi="宋体" w:eastAsia="宋体" w:cs="宋体"/>
          <w:sz w:val="24"/>
          <w:szCs w:val="24"/>
          <w:highlight w:val="none"/>
        </w:rPr>
        <w:t>其它能够证明所供货物的质量水平、技术水平、安全性水平、节能性水平、环保性水平等相关的其它证明文件或资料、报告等。</w:t>
      </w:r>
    </w:p>
    <w:p w14:paraId="16CBA3E0">
      <w:pPr>
        <w:spacing w:line="360" w:lineRule="auto"/>
        <w:ind w:firstLine="477" w:firstLineChars="199"/>
        <w:rPr>
          <w:rFonts w:hint="eastAsia" w:ascii="宋体" w:hAnsi="宋体" w:eastAsia="宋体" w:cs="宋体"/>
          <w:sz w:val="24"/>
          <w:szCs w:val="24"/>
          <w:highlight w:val="none"/>
        </w:rPr>
      </w:pPr>
      <w:r>
        <w:rPr>
          <w:rFonts w:ascii="宋体" w:hAnsi="宋体" w:eastAsia="宋体" w:cs="宋体"/>
          <w:sz w:val="24"/>
          <w:szCs w:val="24"/>
          <w:highlight w:val="none"/>
        </w:rPr>
        <w:t>5.5</w:t>
      </w:r>
      <w:r>
        <w:rPr>
          <w:rFonts w:hint="eastAsia" w:ascii="宋体" w:hAnsi="宋体" w:eastAsia="宋体" w:cs="宋体"/>
          <w:sz w:val="24"/>
          <w:szCs w:val="24"/>
          <w:highlight w:val="none"/>
        </w:rPr>
        <w:t>该类报告或证明材料对于投标方胜出乃至中标极为重要！</w:t>
      </w:r>
    </w:p>
    <w:p w14:paraId="438E7C92">
      <w:pPr>
        <w:spacing w:line="360" w:lineRule="auto"/>
        <w:ind w:firstLine="477" w:firstLineChars="199"/>
        <w:rPr>
          <w:rFonts w:hint="eastAsia" w:ascii="宋体" w:hAnsi="宋体" w:eastAsia="宋体" w:cs="宋体"/>
          <w:sz w:val="24"/>
          <w:szCs w:val="24"/>
          <w:highlight w:val="none"/>
        </w:rPr>
      </w:pPr>
      <w:r>
        <w:rPr>
          <w:rFonts w:hint="eastAsia" w:ascii="宋体" w:hAnsi="宋体" w:eastAsia="宋体" w:cs="宋体"/>
          <w:sz w:val="24"/>
          <w:szCs w:val="24"/>
          <w:highlight w:val="none"/>
        </w:rPr>
        <w:t>二、说明</w:t>
      </w:r>
    </w:p>
    <w:p w14:paraId="0143CB36">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1</w:t>
      </w:r>
      <w:r>
        <w:rPr>
          <w:rFonts w:hint="eastAsia" w:ascii="宋体" w:hAnsi="宋体" w:eastAsia="宋体" w:cs="宋体"/>
          <w:sz w:val="24"/>
          <w:szCs w:val="24"/>
          <w:highlight w:val="none"/>
        </w:rPr>
        <w:t>、投标方可以根据自身的技术、经验等优势以及对招标文件和本技术标书的理解，写明对招标方所采购货物的优化方案或建议意见。投标方的这些努力，投标方表示感谢，并将有助于投标方优先胜出。</w:t>
      </w:r>
    </w:p>
    <w:p w14:paraId="183608DC">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2</w:t>
      </w:r>
      <w:r>
        <w:rPr>
          <w:rFonts w:hint="eastAsia" w:ascii="宋体" w:hAnsi="宋体" w:eastAsia="宋体" w:cs="宋体"/>
          <w:sz w:val="24"/>
          <w:szCs w:val="24"/>
          <w:highlight w:val="none"/>
        </w:rPr>
        <w:t>、即使有建议意见或建议方案，仍应依据招标文件和本技术标书要求，编写符合要求的投标文件。建议方案或建议意见，应以单独篇章或文件，予以说明和报价。</w:t>
      </w:r>
    </w:p>
    <w:p w14:paraId="4D65051B">
      <w:pPr>
        <w:spacing w:line="360" w:lineRule="auto"/>
        <w:ind w:firstLine="480" w:firstLineChars="200"/>
        <w:rPr>
          <w:rFonts w:hint="eastAsia" w:ascii="宋体" w:hAnsi="宋体" w:eastAsia="宋体" w:cs="宋体"/>
          <w:sz w:val="24"/>
          <w:szCs w:val="24"/>
          <w:highlight w:val="none"/>
        </w:rPr>
      </w:pPr>
      <w:r>
        <w:rPr>
          <w:rFonts w:ascii="宋体" w:hAnsi="宋体" w:eastAsia="宋体" w:cs="宋体"/>
          <w:sz w:val="24"/>
          <w:szCs w:val="24"/>
          <w:highlight w:val="none"/>
        </w:rPr>
        <w:t>3</w:t>
      </w:r>
      <w:r>
        <w:rPr>
          <w:rFonts w:hint="eastAsia" w:ascii="宋体" w:hAnsi="宋体" w:eastAsia="宋体" w:cs="宋体"/>
          <w:sz w:val="24"/>
          <w:szCs w:val="24"/>
          <w:highlight w:val="none"/>
        </w:rPr>
        <w:t>、请投标方仔细阅读“采购货物概况”章节内说明，针对允许分投分中的货物，招标方有权利选择其中优秀设备或服务，作为投标方合同供货范围中的指定选用设备或服务（替代投标方分投而未中标部分）。</w:t>
      </w:r>
    </w:p>
    <w:p w14:paraId="102A1A1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4、招标文件、投标文件、答疑文件、技术交流文件、技术协议书等，在采购过程全部为有效文件，如有差异，以对招标方最有利的条款为准。</w:t>
      </w:r>
    </w:p>
    <w:p w14:paraId="239795B1">
      <w:pPr>
        <w:spacing w:line="360" w:lineRule="auto"/>
        <w:ind w:firstLine="480" w:firstLineChars="200"/>
        <w:rPr>
          <w:rFonts w:hint="eastAsia" w:ascii="宋体" w:hAnsi="宋体" w:eastAsia="宋体"/>
          <w:b/>
          <w:kern w:val="0"/>
          <w:sz w:val="32"/>
        </w:rPr>
      </w:pPr>
      <w:r>
        <w:rPr>
          <w:rFonts w:hint="eastAsia" w:ascii="宋体" w:hAnsi="宋体" w:eastAsia="宋体" w:cs="宋体"/>
          <w:sz w:val="24"/>
          <w:szCs w:val="24"/>
          <w:highlight w:val="none"/>
        </w:rPr>
        <w:t>5、为避免歧异，本技术标书涉及招投标环节的条款，均将潜在的卖方称为投标方、将买方称为招标方；定标后合同签署环节以及后续的合同执行环节条款，招标方称为买方、投标方中的中标方称为卖方。</w:t>
      </w:r>
    </w:p>
    <w:p w14:paraId="13DB56FF">
      <w:pPr>
        <w:widowControl/>
        <w:spacing w:line="360" w:lineRule="exact"/>
        <w:jc w:val="left"/>
        <w:rPr>
          <w:rFonts w:hint="eastAsia" w:ascii="宋体" w:hAnsi="宋体" w:eastAsia="宋体"/>
          <w:b/>
          <w:kern w:val="0"/>
          <w:sz w:val="32"/>
        </w:rPr>
      </w:pPr>
    </w:p>
    <w:p w14:paraId="25CDB0F9">
      <w:pPr>
        <w:widowControl/>
        <w:spacing w:line="360" w:lineRule="exact"/>
        <w:jc w:val="left"/>
        <w:rPr>
          <w:rFonts w:ascii="宋体" w:hAnsi="宋体" w:eastAsia="宋体"/>
          <w:b/>
          <w:kern w:val="0"/>
          <w:sz w:val="32"/>
        </w:rPr>
      </w:pPr>
      <w:r>
        <w:rPr>
          <w:rFonts w:hint="eastAsia" w:ascii="宋体" w:hAnsi="宋体" w:eastAsia="宋体"/>
          <w:b/>
          <w:kern w:val="0"/>
          <w:sz w:val="32"/>
        </w:rPr>
        <w:t>附件：</w:t>
      </w:r>
    </w:p>
    <w:p w14:paraId="7B229E32">
      <w:pPr>
        <w:widowControl/>
        <w:spacing w:line="360" w:lineRule="exact"/>
        <w:jc w:val="left"/>
        <w:rPr>
          <w:rFonts w:ascii="宋体" w:hAnsi="宋体" w:eastAsia="宋体"/>
          <w:b/>
          <w:kern w:val="0"/>
          <w:sz w:val="24"/>
        </w:rPr>
      </w:pPr>
      <w:r>
        <w:rPr>
          <w:rFonts w:hint="eastAsia" w:ascii="宋体" w:hAnsi="宋体" w:eastAsia="宋体"/>
          <w:b/>
          <w:kern w:val="0"/>
          <w:sz w:val="24"/>
        </w:rPr>
        <w:t>附件1：</w:t>
      </w:r>
      <w:r>
        <w:rPr>
          <w:rFonts w:ascii="宋体" w:hAnsi="宋体" w:eastAsia="宋体"/>
          <w:b/>
          <w:kern w:val="0"/>
          <w:sz w:val="24"/>
        </w:rPr>
        <w:t>设备采购合同（模板）</w:t>
      </w:r>
    </w:p>
    <w:p w14:paraId="40B3D94E">
      <w:pPr>
        <w:widowControl/>
        <w:spacing w:line="360" w:lineRule="exact"/>
        <w:jc w:val="left"/>
        <w:rPr>
          <w:rFonts w:ascii="宋体" w:hAnsi="宋体" w:eastAsia="宋体"/>
          <w:b/>
          <w:kern w:val="0"/>
          <w:sz w:val="24"/>
        </w:rPr>
      </w:pPr>
      <w:r>
        <w:rPr>
          <w:rFonts w:hint="eastAsia" w:ascii="宋体" w:hAnsi="宋体" w:eastAsia="宋体"/>
          <w:b/>
          <w:kern w:val="0"/>
          <w:sz w:val="24"/>
        </w:rPr>
        <w:t>附件</w:t>
      </w:r>
      <w:r>
        <w:rPr>
          <w:rFonts w:ascii="宋体" w:hAnsi="宋体" w:eastAsia="宋体"/>
          <w:b/>
          <w:kern w:val="0"/>
          <w:sz w:val="24"/>
        </w:rPr>
        <w:t>2：投标文件附件</w:t>
      </w:r>
    </w:p>
    <w:p w14:paraId="34EF988D">
      <w:pPr>
        <w:pStyle w:val="17"/>
        <w:spacing w:line="360" w:lineRule="auto"/>
        <w:rPr>
          <w:rFonts w:hAnsi="宋体" w:eastAsia="宋体" w:cs="宋体"/>
          <w:b/>
          <w:bCs/>
          <w:color w:val="000000"/>
          <w:sz w:val="24"/>
          <w:szCs w:val="24"/>
        </w:rPr>
      </w:pPr>
      <w:r>
        <w:rPr>
          <w:rFonts w:hint="eastAsia" w:ascii="宋体" w:hAnsi="宋体" w:eastAsia="宋体"/>
          <w:b/>
          <w:kern w:val="0"/>
          <w:sz w:val="24"/>
        </w:rPr>
        <w:t>附件3：</w:t>
      </w:r>
      <w:r>
        <w:rPr>
          <w:rFonts w:ascii="宋体" w:hAnsi="宋体" w:eastAsia="宋体"/>
          <w:b/>
          <w:kern w:val="0"/>
          <w:sz w:val="24"/>
        </w:rPr>
        <w:t>固定资产投资项目重要技术要求偏差索赔细则</w:t>
      </w:r>
    </w:p>
    <w:sectPr>
      <w:headerReference r:id="rId9" w:type="first"/>
      <w:footerReference r:id="rId11" w:type="first"/>
      <w:headerReference r:id="rId8" w:type="default"/>
      <w:footerReference r:id="rId10" w:type="default"/>
      <w:pgSz w:w="11906" w:h="16838"/>
      <w:pgMar w:top="1588"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53E19">
    <w:pPr>
      <w:pStyle w:val="2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6903D">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6A6E4">
    <w:pPr>
      <w:pStyle w:val="2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48A6F">
    <w:pPr>
      <w:pStyle w:val="22"/>
      <w:jc w:val="center"/>
      <w:rPr>
        <w:sz w:val="21"/>
        <w:szCs w:val="20"/>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927100" cy="335280"/>
              <wp:effectExtent l="0" t="0" r="0" b="0"/>
              <wp:wrapNone/>
              <wp:docPr id="5" name="文本框 8"/>
              <wp:cNvGraphicFramePr/>
              <a:graphic xmlns:a="http://schemas.openxmlformats.org/drawingml/2006/main">
                <a:graphicData uri="http://schemas.microsoft.com/office/word/2010/wordprocessingShape">
                  <wps:wsp>
                    <wps:cNvSpPr txBox="1"/>
                    <wps:spPr>
                      <a:xfrm>
                        <a:off x="0" y="0"/>
                        <a:ext cx="927100" cy="335280"/>
                      </a:xfrm>
                      <a:prstGeom prst="rect">
                        <a:avLst/>
                      </a:prstGeom>
                      <a:noFill/>
                      <a:ln w="6350">
                        <a:noFill/>
                      </a:ln>
                    </wps:spPr>
                    <wps:txbx>
                      <w:txbxContent>
                        <w:p w14:paraId="7D4F55E4">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26.4pt;width:73pt;mso-position-horizontal:center;mso-position-horizontal-relative:margin;mso-wrap-style:none;z-index:251662336;mso-width-relative:page;mso-height-relative:page;" filled="f" stroked="f" coordsize="21600,21600" o:gfxdata="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4obzXSAAAABAEAAA8AAAAAAAAAAQAgAAAAIgAAAGRycy9kb3ducmV2LnhtbFBLAQIUABQA&#10;AAAIAIdO4kCWc18tLwIAAFMEAAAOAAAAAAAAAAEAIAAAACEBAABkcnMvZTJvRG9jLnhtbFBLBQYA&#10;AAAABgAGAFkBAADCBQAAAAA=&#10;">
              <v:fill on="f" focussize="0,0"/>
              <v:stroke on="f" weight="0.5pt"/>
              <v:imagedata o:title=""/>
              <o:lock v:ext="edit" aspectratio="f"/>
              <v:textbox inset="0mm,0mm,0mm,0mm" style="mso-fit-shape-to-text:t;">
                <w:txbxContent>
                  <w:p w14:paraId="7D4F55E4">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088C">
    <w:pPr>
      <w:pStyle w:val="2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986790" cy="335280"/>
              <wp:effectExtent l="0" t="0" r="0" b="0"/>
              <wp:wrapNone/>
              <wp:docPr id="4" name="文本框 7"/>
              <wp:cNvGraphicFramePr/>
              <a:graphic xmlns:a="http://schemas.openxmlformats.org/drawingml/2006/main">
                <a:graphicData uri="http://schemas.microsoft.com/office/word/2010/wordprocessingShape">
                  <wps:wsp>
                    <wps:cNvSpPr txBox="1"/>
                    <wps:spPr>
                      <a:xfrm>
                        <a:off x="0" y="0"/>
                        <a:ext cx="986790" cy="335280"/>
                      </a:xfrm>
                      <a:prstGeom prst="rect">
                        <a:avLst/>
                      </a:prstGeom>
                      <a:noFill/>
                      <a:ln w="6350">
                        <a:noFill/>
                      </a:ln>
                    </wps:spPr>
                    <wps:txbx>
                      <w:txbxContent>
                        <w:p w14:paraId="23BC17BD">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7" o:spid="_x0000_s1026" o:spt="202" type="#_x0000_t202" style="position:absolute;left:0pt;margin-top:0pt;height:26.4pt;width:77.7pt;mso-position-horizontal:center;mso-position-horizontal-relative:margin;mso-wrap-style:none;z-index:251663360;mso-width-relative:page;mso-height-relative:page;" filled="f" stroked="f" coordsize="21600,21600" o:gfxdata="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4nfc10wAAAAQBAAAPAAAAAAAAAAEAIAAAACIAAABkcnMvZG93bnJldi54bWxQSwECFAAU&#10;AAAACACHTuJAOwmfxS8CAABTBAAADgAAAAAAAAABACAAAAAiAQAAZHJzL2Uyb0RvYy54bWxQSwUG&#10;AAAAAAYABgBZAQAAwwUAAAAA&#10;">
              <v:fill on="f" focussize="0,0"/>
              <v:stroke on="f" weight="0.5pt"/>
              <v:imagedata o:title=""/>
              <o:lock v:ext="edit" aspectratio="f"/>
              <v:textbox inset="0mm,0mm,0mm,0mm" style="mso-fit-shape-to-text:t;">
                <w:txbxContent>
                  <w:p w14:paraId="23BC17BD">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p w14:paraId="653579B4">
    <w:pPr>
      <w:pStyle w:val="22"/>
      <w:jc w:val="center"/>
    </w:pPr>
  </w:p>
  <w:p w14:paraId="28015752"/>
  <w:p w14:paraId="1D56D63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9D8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20650" cy="15494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16002B0">
                          <w:pPr>
                            <w:pStyle w:val="22"/>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131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Dg4QfkvAgAAVQQAAA4AAAAAAAAAAQAgAAAAIAEAAGRycy9lMm9Eb2MueG1sUEsFBgAA&#10;AAAGAAYAWQEAAMEFAAAAAA==&#10;">
              <v:fill on="f" focussize="0,0"/>
              <v:stroke on="f" weight="0.5pt"/>
              <v:imagedata o:title=""/>
              <o:lock v:ext="edit" aspectratio="f"/>
              <v:textbox inset="0mm,0mm,0mm,0mm" style="mso-fit-shape-to-text:t;">
                <w:txbxContent>
                  <w:p w14:paraId="516002B0">
                    <w:pPr>
                      <w:pStyle w:val="22"/>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BB028">
    <w:pPr>
      <w:pStyle w:val="2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7490AE2">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15</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34</w:t>
                          </w:r>
                          <w:r>
                            <w:rPr>
                              <w:sz w:val="18"/>
                            </w:rPr>
                            <w:fldChar w:fldCharType="end"/>
                          </w:r>
                          <w:r>
                            <w:rPr>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lX4/fRAAAAAwEAAA8AAAAAAAAAAQAgAAAAIgAAAGRycy9kb3ducmV2LnhtbFBLAQIUABQA&#10;AAAIAIdO4kAIstmBMAIAAFUEAAAOAAAAAAAAAAEAIAAAACABAABkcnMvZTJvRG9jLnhtbFBLBQYA&#10;AAAABgAGAFkBAADCBQAAAAA=&#10;">
              <v:fill on="f" focussize="0,0"/>
              <v:stroke on="f" weight="0.5pt"/>
              <v:imagedata o:title=""/>
              <o:lock v:ext="edit" aspectratio="f"/>
              <v:textbox inset="0mm,0mm,0mm,0mm" style="mso-fit-shape-to-text:t;">
                <w:txbxContent>
                  <w:p w14:paraId="77490AE2">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15</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34</w:t>
                    </w:r>
                    <w:r>
                      <w:rPr>
                        <w:sz w:val="18"/>
                      </w:rPr>
                      <w:fldChar w:fldCharType="end"/>
                    </w:r>
                    <w:r>
                      <w:rPr>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9C7B8">
    <w:pPr>
      <w:pStyle w:val="23"/>
    </w:pPr>
  </w:p>
  <w:p w14:paraId="2268AB38">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0E6D">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8F018FD0"/>
    <w:multiLevelType w:val="singleLevel"/>
    <w:tmpl w:val="8F018FD0"/>
    <w:lvl w:ilvl="0" w:tentative="0">
      <w:start w:val="1"/>
      <w:numFmt w:val="decimal"/>
      <w:lvlText w:val="%1."/>
      <w:lvlJc w:val="left"/>
      <w:pPr>
        <w:ind w:left="425" w:hanging="425"/>
      </w:pPr>
      <w:rPr>
        <w:rFonts w:hint="default"/>
        <w:color w:val="auto"/>
      </w:rPr>
    </w:lvl>
  </w:abstractNum>
  <w:abstractNum w:abstractNumId="3">
    <w:nsid w:val="93852671"/>
    <w:multiLevelType w:val="singleLevel"/>
    <w:tmpl w:val="93852671"/>
    <w:lvl w:ilvl="0" w:tentative="0">
      <w:start w:val="1"/>
      <w:numFmt w:val="decimal"/>
      <w:lvlText w:val="%1."/>
      <w:lvlJc w:val="left"/>
      <w:pPr>
        <w:ind w:left="425" w:hanging="425"/>
      </w:pPr>
      <w:rPr>
        <w:rFonts w:hint="default"/>
      </w:rPr>
    </w:lvl>
  </w:abstractNum>
  <w:abstractNum w:abstractNumId="4">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5">
    <w:nsid w:val="B12C4597"/>
    <w:multiLevelType w:val="singleLevel"/>
    <w:tmpl w:val="B12C4597"/>
    <w:lvl w:ilvl="0" w:tentative="0">
      <w:start w:val="1"/>
      <w:numFmt w:val="decimal"/>
      <w:lvlText w:val="%1."/>
      <w:lvlJc w:val="left"/>
      <w:pPr>
        <w:ind w:left="425" w:hanging="425"/>
      </w:pPr>
      <w:rPr>
        <w:rFonts w:hint="default"/>
      </w:rPr>
    </w:lvl>
  </w:abstractNum>
  <w:abstractNum w:abstractNumId="6">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A70C5AE"/>
    <w:multiLevelType w:val="singleLevel"/>
    <w:tmpl w:val="CA70C5AE"/>
    <w:lvl w:ilvl="0" w:tentative="0">
      <w:start w:val="1"/>
      <w:numFmt w:val="decimal"/>
      <w:lvlText w:val="%1."/>
      <w:lvlJc w:val="left"/>
      <w:pPr>
        <w:ind w:left="425" w:hanging="425"/>
      </w:pPr>
      <w:rPr>
        <w:rFonts w:hint="default"/>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2">
    <w:nsid w:val="00000001"/>
    <w:multiLevelType w:val="multilevel"/>
    <w:tmpl w:val="00000001"/>
    <w:lvl w:ilvl="0" w:tentative="0">
      <w:start w:val="1"/>
      <w:numFmt w:val="decimal"/>
      <w:lvlText w:val="%1、"/>
      <w:lvlJc w:val="left"/>
      <w:pPr>
        <w:tabs>
          <w:tab w:val="left" w:pos="840"/>
        </w:tabs>
        <w:ind w:left="840" w:hanging="360"/>
      </w:pPr>
      <w:rPr>
        <w:u w:val="none"/>
      </w:rPr>
    </w:lvl>
    <w:lvl w:ilvl="1" w:tentative="0">
      <w:start w:val="1"/>
      <w:numFmt w:val="lowerLetter"/>
      <w:lvlText w:val="%2)"/>
      <w:lvlJc w:val="left"/>
      <w:pPr>
        <w:tabs>
          <w:tab w:val="left" w:pos="1320"/>
        </w:tabs>
        <w:ind w:left="1320" w:hanging="420"/>
      </w:pPr>
      <w:rPr>
        <w:u w:val="none"/>
      </w:rPr>
    </w:lvl>
    <w:lvl w:ilvl="2" w:tentative="0">
      <w:start w:val="1"/>
      <w:numFmt w:val="lowerRoman"/>
      <w:lvlText w:val="%3."/>
      <w:lvlJc w:val="right"/>
      <w:pPr>
        <w:tabs>
          <w:tab w:val="left" w:pos="1740"/>
        </w:tabs>
        <w:ind w:left="1740" w:hanging="420"/>
      </w:pPr>
      <w:rPr>
        <w:u w:val="none"/>
      </w:rPr>
    </w:lvl>
    <w:lvl w:ilvl="3" w:tentative="0">
      <w:start w:val="1"/>
      <w:numFmt w:val="decimal"/>
      <w:lvlText w:val="%4."/>
      <w:lvlJc w:val="left"/>
      <w:pPr>
        <w:tabs>
          <w:tab w:val="left" w:pos="2160"/>
        </w:tabs>
        <w:ind w:left="2160" w:hanging="420"/>
      </w:pPr>
      <w:rPr>
        <w:u w:val="none"/>
      </w:rPr>
    </w:lvl>
    <w:lvl w:ilvl="4" w:tentative="0">
      <w:start w:val="1"/>
      <w:numFmt w:val="lowerLetter"/>
      <w:lvlText w:val="%5)"/>
      <w:lvlJc w:val="left"/>
      <w:pPr>
        <w:tabs>
          <w:tab w:val="left" w:pos="2580"/>
        </w:tabs>
        <w:ind w:left="2580" w:hanging="420"/>
      </w:pPr>
      <w:rPr>
        <w:u w:val="none"/>
      </w:rPr>
    </w:lvl>
    <w:lvl w:ilvl="5" w:tentative="0">
      <w:start w:val="1"/>
      <w:numFmt w:val="lowerRoman"/>
      <w:lvlText w:val="%6."/>
      <w:lvlJc w:val="right"/>
      <w:pPr>
        <w:tabs>
          <w:tab w:val="left" w:pos="3000"/>
        </w:tabs>
        <w:ind w:left="3000" w:hanging="420"/>
      </w:pPr>
      <w:rPr>
        <w:u w:val="none"/>
      </w:rPr>
    </w:lvl>
    <w:lvl w:ilvl="6" w:tentative="0">
      <w:start w:val="1"/>
      <w:numFmt w:val="decimal"/>
      <w:lvlText w:val="%7."/>
      <w:lvlJc w:val="left"/>
      <w:pPr>
        <w:tabs>
          <w:tab w:val="left" w:pos="3420"/>
        </w:tabs>
        <w:ind w:left="3420" w:hanging="420"/>
      </w:pPr>
      <w:rPr>
        <w:u w:val="none"/>
      </w:rPr>
    </w:lvl>
    <w:lvl w:ilvl="7" w:tentative="0">
      <w:start w:val="1"/>
      <w:numFmt w:val="lowerLetter"/>
      <w:lvlText w:val="%8)"/>
      <w:lvlJc w:val="left"/>
      <w:pPr>
        <w:tabs>
          <w:tab w:val="left" w:pos="3840"/>
        </w:tabs>
        <w:ind w:left="3840" w:hanging="420"/>
      </w:pPr>
      <w:rPr>
        <w:u w:val="none"/>
      </w:rPr>
    </w:lvl>
    <w:lvl w:ilvl="8" w:tentative="0">
      <w:start w:val="1"/>
      <w:numFmt w:val="lowerRoman"/>
      <w:lvlText w:val="%9."/>
      <w:lvlJc w:val="right"/>
      <w:pPr>
        <w:tabs>
          <w:tab w:val="left" w:pos="4260"/>
        </w:tabs>
        <w:ind w:left="4260" w:hanging="420"/>
      </w:pPr>
      <w:rPr>
        <w:u w:val="none"/>
      </w:rPr>
    </w:lvl>
  </w:abstractNum>
  <w:abstractNum w:abstractNumId="13">
    <w:nsid w:val="06882CE3"/>
    <w:multiLevelType w:val="multilevel"/>
    <w:tmpl w:val="06882CE3"/>
    <w:lvl w:ilvl="0" w:tentative="0">
      <w:start w:val="1"/>
      <w:numFmt w:val="decimal"/>
      <w:pStyle w:val="144"/>
      <w:suff w:val="nothing"/>
      <w:lvlText w:val="（%1）"/>
      <w:lvlJc w:val="left"/>
      <w:pPr>
        <w:ind w:left="1270" w:hanging="420"/>
      </w:pPr>
      <w:rPr>
        <w:b w:val="0"/>
        <w:bCs w:val="0"/>
        <w:i w:val="0"/>
        <w:iCs w:val="0"/>
        <w:caps w:val="0"/>
        <w:smallCaps w:val="0"/>
        <w:strike w:val="0"/>
        <w:dstrike w:val="0"/>
        <w:vanish w:val="0"/>
        <w:spacing w:val="0"/>
        <w:position w:val="0"/>
        <w:u w:val="none"/>
        <w:vertAlign w:val="baseline"/>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3265E1EC"/>
    <w:multiLevelType w:val="singleLevel"/>
    <w:tmpl w:val="3265E1EC"/>
    <w:lvl w:ilvl="0" w:tentative="0">
      <w:start w:val="1"/>
      <w:numFmt w:val="decimal"/>
      <w:lvlText w:val="(%1)"/>
      <w:lvlJc w:val="left"/>
      <w:pPr>
        <w:ind w:left="425" w:hanging="425"/>
      </w:pPr>
      <w:rPr>
        <w:rFonts w:hint="default"/>
      </w:rPr>
    </w:lvl>
  </w:abstractNum>
  <w:abstractNum w:abstractNumId="15">
    <w:nsid w:val="3CF6EF77"/>
    <w:multiLevelType w:val="singleLevel"/>
    <w:tmpl w:val="3CF6EF77"/>
    <w:lvl w:ilvl="0" w:tentative="0">
      <w:start w:val="1"/>
      <w:numFmt w:val="decimal"/>
      <w:lvlText w:val="%1."/>
      <w:lvlJc w:val="left"/>
      <w:pPr>
        <w:ind w:left="425" w:hanging="425"/>
      </w:pPr>
      <w:rPr>
        <w:rFonts w:hint="default"/>
      </w:rPr>
    </w:lvl>
  </w:abstractNum>
  <w:abstractNum w:abstractNumId="16">
    <w:nsid w:val="3D2537F8"/>
    <w:multiLevelType w:val="singleLevel"/>
    <w:tmpl w:val="3D2537F8"/>
    <w:lvl w:ilvl="0" w:tentative="0">
      <w:start w:val="1"/>
      <w:numFmt w:val="decimal"/>
      <w:lvlText w:val="%1."/>
      <w:lvlJc w:val="left"/>
      <w:pPr>
        <w:ind w:left="425" w:hanging="425"/>
      </w:pPr>
      <w:rPr>
        <w:rFonts w:hint="default"/>
        <w:color w:val="auto"/>
      </w:rPr>
    </w:lvl>
  </w:abstractNum>
  <w:abstractNum w:abstractNumId="17">
    <w:nsid w:val="4A8DA4C5"/>
    <w:multiLevelType w:val="singleLevel"/>
    <w:tmpl w:val="4A8DA4C5"/>
    <w:lvl w:ilvl="0" w:tentative="0">
      <w:start w:val="1"/>
      <w:numFmt w:val="bullet"/>
      <w:lvlText w:val=""/>
      <w:lvlJc w:val="left"/>
      <w:pPr>
        <w:ind w:left="0" w:firstLine="0"/>
      </w:pPr>
      <w:rPr>
        <w:rFonts w:hint="default" w:ascii="Wingdings" w:hAnsi="Wingdings"/>
      </w:rPr>
    </w:lvl>
  </w:abstractNum>
  <w:abstractNum w:abstractNumId="18">
    <w:nsid w:val="4F170FA9"/>
    <w:multiLevelType w:val="singleLevel"/>
    <w:tmpl w:val="4F170FA9"/>
    <w:lvl w:ilvl="0" w:tentative="0">
      <w:start w:val="1"/>
      <w:numFmt w:val="bullet"/>
      <w:lvlText w:val=""/>
      <w:lvlJc w:val="left"/>
      <w:pPr>
        <w:ind w:left="420" w:hanging="420"/>
      </w:pPr>
      <w:rPr>
        <w:rFonts w:hint="default" w:ascii="Wingdings" w:hAnsi="Wingdings"/>
      </w:rPr>
    </w:lvl>
  </w:abstractNum>
  <w:abstractNum w:abstractNumId="19">
    <w:nsid w:val="520018B0"/>
    <w:multiLevelType w:val="multilevel"/>
    <w:tmpl w:val="520018B0"/>
    <w:lvl w:ilvl="0" w:tentative="0">
      <w:start w:val="1"/>
      <w:numFmt w:val="decimal"/>
      <w:pStyle w:val="143"/>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D20133"/>
    <w:multiLevelType w:val="multilevel"/>
    <w:tmpl w:val="56D20133"/>
    <w:lvl w:ilvl="0" w:tentative="0">
      <w:start w:val="1"/>
      <w:numFmt w:val="chineseCountingThousand"/>
      <w:pStyle w:val="141"/>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1">
    <w:nsid w:val="5983D379"/>
    <w:multiLevelType w:val="singleLevel"/>
    <w:tmpl w:val="5983D379"/>
    <w:lvl w:ilvl="0" w:tentative="0">
      <w:start w:val="1"/>
      <w:numFmt w:val="decimal"/>
      <w:lvlText w:val="(%1)"/>
      <w:lvlJc w:val="left"/>
      <w:pPr>
        <w:ind w:left="425" w:hanging="425"/>
      </w:pPr>
      <w:rPr>
        <w:rFonts w:hint="default"/>
      </w:rPr>
    </w:lvl>
  </w:abstractNum>
  <w:abstractNum w:abstractNumId="22">
    <w:nsid w:val="656A6EAE"/>
    <w:multiLevelType w:val="multilevel"/>
    <w:tmpl w:val="656A6EAE"/>
    <w:lvl w:ilvl="0" w:tentative="0">
      <w:start w:val="1"/>
      <w:numFmt w:val="chineseCountingThousand"/>
      <w:pStyle w:val="140"/>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0"/>
  </w:num>
  <w:num w:numId="3">
    <w:abstractNumId w:val="19"/>
  </w:num>
  <w:num w:numId="4">
    <w:abstractNumId w:val="1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5"/>
  </w:num>
  <w:num w:numId="11">
    <w:abstractNumId w:val="0"/>
  </w:num>
  <w:num w:numId="12">
    <w:abstractNumId w:val="3"/>
  </w:num>
  <w:num w:numId="13">
    <w:abstractNumId w:val="21"/>
  </w:num>
  <w:num w:numId="14">
    <w:abstractNumId w:val="23"/>
  </w:num>
  <w:num w:numId="15">
    <w:abstractNumId w:val="14"/>
  </w:num>
  <w:num w:numId="16">
    <w:abstractNumId w:val="9"/>
  </w:num>
  <w:num w:numId="17">
    <w:abstractNumId w:val="8"/>
  </w:num>
  <w:num w:numId="18">
    <w:abstractNumId w:val="4"/>
  </w:num>
  <w:num w:numId="19">
    <w:abstractNumId w:val="1"/>
  </w:num>
  <w:num w:numId="20">
    <w:abstractNumId w:val="6"/>
  </w:num>
  <w:num w:numId="21">
    <w:abstractNumId w:val="11"/>
  </w:num>
  <w:num w:numId="22">
    <w:abstractNumId w:val="10"/>
  </w:num>
  <w:num w:numId="23">
    <w:abstractNumId w:val="17"/>
  </w:num>
  <w:num w:numId="24">
    <w:abstractNumId w:val="15"/>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xZjA4NjBkY2VhOTI2YTQyZjIwOGJmZjI0MTZmYTgifQ=="/>
    <w:docVar w:name="KSO_WPS_MARK_KEY" w:val="288773bf-0df4-413a-9f38-c1906dd68f40"/>
  </w:docVars>
  <w:rsids>
    <w:rsidRoot w:val="0056018A"/>
    <w:rsid w:val="000139F5"/>
    <w:rsid w:val="0001672F"/>
    <w:rsid w:val="00022B06"/>
    <w:rsid w:val="00036836"/>
    <w:rsid w:val="00041168"/>
    <w:rsid w:val="00044EF2"/>
    <w:rsid w:val="00056B44"/>
    <w:rsid w:val="0005777A"/>
    <w:rsid w:val="00065382"/>
    <w:rsid w:val="00080223"/>
    <w:rsid w:val="00082D2B"/>
    <w:rsid w:val="0008485B"/>
    <w:rsid w:val="000A5309"/>
    <w:rsid w:val="000D6A51"/>
    <w:rsid w:val="000E1E4B"/>
    <w:rsid w:val="000E2424"/>
    <w:rsid w:val="000E3EA5"/>
    <w:rsid w:val="000E557E"/>
    <w:rsid w:val="000F45A3"/>
    <w:rsid w:val="00112247"/>
    <w:rsid w:val="00123FEC"/>
    <w:rsid w:val="00132944"/>
    <w:rsid w:val="00161047"/>
    <w:rsid w:val="00177B0E"/>
    <w:rsid w:val="001C1EE3"/>
    <w:rsid w:val="001C713C"/>
    <w:rsid w:val="001D5949"/>
    <w:rsid w:val="001D75B9"/>
    <w:rsid w:val="001E400C"/>
    <w:rsid w:val="001F5010"/>
    <w:rsid w:val="00200F05"/>
    <w:rsid w:val="00220056"/>
    <w:rsid w:val="00262679"/>
    <w:rsid w:val="002626ED"/>
    <w:rsid w:val="00265A40"/>
    <w:rsid w:val="00282FDE"/>
    <w:rsid w:val="002866FD"/>
    <w:rsid w:val="0029130A"/>
    <w:rsid w:val="002B72D4"/>
    <w:rsid w:val="002E5C3E"/>
    <w:rsid w:val="002F396E"/>
    <w:rsid w:val="00306D49"/>
    <w:rsid w:val="003350EC"/>
    <w:rsid w:val="00357692"/>
    <w:rsid w:val="003624D5"/>
    <w:rsid w:val="00375FA5"/>
    <w:rsid w:val="003825C2"/>
    <w:rsid w:val="0039476D"/>
    <w:rsid w:val="003A4540"/>
    <w:rsid w:val="003B4D7D"/>
    <w:rsid w:val="003C45F8"/>
    <w:rsid w:val="003E0AB3"/>
    <w:rsid w:val="003E7D2A"/>
    <w:rsid w:val="00401C42"/>
    <w:rsid w:val="004076DE"/>
    <w:rsid w:val="00455E23"/>
    <w:rsid w:val="00460AFB"/>
    <w:rsid w:val="00462893"/>
    <w:rsid w:val="00470130"/>
    <w:rsid w:val="00483B0A"/>
    <w:rsid w:val="004A0895"/>
    <w:rsid w:val="004A3BFE"/>
    <w:rsid w:val="004B0E22"/>
    <w:rsid w:val="004B27DC"/>
    <w:rsid w:val="004B5126"/>
    <w:rsid w:val="004F70EA"/>
    <w:rsid w:val="004F7838"/>
    <w:rsid w:val="00503391"/>
    <w:rsid w:val="00520E48"/>
    <w:rsid w:val="005266C0"/>
    <w:rsid w:val="00526D2E"/>
    <w:rsid w:val="00544B3D"/>
    <w:rsid w:val="00552960"/>
    <w:rsid w:val="00557D2C"/>
    <w:rsid w:val="0056018A"/>
    <w:rsid w:val="00567344"/>
    <w:rsid w:val="005829DC"/>
    <w:rsid w:val="005C0B4E"/>
    <w:rsid w:val="005C421F"/>
    <w:rsid w:val="005C5B4C"/>
    <w:rsid w:val="005F16F0"/>
    <w:rsid w:val="00620A4E"/>
    <w:rsid w:val="006238AB"/>
    <w:rsid w:val="00642474"/>
    <w:rsid w:val="0065185D"/>
    <w:rsid w:val="00680629"/>
    <w:rsid w:val="00686C52"/>
    <w:rsid w:val="00696EF6"/>
    <w:rsid w:val="006A63F8"/>
    <w:rsid w:val="006A6E1F"/>
    <w:rsid w:val="006B7EDD"/>
    <w:rsid w:val="006C435E"/>
    <w:rsid w:val="006F1414"/>
    <w:rsid w:val="007043C0"/>
    <w:rsid w:val="007054EE"/>
    <w:rsid w:val="007106F9"/>
    <w:rsid w:val="0072187C"/>
    <w:rsid w:val="007266BC"/>
    <w:rsid w:val="007432BF"/>
    <w:rsid w:val="007525BF"/>
    <w:rsid w:val="00767296"/>
    <w:rsid w:val="007768D0"/>
    <w:rsid w:val="007800DC"/>
    <w:rsid w:val="007838AA"/>
    <w:rsid w:val="00783D5E"/>
    <w:rsid w:val="00785FD6"/>
    <w:rsid w:val="007B212D"/>
    <w:rsid w:val="007D7A72"/>
    <w:rsid w:val="008024AB"/>
    <w:rsid w:val="00806A61"/>
    <w:rsid w:val="0081327B"/>
    <w:rsid w:val="00824BFD"/>
    <w:rsid w:val="00830FFE"/>
    <w:rsid w:val="00843F57"/>
    <w:rsid w:val="008453B3"/>
    <w:rsid w:val="008716CC"/>
    <w:rsid w:val="008D3B56"/>
    <w:rsid w:val="008D5CEF"/>
    <w:rsid w:val="008E45E8"/>
    <w:rsid w:val="009037F8"/>
    <w:rsid w:val="00904B1A"/>
    <w:rsid w:val="00930798"/>
    <w:rsid w:val="009360F9"/>
    <w:rsid w:val="009426E9"/>
    <w:rsid w:val="00964F00"/>
    <w:rsid w:val="00982CD6"/>
    <w:rsid w:val="009A2F47"/>
    <w:rsid w:val="009B511E"/>
    <w:rsid w:val="009D310C"/>
    <w:rsid w:val="009E0F5E"/>
    <w:rsid w:val="009F4302"/>
    <w:rsid w:val="00A03AF3"/>
    <w:rsid w:val="00A21EB2"/>
    <w:rsid w:val="00A31561"/>
    <w:rsid w:val="00A43634"/>
    <w:rsid w:val="00A54E95"/>
    <w:rsid w:val="00A80564"/>
    <w:rsid w:val="00A90522"/>
    <w:rsid w:val="00A960B2"/>
    <w:rsid w:val="00AE6633"/>
    <w:rsid w:val="00AF59B2"/>
    <w:rsid w:val="00B01FF1"/>
    <w:rsid w:val="00B03278"/>
    <w:rsid w:val="00B30684"/>
    <w:rsid w:val="00B458EE"/>
    <w:rsid w:val="00B5411E"/>
    <w:rsid w:val="00B613C7"/>
    <w:rsid w:val="00B72516"/>
    <w:rsid w:val="00B92C97"/>
    <w:rsid w:val="00BA3C70"/>
    <w:rsid w:val="00BA6FAF"/>
    <w:rsid w:val="00BB1608"/>
    <w:rsid w:val="00BB4E42"/>
    <w:rsid w:val="00BF0E19"/>
    <w:rsid w:val="00C01073"/>
    <w:rsid w:val="00C17C95"/>
    <w:rsid w:val="00C22FC1"/>
    <w:rsid w:val="00C32C7A"/>
    <w:rsid w:val="00C71D1A"/>
    <w:rsid w:val="00C736E0"/>
    <w:rsid w:val="00C855F6"/>
    <w:rsid w:val="00C92F53"/>
    <w:rsid w:val="00CD5223"/>
    <w:rsid w:val="00CE409A"/>
    <w:rsid w:val="00CE5010"/>
    <w:rsid w:val="00CE6E17"/>
    <w:rsid w:val="00D0528A"/>
    <w:rsid w:val="00D11B37"/>
    <w:rsid w:val="00D408EF"/>
    <w:rsid w:val="00D44015"/>
    <w:rsid w:val="00D5145C"/>
    <w:rsid w:val="00D57EA8"/>
    <w:rsid w:val="00D62ED5"/>
    <w:rsid w:val="00D64DAE"/>
    <w:rsid w:val="00D729A1"/>
    <w:rsid w:val="00DB5225"/>
    <w:rsid w:val="00DB7E17"/>
    <w:rsid w:val="00DD1E5E"/>
    <w:rsid w:val="00DD3D18"/>
    <w:rsid w:val="00DE474D"/>
    <w:rsid w:val="00DE6417"/>
    <w:rsid w:val="00E16182"/>
    <w:rsid w:val="00E1627A"/>
    <w:rsid w:val="00E20C70"/>
    <w:rsid w:val="00E34C35"/>
    <w:rsid w:val="00E57BC5"/>
    <w:rsid w:val="00E650A8"/>
    <w:rsid w:val="00E878B4"/>
    <w:rsid w:val="00EA01FC"/>
    <w:rsid w:val="00EB3D00"/>
    <w:rsid w:val="00EE6D96"/>
    <w:rsid w:val="00F1187B"/>
    <w:rsid w:val="00F14C40"/>
    <w:rsid w:val="00F4721A"/>
    <w:rsid w:val="00F545E2"/>
    <w:rsid w:val="00F71720"/>
    <w:rsid w:val="00F9257D"/>
    <w:rsid w:val="00FA062A"/>
    <w:rsid w:val="00FE040F"/>
    <w:rsid w:val="00FE42B3"/>
    <w:rsid w:val="01081B3E"/>
    <w:rsid w:val="014832F2"/>
    <w:rsid w:val="014D51C1"/>
    <w:rsid w:val="01576403"/>
    <w:rsid w:val="01714809"/>
    <w:rsid w:val="01BB2C67"/>
    <w:rsid w:val="01C52478"/>
    <w:rsid w:val="022F2C26"/>
    <w:rsid w:val="02567262"/>
    <w:rsid w:val="027408EE"/>
    <w:rsid w:val="02963F39"/>
    <w:rsid w:val="02B037A6"/>
    <w:rsid w:val="02B3095A"/>
    <w:rsid w:val="02BA7274"/>
    <w:rsid w:val="02F676C8"/>
    <w:rsid w:val="03251978"/>
    <w:rsid w:val="0325718A"/>
    <w:rsid w:val="032A08BF"/>
    <w:rsid w:val="03D567D9"/>
    <w:rsid w:val="04027A1F"/>
    <w:rsid w:val="041078B8"/>
    <w:rsid w:val="042921B6"/>
    <w:rsid w:val="043B72BB"/>
    <w:rsid w:val="04461EC1"/>
    <w:rsid w:val="04504B3F"/>
    <w:rsid w:val="04831DF5"/>
    <w:rsid w:val="04A3012C"/>
    <w:rsid w:val="04AD02B8"/>
    <w:rsid w:val="04C91335"/>
    <w:rsid w:val="04DE51C8"/>
    <w:rsid w:val="04DF17D4"/>
    <w:rsid w:val="050664D1"/>
    <w:rsid w:val="05174255"/>
    <w:rsid w:val="05410997"/>
    <w:rsid w:val="05412745"/>
    <w:rsid w:val="05491761"/>
    <w:rsid w:val="05515CC6"/>
    <w:rsid w:val="055D755A"/>
    <w:rsid w:val="058761A0"/>
    <w:rsid w:val="05A351AD"/>
    <w:rsid w:val="05F9748A"/>
    <w:rsid w:val="06266F78"/>
    <w:rsid w:val="063E7B7A"/>
    <w:rsid w:val="06582413"/>
    <w:rsid w:val="065B5A88"/>
    <w:rsid w:val="067E33B8"/>
    <w:rsid w:val="06E7115B"/>
    <w:rsid w:val="06E82FCB"/>
    <w:rsid w:val="06F34B95"/>
    <w:rsid w:val="072858CC"/>
    <w:rsid w:val="07571DAC"/>
    <w:rsid w:val="076047F0"/>
    <w:rsid w:val="07645CFB"/>
    <w:rsid w:val="07C56A5D"/>
    <w:rsid w:val="07FC1127"/>
    <w:rsid w:val="08493425"/>
    <w:rsid w:val="0886328A"/>
    <w:rsid w:val="088A5513"/>
    <w:rsid w:val="08DD171B"/>
    <w:rsid w:val="08E64121"/>
    <w:rsid w:val="08EE34FB"/>
    <w:rsid w:val="091D420B"/>
    <w:rsid w:val="093D4FB7"/>
    <w:rsid w:val="093E2A38"/>
    <w:rsid w:val="0942017F"/>
    <w:rsid w:val="09480908"/>
    <w:rsid w:val="096473F5"/>
    <w:rsid w:val="096F3207"/>
    <w:rsid w:val="09BA1FBB"/>
    <w:rsid w:val="09CA2C4D"/>
    <w:rsid w:val="09CB139F"/>
    <w:rsid w:val="09D71932"/>
    <w:rsid w:val="0A0106F5"/>
    <w:rsid w:val="0A112AB7"/>
    <w:rsid w:val="0A447D68"/>
    <w:rsid w:val="0A4E5482"/>
    <w:rsid w:val="0AAA504A"/>
    <w:rsid w:val="0AC402B6"/>
    <w:rsid w:val="0ACE1C7C"/>
    <w:rsid w:val="0AD71BC7"/>
    <w:rsid w:val="0ADB5CDD"/>
    <w:rsid w:val="0AED5C70"/>
    <w:rsid w:val="0AF420EB"/>
    <w:rsid w:val="0AFB4013"/>
    <w:rsid w:val="0B2B2BF5"/>
    <w:rsid w:val="0B2F3908"/>
    <w:rsid w:val="0B3F6206"/>
    <w:rsid w:val="0B472137"/>
    <w:rsid w:val="0B7E67EB"/>
    <w:rsid w:val="0B8C5B00"/>
    <w:rsid w:val="0BE12DB6"/>
    <w:rsid w:val="0BE72997"/>
    <w:rsid w:val="0BFC6504"/>
    <w:rsid w:val="0C345AD1"/>
    <w:rsid w:val="0C552FCB"/>
    <w:rsid w:val="0C626CE4"/>
    <w:rsid w:val="0D08498F"/>
    <w:rsid w:val="0D0C2B7B"/>
    <w:rsid w:val="0D9308F8"/>
    <w:rsid w:val="0DE76C3D"/>
    <w:rsid w:val="0E1A1D85"/>
    <w:rsid w:val="0E3C75E8"/>
    <w:rsid w:val="0E6B26B6"/>
    <w:rsid w:val="0E750568"/>
    <w:rsid w:val="0E9C3C97"/>
    <w:rsid w:val="0EA55D13"/>
    <w:rsid w:val="0EBA2435"/>
    <w:rsid w:val="0F0F31C4"/>
    <w:rsid w:val="0F2D7A80"/>
    <w:rsid w:val="0F4277E5"/>
    <w:rsid w:val="0F5F09C4"/>
    <w:rsid w:val="0FA75561"/>
    <w:rsid w:val="0FB83603"/>
    <w:rsid w:val="0FBE4261"/>
    <w:rsid w:val="0FCA77F1"/>
    <w:rsid w:val="0FCD5DCC"/>
    <w:rsid w:val="10043197"/>
    <w:rsid w:val="101A497B"/>
    <w:rsid w:val="10270545"/>
    <w:rsid w:val="103409DF"/>
    <w:rsid w:val="10426AFF"/>
    <w:rsid w:val="10492BB2"/>
    <w:rsid w:val="105E16A3"/>
    <w:rsid w:val="107F4121"/>
    <w:rsid w:val="108A1D4B"/>
    <w:rsid w:val="10A10111"/>
    <w:rsid w:val="10BE093E"/>
    <w:rsid w:val="10C72515"/>
    <w:rsid w:val="10E16942"/>
    <w:rsid w:val="10E20BD8"/>
    <w:rsid w:val="10EB7251"/>
    <w:rsid w:val="110F618C"/>
    <w:rsid w:val="111B0FE9"/>
    <w:rsid w:val="112273AB"/>
    <w:rsid w:val="112C77F4"/>
    <w:rsid w:val="114755AB"/>
    <w:rsid w:val="115F67A8"/>
    <w:rsid w:val="118328C8"/>
    <w:rsid w:val="119A7465"/>
    <w:rsid w:val="119B76A5"/>
    <w:rsid w:val="11AE1BB4"/>
    <w:rsid w:val="11C07DA5"/>
    <w:rsid w:val="11C2491E"/>
    <w:rsid w:val="11F36B75"/>
    <w:rsid w:val="12303925"/>
    <w:rsid w:val="123B45F5"/>
    <w:rsid w:val="12491386"/>
    <w:rsid w:val="12E60579"/>
    <w:rsid w:val="12EB0F02"/>
    <w:rsid w:val="13057392"/>
    <w:rsid w:val="13695B36"/>
    <w:rsid w:val="1372609F"/>
    <w:rsid w:val="138A301D"/>
    <w:rsid w:val="13CD6F8A"/>
    <w:rsid w:val="13D73572"/>
    <w:rsid w:val="141476FE"/>
    <w:rsid w:val="1449272D"/>
    <w:rsid w:val="14504752"/>
    <w:rsid w:val="145A6A37"/>
    <w:rsid w:val="1467440F"/>
    <w:rsid w:val="146B2014"/>
    <w:rsid w:val="147F6DAD"/>
    <w:rsid w:val="14846AB8"/>
    <w:rsid w:val="14E05B4D"/>
    <w:rsid w:val="14FA1F7A"/>
    <w:rsid w:val="15400323"/>
    <w:rsid w:val="15433A9B"/>
    <w:rsid w:val="15545B0C"/>
    <w:rsid w:val="159233F2"/>
    <w:rsid w:val="15BB45B7"/>
    <w:rsid w:val="15D346A7"/>
    <w:rsid w:val="15D93B67"/>
    <w:rsid w:val="15E9057E"/>
    <w:rsid w:val="15FC2F04"/>
    <w:rsid w:val="16181FAC"/>
    <w:rsid w:val="16450C97"/>
    <w:rsid w:val="16666C4E"/>
    <w:rsid w:val="168756A0"/>
    <w:rsid w:val="16F94849"/>
    <w:rsid w:val="17045E51"/>
    <w:rsid w:val="172011D4"/>
    <w:rsid w:val="17252C3B"/>
    <w:rsid w:val="173F0A2E"/>
    <w:rsid w:val="17770BC2"/>
    <w:rsid w:val="177A3491"/>
    <w:rsid w:val="17860E2F"/>
    <w:rsid w:val="17A119AA"/>
    <w:rsid w:val="17C355BE"/>
    <w:rsid w:val="17E85AC5"/>
    <w:rsid w:val="18104A8B"/>
    <w:rsid w:val="182E403B"/>
    <w:rsid w:val="18426B32"/>
    <w:rsid w:val="18586F2B"/>
    <w:rsid w:val="187D53EA"/>
    <w:rsid w:val="19A766B9"/>
    <w:rsid w:val="19B06735"/>
    <w:rsid w:val="19CE76BA"/>
    <w:rsid w:val="19F26070"/>
    <w:rsid w:val="19F97C8B"/>
    <w:rsid w:val="1A10270C"/>
    <w:rsid w:val="1A1523CE"/>
    <w:rsid w:val="1A640A2C"/>
    <w:rsid w:val="1AA730BD"/>
    <w:rsid w:val="1B333D5D"/>
    <w:rsid w:val="1B400146"/>
    <w:rsid w:val="1B587618"/>
    <w:rsid w:val="1B5E56C2"/>
    <w:rsid w:val="1B5F19C7"/>
    <w:rsid w:val="1B84164C"/>
    <w:rsid w:val="1C1C709B"/>
    <w:rsid w:val="1C4A05F8"/>
    <w:rsid w:val="1C4F6795"/>
    <w:rsid w:val="1C687BA8"/>
    <w:rsid w:val="1C7723C1"/>
    <w:rsid w:val="1C9F6814"/>
    <w:rsid w:val="1CA7399C"/>
    <w:rsid w:val="1D5C514E"/>
    <w:rsid w:val="1D865D14"/>
    <w:rsid w:val="1D8705EC"/>
    <w:rsid w:val="1DBE0159"/>
    <w:rsid w:val="1DEC0E7D"/>
    <w:rsid w:val="1E344794"/>
    <w:rsid w:val="1E40742E"/>
    <w:rsid w:val="1E43150B"/>
    <w:rsid w:val="1E544E3F"/>
    <w:rsid w:val="1EA93E80"/>
    <w:rsid w:val="1EC16A83"/>
    <w:rsid w:val="1ED33FB6"/>
    <w:rsid w:val="1EDC0931"/>
    <w:rsid w:val="1EE011E0"/>
    <w:rsid w:val="1EE81332"/>
    <w:rsid w:val="1F32415A"/>
    <w:rsid w:val="1F4160D7"/>
    <w:rsid w:val="1F542F9A"/>
    <w:rsid w:val="1F6D241E"/>
    <w:rsid w:val="1F702632"/>
    <w:rsid w:val="1F7E2174"/>
    <w:rsid w:val="1FAE4B27"/>
    <w:rsid w:val="20107567"/>
    <w:rsid w:val="20313E48"/>
    <w:rsid w:val="204E750E"/>
    <w:rsid w:val="208244E5"/>
    <w:rsid w:val="20AB56C6"/>
    <w:rsid w:val="20E21F80"/>
    <w:rsid w:val="21547789"/>
    <w:rsid w:val="216F2E69"/>
    <w:rsid w:val="21760275"/>
    <w:rsid w:val="2176507C"/>
    <w:rsid w:val="21AC4ECC"/>
    <w:rsid w:val="21AD074F"/>
    <w:rsid w:val="21BE35AF"/>
    <w:rsid w:val="21C11174"/>
    <w:rsid w:val="21DA38AD"/>
    <w:rsid w:val="21F94FCB"/>
    <w:rsid w:val="22010E3A"/>
    <w:rsid w:val="22244B28"/>
    <w:rsid w:val="222C6A9F"/>
    <w:rsid w:val="22325497"/>
    <w:rsid w:val="22467FD4"/>
    <w:rsid w:val="224C3750"/>
    <w:rsid w:val="22667643"/>
    <w:rsid w:val="228935B5"/>
    <w:rsid w:val="229451FD"/>
    <w:rsid w:val="22A12DB6"/>
    <w:rsid w:val="22B01277"/>
    <w:rsid w:val="236356D1"/>
    <w:rsid w:val="23672FA4"/>
    <w:rsid w:val="23A45F21"/>
    <w:rsid w:val="23A91C83"/>
    <w:rsid w:val="23C962E8"/>
    <w:rsid w:val="243F7403"/>
    <w:rsid w:val="247E4FED"/>
    <w:rsid w:val="24AD78E0"/>
    <w:rsid w:val="24B30BE8"/>
    <w:rsid w:val="24BC5AD3"/>
    <w:rsid w:val="24E10292"/>
    <w:rsid w:val="24E34060"/>
    <w:rsid w:val="253A0491"/>
    <w:rsid w:val="254E0478"/>
    <w:rsid w:val="259322B4"/>
    <w:rsid w:val="25AF6361"/>
    <w:rsid w:val="25C50504"/>
    <w:rsid w:val="25E036B2"/>
    <w:rsid w:val="25E75BA2"/>
    <w:rsid w:val="25E9082A"/>
    <w:rsid w:val="25F42473"/>
    <w:rsid w:val="260A0FF9"/>
    <w:rsid w:val="26436BD4"/>
    <w:rsid w:val="265C2AE3"/>
    <w:rsid w:val="269C17B8"/>
    <w:rsid w:val="26AF2D79"/>
    <w:rsid w:val="26B34B91"/>
    <w:rsid w:val="26ED706D"/>
    <w:rsid w:val="26F853FE"/>
    <w:rsid w:val="26F92E80"/>
    <w:rsid w:val="270D66E8"/>
    <w:rsid w:val="27514612"/>
    <w:rsid w:val="278B0DAB"/>
    <w:rsid w:val="278D3850"/>
    <w:rsid w:val="279C6B0E"/>
    <w:rsid w:val="27A64735"/>
    <w:rsid w:val="27CC4DF2"/>
    <w:rsid w:val="27FC39A7"/>
    <w:rsid w:val="280D64D7"/>
    <w:rsid w:val="281864F2"/>
    <w:rsid w:val="28341582"/>
    <w:rsid w:val="283D5C30"/>
    <w:rsid w:val="28634650"/>
    <w:rsid w:val="286903EF"/>
    <w:rsid w:val="287F5DD3"/>
    <w:rsid w:val="288047CB"/>
    <w:rsid w:val="289E62FA"/>
    <w:rsid w:val="28DB3015"/>
    <w:rsid w:val="28FD6E90"/>
    <w:rsid w:val="291E2CA6"/>
    <w:rsid w:val="29331862"/>
    <w:rsid w:val="29606AF1"/>
    <w:rsid w:val="299741EC"/>
    <w:rsid w:val="299E147F"/>
    <w:rsid w:val="29C32A87"/>
    <w:rsid w:val="29CF26DC"/>
    <w:rsid w:val="29FB0EEE"/>
    <w:rsid w:val="2A1C5DA0"/>
    <w:rsid w:val="2A200D39"/>
    <w:rsid w:val="2A507EFF"/>
    <w:rsid w:val="2A5F2FA3"/>
    <w:rsid w:val="2AAB37D0"/>
    <w:rsid w:val="2ADC05A4"/>
    <w:rsid w:val="2AEF2177"/>
    <w:rsid w:val="2B0B6B2D"/>
    <w:rsid w:val="2B46348F"/>
    <w:rsid w:val="2B5E3CCB"/>
    <w:rsid w:val="2B654BED"/>
    <w:rsid w:val="2B6F0D7F"/>
    <w:rsid w:val="2B8716BD"/>
    <w:rsid w:val="2B8B76FF"/>
    <w:rsid w:val="2B97636B"/>
    <w:rsid w:val="2BA07020"/>
    <w:rsid w:val="2BB97F4A"/>
    <w:rsid w:val="2BD5034F"/>
    <w:rsid w:val="2BF77A2F"/>
    <w:rsid w:val="2C370819"/>
    <w:rsid w:val="2C5F3D9D"/>
    <w:rsid w:val="2C61165D"/>
    <w:rsid w:val="2C88731E"/>
    <w:rsid w:val="2CF85053"/>
    <w:rsid w:val="2D002B75"/>
    <w:rsid w:val="2D025012"/>
    <w:rsid w:val="2D2B45A9"/>
    <w:rsid w:val="2D4178F0"/>
    <w:rsid w:val="2DAE631A"/>
    <w:rsid w:val="2DD877E0"/>
    <w:rsid w:val="2DE616C9"/>
    <w:rsid w:val="2DFC2451"/>
    <w:rsid w:val="2E112405"/>
    <w:rsid w:val="2E3422F8"/>
    <w:rsid w:val="2E6E566D"/>
    <w:rsid w:val="2E7F188E"/>
    <w:rsid w:val="2EBC0905"/>
    <w:rsid w:val="2EC73739"/>
    <w:rsid w:val="2EFB1B0E"/>
    <w:rsid w:val="2F5C684F"/>
    <w:rsid w:val="2F63756E"/>
    <w:rsid w:val="2F933A9E"/>
    <w:rsid w:val="2FA45F37"/>
    <w:rsid w:val="2FAE20C9"/>
    <w:rsid w:val="2FBF7DE5"/>
    <w:rsid w:val="3032101E"/>
    <w:rsid w:val="306927FC"/>
    <w:rsid w:val="307776D1"/>
    <w:rsid w:val="307B2717"/>
    <w:rsid w:val="30862574"/>
    <w:rsid w:val="30B631E1"/>
    <w:rsid w:val="30C05531"/>
    <w:rsid w:val="30E57BC8"/>
    <w:rsid w:val="311933AA"/>
    <w:rsid w:val="31414A5E"/>
    <w:rsid w:val="315B788A"/>
    <w:rsid w:val="315E658D"/>
    <w:rsid w:val="3168109A"/>
    <w:rsid w:val="317D15BB"/>
    <w:rsid w:val="31D07E6C"/>
    <w:rsid w:val="31F533D1"/>
    <w:rsid w:val="320A7897"/>
    <w:rsid w:val="323F65DA"/>
    <w:rsid w:val="32412074"/>
    <w:rsid w:val="32DE0199"/>
    <w:rsid w:val="333C2963"/>
    <w:rsid w:val="333F72CE"/>
    <w:rsid w:val="335B2774"/>
    <w:rsid w:val="338B331E"/>
    <w:rsid w:val="33A20D45"/>
    <w:rsid w:val="33A4642E"/>
    <w:rsid w:val="33D1020F"/>
    <w:rsid w:val="33D4039C"/>
    <w:rsid w:val="33D47E05"/>
    <w:rsid w:val="33EC194A"/>
    <w:rsid w:val="3413677D"/>
    <w:rsid w:val="342B544B"/>
    <w:rsid w:val="345E036E"/>
    <w:rsid w:val="34C47852"/>
    <w:rsid w:val="34DE1E4F"/>
    <w:rsid w:val="34F07DB1"/>
    <w:rsid w:val="35216C38"/>
    <w:rsid w:val="35486AF7"/>
    <w:rsid w:val="359009FB"/>
    <w:rsid w:val="35D354B8"/>
    <w:rsid w:val="35D4025C"/>
    <w:rsid w:val="36063A32"/>
    <w:rsid w:val="362666BC"/>
    <w:rsid w:val="36445A95"/>
    <w:rsid w:val="368A6B11"/>
    <w:rsid w:val="36A238B1"/>
    <w:rsid w:val="37085B1F"/>
    <w:rsid w:val="37103EE5"/>
    <w:rsid w:val="372E04CB"/>
    <w:rsid w:val="37317C9C"/>
    <w:rsid w:val="38E070F2"/>
    <w:rsid w:val="390D33AB"/>
    <w:rsid w:val="391E6D06"/>
    <w:rsid w:val="395F3BF8"/>
    <w:rsid w:val="39DC5BB6"/>
    <w:rsid w:val="39F1031B"/>
    <w:rsid w:val="3A074847"/>
    <w:rsid w:val="3A25385A"/>
    <w:rsid w:val="3A830B2E"/>
    <w:rsid w:val="3AA90FE6"/>
    <w:rsid w:val="3AA9318F"/>
    <w:rsid w:val="3AB62DA0"/>
    <w:rsid w:val="3AD04447"/>
    <w:rsid w:val="3AEA41B5"/>
    <w:rsid w:val="3B414BC4"/>
    <w:rsid w:val="3B69577B"/>
    <w:rsid w:val="3B702D85"/>
    <w:rsid w:val="3B7905A1"/>
    <w:rsid w:val="3B7D3FD5"/>
    <w:rsid w:val="3B823DDF"/>
    <w:rsid w:val="3BD827B4"/>
    <w:rsid w:val="3C237ED3"/>
    <w:rsid w:val="3C317D4F"/>
    <w:rsid w:val="3C4D2D59"/>
    <w:rsid w:val="3CAA596A"/>
    <w:rsid w:val="3CAF1D22"/>
    <w:rsid w:val="3CB1587B"/>
    <w:rsid w:val="3CB735F2"/>
    <w:rsid w:val="3CFC4E99"/>
    <w:rsid w:val="3D186684"/>
    <w:rsid w:val="3D363C36"/>
    <w:rsid w:val="3D68584E"/>
    <w:rsid w:val="3D8B2178"/>
    <w:rsid w:val="3DB34909"/>
    <w:rsid w:val="3DCA67EC"/>
    <w:rsid w:val="3DD115F5"/>
    <w:rsid w:val="3DE435F0"/>
    <w:rsid w:val="3DE5122C"/>
    <w:rsid w:val="3DF37E53"/>
    <w:rsid w:val="3E1768EB"/>
    <w:rsid w:val="3E212A7E"/>
    <w:rsid w:val="3E47743A"/>
    <w:rsid w:val="3EB70D31"/>
    <w:rsid w:val="3ED26DE9"/>
    <w:rsid w:val="3EED17D0"/>
    <w:rsid w:val="3F052CF0"/>
    <w:rsid w:val="3F0C0304"/>
    <w:rsid w:val="3F774839"/>
    <w:rsid w:val="3FEC147E"/>
    <w:rsid w:val="400D1324"/>
    <w:rsid w:val="40111F29"/>
    <w:rsid w:val="401A01BA"/>
    <w:rsid w:val="40376375"/>
    <w:rsid w:val="40506A6D"/>
    <w:rsid w:val="407D0E43"/>
    <w:rsid w:val="40980F08"/>
    <w:rsid w:val="40A23390"/>
    <w:rsid w:val="40C83C56"/>
    <w:rsid w:val="40E340D5"/>
    <w:rsid w:val="40F3251B"/>
    <w:rsid w:val="412732B7"/>
    <w:rsid w:val="4127791F"/>
    <w:rsid w:val="41281794"/>
    <w:rsid w:val="413C1FDF"/>
    <w:rsid w:val="41806A69"/>
    <w:rsid w:val="41980AAB"/>
    <w:rsid w:val="41A40141"/>
    <w:rsid w:val="41B0259C"/>
    <w:rsid w:val="41BC6F1C"/>
    <w:rsid w:val="41EF2363"/>
    <w:rsid w:val="41F77860"/>
    <w:rsid w:val="424A4B98"/>
    <w:rsid w:val="424F27D8"/>
    <w:rsid w:val="42581D3A"/>
    <w:rsid w:val="429C4E56"/>
    <w:rsid w:val="42E42CCB"/>
    <w:rsid w:val="42ED2EA4"/>
    <w:rsid w:val="42F37A63"/>
    <w:rsid w:val="42F6649D"/>
    <w:rsid w:val="42FE0080"/>
    <w:rsid w:val="43315D2E"/>
    <w:rsid w:val="43670C99"/>
    <w:rsid w:val="43824A1C"/>
    <w:rsid w:val="43BA782C"/>
    <w:rsid w:val="43D110E1"/>
    <w:rsid w:val="43E048FB"/>
    <w:rsid w:val="43E873C9"/>
    <w:rsid w:val="43EF4482"/>
    <w:rsid w:val="441831E0"/>
    <w:rsid w:val="448B5C69"/>
    <w:rsid w:val="44905B1F"/>
    <w:rsid w:val="44A3327A"/>
    <w:rsid w:val="44C81F67"/>
    <w:rsid w:val="45316885"/>
    <w:rsid w:val="459B1F40"/>
    <w:rsid w:val="45A95EE9"/>
    <w:rsid w:val="45E6754E"/>
    <w:rsid w:val="45EA5542"/>
    <w:rsid w:val="45FB0F21"/>
    <w:rsid w:val="46130905"/>
    <w:rsid w:val="46167166"/>
    <w:rsid w:val="4636719A"/>
    <w:rsid w:val="463A65C6"/>
    <w:rsid w:val="464858DB"/>
    <w:rsid w:val="4650656B"/>
    <w:rsid w:val="46685E10"/>
    <w:rsid w:val="46812687"/>
    <w:rsid w:val="46D73EC6"/>
    <w:rsid w:val="470D6ABA"/>
    <w:rsid w:val="47200EE3"/>
    <w:rsid w:val="47435AC2"/>
    <w:rsid w:val="47544B78"/>
    <w:rsid w:val="47587AF7"/>
    <w:rsid w:val="47745A86"/>
    <w:rsid w:val="478D3B1B"/>
    <w:rsid w:val="47C9778B"/>
    <w:rsid w:val="47CB5A57"/>
    <w:rsid w:val="47E239AC"/>
    <w:rsid w:val="47F33399"/>
    <w:rsid w:val="480C42C3"/>
    <w:rsid w:val="480F4B73"/>
    <w:rsid w:val="4816227E"/>
    <w:rsid w:val="4862144E"/>
    <w:rsid w:val="487974BD"/>
    <w:rsid w:val="489E3831"/>
    <w:rsid w:val="48B9571B"/>
    <w:rsid w:val="48DB38E3"/>
    <w:rsid w:val="49001B5E"/>
    <w:rsid w:val="4904108C"/>
    <w:rsid w:val="493443AD"/>
    <w:rsid w:val="49376DB0"/>
    <w:rsid w:val="493D4634"/>
    <w:rsid w:val="49551CDB"/>
    <w:rsid w:val="49605AEE"/>
    <w:rsid w:val="497E3057"/>
    <w:rsid w:val="49804BB7"/>
    <w:rsid w:val="49826DCB"/>
    <w:rsid w:val="499013E7"/>
    <w:rsid w:val="49A23322"/>
    <w:rsid w:val="49C8088A"/>
    <w:rsid w:val="49F031DE"/>
    <w:rsid w:val="49F772E6"/>
    <w:rsid w:val="4A0F6D68"/>
    <w:rsid w:val="4A301C93"/>
    <w:rsid w:val="4A3302AB"/>
    <w:rsid w:val="4A4C47F2"/>
    <w:rsid w:val="4A572A17"/>
    <w:rsid w:val="4A6F2535"/>
    <w:rsid w:val="4A7224B3"/>
    <w:rsid w:val="4A7378B9"/>
    <w:rsid w:val="4A7706DB"/>
    <w:rsid w:val="4A781387"/>
    <w:rsid w:val="4A8C219C"/>
    <w:rsid w:val="4A901A63"/>
    <w:rsid w:val="4A9C5875"/>
    <w:rsid w:val="4AC85D49"/>
    <w:rsid w:val="4ACD18C8"/>
    <w:rsid w:val="4AE308A9"/>
    <w:rsid w:val="4B260F2D"/>
    <w:rsid w:val="4B9A1456"/>
    <w:rsid w:val="4BA32C82"/>
    <w:rsid w:val="4BDB6202"/>
    <w:rsid w:val="4BE70627"/>
    <w:rsid w:val="4C0A5AE1"/>
    <w:rsid w:val="4C130AB8"/>
    <w:rsid w:val="4C5A284D"/>
    <w:rsid w:val="4C5C0673"/>
    <w:rsid w:val="4CB96B43"/>
    <w:rsid w:val="4CC61682"/>
    <w:rsid w:val="4CC75FCC"/>
    <w:rsid w:val="4CC87A5E"/>
    <w:rsid w:val="4CD63947"/>
    <w:rsid w:val="4CFC49F4"/>
    <w:rsid w:val="4D0314E7"/>
    <w:rsid w:val="4D073D73"/>
    <w:rsid w:val="4D1E27BA"/>
    <w:rsid w:val="4D23574A"/>
    <w:rsid w:val="4D4C4DB0"/>
    <w:rsid w:val="4D7322D5"/>
    <w:rsid w:val="4DA42413"/>
    <w:rsid w:val="4DD7034C"/>
    <w:rsid w:val="4DE312CB"/>
    <w:rsid w:val="4DF5318E"/>
    <w:rsid w:val="4E0D199A"/>
    <w:rsid w:val="4E0E0BAE"/>
    <w:rsid w:val="4E1F4862"/>
    <w:rsid w:val="4E2E4393"/>
    <w:rsid w:val="4E4478F5"/>
    <w:rsid w:val="4E535EF2"/>
    <w:rsid w:val="4E915EFB"/>
    <w:rsid w:val="4F08773C"/>
    <w:rsid w:val="4F31409F"/>
    <w:rsid w:val="4F391107"/>
    <w:rsid w:val="4F5E670E"/>
    <w:rsid w:val="4F846A83"/>
    <w:rsid w:val="50070E2C"/>
    <w:rsid w:val="50093D5E"/>
    <w:rsid w:val="501112F3"/>
    <w:rsid w:val="504B57F2"/>
    <w:rsid w:val="50514152"/>
    <w:rsid w:val="50850D04"/>
    <w:rsid w:val="50C5433A"/>
    <w:rsid w:val="50C62BC7"/>
    <w:rsid w:val="50C879B4"/>
    <w:rsid w:val="50D40EA8"/>
    <w:rsid w:val="50F72A66"/>
    <w:rsid w:val="5123368C"/>
    <w:rsid w:val="51291C37"/>
    <w:rsid w:val="5130747C"/>
    <w:rsid w:val="515C765A"/>
    <w:rsid w:val="51905BB3"/>
    <w:rsid w:val="51922560"/>
    <w:rsid w:val="51946FCB"/>
    <w:rsid w:val="51DD796B"/>
    <w:rsid w:val="51DF373B"/>
    <w:rsid w:val="52A511EA"/>
    <w:rsid w:val="52EF4CB5"/>
    <w:rsid w:val="52F959F0"/>
    <w:rsid w:val="5302488E"/>
    <w:rsid w:val="530323B4"/>
    <w:rsid w:val="53136173"/>
    <w:rsid w:val="534B12B7"/>
    <w:rsid w:val="539A4AC7"/>
    <w:rsid w:val="53F86552"/>
    <w:rsid w:val="542631B6"/>
    <w:rsid w:val="542B7CA6"/>
    <w:rsid w:val="5447483C"/>
    <w:rsid w:val="544D14DF"/>
    <w:rsid w:val="54656190"/>
    <w:rsid w:val="547748A2"/>
    <w:rsid w:val="548D01DC"/>
    <w:rsid w:val="54942CAE"/>
    <w:rsid w:val="54A61722"/>
    <w:rsid w:val="54B31FAF"/>
    <w:rsid w:val="54DC2048"/>
    <w:rsid w:val="550C502E"/>
    <w:rsid w:val="55224E1C"/>
    <w:rsid w:val="55326D63"/>
    <w:rsid w:val="555D1A10"/>
    <w:rsid w:val="55963292"/>
    <w:rsid w:val="55B72CB0"/>
    <w:rsid w:val="55C300FC"/>
    <w:rsid w:val="55E8347F"/>
    <w:rsid w:val="55E90F00"/>
    <w:rsid w:val="56AC4A78"/>
    <w:rsid w:val="56B55151"/>
    <w:rsid w:val="56DB16B9"/>
    <w:rsid w:val="57435CBA"/>
    <w:rsid w:val="577A3463"/>
    <w:rsid w:val="57B35F6D"/>
    <w:rsid w:val="57BE1D80"/>
    <w:rsid w:val="57F967AD"/>
    <w:rsid w:val="58052975"/>
    <w:rsid w:val="581D7A74"/>
    <w:rsid w:val="583B5CA3"/>
    <w:rsid w:val="584D1A65"/>
    <w:rsid w:val="584F5C44"/>
    <w:rsid w:val="58A96885"/>
    <w:rsid w:val="58B8581B"/>
    <w:rsid w:val="58E525CA"/>
    <w:rsid w:val="58EE7372"/>
    <w:rsid w:val="58FD7D40"/>
    <w:rsid w:val="592B5B5A"/>
    <w:rsid w:val="593D045A"/>
    <w:rsid w:val="5960739E"/>
    <w:rsid w:val="59896D0A"/>
    <w:rsid w:val="599226DC"/>
    <w:rsid w:val="599D6D92"/>
    <w:rsid w:val="59B72684"/>
    <w:rsid w:val="59BA4144"/>
    <w:rsid w:val="59F861A7"/>
    <w:rsid w:val="5A9579AE"/>
    <w:rsid w:val="5AC468CD"/>
    <w:rsid w:val="5AC558FB"/>
    <w:rsid w:val="5B342B9A"/>
    <w:rsid w:val="5B5953B0"/>
    <w:rsid w:val="5B630802"/>
    <w:rsid w:val="5B746998"/>
    <w:rsid w:val="5B807F68"/>
    <w:rsid w:val="5BA72CE5"/>
    <w:rsid w:val="5BE61256"/>
    <w:rsid w:val="5C034D53"/>
    <w:rsid w:val="5C0A43A9"/>
    <w:rsid w:val="5C41066B"/>
    <w:rsid w:val="5C620B9F"/>
    <w:rsid w:val="5C79798F"/>
    <w:rsid w:val="5C7F2AAC"/>
    <w:rsid w:val="5C9C6E29"/>
    <w:rsid w:val="5D0E2082"/>
    <w:rsid w:val="5D161948"/>
    <w:rsid w:val="5D170F36"/>
    <w:rsid w:val="5D722852"/>
    <w:rsid w:val="5DCD1833"/>
    <w:rsid w:val="5E1D6F56"/>
    <w:rsid w:val="5E52187F"/>
    <w:rsid w:val="5E6A13CD"/>
    <w:rsid w:val="5E705D15"/>
    <w:rsid w:val="5E93326C"/>
    <w:rsid w:val="5E9F1A7A"/>
    <w:rsid w:val="5EAB5261"/>
    <w:rsid w:val="5EAF3818"/>
    <w:rsid w:val="5EE62ABD"/>
    <w:rsid w:val="5EFB4BA4"/>
    <w:rsid w:val="5EFD23AE"/>
    <w:rsid w:val="5F025452"/>
    <w:rsid w:val="5F5F46B5"/>
    <w:rsid w:val="5FB25360"/>
    <w:rsid w:val="5FBA3CC0"/>
    <w:rsid w:val="5FD90D61"/>
    <w:rsid w:val="60177697"/>
    <w:rsid w:val="602329DB"/>
    <w:rsid w:val="604007A4"/>
    <w:rsid w:val="607777D6"/>
    <w:rsid w:val="60B34B89"/>
    <w:rsid w:val="60BC76A1"/>
    <w:rsid w:val="610B7637"/>
    <w:rsid w:val="612279BA"/>
    <w:rsid w:val="614D1FB2"/>
    <w:rsid w:val="615F5624"/>
    <w:rsid w:val="61D215CF"/>
    <w:rsid w:val="62042FA0"/>
    <w:rsid w:val="62414951"/>
    <w:rsid w:val="625901AB"/>
    <w:rsid w:val="625C563D"/>
    <w:rsid w:val="62627FD4"/>
    <w:rsid w:val="626A1704"/>
    <w:rsid w:val="627921C2"/>
    <w:rsid w:val="62B362C8"/>
    <w:rsid w:val="62C1330E"/>
    <w:rsid w:val="62DD39C2"/>
    <w:rsid w:val="62EB67A0"/>
    <w:rsid w:val="62EC0759"/>
    <w:rsid w:val="62F200E4"/>
    <w:rsid w:val="63084806"/>
    <w:rsid w:val="6342085E"/>
    <w:rsid w:val="636F415C"/>
    <w:rsid w:val="63C329BB"/>
    <w:rsid w:val="63E85179"/>
    <w:rsid w:val="645A0930"/>
    <w:rsid w:val="64616B0E"/>
    <w:rsid w:val="64917820"/>
    <w:rsid w:val="64AA1CC5"/>
    <w:rsid w:val="64E9279D"/>
    <w:rsid w:val="64EB5CA0"/>
    <w:rsid w:val="65130593"/>
    <w:rsid w:val="6528341F"/>
    <w:rsid w:val="6544632F"/>
    <w:rsid w:val="656B2909"/>
    <w:rsid w:val="6598607C"/>
    <w:rsid w:val="659A2704"/>
    <w:rsid w:val="65A3045D"/>
    <w:rsid w:val="65D5369F"/>
    <w:rsid w:val="65D97752"/>
    <w:rsid w:val="65E25E59"/>
    <w:rsid w:val="66174109"/>
    <w:rsid w:val="6617798C"/>
    <w:rsid w:val="66307F76"/>
    <w:rsid w:val="66580EAF"/>
    <w:rsid w:val="66694D0D"/>
    <w:rsid w:val="667B4472"/>
    <w:rsid w:val="66F041A8"/>
    <w:rsid w:val="6721178A"/>
    <w:rsid w:val="6739399A"/>
    <w:rsid w:val="673F39DE"/>
    <w:rsid w:val="674C5D22"/>
    <w:rsid w:val="67663AF8"/>
    <w:rsid w:val="677243C5"/>
    <w:rsid w:val="67762CFD"/>
    <w:rsid w:val="67762DCB"/>
    <w:rsid w:val="677A678D"/>
    <w:rsid w:val="678C2D71"/>
    <w:rsid w:val="67A17493"/>
    <w:rsid w:val="67D30B32"/>
    <w:rsid w:val="68011379"/>
    <w:rsid w:val="68252C37"/>
    <w:rsid w:val="6836320A"/>
    <w:rsid w:val="6855023B"/>
    <w:rsid w:val="68673E5E"/>
    <w:rsid w:val="68703BF0"/>
    <w:rsid w:val="68761190"/>
    <w:rsid w:val="68817BAC"/>
    <w:rsid w:val="689A5E59"/>
    <w:rsid w:val="68A94E70"/>
    <w:rsid w:val="68AB31C8"/>
    <w:rsid w:val="68EB61B0"/>
    <w:rsid w:val="68EE72DF"/>
    <w:rsid w:val="68FE51D1"/>
    <w:rsid w:val="690B4C92"/>
    <w:rsid w:val="69485FEA"/>
    <w:rsid w:val="69677DC0"/>
    <w:rsid w:val="69937EC7"/>
    <w:rsid w:val="699A504F"/>
    <w:rsid w:val="69CD1FBC"/>
    <w:rsid w:val="69CD30A4"/>
    <w:rsid w:val="69D64558"/>
    <w:rsid w:val="6A042548"/>
    <w:rsid w:val="6A0F720C"/>
    <w:rsid w:val="6A146F17"/>
    <w:rsid w:val="6A244C92"/>
    <w:rsid w:val="6A471EFD"/>
    <w:rsid w:val="6AB57116"/>
    <w:rsid w:val="6B17424A"/>
    <w:rsid w:val="6B2218FA"/>
    <w:rsid w:val="6B5A722E"/>
    <w:rsid w:val="6B686C59"/>
    <w:rsid w:val="6B691672"/>
    <w:rsid w:val="6B8C3281"/>
    <w:rsid w:val="6BC02799"/>
    <w:rsid w:val="6BCA2D65"/>
    <w:rsid w:val="6BE97F42"/>
    <w:rsid w:val="6BEB29A1"/>
    <w:rsid w:val="6C5660C1"/>
    <w:rsid w:val="6C5E6A51"/>
    <w:rsid w:val="6C6513C3"/>
    <w:rsid w:val="6C744268"/>
    <w:rsid w:val="6C913746"/>
    <w:rsid w:val="6C9D0B3F"/>
    <w:rsid w:val="6CD62D03"/>
    <w:rsid w:val="6CD97FB6"/>
    <w:rsid w:val="6D0B1173"/>
    <w:rsid w:val="6D0E5050"/>
    <w:rsid w:val="6D4B22B8"/>
    <w:rsid w:val="6D930013"/>
    <w:rsid w:val="6DA51372"/>
    <w:rsid w:val="6DB53B8B"/>
    <w:rsid w:val="6DBA5A94"/>
    <w:rsid w:val="6E1A1656"/>
    <w:rsid w:val="6E231DD6"/>
    <w:rsid w:val="6E5A5288"/>
    <w:rsid w:val="6E625100"/>
    <w:rsid w:val="6EE013EE"/>
    <w:rsid w:val="6EE079F1"/>
    <w:rsid w:val="6EE42C42"/>
    <w:rsid w:val="6F143527"/>
    <w:rsid w:val="6F7F7CB0"/>
    <w:rsid w:val="6FE0165C"/>
    <w:rsid w:val="6FE10C44"/>
    <w:rsid w:val="70222744"/>
    <w:rsid w:val="70616C6C"/>
    <w:rsid w:val="706D25DF"/>
    <w:rsid w:val="706D2B21"/>
    <w:rsid w:val="70746499"/>
    <w:rsid w:val="707B1384"/>
    <w:rsid w:val="70857A34"/>
    <w:rsid w:val="70985D3C"/>
    <w:rsid w:val="70C52655"/>
    <w:rsid w:val="70FD625F"/>
    <w:rsid w:val="71047C73"/>
    <w:rsid w:val="7109004F"/>
    <w:rsid w:val="71103167"/>
    <w:rsid w:val="71211E57"/>
    <w:rsid w:val="712E56F7"/>
    <w:rsid w:val="713954C7"/>
    <w:rsid w:val="71691ABB"/>
    <w:rsid w:val="718D0958"/>
    <w:rsid w:val="71AE1AEA"/>
    <w:rsid w:val="71CF3B6C"/>
    <w:rsid w:val="71F80F33"/>
    <w:rsid w:val="722922C6"/>
    <w:rsid w:val="72367C59"/>
    <w:rsid w:val="723C5278"/>
    <w:rsid w:val="723F4D5F"/>
    <w:rsid w:val="72532C9F"/>
    <w:rsid w:val="727176A7"/>
    <w:rsid w:val="72CB03A1"/>
    <w:rsid w:val="73047240"/>
    <w:rsid w:val="730F5864"/>
    <w:rsid w:val="732D4B5D"/>
    <w:rsid w:val="73393C88"/>
    <w:rsid w:val="7362513F"/>
    <w:rsid w:val="736612A1"/>
    <w:rsid w:val="73771D49"/>
    <w:rsid w:val="73846894"/>
    <w:rsid w:val="738B299C"/>
    <w:rsid w:val="73A1354E"/>
    <w:rsid w:val="73CB7009"/>
    <w:rsid w:val="73F12089"/>
    <w:rsid w:val="73FE4ED9"/>
    <w:rsid w:val="743D3AC4"/>
    <w:rsid w:val="747D20BB"/>
    <w:rsid w:val="749B1FF5"/>
    <w:rsid w:val="74A11E7D"/>
    <w:rsid w:val="74AE727B"/>
    <w:rsid w:val="74EC1DD5"/>
    <w:rsid w:val="754532C6"/>
    <w:rsid w:val="75590B0A"/>
    <w:rsid w:val="758075D4"/>
    <w:rsid w:val="7582279F"/>
    <w:rsid w:val="75843EB5"/>
    <w:rsid w:val="75BB71AF"/>
    <w:rsid w:val="75F01962"/>
    <w:rsid w:val="75F24FB4"/>
    <w:rsid w:val="760E19DF"/>
    <w:rsid w:val="762A586E"/>
    <w:rsid w:val="764E52E0"/>
    <w:rsid w:val="76557F3E"/>
    <w:rsid w:val="76676A53"/>
    <w:rsid w:val="76766E1C"/>
    <w:rsid w:val="76A3294D"/>
    <w:rsid w:val="76B620A1"/>
    <w:rsid w:val="76D0016F"/>
    <w:rsid w:val="76E51777"/>
    <w:rsid w:val="76F20814"/>
    <w:rsid w:val="77050D7C"/>
    <w:rsid w:val="77462524"/>
    <w:rsid w:val="77854826"/>
    <w:rsid w:val="779A6594"/>
    <w:rsid w:val="77A06CE7"/>
    <w:rsid w:val="77A21064"/>
    <w:rsid w:val="77E34EB2"/>
    <w:rsid w:val="781564B8"/>
    <w:rsid w:val="78224ACF"/>
    <w:rsid w:val="783751ED"/>
    <w:rsid w:val="78C7099A"/>
    <w:rsid w:val="78CD6DCC"/>
    <w:rsid w:val="78CF4963"/>
    <w:rsid w:val="78D07CAF"/>
    <w:rsid w:val="78DE12D7"/>
    <w:rsid w:val="78F51D0A"/>
    <w:rsid w:val="79055F9C"/>
    <w:rsid w:val="79202AC9"/>
    <w:rsid w:val="79210683"/>
    <w:rsid w:val="79535D1B"/>
    <w:rsid w:val="796A5940"/>
    <w:rsid w:val="79936B04"/>
    <w:rsid w:val="799C3465"/>
    <w:rsid w:val="79B14EC4"/>
    <w:rsid w:val="7A2A6B4A"/>
    <w:rsid w:val="7A3C3A9A"/>
    <w:rsid w:val="7A681070"/>
    <w:rsid w:val="7A860C7C"/>
    <w:rsid w:val="7A8D082B"/>
    <w:rsid w:val="7A951BAA"/>
    <w:rsid w:val="7AB879FE"/>
    <w:rsid w:val="7AC21415"/>
    <w:rsid w:val="7B1B7885"/>
    <w:rsid w:val="7B272C86"/>
    <w:rsid w:val="7B3264DD"/>
    <w:rsid w:val="7B4D1359"/>
    <w:rsid w:val="7B664481"/>
    <w:rsid w:val="7B81188A"/>
    <w:rsid w:val="7B9E2902"/>
    <w:rsid w:val="7BC854E2"/>
    <w:rsid w:val="7BC938EC"/>
    <w:rsid w:val="7C0562EC"/>
    <w:rsid w:val="7C067A45"/>
    <w:rsid w:val="7C0B2A10"/>
    <w:rsid w:val="7C27683F"/>
    <w:rsid w:val="7CAE2219"/>
    <w:rsid w:val="7CB14B4D"/>
    <w:rsid w:val="7CF26969"/>
    <w:rsid w:val="7D25523C"/>
    <w:rsid w:val="7D2953E6"/>
    <w:rsid w:val="7D7A3EEC"/>
    <w:rsid w:val="7DAA6C39"/>
    <w:rsid w:val="7DB23041"/>
    <w:rsid w:val="7DD86484"/>
    <w:rsid w:val="7E163D6A"/>
    <w:rsid w:val="7E2120FB"/>
    <w:rsid w:val="7E325778"/>
    <w:rsid w:val="7E412630"/>
    <w:rsid w:val="7E5F7809"/>
    <w:rsid w:val="7E870BA6"/>
    <w:rsid w:val="7EC06781"/>
    <w:rsid w:val="7ED56104"/>
    <w:rsid w:val="7ED56C53"/>
    <w:rsid w:val="7EEA1BAF"/>
    <w:rsid w:val="7F1B7FBA"/>
    <w:rsid w:val="7F20421C"/>
    <w:rsid w:val="7F5460D4"/>
    <w:rsid w:val="7F552892"/>
    <w:rsid w:val="7F8F5B55"/>
    <w:rsid w:val="7FE916E7"/>
    <w:rsid w:val="7FFB064F"/>
    <w:rsid w:val="7FFD1D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7"/>
    <w:qFormat/>
    <w:uiPriority w:val="9"/>
    <w:pPr>
      <w:keepNext/>
      <w:keepLines/>
      <w:jc w:val="center"/>
      <w:outlineLvl w:val="0"/>
    </w:pPr>
    <w:rPr>
      <w:b/>
      <w:bCs/>
      <w:kern w:val="44"/>
      <w:sz w:val="36"/>
      <w:szCs w:val="44"/>
    </w:rPr>
  </w:style>
  <w:style w:type="paragraph" w:styleId="4">
    <w:name w:val="heading 2"/>
    <w:basedOn w:val="1"/>
    <w:next w:val="1"/>
    <w:link w:val="48"/>
    <w:qFormat/>
    <w:uiPriority w:val="9"/>
    <w:pPr>
      <w:keepNext/>
      <w:keepLines/>
      <w:spacing w:line="360" w:lineRule="auto"/>
      <w:outlineLvl w:val="1"/>
    </w:pPr>
    <w:rPr>
      <w:rFonts w:ascii="Arial" w:hAnsi="Arial" w:eastAsia="宋体" w:cs="Times New Roman"/>
      <w:b/>
      <w:bCs/>
      <w:sz w:val="24"/>
      <w:szCs w:val="32"/>
    </w:rPr>
  </w:style>
  <w:style w:type="paragraph" w:styleId="5">
    <w:name w:val="heading 3"/>
    <w:basedOn w:val="1"/>
    <w:next w:val="1"/>
    <w:link w:val="49"/>
    <w:unhideWhenUsed/>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6">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39">
    <w:name w:val="Default Paragraph Font"/>
    <w:semiHidden/>
    <w:unhideWhenUsed/>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7">
    <w:name w:val="toc 7"/>
    <w:basedOn w:val="1"/>
    <w:next w:val="1"/>
    <w:qFormat/>
    <w:uiPriority w:val="39"/>
    <w:pPr>
      <w:ind w:left="1440"/>
      <w:jc w:val="left"/>
    </w:pPr>
    <w:rPr>
      <w:rFonts w:ascii="Calibri" w:hAnsi="Calibri" w:eastAsia="宋体" w:cs="Times New Roman"/>
      <w:sz w:val="18"/>
      <w:szCs w:val="18"/>
    </w:rPr>
  </w:style>
  <w:style w:type="paragraph" w:styleId="8">
    <w:name w:val="caption"/>
    <w:basedOn w:val="1"/>
    <w:next w:val="1"/>
    <w:qFormat/>
    <w:uiPriority w:val="35"/>
    <w:pPr>
      <w:spacing w:before="152" w:after="160"/>
    </w:pPr>
    <w:rPr>
      <w:rFonts w:ascii="Arial" w:hAnsi="Arial" w:eastAsia="黑体" w:cs="Arial"/>
      <w:sz w:val="20"/>
      <w:szCs w:val="20"/>
    </w:rPr>
  </w:style>
  <w:style w:type="paragraph" w:styleId="9">
    <w:name w:val="Document Map"/>
    <w:basedOn w:val="1"/>
    <w:link w:val="70"/>
    <w:qFormat/>
    <w:uiPriority w:val="0"/>
    <w:pPr>
      <w:shd w:val="clear" w:color="auto" w:fill="000080"/>
    </w:pPr>
    <w:rPr>
      <w:sz w:val="24"/>
    </w:rPr>
  </w:style>
  <w:style w:type="paragraph" w:styleId="10">
    <w:name w:val="toa heading"/>
    <w:basedOn w:val="1"/>
    <w:next w:val="1"/>
    <w:qFormat/>
    <w:uiPriority w:val="99"/>
    <w:pPr>
      <w:spacing w:before="120"/>
    </w:pPr>
    <w:rPr>
      <w:rFonts w:ascii="Arial" w:hAnsi="Arial" w:eastAsia="宋体" w:cs="Arial"/>
      <w:sz w:val="24"/>
      <w:szCs w:val="24"/>
    </w:rPr>
  </w:style>
  <w:style w:type="paragraph" w:styleId="11">
    <w:name w:val="annotation text"/>
    <w:basedOn w:val="1"/>
    <w:link w:val="61"/>
    <w:qFormat/>
    <w:uiPriority w:val="0"/>
    <w:pPr>
      <w:jc w:val="left"/>
    </w:pPr>
  </w:style>
  <w:style w:type="paragraph" w:styleId="12">
    <w:name w:val="Body Text"/>
    <w:basedOn w:val="1"/>
    <w:link w:val="82"/>
    <w:qFormat/>
    <w:uiPriority w:val="99"/>
    <w:pPr>
      <w:adjustRightInd w:val="0"/>
      <w:spacing w:before="120" w:afterLines="50" w:line="280" w:lineRule="atLeast"/>
      <w:textAlignment w:val="baseline"/>
    </w:pPr>
    <w:rPr>
      <w:rFonts w:ascii="Calibri" w:hAnsi="Calibri" w:eastAsia="新宋体" w:cs="Times New Roman"/>
      <w:szCs w:val="21"/>
    </w:rPr>
  </w:style>
  <w:style w:type="paragraph" w:styleId="13">
    <w:name w:val="Body Text Indent"/>
    <w:basedOn w:val="1"/>
    <w:link w:val="79"/>
    <w:qFormat/>
    <w:uiPriority w:val="99"/>
    <w:pPr>
      <w:spacing w:after="120"/>
      <w:ind w:left="420" w:leftChars="200"/>
    </w:pPr>
    <w:rPr>
      <w:rFonts w:ascii="Calibri" w:hAnsi="Calibri" w:eastAsia="宋体" w:cs="Times New Roman"/>
      <w:szCs w:val="20"/>
    </w:rPr>
  </w:style>
  <w:style w:type="paragraph" w:styleId="14">
    <w:name w:val="index 4"/>
    <w:basedOn w:val="1"/>
    <w:next w:val="1"/>
    <w:qFormat/>
    <w:uiPriority w:val="0"/>
    <w:pPr>
      <w:ind w:left="600" w:leftChars="600"/>
    </w:pPr>
  </w:style>
  <w:style w:type="paragraph" w:styleId="15">
    <w:name w:val="toc 5"/>
    <w:basedOn w:val="1"/>
    <w:next w:val="1"/>
    <w:qFormat/>
    <w:uiPriority w:val="39"/>
    <w:pPr>
      <w:ind w:left="960"/>
      <w:jc w:val="left"/>
    </w:pPr>
    <w:rPr>
      <w:rFonts w:ascii="Calibri" w:hAnsi="Calibri" w:eastAsia="宋体" w:cs="Times New Roman"/>
      <w:sz w:val="18"/>
      <w:szCs w:val="18"/>
    </w:rPr>
  </w:style>
  <w:style w:type="paragraph" w:styleId="16">
    <w:name w:val="toc 3"/>
    <w:basedOn w:val="1"/>
    <w:next w:val="1"/>
    <w:qFormat/>
    <w:uiPriority w:val="39"/>
    <w:pPr>
      <w:ind w:left="480"/>
      <w:jc w:val="left"/>
    </w:pPr>
    <w:rPr>
      <w:rFonts w:ascii="Calibri" w:hAnsi="Calibri" w:eastAsia="宋体" w:cs="Times New Roman"/>
      <w:i/>
      <w:iCs/>
      <w:sz w:val="20"/>
      <w:szCs w:val="20"/>
    </w:rPr>
  </w:style>
  <w:style w:type="paragraph" w:styleId="17">
    <w:name w:val="Plain Text"/>
    <w:basedOn w:val="1"/>
    <w:link w:val="72"/>
    <w:qFormat/>
    <w:uiPriority w:val="0"/>
    <w:rPr>
      <w:rFonts w:ascii="宋体" w:hAnsi="Courier New"/>
    </w:rPr>
  </w:style>
  <w:style w:type="paragraph" w:styleId="18">
    <w:name w:val="toc 8"/>
    <w:basedOn w:val="1"/>
    <w:next w:val="1"/>
    <w:qFormat/>
    <w:uiPriority w:val="39"/>
    <w:pPr>
      <w:ind w:left="1680"/>
      <w:jc w:val="left"/>
    </w:pPr>
    <w:rPr>
      <w:rFonts w:ascii="Calibri" w:hAnsi="Calibri" w:eastAsia="宋体" w:cs="Times New Roman"/>
      <w:sz w:val="18"/>
      <w:szCs w:val="18"/>
    </w:rPr>
  </w:style>
  <w:style w:type="paragraph" w:styleId="19">
    <w:name w:val="Date"/>
    <w:basedOn w:val="1"/>
    <w:next w:val="1"/>
    <w:link w:val="63"/>
    <w:qFormat/>
    <w:uiPriority w:val="0"/>
    <w:pPr>
      <w:ind w:left="100" w:leftChars="2500"/>
    </w:pPr>
    <w:rPr>
      <w:sz w:val="24"/>
    </w:rPr>
  </w:style>
  <w:style w:type="paragraph" w:styleId="20">
    <w:name w:val="Body Text Indent 2"/>
    <w:basedOn w:val="1"/>
    <w:link w:val="51"/>
    <w:qFormat/>
    <w:uiPriority w:val="0"/>
    <w:pPr>
      <w:spacing w:after="120" w:line="480" w:lineRule="auto"/>
      <w:ind w:left="420" w:leftChars="200"/>
    </w:pPr>
  </w:style>
  <w:style w:type="paragraph" w:styleId="21">
    <w:name w:val="Balloon Text"/>
    <w:basedOn w:val="1"/>
    <w:link w:val="67"/>
    <w:qFormat/>
    <w:uiPriority w:val="0"/>
    <w:rPr>
      <w:sz w:val="18"/>
    </w:rPr>
  </w:style>
  <w:style w:type="paragraph" w:styleId="22">
    <w:name w:val="footer"/>
    <w:basedOn w:val="1"/>
    <w:link w:val="73"/>
    <w:qFormat/>
    <w:uiPriority w:val="99"/>
    <w:pPr>
      <w:tabs>
        <w:tab w:val="center" w:pos="4153"/>
        <w:tab w:val="right" w:pos="8306"/>
      </w:tabs>
      <w:snapToGrid w:val="0"/>
      <w:jc w:val="left"/>
    </w:pPr>
    <w:rPr>
      <w:sz w:val="18"/>
    </w:rPr>
  </w:style>
  <w:style w:type="paragraph" w:styleId="23">
    <w:name w:val="header"/>
    <w:basedOn w:val="1"/>
    <w:link w:val="59"/>
    <w:qFormat/>
    <w:uiPriority w:val="0"/>
    <w:pPr>
      <w:pBdr>
        <w:bottom w:val="single" w:color="auto" w:sz="6" w:space="1"/>
      </w:pBdr>
      <w:tabs>
        <w:tab w:val="center" w:pos="4153"/>
        <w:tab w:val="right" w:pos="8306"/>
      </w:tabs>
      <w:snapToGrid w:val="0"/>
      <w:jc w:val="center"/>
    </w:pPr>
    <w:rPr>
      <w:sz w:val="18"/>
    </w:rPr>
  </w:style>
  <w:style w:type="paragraph" w:styleId="24">
    <w:name w:val="toc 1"/>
    <w:basedOn w:val="1"/>
    <w:next w:val="1"/>
    <w:qFormat/>
    <w:uiPriority w:val="39"/>
    <w:pPr>
      <w:spacing w:line="360" w:lineRule="auto"/>
      <w:jc w:val="left"/>
    </w:pPr>
    <w:rPr>
      <w:rFonts w:ascii="宋体" w:hAnsi="宋体" w:eastAsia="宋体" w:cs="Times New Roman"/>
      <w:b/>
      <w:caps/>
      <w:color w:val="FF0000"/>
      <w:szCs w:val="21"/>
    </w:rPr>
  </w:style>
  <w:style w:type="paragraph" w:styleId="25">
    <w:name w:val="toc 4"/>
    <w:basedOn w:val="1"/>
    <w:next w:val="1"/>
    <w:qFormat/>
    <w:uiPriority w:val="39"/>
    <w:pPr>
      <w:ind w:left="720"/>
      <w:jc w:val="left"/>
    </w:pPr>
    <w:rPr>
      <w:rFonts w:ascii="Calibri" w:hAnsi="Calibri" w:eastAsia="宋体" w:cs="Times New Roman"/>
      <w:sz w:val="18"/>
      <w:szCs w:val="18"/>
    </w:rPr>
  </w:style>
  <w:style w:type="paragraph" w:styleId="26">
    <w:name w:val="List"/>
    <w:basedOn w:val="1"/>
    <w:qFormat/>
    <w:uiPriority w:val="99"/>
    <w:pPr>
      <w:ind w:left="420" w:hanging="420"/>
    </w:pPr>
    <w:rPr>
      <w:rFonts w:ascii="Times New Roman" w:hAnsi="Times New Roman" w:eastAsia="宋体" w:cs="Times New Roman"/>
      <w:szCs w:val="20"/>
    </w:rPr>
  </w:style>
  <w:style w:type="paragraph" w:styleId="27">
    <w:name w:val="toc 6"/>
    <w:basedOn w:val="1"/>
    <w:next w:val="1"/>
    <w:qFormat/>
    <w:uiPriority w:val="39"/>
    <w:pPr>
      <w:ind w:left="1200"/>
      <w:jc w:val="left"/>
    </w:pPr>
    <w:rPr>
      <w:rFonts w:ascii="Calibri" w:hAnsi="Calibri" w:eastAsia="宋体" w:cs="Times New Roman"/>
      <w:sz w:val="18"/>
      <w:szCs w:val="18"/>
    </w:rPr>
  </w:style>
  <w:style w:type="paragraph" w:styleId="28">
    <w:name w:val="Body Text Indent 3"/>
    <w:basedOn w:val="1"/>
    <w:link w:val="53"/>
    <w:qFormat/>
    <w:uiPriority w:val="0"/>
    <w:pPr>
      <w:spacing w:after="120"/>
      <w:ind w:left="420" w:leftChars="200"/>
    </w:pPr>
    <w:rPr>
      <w:sz w:val="16"/>
    </w:rPr>
  </w:style>
  <w:style w:type="paragraph" w:styleId="29">
    <w:name w:val="toc 2"/>
    <w:basedOn w:val="1"/>
    <w:next w:val="1"/>
    <w:unhideWhenUsed/>
    <w:qFormat/>
    <w:uiPriority w:val="39"/>
    <w:pPr>
      <w:ind w:left="420" w:leftChars="200"/>
    </w:pPr>
    <w:rPr>
      <w:rFonts w:ascii="Calibri" w:hAnsi="Calibri" w:eastAsia="宋体" w:cs="Times New Roman"/>
      <w:szCs w:val="20"/>
    </w:rPr>
  </w:style>
  <w:style w:type="paragraph" w:styleId="30">
    <w:name w:val="toc 9"/>
    <w:basedOn w:val="1"/>
    <w:next w:val="1"/>
    <w:qFormat/>
    <w:uiPriority w:val="39"/>
    <w:pPr>
      <w:ind w:left="1920"/>
      <w:jc w:val="left"/>
    </w:pPr>
    <w:rPr>
      <w:rFonts w:ascii="Calibri" w:hAnsi="Calibri" w:eastAsia="宋体" w:cs="Times New Roman"/>
      <w:sz w:val="18"/>
      <w:szCs w:val="18"/>
    </w:rPr>
  </w:style>
  <w:style w:type="paragraph" w:styleId="31">
    <w:name w:val="Body Text 2"/>
    <w:basedOn w:val="1"/>
    <w:link w:val="137"/>
    <w:semiHidden/>
    <w:unhideWhenUsed/>
    <w:qFormat/>
    <w:uiPriority w:val="99"/>
    <w:pPr>
      <w:spacing w:after="120" w:line="480" w:lineRule="auto"/>
    </w:pPr>
  </w:style>
  <w:style w:type="paragraph" w:styleId="32">
    <w:name w:val="Normal (Web)"/>
    <w:basedOn w:val="1"/>
    <w:qFormat/>
    <w:uiPriority w:val="99"/>
    <w:rPr>
      <w:rFonts w:ascii="Calibri" w:hAnsi="Calibri" w:eastAsia="宋体" w:cs="Times New Roman"/>
      <w:sz w:val="24"/>
      <w:szCs w:val="20"/>
    </w:rPr>
  </w:style>
  <w:style w:type="paragraph" w:styleId="33">
    <w:name w:val="index 1"/>
    <w:basedOn w:val="1"/>
    <w:next w:val="1"/>
    <w:qFormat/>
    <w:uiPriority w:val="99"/>
    <w:rPr>
      <w:rFonts w:ascii="Calibri" w:hAnsi="Calibri" w:eastAsia="宋体" w:cs="Times New Roman"/>
      <w:sz w:val="24"/>
      <w:szCs w:val="24"/>
    </w:rPr>
  </w:style>
  <w:style w:type="paragraph" w:styleId="34">
    <w:name w:val="Title"/>
    <w:basedOn w:val="1"/>
    <w:next w:val="1"/>
    <w:link w:val="62"/>
    <w:qFormat/>
    <w:uiPriority w:val="0"/>
    <w:pPr>
      <w:spacing w:before="160" w:after="40" w:line="240" w:lineRule="atLeast"/>
      <w:ind w:left="425" w:hanging="425"/>
      <w:jc w:val="center"/>
      <w:outlineLvl w:val="0"/>
    </w:pPr>
    <w:rPr>
      <w:rFonts w:ascii="Arial" w:hAnsi="Arial"/>
      <w:b/>
      <w:sz w:val="32"/>
    </w:rPr>
  </w:style>
  <w:style w:type="paragraph" w:styleId="35">
    <w:name w:val="annotation subject"/>
    <w:basedOn w:val="11"/>
    <w:next w:val="11"/>
    <w:link w:val="52"/>
    <w:qFormat/>
    <w:uiPriority w:val="0"/>
    <w:rPr>
      <w:b/>
    </w:rPr>
  </w:style>
  <w:style w:type="paragraph" w:styleId="36">
    <w:name w:val="Body Text First Indent 2"/>
    <w:basedOn w:val="13"/>
    <w:semiHidden/>
    <w:qFormat/>
    <w:uiPriority w:val="99"/>
    <w:pPr>
      <w:spacing w:line="276" w:lineRule="auto"/>
      <w:ind w:firstLine="420" w:firstLineChars="200"/>
      <w:jc w:val="left"/>
    </w:pPr>
  </w:style>
  <w:style w:type="table" w:styleId="38">
    <w:name w:val="Table Grid"/>
    <w:basedOn w:val="3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rPr>
  </w:style>
  <w:style w:type="character" w:styleId="41">
    <w:name w:val="page number"/>
    <w:basedOn w:val="39"/>
    <w:qFormat/>
    <w:uiPriority w:val="99"/>
    <w:rPr>
      <w:rFonts w:cs="Times New Roman"/>
    </w:rPr>
  </w:style>
  <w:style w:type="character" w:styleId="42">
    <w:name w:val="FollowedHyperlink"/>
    <w:basedOn w:val="39"/>
    <w:qFormat/>
    <w:uiPriority w:val="99"/>
    <w:rPr>
      <w:color w:val="800080"/>
      <w:u w:val="single"/>
    </w:rPr>
  </w:style>
  <w:style w:type="character" w:styleId="43">
    <w:name w:val="Emphasis"/>
    <w:qFormat/>
    <w:uiPriority w:val="99"/>
    <w:rPr>
      <w:rFonts w:cs="Times New Roman"/>
      <w:color w:val="auto"/>
    </w:rPr>
  </w:style>
  <w:style w:type="character" w:styleId="44">
    <w:name w:val="HTML Acronym"/>
    <w:basedOn w:val="39"/>
    <w:qFormat/>
    <w:uiPriority w:val="99"/>
  </w:style>
  <w:style w:type="character" w:styleId="45">
    <w:name w:val="Hyperlink"/>
    <w:basedOn w:val="39"/>
    <w:qFormat/>
    <w:uiPriority w:val="99"/>
    <w:rPr>
      <w:color w:val="1F4F88"/>
      <w:u w:val="none"/>
    </w:rPr>
  </w:style>
  <w:style w:type="character" w:styleId="46">
    <w:name w:val="annotation reference"/>
    <w:basedOn w:val="39"/>
    <w:qFormat/>
    <w:uiPriority w:val="99"/>
    <w:rPr>
      <w:sz w:val="21"/>
    </w:rPr>
  </w:style>
  <w:style w:type="character" w:customStyle="1" w:styleId="47">
    <w:name w:val="标题 1 字符"/>
    <w:basedOn w:val="39"/>
    <w:link w:val="3"/>
    <w:qFormat/>
    <w:uiPriority w:val="9"/>
    <w:rPr>
      <w:rFonts w:ascii="Calibri" w:hAnsi="Calibri" w:eastAsia="宋体" w:cs="Times New Roman"/>
      <w:b/>
      <w:bCs/>
      <w:kern w:val="44"/>
      <w:sz w:val="36"/>
      <w:szCs w:val="44"/>
    </w:rPr>
  </w:style>
  <w:style w:type="character" w:customStyle="1" w:styleId="48">
    <w:name w:val="标题 2 字符"/>
    <w:basedOn w:val="39"/>
    <w:link w:val="4"/>
    <w:qFormat/>
    <w:uiPriority w:val="9"/>
    <w:rPr>
      <w:rFonts w:ascii="Arial" w:hAnsi="Arial" w:eastAsia="宋体" w:cs="Times New Roman"/>
      <w:b/>
      <w:bCs/>
      <w:sz w:val="24"/>
      <w:szCs w:val="32"/>
    </w:rPr>
  </w:style>
  <w:style w:type="character" w:customStyle="1" w:styleId="49">
    <w:name w:val="标题 3 字符"/>
    <w:basedOn w:val="39"/>
    <w:link w:val="5"/>
    <w:semiHidden/>
    <w:qFormat/>
    <w:uiPriority w:val="9"/>
    <w:rPr>
      <w:rFonts w:ascii="Calibri" w:hAnsi="Calibri" w:eastAsia="宋体" w:cs="Times New Roman"/>
      <w:b/>
      <w:bCs/>
      <w:sz w:val="32"/>
      <w:szCs w:val="32"/>
    </w:rPr>
  </w:style>
  <w:style w:type="character" w:customStyle="1" w:styleId="50">
    <w:name w:val="Char Char3"/>
    <w:qFormat/>
    <w:uiPriority w:val="0"/>
    <w:rPr>
      <w:rFonts w:ascii="宋体" w:hAnsi="Courier New" w:eastAsia="宋体"/>
      <w:kern w:val="2"/>
      <w:sz w:val="21"/>
      <w:lang w:val="en-US" w:eastAsia="zh-CN"/>
    </w:rPr>
  </w:style>
  <w:style w:type="character" w:customStyle="1" w:styleId="51">
    <w:name w:val="正文文本缩进 2 字符"/>
    <w:link w:val="20"/>
    <w:qFormat/>
    <w:locked/>
    <w:uiPriority w:val="0"/>
  </w:style>
  <w:style w:type="character" w:customStyle="1" w:styleId="52">
    <w:name w:val="批注主题 字符"/>
    <w:link w:val="35"/>
    <w:qFormat/>
    <w:locked/>
    <w:uiPriority w:val="0"/>
    <w:rPr>
      <w:b/>
    </w:rPr>
  </w:style>
  <w:style w:type="character" w:customStyle="1" w:styleId="53">
    <w:name w:val="正文文本缩进 3 字符"/>
    <w:link w:val="28"/>
    <w:qFormat/>
    <w:locked/>
    <w:uiPriority w:val="0"/>
    <w:rPr>
      <w:sz w:val="16"/>
    </w:rPr>
  </w:style>
  <w:style w:type="character" w:customStyle="1" w:styleId="54">
    <w:name w:val="纯文本 Char"/>
    <w:qFormat/>
    <w:uiPriority w:val="0"/>
    <w:rPr>
      <w:rFonts w:ascii="宋体" w:hAnsi="Courier New" w:eastAsia="宋体"/>
      <w:kern w:val="2"/>
      <w:sz w:val="21"/>
      <w:lang w:val="en-US" w:eastAsia="zh-CN"/>
    </w:rPr>
  </w:style>
  <w:style w:type="character" w:customStyle="1" w:styleId="55">
    <w:name w:val="Char Char2"/>
    <w:qFormat/>
    <w:uiPriority w:val="0"/>
    <w:rPr>
      <w:rFonts w:ascii="宋体" w:hAnsi="Courier New"/>
      <w:kern w:val="2"/>
      <w:sz w:val="21"/>
    </w:rPr>
  </w:style>
  <w:style w:type="character" w:customStyle="1" w:styleId="56">
    <w:name w:val="列出段落 字符"/>
    <w:link w:val="57"/>
    <w:qFormat/>
    <w:locked/>
    <w:uiPriority w:val="34"/>
    <w:rPr>
      <w:sz w:val="22"/>
    </w:rPr>
  </w:style>
  <w:style w:type="paragraph" w:customStyle="1" w:styleId="57">
    <w:name w:val="列出段落1"/>
    <w:basedOn w:val="1"/>
    <w:link w:val="56"/>
    <w:qFormat/>
    <w:uiPriority w:val="34"/>
    <w:pPr>
      <w:ind w:firstLine="420" w:firstLineChars="200"/>
    </w:pPr>
    <w:rPr>
      <w:sz w:val="22"/>
    </w:rPr>
  </w:style>
  <w:style w:type="character" w:customStyle="1" w:styleId="58">
    <w:name w:val="apple-converted-space"/>
    <w:basedOn w:val="39"/>
    <w:qFormat/>
    <w:uiPriority w:val="0"/>
    <w:rPr>
      <w:rFonts w:cs="Times New Roman"/>
    </w:rPr>
  </w:style>
  <w:style w:type="character" w:customStyle="1" w:styleId="59">
    <w:name w:val="页眉 字符"/>
    <w:link w:val="23"/>
    <w:qFormat/>
    <w:locked/>
    <w:uiPriority w:val="0"/>
    <w:rPr>
      <w:sz w:val="18"/>
    </w:rPr>
  </w:style>
  <w:style w:type="character" w:customStyle="1" w:styleId="60">
    <w:name w:val="BODY TEXT Char"/>
    <w:qFormat/>
    <w:locked/>
    <w:uiPriority w:val="0"/>
    <w:rPr>
      <w:rFonts w:eastAsia="新宋体"/>
      <w:kern w:val="2"/>
      <w:sz w:val="21"/>
    </w:rPr>
  </w:style>
  <w:style w:type="character" w:customStyle="1" w:styleId="61">
    <w:name w:val="批注文字 字符"/>
    <w:link w:val="11"/>
    <w:qFormat/>
    <w:locked/>
    <w:uiPriority w:val="0"/>
  </w:style>
  <w:style w:type="character" w:customStyle="1" w:styleId="62">
    <w:name w:val="标题 字符"/>
    <w:link w:val="34"/>
    <w:qFormat/>
    <w:locked/>
    <w:uiPriority w:val="0"/>
    <w:rPr>
      <w:rFonts w:ascii="Arial" w:hAnsi="Arial"/>
      <w:b/>
      <w:sz w:val="32"/>
    </w:rPr>
  </w:style>
  <w:style w:type="character" w:customStyle="1" w:styleId="63">
    <w:name w:val="日期 字符"/>
    <w:link w:val="19"/>
    <w:qFormat/>
    <w:locked/>
    <w:uiPriority w:val="0"/>
    <w:rPr>
      <w:sz w:val="24"/>
    </w:rPr>
  </w:style>
  <w:style w:type="character" w:customStyle="1" w:styleId="64">
    <w:name w:val="ATXT_Bullets Zchn"/>
    <w:link w:val="65"/>
    <w:qFormat/>
    <w:locked/>
    <w:uiPriority w:val="99"/>
    <w:rPr>
      <w:rFonts w:ascii="Arial" w:hAnsi="Arial"/>
      <w:lang w:val="de-AT" w:eastAsia="zh-CN"/>
    </w:rPr>
  </w:style>
  <w:style w:type="paragraph" w:customStyle="1" w:styleId="65">
    <w:name w:val="ATXT_Bullets"/>
    <w:link w:val="64"/>
    <w:qFormat/>
    <w:uiPriority w:val="99"/>
    <w:pPr>
      <w:widowControl w:val="0"/>
      <w:tabs>
        <w:tab w:val="left" w:pos="360"/>
        <w:tab w:val="left" w:pos="2040"/>
      </w:tabs>
      <w:autoSpaceDE w:val="0"/>
      <w:autoSpaceDN w:val="0"/>
      <w:adjustRightInd w:val="0"/>
      <w:ind w:left="1494"/>
      <w:jc w:val="both"/>
    </w:pPr>
    <w:rPr>
      <w:rFonts w:ascii="Arial" w:hAnsi="Arial" w:eastAsiaTheme="minorEastAsia" w:cstheme="minorBidi"/>
      <w:kern w:val="2"/>
      <w:sz w:val="21"/>
      <w:szCs w:val="22"/>
      <w:lang w:val="de-AT" w:eastAsia="zh-CN" w:bidi="ar-SA"/>
    </w:rPr>
  </w:style>
  <w:style w:type="character" w:customStyle="1" w:styleId="66">
    <w:name w:val="Char Char5"/>
    <w:qFormat/>
    <w:uiPriority w:val="0"/>
    <w:rPr>
      <w:rFonts w:ascii="宋体" w:hAnsi="Courier New" w:eastAsia="宋体"/>
      <w:kern w:val="2"/>
      <w:sz w:val="21"/>
      <w:lang w:val="en-US" w:eastAsia="zh-CN"/>
    </w:rPr>
  </w:style>
  <w:style w:type="character" w:customStyle="1" w:styleId="67">
    <w:name w:val="批注框文本 字符"/>
    <w:link w:val="21"/>
    <w:qFormat/>
    <w:locked/>
    <w:uiPriority w:val="0"/>
    <w:rPr>
      <w:sz w:val="18"/>
    </w:rPr>
  </w:style>
  <w:style w:type="character" w:customStyle="1" w:styleId="68">
    <w:name w:val="批注文字 Char"/>
    <w:qFormat/>
    <w:uiPriority w:val="0"/>
    <w:rPr>
      <w:kern w:val="2"/>
    </w:rPr>
  </w:style>
  <w:style w:type="character" w:customStyle="1" w:styleId="69">
    <w:name w:val="批注主题 Char"/>
    <w:qFormat/>
    <w:uiPriority w:val="0"/>
    <w:rPr>
      <w:b/>
      <w:kern w:val="2"/>
    </w:rPr>
  </w:style>
  <w:style w:type="character" w:customStyle="1" w:styleId="70">
    <w:name w:val="文档结构图 字符"/>
    <w:link w:val="9"/>
    <w:qFormat/>
    <w:locked/>
    <w:uiPriority w:val="0"/>
    <w:rPr>
      <w:sz w:val="24"/>
      <w:shd w:val="clear" w:color="auto" w:fill="000080"/>
    </w:rPr>
  </w:style>
  <w:style w:type="character" w:customStyle="1" w:styleId="71">
    <w:name w:val="HTML Markup"/>
    <w:qFormat/>
    <w:uiPriority w:val="0"/>
    <w:rPr>
      <w:vanish/>
      <w:color w:val="FF0000"/>
    </w:rPr>
  </w:style>
  <w:style w:type="character" w:customStyle="1" w:styleId="72">
    <w:name w:val="纯文本 字符"/>
    <w:link w:val="17"/>
    <w:qFormat/>
    <w:locked/>
    <w:uiPriority w:val="0"/>
    <w:rPr>
      <w:rFonts w:ascii="宋体" w:hAnsi="Courier New"/>
    </w:rPr>
  </w:style>
  <w:style w:type="character" w:customStyle="1" w:styleId="73">
    <w:name w:val="页脚 字符"/>
    <w:link w:val="22"/>
    <w:qFormat/>
    <w:locked/>
    <w:uiPriority w:val="99"/>
    <w:rPr>
      <w:sz w:val="18"/>
    </w:rPr>
  </w:style>
  <w:style w:type="character" w:customStyle="1" w:styleId="74">
    <w:name w:val="Default Char"/>
    <w:link w:val="75"/>
    <w:qFormat/>
    <w:locked/>
    <w:uiPriority w:val="0"/>
    <w:rPr>
      <w:rFonts w:ascii="仿宋_GB2312" w:eastAsia="仿宋_GB2312"/>
      <w:color w:val="000000"/>
      <w:sz w:val="24"/>
    </w:rPr>
  </w:style>
  <w:style w:type="paragraph" w:customStyle="1" w:styleId="75">
    <w:name w:val="Default"/>
    <w:link w:val="74"/>
    <w:qFormat/>
    <w:uiPriority w:val="0"/>
    <w:pPr>
      <w:widowControl w:val="0"/>
      <w:autoSpaceDE w:val="0"/>
      <w:autoSpaceDN w:val="0"/>
      <w:adjustRightInd w:val="0"/>
    </w:pPr>
    <w:rPr>
      <w:rFonts w:ascii="仿宋_GB2312" w:eastAsia="仿宋_GB2312" w:hAnsiTheme="minorHAnsi" w:cstheme="minorBidi"/>
      <w:color w:val="000000"/>
      <w:kern w:val="2"/>
      <w:sz w:val="24"/>
      <w:szCs w:val="22"/>
      <w:lang w:val="en-US" w:eastAsia="zh-CN" w:bidi="ar-SA"/>
    </w:rPr>
  </w:style>
  <w:style w:type="character" w:customStyle="1" w:styleId="76">
    <w:name w:val="页脚 Char"/>
    <w:qFormat/>
    <w:locked/>
    <w:uiPriority w:val="99"/>
    <w:rPr>
      <w:sz w:val="18"/>
    </w:rPr>
  </w:style>
  <w:style w:type="character" w:customStyle="1" w:styleId="77">
    <w:name w:val="批注文字 字符1"/>
    <w:basedOn w:val="39"/>
    <w:semiHidden/>
    <w:qFormat/>
    <w:uiPriority w:val="99"/>
  </w:style>
  <w:style w:type="character" w:customStyle="1" w:styleId="78">
    <w:name w:val="批注文字 字符11"/>
    <w:basedOn w:val="39"/>
    <w:qFormat/>
    <w:uiPriority w:val="0"/>
    <w:rPr>
      <w:rFonts w:cs="Times New Roman"/>
      <w:kern w:val="2"/>
      <w:sz w:val="21"/>
    </w:rPr>
  </w:style>
  <w:style w:type="character" w:customStyle="1" w:styleId="79">
    <w:name w:val="正文文本缩进 字符"/>
    <w:basedOn w:val="39"/>
    <w:link w:val="13"/>
    <w:qFormat/>
    <w:uiPriority w:val="99"/>
    <w:rPr>
      <w:rFonts w:ascii="Calibri" w:hAnsi="Calibri" w:eastAsia="宋体" w:cs="Times New Roman"/>
      <w:szCs w:val="20"/>
    </w:rPr>
  </w:style>
  <w:style w:type="character" w:customStyle="1" w:styleId="80">
    <w:name w:val="文档结构图 字符1"/>
    <w:basedOn w:val="39"/>
    <w:semiHidden/>
    <w:qFormat/>
    <w:uiPriority w:val="99"/>
    <w:rPr>
      <w:rFonts w:ascii="Microsoft YaHei UI" w:eastAsia="Microsoft YaHei UI"/>
      <w:sz w:val="18"/>
      <w:szCs w:val="18"/>
    </w:rPr>
  </w:style>
  <w:style w:type="character" w:customStyle="1" w:styleId="81">
    <w:name w:val="文档结构图 字符11"/>
    <w:basedOn w:val="39"/>
    <w:semiHidden/>
    <w:qFormat/>
    <w:uiPriority w:val="99"/>
    <w:rPr>
      <w:rFonts w:ascii="Microsoft YaHei UI" w:eastAsia="Microsoft YaHei UI" w:cs="Times New Roman"/>
      <w:kern w:val="2"/>
      <w:sz w:val="18"/>
      <w:szCs w:val="18"/>
    </w:rPr>
  </w:style>
  <w:style w:type="character" w:customStyle="1" w:styleId="82">
    <w:name w:val="正文文本 字符"/>
    <w:basedOn w:val="39"/>
    <w:link w:val="12"/>
    <w:qFormat/>
    <w:uiPriority w:val="99"/>
    <w:rPr>
      <w:rFonts w:ascii="Calibri" w:hAnsi="Calibri" w:eastAsia="新宋体" w:cs="Times New Roman"/>
      <w:szCs w:val="21"/>
    </w:rPr>
  </w:style>
  <w:style w:type="character" w:customStyle="1" w:styleId="83">
    <w:name w:val="纯文本 字符1"/>
    <w:basedOn w:val="39"/>
    <w:semiHidden/>
    <w:qFormat/>
    <w:uiPriority w:val="99"/>
    <w:rPr>
      <w:rFonts w:hAnsi="Courier New" w:cs="Courier New" w:asciiTheme="minorEastAsia"/>
    </w:rPr>
  </w:style>
  <w:style w:type="character" w:customStyle="1" w:styleId="84">
    <w:name w:val="纯文本 字符11"/>
    <w:basedOn w:val="39"/>
    <w:qFormat/>
    <w:uiPriority w:val="0"/>
    <w:rPr>
      <w:rFonts w:hAnsi="Courier New" w:cs="Courier New" w:asciiTheme="minorEastAsia" w:eastAsiaTheme="minorEastAsia"/>
      <w:kern w:val="2"/>
      <w:sz w:val="21"/>
    </w:rPr>
  </w:style>
  <w:style w:type="character" w:customStyle="1" w:styleId="85">
    <w:name w:val="页眉 字符1"/>
    <w:basedOn w:val="39"/>
    <w:semiHidden/>
    <w:qFormat/>
    <w:uiPriority w:val="99"/>
    <w:rPr>
      <w:sz w:val="18"/>
      <w:szCs w:val="18"/>
    </w:rPr>
  </w:style>
  <w:style w:type="character" w:customStyle="1" w:styleId="86">
    <w:name w:val="页眉 字符11"/>
    <w:basedOn w:val="39"/>
    <w:semiHidden/>
    <w:qFormat/>
    <w:uiPriority w:val="99"/>
    <w:rPr>
      <w:rFonts w:cs="Times New Roman"/>
      <w:kern w:val="2"/>
      <w:sz w:val="18"/>
      <w:szCs w:val="18"/>
    </w:rPr>
  </w:style>
  <w:style w:type="character" w:customStyle="1" w:styleId="87">
    <w:name w:val="批注框文本 字符1"/>
    <w:basedOn w:val="39"/>
    <w:semiHidden/>
    <w:qFormat/>
    <w:uiPriority w:val="99"/>
    <w:rPr>
      <w:sz w:val="18"/>
      <w:szCs w:val="18"/>
    </w:rPr>
  </w:style>
  <w:style w:type="character" w:customStyle="1" w:styleId="88">
    <w:name w:val="批注框文本 字符11"/>
    <w:basedOn w:val="39"/>
    <w:semiHidden/>
    <w:qFormat/>
    <w:uiPriority w:val="99"/>
    <w:rPr>
      <w:rFonts w:cs="Times New Roman"/>
      <w:kern w:val="2"/>
      <w:sz w:val="18"/>
      <w:szCs w:val="18"/>
    </w:rPr>
  </w:style>
  <w:style w:type="character" w:customStyle="1" w:styleId="89">
    <w:name w:val="日期 字符1"/>
    <w:basedOn w:val="39"/>
    <w:semiHidden/>
    <w:qFormat/>
    <w:uiPriority w:val="99"/>
  </w:style>
  <w:style w:type="character" w:customStyle="1" w:styleId="90">
    <w:name w:val="日期 字符11"/>
    <w:basedOn w:val="39"/>
    <w:semiHidden/>
    <w:qFormat/>
    <w:uiPriority w:val="99"/>
    <w:rPr>
      <w:rFonts w:cs="Times New Roman"/>
      <w:kern w:val="2"/>
      <w:sz w:val="21"/>
    </w:rPr>
  </w:style>
  <w:style w:type="character" w:customStyle="1" w:styleId="91">
    <w:name w:val="页脚 字符1"/>
    <w:basedOn w:val="39"/>
    <w:semiHidden/>
    <w:qFormat/>
    <w:uiPriority w:val="99"/>
    <w:rPr>
      <w:sz w:val="18"/>
      <w:szCs w:val="18"/>
    </w:rPr>
  </w:style>
  <w:style w:type="character" w:customStyle="1" w:styleId="92">
    <w:name w:val="页脚 字符11"/>
    <w:basedOn w:val="39"/>
    <w:semiHidden/>
    <w:qFormat/>
    <w:uiPriority w:val="99"/>
    <w:rPr>
      <w:rFonts w:cs="Times New Roman"/>
      <w:kern w:val="2"/>
      <w:sz w:val="18"/>
      <w:szCs w:val="18"/>
    </w:rPr>
  </w:style>
  <w:style w:type="character" w:customStyle="1" w:styleId="93">
    <w:name w:val="正文文本缩进 2 字符1"/>
    <w:basedOn w:val="39"/>
    <w:semiHidden/>
    <w:qFormat/>
    <w:uiPriority w:val="99"/>
  </w:style>
  <w:style w:type="character" w:customStyle="1" w:styleId="94">
    <w:name w:val="正文文本缩进 2 字符11"/>
    <w:basedOn w:val="39"/>
    <w:semiHidden/>
    <w:qFormat/>
    <w:uiPriority w:val="99"/>
    <w:rPr>
      <w:rFonts w:cs="Times New Roman"/>
      <w:kern w:val="2"/>
      <w:sz w:val="21"/>
    </w:rPr>
  </w:style>
  <w:style w:type="character" w:customStyle="1" w:styleId="95">
    <w:name w:val="正文文本缩进 3 字符1"/>
    <w:basedOn w:val="39"/>
    <w:semiHidden/>
    <w:qFormat/>
    <w:uiPriority w:val="99"/>
    <w:rPr>
      <w:sz w:val="16"/>
      <w:szCs w:val="16"/>
    </w:rPr>
  </w:style>
  <w:style w:type="character" w:customStyle="1" w:styleId="96">
    <w:name w:val="正文文本缩进 3 字符11"/>
    <w:basedOn w:val="39"/>
    <w:semiHidden/>
    <w:qFormat/>
    <w:uiPriority w:val="99"/>
    <w:rPr>
      <w:rFonts w:cs="Times New Roman"/>
      <w:kern w:val="2"/>
      <w:sz w:val="16"/>
      <w:szCs w:val="16"/>
    </w:rPr>
  </w:style>
  <w:style w:type="character" w:customStyle="1" w:styleId="97">
    <w:name w:val="批注主题 字符1"/>
    <w:basedOn w:val="77"/>
    <w:semiHidden/>
    <w:qFormat/>
    <w:uiPriority w:val="99"/>
    <w:rPr>
      <w:b/>
      <w:bCs/>
    </w:rPr>
  </w:style>
  <w:style w:type="character" w:customStyle="1" w:styleId="98">
    <w:name w:val="批注主题 字符11"/>
    <w:basedOn w:val="78"/>
    <w:semiHidden/>
    <w:qFormat/>
    <w:uiPriority w:val="99"/>
    <w:rPr>
      <w:rFonts w:cs="Times New Roman"/>
      <w:b/>
      <w:bCs/>
      <w:kern w:val="2"/>
      <w:sz w:val="21"/>
    </w:rPr>
  </w:style>
  <w:style w:type="character" w:customStyle="1" w:styleId="99">
    <w:name w:val="标题 字符1"/>
    <w:basedOn w:val="39"/>
    <w:qFormat/>
    <w:uiPriority w:val="10"/>
    <w:rPr>
      <w:rFonts w:asciiTheme="majorHAnsi" w:hAnsiTheme="majorHAnsi" w:eastAsiaTheme="majorEastAsia" w:cstheme="majorBidi"/>
      <w:b/>
      <w:bCs/>
      <w:sz w:val="32"/>
      <w:szCs w:val="32"/>
    </w:rPr>
  </w:style>
  <w:style w:type="character" w:customStyle="1" w:styleId="100">
    <w:name w:val="标题 字符11"/>
    <w:basedOn w:val="39"/>
    <w:qFormat/>
    <w:uiPriority w:val="10"/>
    <w:rPr>
      <w:rFonts w:cs="Times New Roman" w:asciiTheme="majorHAnsi" w:hAnsiTheme="majorHAnsi" w:eastAsiaTheme="majorEastAsia"/>
      <w:b/>
      <w:bCs/>
      <w:kern w:val="2"/>
      <w:sz w:val="32"/>
      <w:szCs w:val="32"/>
    </w:rPr>
  </w:style>
  <w:style w:type="paragraph" w:customStyle="1" w:styleId="101">
    <w:name w:val="ATXT_Table"/>
    <w:basedOn w:val="1"/>
    <w:qFormat/>
    <w:uiPriority w:val="0"/>
    <w:pPr>
      <w:widowControl/>
    </w:pPr>
    <w:rPr>
      <w:rFonts w:ascii="Arial" w:hAnsi="Arial" w:eastAsia="宋体" w:cs="Times New Roman"/>
      <w:kern w:val="0"/>
      <w:sz w:val="20"/>
      <w:szCs w:val="20"/>
      <w:lang w:val="de-DE" w:eastAsia="de-DE"/>
    </w:rPr>
  </w:style>
  <w:style w:type="paragraph" w:customStyle="1" w:styleId="102">
    <w:name w:val="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03">
    <w:name w:val="二级列表 Char"/>
    <w:basedOn w:val="1"/>
    <w:qFormat/>
    <w:uiPriority w:val="0"/>
    <w:rPr>
      <w:rFonts w:ascii="Calibri" w:hAnsi="Calibri" w:eastAsia="宋体" w:cs="Times New Roman"/>
      <w:szCs w:val="20"/>
    </w:rPr>
  </w:style>
  <w:style w:type="paragraph" w:customStyle="1" w:styleId="104">
    <w:name w:val="2"/>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05">
    <w:name w:val="1列"/>
    <w:basedOn w:val="1"/>
    <w:qFormat/>
    <w:uiPriority w:val="0"/>
    <w:pPr>
      <w:spacing w:line="360" w:lineRule="auto"/>
      <w:ind w:left="401" w:hanging="401" w:hangingChars="191"/>
    </w:pPr>
    <w:rPr>
      <w:rFonts w:ascii="Calibri" w:hAnsi="Calibri" w:eastAsia="宋体" w:cs="Times New Roman"/>
      <w:szCs w:val="24"/>
    </w:rPr>
  </w:style>
  <w:style w:type="paragraph" w:customStyle="1" w:styleId="106">
    <w:name w:val="ATXT_Standard"/>
    <w:qFormat/>
    <w:uiPriority w:val="99"/>
    <w:pPr>
      <w:widowControl w:val="0"/>
      <w:autoSpaceDE w:val="0"/>
      <w:autoSpaceDN w:val="0"/>
      <w:adjustRightInd w:val="0"/>
      <w:ind w:left="1134"/>
      <w:jc w:val="both"/>
    </w:pPr>
    <w:rPr>
      <w:rFonts w:ascii="Arial" w:hAnsi="Arial" w:eastAsia="宋体" w:cs="Arial"/>
      <w:lang w:val="en-US" w:eastAsia="zh-CN" w:bidi="ar-SA"/>
    </w:rPr>
  </w:style>
  <w:style w:type="paragraph" w:customStyle="1" w:styleId="107">
    <w:name w:val="Char Char3 Char Char Char Char Char Char Char"/>
    <w:basedOn w:val="1"/>
    <w:qFormat/>
    <w:uiPriority w:val="0"/>
    <w:pPr>
      <w:widowControl/>
      <w:tabs>
        <w:tab w:val="left" w:pos="425"/>
      </w:tabs>
      <w:spacing w:after="160" w:line="240" w:lineRule="exact"/>
      <w:ind w:left="425" w:hanging="425"/>
      <w:jc w:val="left"/>
    </w:pPr>
    <w:rPr>
      <w:rFonts w:ascii="Verdana" w:hAnsi="Verdana" w:eastAsia="宋体" w:cs="Times New Roman"/>
      <w:kern w:val="0"/>
      <w:sz w:val="20"/>
      <w:szCs w:val="20"/>
      <w:lang w:eastAsia="en-US"/>
    </w:rPr>
  </w:style>
  <w:style w:type="paragraph" w:customStyle="1" w:styleId="108">
    <w:name w:val="Char Char Char Char Char Char Char"/>
    <w:basedOn w:val="1"/>
    <w:qFormat/>
    <w:uiPriority w:val="0"/>
    <w:rPr>
      <w:rFonts w:ascii="Verdana" w:hAnsi="Verdana" w:eastAsia="宋体" w:cs="Times New Roman"/>
      <w:kern w:val="0"/>
      <w:sz w:val="20"/>
      <w:szCs w:val="20"/>
      <w:lang w:eastAsia="en-US"/>
    </w:rPr>
  </w:style>
  <w:style w:type="paragraph" w:customStyle="1" w:styleId="109">
    <w:name w:val="正文1"/>
    <w:basedOn w:val="1"/>
    <w:qFormat/>
    <w:uiPriority w:val="0"/>
    <w:pPr>
      <w:adjustRightInd w:val="0"/>
      <w:spacing w:line="312" w:lineRule="atLeast"/>
    </w:pPr>
    <w:rPr>
      <w:rFonts w:ascii="楷体_GB2312" w:hAnsi="Calibri" w:eastAsia="楷体_GB2312" w:cs="Times New Roman"/>
      <w:kern w:val="0"/>
      <w:sz w:val="24"/>
      <w:szCs w:val="20"/>
    </w:rPr>
  </w:style>
  <w:style w:type="paragraph" w:customStyle="1" w:styleId="110">
    <w:name w:val="Char Char Char Char Char Char1 Char"/>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11">
    <w:name w:val="Pied"/>
    <w:basedOn w:val="1"/>
    <w:qFormat/>
    <w:uiPriority w:val="0"/>
    <w:pPr>
      <w:tabs>
        <w:tab w:val="center" w:pos="4252"/>
        <w:tab w:val="right" w:pos="8504"/>
      </w:tabs>
      <w:ind w:left="284" w:right="284"/>
      <w:jc w:val="center"/>
    </w:pPr>
    <w:rPr>
      <w:rFonts w:ascii="Calibri" w:hAnsi="Calibri" w:eastAsia="宋体" w:cs="Times New Roman"/>
      <w:b/>
      <w:color w:val="000000"/>
      <w:sz w:val="16"/>
      <w:szCs w:val="24"/>
      <w:lang w:val="fr-FR" w:eastAsia="fr-FR"/>
    </w:rPr>
  </w:style>
  <w:style w:type="paragraph" w:customStyle="1" w:styleId="112">
    <w:name w:val="AVL_Continuous_normal"/>
    <w:qFormat/>
    <w:uiPriority w:val="99"/>
    <w:pPr>
      <w:widowControl w:val="0"/>
      <w:autoSpaceDE w:val="0"/>
      <w:autoSpaceDN w:val="0"/>
      <w:adjustRightInd w:val="0"/>
    </w:pPr>
    <w:rPr>
      <w:rFonts w:ascii="Arial" w:hAnsi="Arial" w:eastAsia="宋体" w:cs="Arial"/>
      <w:color w:val="070000"/>
      <w:sz w:val="19"/>
      <w:szCs w:val="19"/>
      <w:lang w:val="de-AT" w:eastAsia="zh-CN" w:bidi="th-TH"/>
    </w:rPr>
  </w:style>
  <w:style w:type="paragraph" w:customStyle="1" w:styleId="113">
    <w:name w:val="标书正文格式"/>
    <w:basedOn w:val="17"/>
    <w:link w:val="115"/>
    <w:qFormat/>
    <w:uiPriority w:val="0"/>
    <w:pPr>
      <w:spacing w:line="360" w:lineRule="auto"/>
      <w:ind w:firstLine="200" w:firstLineChars="200"/>
    </w:pPr>
    <w:rPr>
      <w:rFonts w:hAnsi="宋体"/>
      <w:color w:val="000000"/>
      <w:sz w:val="24"/>
      <w:szCs w:val="24"/>
    </w:rPr>
  </w:style>
  <w:style w:type="paragraph" w:customStyle="1" w:styleId="114">
    <w:name w:val="标书二级标题"/>
    <w:basedOn w:val="4"/>
    <w:link w:val="117"/>
    <w:qFormat/>
    <w:uiPriority w:val="0"/>
    <w:pPr>
      <w:spacing w:line="240" w:lineRule="auto"/>
      <w:jc w:val="left"/>
    </w:pPr>
    <w:rPr>
      <w:rFonts w:ascii="宋体" w:hAnsi="宋体" w:eastAsia="黑体"/>
      <w:b w:val="0"/>
      <w:sz w:val="28"/>
      <w:szCs w:val="30"/>
    </w:rPr>
  </w:style>
  <w:style w:type="character" w:customStyle="1" w:styleId="115">
    <w:name w:val="标书正文格式 字符"/>
    <w:link w:val="113"/>
    <w:qFormat/>
    <w:locked/>
    <w:uiPriority w:val="0"/>
    <w:rPr>
      <w:rFonts w:ascii="宋体" w:hAnsi="宋体"/>
      <w:color w:val="000000"/>
      <w:sz w:val="24"/>
      <w:szCs w:val="24"/>
    </w:rPr>
  </w:style>
  <w:style w:type="paragraph" w:customStyle="1" w:styleId="116">
    <w:name w:val="标书表格"/>
    <w:basedOn w:val="1"/>
    <w:link w:val="118"/>
    <w:qFormat/>
    <w:uiPriority w:val="0"/>
    <w:pPr>
      <w:jc w:val="center"/>
    </w:pPr>
    <w:rPr>
      <w:rFonts w:ascii="Times New Roman" w:hAnsi="Times New Roman" w:eastAsia="宋体" w:cs="Times New Roman"/>
      <w:b/>
      <w:szCs w:val="20"/>
    </w:rPr>
  </w:style>
  <w:style w:type="character" w:customStyle="1" w:styleId="117">
    <w:name w:val="标书二级标题 字符"/>
    <w:link w:val="114"/>
    <w:qFormat/>
    <w:locked/>
    <w:uiPriority w:val="0"/>
    <w:rPr>
      <w:rFonts w:ascii="宋体" w:hAnsi="宋体" w:eastAsia="黑体" w:cs="Times New Roman"/>
      <w:bCs/>
      <w:sz w:val="28"/>
      <w:szCs w:val="30"/>
    </w:rPr>
  </w:style>
  <w:style w:type="character" w:customStyle="1" w:styleId="118">
    <w:name w:val="标书表格 字符"/>
    <w:link w:val="116"/>
    <w:qFormat/>
    <w:locked/>
    <w:uiPriority w:val="0"/>
    <w:rPr>
      <w:rFonts w:ascii="Times New Roman" w:hAnsi="Times New Roman" w:eastAsia="宋体" w:cs="Times New Roman"/>
      <w:b/>
      <w:szCs w:val="20"/>
    </w:rPr>
  </w:style>
  <w:style w:type="paragraph" w:customStyle="1" w:styleId="119">
    <w:name w:val="标书三级标题"/>
    <w:basedOn w:val="5"/>
    <w:next w:val="113"/>
    <w:link w:val="120"/>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20">
    <w:name w:val="标书三级标题 字符"/>
    <w:link w:val="119"/>
    <w:qFormat/>
    <w:locked/>
    <w:uiPriority w:val="0"/>
    <w:rPr>
      <w:rFonts w:ascii="Times New Roman" w:hAnsi="Times New Roman" w:eastAsia="宋体" w:cs="Times New Roman"/>
      <w:b/>
      <w:bCs/>
      <w:color w:val="000000"/>
      <w:sz w:val="24"/>
      <w:szCs w:val="24"/>
    </w:rPr>
  </w:style>
  <w:style w:type="character" w:customStyle="1" w:styleId="121">
    <w:name w:val="标三级标题 字符"/>
    <w:link w:val="122"/>
    <w:qFormat/>
    <w:locked/>
    <w:uiPriority w:val="0"/>
    <w:rPr>
      <w:b/>
      <w:color w:val="000000"/>
      <w:sz w:val="24"/>
    </w:rPr>
  </w:style>
  <w:style w:type="paragraph" w:customStyle="1" w:styleId="122">
    <w:name w:val="标三级标题"/>
    <w:basedOn w:val="119"/>
    <w:link w:val="121"/>
    <w:qFormat/>
    <w:uiPriority w:val="0"/>
    <w:rPr>
      <w:rFonts w:asciiTheme="minorHAnsi" w:hAnsiTheme="minorHAnsi" w:eastAsiaTheme="minorEastAsia" w:cstheme="minorBidi"/>
      <w:bCs w:val="0"/>
      <w:szCs w:val="22"/>
    </w:rPr>
  </w:style>
  <w:style w:type="character" w:customStyle="1" w:styleId="123">
    <w:name w:val="标正文 字符"/>
    <w:link w:val="124"/>
    <w:qFormat/>
    <w:locked/>
    <w:uiPriority w:val="0"/>
    <w:rPr>
      <w:rFonts w:ascii="宋体" w:eastAsia="宋体"/>
      <w:color w:val="000000"/>
      <w:sz w:val="24"/>
    </w:rPr>
  </w:style>
  <w:style w:type="paragraph" w:customStyle="1" w:styleId="124">
    <w:name w:val="标正文"/>
    <w:basedOn w:val="113"/>
    <w:link w:val="123"/>
    <w:qFormat/>
    <w:uiPriority w:val="0"/>
    <w:pPr>
      <w:ind w:firstLine="480"/>
    </w:pPr>
    <w:rPr>
      <w:rFonts w:eastAsia="宋体" w:hAnsiTheme="minorHAnsi"/>
      <w:szCs w:val="22"/>
    </w:rPr>
  </w:style>
  <w:style w:type="paragraph" w:customStyle="1" w:styleId="125">
    <w:name w:val="TOC 标题1"/>
    <w:basedOn w:val="3"/>
    <w:next w:val="1"/>
    <w:unhideWhenUsed/>
    <w:qFormat/>
    <w:uiPriority w:val="39"/>
    <w:pPr>
      <w:widowControl/>
      <w:spacing w:before="240" w:line="259" w:lineRule="auto"/>
      <w:jc w:val="left"/>
      <w:outlineLvl w:val="9"/>
    </w:pPr>
    <w:rPr>
      <w:rFonts w:ascii="等线 Light" w:hAnsi="等线 Light" w:eastAsia="等线 Light"/>
      <w:b w:val="0"/>
      <w:bCs w:val="0"/>
      <w:color w:val="2E74B5"/>
      <w:kern w:val="0"/>
      <w:sz w:val="32"/>
      <w:szCs w:val="32"/>
    </w:rPr>
  </w:style>
  <w:style w:type="paragraph" w:customStyle="1" w:styleId="126">
    <w:name w:val="HR正文表格"/>
    <w:basedOn w:val="1"/>
    <w:qFormat/>
    <w:uiPriority w:val="0"/>
    <w:pPr>
      <w:spacing w:beforeLines="25" w:afterLines="25" w:line="300" w:lineRule="auto"/>
    </w:pPr>
    <w:rPr>
      <w:szCs w:val="24"/>
    </w:rPr>
  </w:style>
  <w:style w:type="paragraph" w:styleId="127">
    <w:name w:val="List Paragraph"/>
    <w:basedOn w:val="1"/>
    <w:qFormat/>
    <w:uiPriority w:val="34"/>
    <w:pPr>
      <w:ind w:firstLine="420" w:firstLineChars="200"/>
    </w:pPr>
  </w:style>
  <w:style w:type="paragraph" w:customStyle="1" w:styleId="128">
    <w:name w:val="WPSOffice手动目录 1"/>
    <w:qFormat/>
    <w:uiPriority w:val="0"/>
    <w:rPr>
      <w:rFonts w:ascii="Times New Roman" w:hAnsi="Times New Roman" w:eastAsia="宋体" w:cs="Times New Roman"/>
      <w:lang w:val="en-US" w:eastAsia="zh-CN" w:bidi="ar-SA"/>
    </w:rPr>
  </w:style>
  <w:style w:type="table" w:customStyle="1" w:styleId="129">
    <w:name w:val="Table Normal"/>
    <w:semiHidden/>
    <w:unhideWhenUsed/>
    <w:qFormat/>
    <w:uiPriority w:val="0"/>
    <w:tblPr>
      <w:tblCellMar>
        <w:top w:w="0" w:type="dxa"/>
        <w:left w:w="0" w:type="dxa"/>
        <w:bottom w:w="0" w:type="dxa"/>
        <w:right w:w="0" w:type="dxa"/>
      </w:tblCellMar>
    </w:tblPr>
  </w:style>
  <w:style w:type="character" w:customStyle="1" w:styleId="130">
    <w:name w:val="NormalCharacter"/>
    <w:qFormat/>
    <w:uiPriority w:val="0"/>
  </w:style>
  <w:style w:type="paragraph" w:customStyle="1" w:styleId="131">
    <w:name w:val="Table Paragraph"/>
    <w:basedOn w:val="1"/>
    <w:qFormat/>
    <w:uiPriority w:val="1"/>
    <w:rPr>
      <w:rFonts w:ascii="宋体" w:hAnsi="宋体" w:eastAsia="宋体" w:cs="宋体"/>
    </w:rPr>
  </w:style>
  <w:style w:type="paragraph" w:customStyle="1" w:styleId="132">
    <w:name w:val="标书一级标题"/>
    <w:basedOn w:val="3"/>
    <w:qFormat/>
    <w:uiPriority w:val="0"/>
    <w:rPr>
      <w:rFonts w:eastAsia="黑体"/>
      <w:b w:val="0"/>
      <w:color w:val="000000"/>
      <w:sz w:val="30"/>
      <w:szCs w:val="24"/>
    </w:rPr>
  </w:style>
  <w:style w:type="paragraph" w:customStyle="1" w:styleId="133">
    <w:name w:val="无间隔1"/>
    <w:qFormat/>
    <w:uiPriority w:val="0"/>
    <w:rPr>
      <w:rFonts w:ascii="Calibri" w:hAnsi="Calibri" w:eastAsia="Calibri" w:cs="Times New Roman"/>
      <w:szCs w:val="22"/>
      <w:lang w:val="en-GB" w:eastAsia="en-US" w:bidi="ar-SA"/>
    </w:rPr>
  </w:style>
  <w:style w:type="paragraph" w:customStyle="1" w:styleId="134">
    <w:name w:val="CM22"/>
    <w:basedOn w:val="75"/>
    <w:next w:val="75"/>
    <w:qFormat/>
    <w:uiPriority w:val="0"/>
    <w:pPr>
      <w:spacing w:after="125"/>
    </w:pPr>
    <w:rPr>
      <w:rFonts w:cs="Times New Roman"/>
      <w:color w:val="auto"/>
    </w:rPr>
  </w:style>
  <w:style w:type="paragraph" w:customStyle="1" w:styleId="135">
    <w:name w:val="List Paragraph1"/>
    <w:basedOn w:val="1"/>
    <w:qFormat/>
    <w:uiPriority w:val="0"/>
    <w:pPr>
      <w:ind w:firstLine="420" w:firstLineChars="200"/>
    </w:pPr>
    <w:rPr>
      <w:rFonts w:ascii="Calibri" w:hAnsi="Calibri"/>
    </w:rPr>
  </w:style>
  <w:style w:type="character" w:customStyle="1" w:styleId="136">
    <w:name w:val="font11"/>
    <w:basedOn w:val="39"/>
    <w:qFormat/>
    <w:uiPriority w:val="0"/>
    <w:rPr>
      <w:rFonts w:hint="eastAsia" w:ascii="宋体" w:hAnsi="宋体" w:eastAsia="宋体" w:cs="宋体"/>
      <w:b/>
      <w:bCs/>
      <w:color w:val="000000"/>
      <w:sz w:val="21"/>
      <w:szCs w:val="21"/>
      <w:u w:val="none"/>
    </w:rPr>
  </w:style>
  <w:style w:type="character" w:customStyle="1" w:styleId="137">
    <w:name w:val="正文文本 2 字符"/>
    <w:basedOn w:val="39"/>
    <w:link w:val="31"/>
    <w:semiHidden/>
    <w:qFormat/>
    <w:uiPriority w:val="99"/>
    <w:rPr>
      <w:rFonts w:asciiTheme="minorHAnsi" w:hAnsiTheme="minorHAnsi" w:eastAsiaTheme="minorEastAsia" w:cstheme="minorBidi"/>
      <w:kern w:val="2"/>
      <w:sz w:val="21"/>
      <w:szCs w:val="22"/>
    </w:rPr>
  </w:style>
  <w:style w:type="paragraph" w:customStyle="1" w:styleId="138">
    <w:name w:val="表格"/>
    <w:basedOn w:val="1"/>
    <w:qFormat/>
    <w:uiPriority w:val="10"/>
    <w:rPr>
      <w:rFonts w:ascii="宋体" w:hAnsi="宋体"/>
      <w:szCs w:val="30"/>
    </w:rPr>
  </w:style>
  <w:style w:type="paragraph" w:customStyle="1" w:styleId="139">
    <w:name w:val="章节"/>
    <w:basedOn w:val="17"/>
    <w:qFormat/>
    <w:uiPriority w:val="0"/>
    <w:pPr>
      <w:spacing w:line="360" w:lineRule="auto"/>
      <w:jc w:val="center"/>
      <w:outlineLvl w:val="0"/>
    </w:pPr>
    <w:rPr>
      <w:rFonts w:ascii="黑体" w:eastAsia="黑体"/>
      <w:b/>
      <w:bCs/>
      <w:sz w:val="36"/>
      <w:szCs w:val="36"/>
    </w:rPr>
  </w:style>
  <w:style w:type="paragraph" w:customStyle="1" w:styleId="140">
    <w:name w:val="一级标题"/>
    <w:basedOn w:val="17"/>
    <w:qFormat/>
    <w:uiPriority w:val="1"/>
    <w:pPr>
      <w:numPr>
        <w:ilvl w:val="0"/>
        <w:numId w:val="1"/>
      </w:numPr>
      <w:spacing w:line="360" w:lineRule="auto"/>
      <w:ind w:left="420"/>
      <w:outlineLvl w:val="1"/>
    </w:pPr>
    <w:rPr>
      <w:rFonts w:ascii="黑体" w:eastAsia="黑体"/>
      <w:b/>
      <w:bCs/>
      <w:sz w:val="28"/>
    </w:rPr>
  </w:style>
  <w:style w:type="paragraph" w:customStyle="1" w:styleId="141">
    <w:name w:val="（二）级标题"/>
    <w:basedOn w:val="17"/>
    <w:qFormat/>
    <w:uiPriority w:val="2"/>
    <w:pPr>
      <w:numPr>
        <w:ilvl w:val="0"/>
        <w:numId w:val="2"/>
      </w:numPr>
      <w:spacing w:line="360" w:lineRule="auto"/>
      <w:outlineLvl w:val="2"/>
    </w:pPr>
    <w:rPr>
      <w:b/>
    </w:rPr>
  </w:style>
  <w:style w:type="paragraph" w:customStyle="1" w:styleId="142">
    <w:name w:val="标书正文"/>
    <w:basedOn w:val="17"/>
    <w:qFormat/>
    <w:uiPriority w:val="9"/>
    <w:pPr>
      <w:spacing w:line="360" w:lineRule="auto"/>
      <w:jc w:val="left"/>
    </w:pPr>
  </w:style>
  <w:style w:type="paragraph" w:customStyle="1" w:styleId="143">
    <w:name w:val="3级标题"/>
    <w:basedOn w:val="17"/>
    <w:qFormat/>
    <w:uiPriority w:val="3"/>
    <w:pPr>
      <w:numPr>
        <w:ilvl w:val="0"/>
        <w:numId w:val="3"/>
      </w:numPr>
      <w:spacing w:line="360" w:lineRule="auto"/>
      <w:outlineLvl w:val="3"/>
    </w:pPr>
    <w:rPr>
      <w:b/>
    </w:rPr>
  </w:style>
  <w:style w:type="paragraph" w:customStyle="1" w:styleId="144">
    <w:name w:val="（4）级标题"/>
    <w:basedOn w:val="17"/>
    <w:qFormat/>
    <w:uiPriority w:val="8"/>
    <w:pPr>
      <w:numPr>
        <w:ilvl w:val="0"/>
        <w:numId w:val="4"/>
      </w:numPr>
      <w:spacing w:line="360" w:lineRule="auto"/>
      <w:outlineLvl w:val="4"/>
    </w:p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34</Pages>
  <Words>7554</Words>
  <Characters>7967</Characters>
  <Lines>242</Lines>
  <Paragraphs>68</Paragraphs>
  <TotalTime>5</TotalTime>
  <ScaleCrop>false</ScaleCrop>
  <LinksUpToDate>false</LinksUpToDate>
  <CharactersWithSpaces>8040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2026-04-30T09:30:00Z</dcterms:created>
  <dc:creator>ZQNet</dc:creator>
  <cp:lastModifiedBy>Administrator</cp:lastModifiedBy>
  <cp:lastPrinted>2022-07-01T11:19:00Z</cp:lastPrinted>
  <dcterms:modified xsi:type="dcterms:W3CDTF">2026-06-08T02:54:28Z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ED02EB12B8294FE5807EAA5D2C3C24E0</vt:lpwstr>
  </property>
  <property fmtid="{D5CDD505-2E9C-101B-9397-08002B2CF9AE}" pid="4" name="KSOTemplateDocerSaveRecord">
    <vt:lpwstr>eyJoZGlkIjoiMjA3MjRkZTcwNjVhMmUwMDJjMWUwZGM1M2I0MzhjMzgiLCJ1c2VySWQiOiIyMzMwMTE5NTEifQ==</vt:lpwstr>
  </property>
</Properties>
</file>