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中国重汽集团济南动力有限公司济南成型厂锻造二部东线1250切边机设计加装飞轮制动器及护罩项目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jc w:val="center"/>
        <w:rPr>
          <w:rFonts w:hint="default" w:ascii="宋体" w:hAnsi="宋体"/>
          <w:sz w:val="48"/>
          <w:szCs w:val="48"/>
          <w:highlight w:val="none"/>
          <w:lang w:val="en-US"/>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none"/>
          <w:lang w:val="en-US" w:eastAsia="zh-CN"/>
        </w:rPr>
        <w:t xml:space="preserve"> ZBGL2026060160 </w:t>
      </w: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29D6304">
      <w:pPr>
        <w:spacing w:line="480" w:lineRule="auto"/>
        <w:jc w:val="center"/>
        <w:rPr>
          <w:rFonts w:hint="eastAsia" w:asciiTheme="minorEastAsia" w:hAnsiTheme="minorEastAsia" w:eastAsiaTheme="minorEastAsia" w:cstheme="minorEastAsia"/>
          <w:b/>
          <w:kern w:val="0"/>
          <w:sz w:val="32"/>
          <w:szCs w:val="32"/>
          <w:lang w:val="zh-CN"/>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bookmarkEnd w:id="0"/>
      <w:bookmarkEnd w:id="1"/>
      <w:bookmarkStart w:id="2" w:name="_Toc16518"/>
      <w:bookmarkStart w:id="3" w:name="_Toc131406235"/>
      <w:bookmarkStart w:id="4" w:name="_Toc23462"/>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锻造二部东线1250切边机设计加装飞轮制动器及护罩</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152042290"/>
      <w:bookmarkEnd w:id="7"/>
      <w:bookmarkStart w:id="8" w:name="_Toc144974482"/>
      <w:bookmarkEnd w:id="8"/>
      <w:bookmarkStart w:id="9" w:name="_Toc285809451"/>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锻造二部东线1250切边机设计加装飞轮制动器及护罩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ZBGL2026060160</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参与形式：</w:t>
      </w:r>
      <w:r>
        <w:rPr>
          <w:rFonts w:hint="eastAsia" w:asciiTheme="minorEastAsia" w:hAnsiTheme="minorEastAsia" w:eastAsiaTheme="minorEastAsia" w:cstheme="minorEastAsia"/>
          <w:b/>
          <w:bCs/>
          <w:kern w:val="0"/>
          <w:sz w:val="24"/>
          <w:szCs w:val="24"/>
          <w:highlight w:val="yellow"/>
          <w:u w:val="none"/>
          <w:lang w:val="en-US" w:eastAsia="zh-CN" w:bidi="en-US"/>
        </w:rPr>
        <w:t>现场开标</w:t>
      </w:r>
    </w:p>
    <w:p w14:paraId="0C4648F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开标地点：成型厂（具体会议室地点开标前一天通知各投标供方）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本次招标为中国重汽济南成型厂铸造车间环保提升项目，具体内容如下：</w:t>
      </w:r>
    </w:p>
    <w:tbl>
      <w:tblPr>
        <w:tblStyle w:val="4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2268"/>
        <w:gridCol w:w="1926"/>
        <w:gridCol w:w="1302"/>
        <w:gridCol w:w="760"/>
        <w:gridCol w:w="2182"/>
      </w:tblGrid>
      <w:tr w14:paraId="15E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53" w:type="pct"/>
            <w:vAlign w:val="center"/>
          </w:tcPr>
          <w:p w14:paraId="3C6EA82D">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序号</w:t>
            </w:r>
          </w:p>
        </w:tc>
        <w:tc>
          <w:tcPr>
            <w:tcW w:w="1221" w:type="pct"/>
            <w:vAlign w:val="center"/>
          </w:tcPr>
          <w:p w14:paraId="57DC8B41">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项目名称</w:t>
            </w:r>
          </w:p>
        </w:tc>
        <w:tc>
          <w:tcPr>
            <w:tcW w:w="1037" w:type="pct"/>
            <w:vAlign w:val="center"/>
          </w:tcPr>
          <w:p w14:paraId="38D2066D">
            <w:pPr>
              <w:spacing w:line="360" w:lineRule="auto"/>
              <w:jc w:val="center"/>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设备品牌</w:t>
            </w:r>
          </w:p>
        </w:tc>
        <w:tc>
          <w:tcPr>
            <w:tcW w:w="701" w:type="pct"/>
            <w:vAlign w:val="center"/>
          </w:tcPr>
          <w:p w14:paraId="6EF7A9B1">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规格型号</w:t>
            </w:r>
          </w:p>
        </w:tc>
        <w:tc>
          <w:tcPr>
            <w:tcW w:w="409" w:type="pct"/>
            <w:vAlign w:val="center"/>
          </w:tcPr>
          <w:p w14:paraId="1E8DC22C">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数量</w:t>
            </w:r>
          </w:p>
        </w:tc>
        <w:tc>
          <w:tcPr>
            <w:tcW w:w="1175" w:type="pct"/>
            <w:vAlign w:val="center"/>
          </w:tcPr>
          <w:p w14:paraId="4B727D14">
            <w:pPr>
              <w:spacing w:line="360" w:lineRule="auto"/>
              <w:jc w:val="center"/>
              <w:rPr>
                <w:rFonts w:hint="eastAsia"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val="en-US" w:eastAsia="zh-CN" w:bidi="en-US"/>
              </w:rPr>
              <w:t>安装地点</w:t>
            </w:r>
          </w:p>
        </w:tc>
      </w:tr>
      <w:tr w14:paraId="401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3" w:type="pct"/>
            <w:vAlign w:val="center"/>
          </w:tcPr>
          <w:p w14:paraId="10F8F11F">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w:t>
            </w:r>
          </w:p>
        </w:tc>
        <w:tc>
          <w:tcPr>
            <w:tcW w:w="1221" w:type="pct"/>
            <w:vAlign w:val="center"/>
          </w:tcPr>
          <w:p w14:paraId="28974632">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锻造二部东线1250切边机设计加装飞轮制动器及护罩</w:t>
            </w:r>
          </w:p>
        </w:tc>
        <w:tc>
          <w:tcPr>
            <w:tcW w:w="1037" w:type="pct"/>
            <w:vAlign w:val="center"/>
          </w:tcPr>
          <w:p w14:paraId="3CDF06A0">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齐齐哈尔二机床</w:t>
            </w:r>
          </w:p>
        </w:tc>
        <w:tc>
          <w:tcPr>
            <w:tcW w:w="701" w:type="pct"/>
            <w:vAlign w:val="center"/>
          </w:tcPr>
          <w:p w14:paraId="3178CB1A">
            <w:pPr>
              <w:spacing w:line="360" w:lineRule="auto"/>
              <w:jc w:val="center"/>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1250</w:t>
            </w:r>
          </w:p>
        </w:tc>
        <w:tc>
          <w:tcPr>
            <w:tcW w:w="409" w:type="pct"/>
            <w:vAlign w:val="center"/>
          </w:tcPr>
          <w:p w14:paraId="09F2FF26">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1台</w:t>
            </w:r>
          </w:p>
        </w:tc>
        <w:tc>
          <w:tcPr>
            <w:tcW w:w="1175" w:type="pct"/>
            <w:vAlign w:val="center"/>
          </w:tcPr>
          <w:p w14:paraId="315F6421">
            <w:pPr>
              <w:spacing w:line="360" w:lineRule="auto"/>
              <w:jc w:val="center"/>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成型厂锻造二部</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33582AD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yellow"/>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highlight w:val="yellow"/>
          <w:lang w:val="en-US" w:eastAsia="zh-CN" w:bidi="ar"/>
        </w:rPr>
        <w:t>通用设备制造；机床功能部件及附件制造；通用零部件制造；机械零件、零部件加工；通用设备修理；专用设备修理；电子、机械设备维护；普通机械设备安装服务；机械设备研发；机床功能部件及附件销售；机械零件、零部件销售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报名截止时间：2026年7月4日20:00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1ECCBE84">
      <w:pPr>
        <w:keepNext/>
        <w:keepLines/>
        <w:spacing w:line="360" w:lineRule="auto"/>
        <w:ind w:firstLine="480" w:firstLineChars="200"/>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宋体" w:hAnsi="宋体" w:cs="宋体"/>
          <w:b/>
          <w:bCs/>
          <w:color w:val="000000"/>
          <w:sz w:val="24"/>
          <w:szCs w:val="24"/>
          <w:highlight w:val="yellow"/>
          <w:lang w:val="en-US" w:eastAsia="zh-CN"/>
        </w:rPr>
        <w:t>2026年7月10日12:00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0811859B">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宋体" w:hAnsi="宋体" w:cs="宋体"/>
          <w:b/>
          <w:bCs/>
          <w:color w:val="000000"/>
          <w:sz w:val="24"/>
          <w:szCs w:val="24"/>
          <w:highlight w:val="yellow"/>
          <w:lang w:val="en-US" w:eastAsia="zh-CN"/>
        </w:rPr>
        <w:t>2026年7月10日13:30</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2.开标地点：济南成型厂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武工 19861850214</w:t>
      </w:r>
    </w:p>
    <w:p w14:paraId="439DE341">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技术联系人：张主任15964531898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439C497E">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yellow"/>
          <w:lang w:val="en-US" w:eastAsia="zh-CN"/>
        </w:rPr>
        <w:t>提交截止时间：</w:t>
      </w:r>
      <w:r>
        <w:rPr>
          <w:rFonts w:hint="eastAsia" w:ascii="宋体" w:hAnsi="宋体" w:cs="宋体"/>
          <w:b/>
          <w:bCs/>
          <w:color w:val="000000"/>
          <w:sz w:val="24"/>
          <w:szCs w:val="24"/>
          <w:highlight w:val="yellow"/>
          <w:lang w:val="en-US" w:eastAsia="zh-CN"/>
        </w:rPr>
        <w:t>2026年</w:t>
      </w:r>
      <w:r>
        <w:rPr>
          <w:rFonts w:hint="eastAsia" w:hAnsi="宋体" w:cs="宋体"/>
          <w:b/>
          <w:bCs/>
          <w:color w:val="000000"/>
          <w:sz w:val="24"/>
          <w:szCs w:val="24"/>
          <w:highlight w:val="yellow"/>
          <w:lang w:val="en-US" w:eastAsia="zh-CN"/>
        </w:rPr>
        <w:t>7</w:t>
      </w:r>
      <w:r>
        <w:rPr>
          <w:rFonts w:hint="eastAsia" w:ascii="宋体" w:hAnsi="宋体" w:cs="宋体"/>
          <w:b/>
          <w:bCs/>
          <w:color w:val="000000"/>
          <w:sz w:val="24"/>
          <w:szCs w:val="24"/>
          <w:highlight w:val="yellow"/>
          <w:lang w:val="en-US" w:eastAsia="zh-CN"/>
        </w:rPr>
        <w:t>月</w:t>
      </w:r>
      <w:r>
        <w:rPr>
          <w:rFonts w:hint="eastAsia" w:hAnsi="宋体" w:cs="宋体"/>
          <w:b/>
          <w:bCs/>
          <w:color w:val="000000"/>
          <w:sz w:val="24"/>
          <w:szCs w:val="24"/>
          <w:highlight w:val="yellow"/>
          <w:lang w:val="en-US" w:eastAsia="zh-CN"/>
        </w:rPr>
        <w:t>9</w:t>
      </w:r>
      <w:r>
        <w:rPr>
          <w:rFonts w:hint="eastAsia" w:ascii="宋体" w:hAnsi="宋体" w:cs="宋体"/>
          <w:b/>
          <w:bCs/>
          <w:color w:val="000000"/>
          <w:sz w:val="24"/>
          <w:szCs w:val="24"/>
          <w:highlight w:val="yellow"/>
          <w:lang w:val="en-US" w:eastAsia="zh-CN"/>
        </w:rPr>
        <w:t>日9:00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4576150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r>
        <w:rPr>
          <w:rFonts w:hint="eastAsia" w:asciiTheme="minorEastAsia" w:hAnsiTheme="minorEastAsia" w:eastAsiaTheme="minorEastAsia" w:cstheme="minorEastAsia"/>
          <w:b/>
          <w:bCs/>
          <w:sz w:val="24"/>
          <w:szCs w:val="24"/>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3"/>
        <w:gridCol w:w="1060"/>
        <w:gridCol w:w="585"/>
        <w:gridCol w:w="6362"/>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40</w:t>
            </w:r>
            <w:r>
              <w:rPr>
                <w:rFonts w:hint="eastAsia"/>
              </w:rPr>
              <w:t>%，计入最终评分。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7C5A13F7">
      <w:pPr>
        <w:pStyle w:val="25"/>
        <w:ind w:firstLine="480" w:firstLineChars="200"/>
        <w:rPr>
          <w:rFonts w:hint="default" w:eastAsiaTheme="minorEastAsia"/>
          <w:b/>
          <w:bCs/>
          <w:lang w:val="en-US" w:eastAsia="zh-CN"/>
        </w:rPr>
      </w:pPr>
      <w:r>
        <w:rPr>
          <w:rFonts w:hint="default" w:asciiTheme="minorEastAsia" w:hAnsiTheme="minorEastAsia" w:eastAsiaTheme="minorEastAsia" w:cstheme="minorEastAsia"/>
          <w:kern w:val="2"/>
          <w:sz w:val="24"/>
          <w:szCs w:val="24"/>
          <w:lang w:val="en-US" w:eastAsia="zh-CN" w:bidi="ar-SA"/>
        </w:rPr>
        <w:t>技术部分在总分值占比</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60</w:t>
      </w:r>
      <w:r>
        <w:rPr>
          <w:rFonts w:hint="default" w:asciiTheme="minorEastAsia" w:hAnsiTheme="minorEastAsia" w:eastAsiaTheme="minorEastAsia" w:cstheme="minorEastAsia"/>
          <w:kern w:val="2"/>
          <w:sz w:val="24"/>
          <w:szCs w:val="24"/>
          <w:lang w:val="en-US" w:eastAsia="zh-CN" w:bidi="ar-SA"/>
        </w:rPr>
        <w:t>%，按照最终总分由高到低排序，推荐得分最高的投标人中标。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w:t>
      </w:r>
      <w:bookmarkStart w:id="23" w:name="_GoBack"/>
      <w:bookmarkEnd w:id="23"/>
      <w:r>
        <w:rPr>
          <w:rFonts w:hint="eastAsia" w:asciiTheme="minorEastAsia" w:hAnsiTheme="minorEastAsia" w:eastAsiaTheme="minorEastAsia" w:cstheme="minorEastAsia"/>
          <w:color w:val="000000"/>
          <w:sz w:val="24"/>
          <w:szCs w:val="24"/>
          <w:highlight w:val="yellow"/>
          <w:lang w:val="en-US" w:eastAsia="zh-CN"/>
        </w:rPr>
        <w:t>8 日18：00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5"/>
      <w:bookmarkStart w:id="12" w:name="OLE_LINK28"/>
      <w:bookmarkStart w:id="13" w:name="OLE_LINK29"/>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6B2705A0">
      <w:pPr>
        <w:spacing w:line="600" w:lineRule="exact"/>
        <w:ind w:firstLine="643" w:firstLineChars="200"/>
        <w:rPr>
          <w:rFonts w:hint="eastAsia" w:ascii="黑体" w:hAnsi="Calibri" w:eastAsia="黑体"/>
          <w:b/>
          <w:sz w:val="32"/>
          <w:szCs w:val="22"/>
        </w:rPr>
      </w:pPr>
      <w:r>
        <w:rPr>
          <w:rFonts w:hint="eastAsia" w:ascii="黑体" w:hAnsi="Calibri" w:eastAsia="黑体"/>
          <w:b/>
          <w:sz w:val="32"/>
          <w:szCs w:val="22"/>
        </w:rPr>
        <w:t>一、项目</w:t>
      </w:r>
      <w:r>
        <w:rPr>
          <w:rFonts w:hint="eastAsia" w:ascii="黑体" w:hAnsi="Calibri" w:eastAsia="黑体"/>
          <w:b/>
          <w:sz w:val="32"/>
          <w:szCs w:val="22"/>
          <w:lang w:eastAsia="zh-CN"/>
        </w:rPr>
        <w:t>名称与</w:t>
      </w:r>
      <w:r>
        <w:rPr>
          <w:rFonts w:hint="eastAsia" w:ascii="黑体" w:hAnsi="Calibri" w:eastAsia="黑体"/>
          <w:b/>
          <w:sz w:val="32"/>
          <w:szCs w:val="22"/>
        </w:rPr>
        <w:t>范围</w:t>
      </w:r>
    </w:p>
    <w:p w14:paraId="19FD40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项目名称：锻造二部东线1250切边机设计加装飞轮制动器及护罩</w:t>
      </w:r>
    </w:p>
    <w:p w14:paraId="1D6CE8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招标方式：公开招标</w:t>
      </w:r>
    </w:p>
    <w:p w14:paraId="250A8D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本次招标为中国重汽济南成型厂锻造二部东线1250切边机设计加装飞轮制动器及护罩，具体内容如下：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952"/>
        <w:gridCol w:w="1352"/>
        <w:gridCol w:w="938"/>
        <w:gridCol w:w="1012"/>
        <w:gridCol w:w="2183"/>
      </w:tblGrid>
      <w:tr w14:paraId="6CCF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55" w:type="pct"/>
            <w:vAlign w:val="center"/>
          </w:tcPr>
          <w:p w14:paraId="3FADE347">
            <w:pPr>
              <w:spacing w:line="32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589" w:type="pct"/>
            <w:vAlign w:val="center"/>
          </w:tcPr>
          <w:p w14:paraId="4D8D6C3A">
            <w:pPr>
              <w:spacing w:line="32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项目名称</w:t>
            </w:r>
          </w:p>
        </w:tc>
        <w:tc>
          <w:tcPr>
            <w:tcW w:w="728" w:type="pct"/>
            <w:vAlign w:val="center"/>
          </w:tcPr>
          <w:p w14:paraId="269ED963">
            <w:pPr>
              <w:spacing w:line="320" w:lineRule="exact"/>
              <w:jc w:val="center"/>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设备品牌</w:t>
            </w:r>
          </w:p>
        </w:tc>
        <w:tc>
          <w:tcPr>
            <w:tcW w:w="505" w:type="pct"/>
            <w:vAlign w:val="center"/>
          </w:tcPr>
          <w:p w14:paraId="31A67F97">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规格型号</w:t>
            </w:r>
          </w:p>
        </w:tc>
        <w:tc>
          <w:tcPr>
            <w:tcW w:w="545" w:type="pct"/>
            <w:vAlign w:val="center"/>
          </w:tcPr>
          <w:p w14:paraId="05933501">
            <w:pPr>
              <w:spacing w:line="320" w:lineRule="exact"/>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1175" w:type="pct"/>
            <w:vAlign w:val="center"/>
          </w:tcPr>
          <w:p w14:paraId="46A097B7">
            <w:pPr>
              <w:spacing w:line="320" w:lineRule="exact"/>
              <w:jc w:val="center"/>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安装地点</w:t>
            </w:r>
          </w:p>
        </w:tc>
      </w:tr>
      <w:tr w14:paraId="65F2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5" w:type="pct"/>
            <w:vAlign w:val="center"/>
          </w:tcPr>
          <w:p w14:paraId="0974FA13">
            <w:pPr>
              <w:spacing w:line="32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589" w:type="pct"/>
            <w:vAlign w:val="center"/>
          </w:tcPr>
          <w:p w14:paraId="168839DE">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锻造二部东线1250切边机设计加装飞轮制动器及护罩</w:t>
            </w:r>
          </w:p>
        </w:tc>
        <w:tc>
          <w:tcPr>
            <w:tcW w:w="728" w:type="pct"/>
            <w:vAlign w:val="center"/>
          </w:tcPr>
          <w:p w14:paraId="10D0B2A0">
            <w:pPr>
              <w:spacing w:line="320" w:lineRule="exact"/>
              <w:jc w:val="center"/>
              <w:rPr>
                <w:rFonts w:hint="eastAsia" w:ascii="仿宋_GB2312" w:hAnsi="仿宋_GB2312" w:eastAsia="仿宋_GB2312" w:cs="仿宋_GB2312"/>
                <w:sz w:val="24"/>
                <w:szCs w:val="24"/>
              </w:rPr>
            </w:pPr>
            <w:r>
              <w:rPr>
                <w:rFonts w:hint="eastAsia" w:ascii="宋体" w:hAnsi="宋体" w:cs="宋体"/>
                <w:sz w:val="24"/>
                <w:szCs w:val="24"/>
                <w:highlight w:val="none"/>
                <w:vertAlign w:val="baseline"/>
                <w:lang w:val="en-US" w:eastAsia="zh-CN"/>
              </w:rPr>
              <w:t>齐齐哈尔二机床</w:t>
            </w:r>
          </w:p>
        </w:tc>
        <w:tc>
          <w:tcPr>
            <w:tcW w:w="505" w:type="pct"/>
            <w:vAlign w:val="center"/>
          </w:tcPr>
          <w:p w14:paraId="7AE9EA59">
            <w:pPr>
              <w:spacing w:line="320" w:lineRule="exact"/>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1250</w:t>
            </w:r>
          </w:p>
        </w:tc>
        <w:tc>
          <w:tcPr>
            <w:tcW w:w="545" w:type="pct"/>
            <w:vAlign w:val="center"/>
          </w:tcPr>
          <w:p w14:paraId="64D4B3AF">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1台</w:t>
            </w:r>
          </w:p>
        </w:tc>
        <w:tc>
          <w:tcPr>
            <w:tcW w:w="1175" w:type="pct"/>
            <w:vAlign w:val="center"/>
          </w:tcPr>
          <w:p w14:paraId="2FDCD3C1">
            <w:pPr>
              <w:spacing w:line="320" w:lineRule="exac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成型厂锻造二部</w:t>
            </w:r>
          </w:p>
        </w:tc>
      </w:tr>
    </w:tbl>
    <w:p w14:paraId="656E324B">
      <w:pPr>
        <w:numPr>
          <w:ilvl w:val="0"/>
          <w:numId w:val="12"/>
        </w:numPr>
        <w:spacing w:line="600" w:lineRule="exact"/>
        <w:ind w:firstLine="643" w:firstLineChars="200"/>
        <w:rPr>
          <w:rFonts w:hint="eastAsia" w:ascii="黑体" w:hAnsi="Calibri" w:eastAsia="黑体"/>
          <w:b/>
          <w:sz w:val="32"/>
          <w:szCs w:val="22"/>
        </w:rPr>
      </w:pPr>
      <w:r>
        <w:rPr>
          <w:rFonts w:hint="eastAsia" w:ascii="黑体" w:hAnsi="Calibri" w:eastAsia="黑体"/>
          <w:b/>
          <w:sz w:val="32"/>
          <w:szCs w:val="22"/>
        </w:rPr>
        <w:t>招标方技术要求及施工内容</w:t>
      </w:r>
    </w:p>
    <w:p w14:paraId="55EB7CB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投标方负责承揽招标方济南成型厂锻造二部1250切边机设计加装飞轮制动器及护罩项目的相关工作，相关技术要求如下：</w:t>
      </w:r>
    </w:p>
    <w:p w14:paraId="5410A522">
      <w:pPr>
        <w:pStyle w:val="25"/>
        <w:keepNext w:val="0"/>
        <w:keepLines w:val="0"/>
        <w:pageBreakBefore w:val="0"/>
        <w:widowControl w:val="0"/>
        <w:numPr>
          <w:ilvl w:val="0"/>
          <w:numId w:val="13"/>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、施工内容</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2515"/>
        <w:gridCol w:w="2453"/>
        <w:gridCol w:w="3709"/>
      </w:tblGrid>
      <w:tr w14:paraId="4274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26" w:type="pct"/>
            <w:vAlign w:val="center"/>
          </w:tcPr>
          <w:p w14:paraId="780024C8">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1354" w:type="pct"/>
            <w:vAlign w:val="center"/>
          </w:tcPr>
          <w:p w14:paraId="7838DF56">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参数名称</w:t>
            </w:r>
          </w:p>
        </w:tc>
        <w:tc>
          <w:tcPr>
            <w:tcW w:w="1321" w:type="pct"/>
            <w:vAlign w:val="center"/>
          </w:tcPr>
          <w:p w14:paraId="28C444CE">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参数数值</w:t>
            </w:r>
          </w:p>
        </w:tc>
        <w:tc>
          <w:tcPr>
            <w:tcW w:w="1997" w:type="pct"/>
            <w:vAlign w:val="center"/>
          </w:tcPr>
          <w:p w14:paraId="6226DB53">
            <w:pPr>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备注</w:t>
            </w:r>
          </w:p>
        </w:tc>
      </w:tr>
      <w:tr w14:paraId="4DB2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26" w:type="pct"/>
            <w:vAlign w:val="center"/>
          </w:tcPr>
          <w:p w14:paraId="7E06F688">
            <w:pPr>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1354" w:type="pct"/>
            <w:vAlign w:val="center"/>
          </w:tcPr>
          <w:p w14:paraId="47E23C72">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飞轮最大直径</w:t>
            </w:r>
          </w:p>
        </w:tc>
        <w:tc>
          <w:tcPr>
            <w:tcW w:w="1321" w:type="pct"/>
            <w:vAlign w:val="center"/>
          </w:tcPr>
          <w:p w14:paraId="321A5B7B">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1080mm</w:t>
            </w:r>
          </w:p>
        </w:tc>
        <w:tc>
          <w:tcPr>
            <w:tcW w:w="1997" w:type="pct"/>
            <w:vMerge w:val="restart"/>
            <w:vAlign w:val="center"/>
          </w:tcPr>
          <w:p w14:paraId="10E8830E">
            <w:pPr>
              <w:ind w:firstLine="480" w:firstLineChars="200"/>
              <w:jc w:val="both"/>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参数数值为招标方自行测量值，仅供参考。</w:t>
            </w:r>
          </w:p>
        </w:tc>
      </w:tr>
      <w:tr w14:paraId="1BA0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26" w:type="pct"/>
            <w:vAlign w:val="center"/>
          </w:tcPr>
          <w:p w14:paraId="77B66F94">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1354" w:type="pct"/>
            <w:vAlign w:val="center"/>
          </w:tcPr>
          <w:p w14:paraId="59D8EAC8">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飞轮转速</w:t>
            </w:r>
          </w:p>
        </w:tc>
        <w:tc>
          <w:tcPr>
            <w:tcW w:w="1321" w:type="pct"/>
            <w:vAlign w:val="center"/>
          </w:tcPr>
          <w:p w14:paraId="6E93A83E">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约500r/min</w:t>
            </w:r>
          </w:p>
        </w:tc>
        <w:tc>
          <w:tcPr>
            <w:tcW w:w="1997" w:type="pct"/>
            <w:vMerge w:val="continue"/>
            <w:vAlign w:val="center"/>
          </w:tcPr>
          <w:p w14:paraId="7BCC8265">
            <w:pPr>
              <w:jc w:val="center"/>
              <w:rPr>
                <w:rFonts w:hint="default" w:ascii="宋体" w:hAnsi="宋体" w:eastAsia="宋体" w:cs="宋体"/>
                <w:sz w:val="24"/>
                <w:szCs w:val="24"/>
                <w:vertAlign w:val="baseline"/>
                <w:lang w:val="en-US" w:eastAsia="zh-CN"/>
              </w:rPr>
            </w:pPr>
          </w:p>
        </w:tc>
      </w:tr>
      <w:tr w14:paraId="4C3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26" w:type="pct"/>
            <w:vAlign w:val="center"/>
          </w:tcPr>
          <w:p w14:paraId="16209BE8">
            <w:p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1354" w:type="pct"/>
            <w:vAlign w:val="center"/>
          </w:tcPr>
          <w:p w14:paraId="20CF0C61">
            <w:pPr>
              <w:jc w:val="center"/>
              <w:rPr>
                <w:rFonts w:hint="default" w:ascii="宋体" w:hAnsi="宋体" w:eastAsia="宋体" w:cs="宋体"/>
                <w:sz w:val="24"/>
                <w:szCs w:val="24"/>
                <w:highlight w:val="none"/>
                <w:vertAlign w:val="baseline"/>
                <w:lang w:val="en-US" w:eastAsia="zh-CN"/>
              </w:rPr>
            </w:pPr>
            <w:r>
              <w:rPr>
                <w:rFonts w:hint="eastAsia" w:ascii="宋体" w:hAnsi="宋体" w:cs="宋体"/>
                <w:sz w:val="24"/>
                <w:szCs w:val="24"/>
                <w:highlight w:val="none"/>
                <w:vertAlign w:val="baseline"/>
                <w:lang w:val="en-US" w:eastAsia="zh-CN"/>
              </w:rPr>
              <w:t>飞轮重量</w:t>
            </w:r>
          </w:p>
        </w:tc>
        <w:tc>
          <w:tcPr>
            <w:tcW w:w="1321" w:type="pct"/>
            <w:vAlign w:val="center"/>
          </w:tcPr>
          <w:p w14:paraId="5125F8EE">
            <w:pPr>
              <w:jc w:val="center"/>
              <w:rPr>
                <w:rFonts w:hint="default" w:ascii="宋体" w:hAnsi="宋体" w:eastAsia="宋体" w:cs="宋体"/>
                <w:sz w:val="24"/>
                <w:szCs w:val="24"/>
                <w:vertAlign w:val="baseline"/>
                <w:lang w:val="en-US" w:eastAsia="zh-CN"/>
              </w:rPr>
            </w:pPr>
            <w:r>
              <w:rPr>
                <w:rFonts w:hint="eastAsia" w:ascii="宋体" w:hAnsi="宋体" w:cs="宋体"/>
                <w:sz w:val="24"/>
                <w:szCs w:val="24"/>
                <w:highlight w:val="none"/>
                <w:vertAlign w:val="baseline"/>
                <w:lang w:val="en-US" w:eastAsia="zh-CN"/>
              </w:rPr>
              <w:t>8.5t</w:t>
            </w:r>
          </w:p>
        </w:tc>
        <w:tc>
          <w:tcPr>
            <w:tcW w:w="1997" w:type="pct"/>
            <w:vMerge w:val="continue"/>
            <w:vAlign w:val="center"/>
          </w:tcPr>
          <w:p w14:paraId="7DD77103">
            <w:pPr>
              <w:jc w:val="center"/>
              <w:rPr>
                <w:rFonts w:hint="eastAsia" w:ascii="宋体" w:hAnsi="宋体" w:eastAsia="宋体" w:cs="宋体"/>
                <w:sz w:val="24"/>
                <w:szCs w:val="24"/>
                <w:vertAlign w:val="baseline"/>
                <w:lang w:val="en-US" w:eastAsia="zh-CN"/>
              </w:rPr>
            </w:pPr>
          </w:p>
        </w:tc>
      </w:tr>
    </w:tbl>
    <w:p w14:paraId="31ED5911">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1、投标方需要现场测量，根据飞轮运行参数以及设备现场实际运行空间，设计飞轮制动器组件及护罩；出具设计方案（附图纸）。</w:t>
      </w:r>
    </w:p>
    <w:p w14:paraId="58C87C03">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2、方案经招标方确认后，投标方根据设计图纸实施部件采购以及机械加工。</w:t>
      </w:r>
    </w:p>
    <w:p w14:paraId="048BD4E0">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3、投标方根据设计方案，制作组件进行组装。</w:t>
      </w:r>
    </w:p>
    <w:p w14:paraId="21EC487F">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4、投标方根据设计方案，采购电气控制组件。</w:t>
      </w:r>
    </w:p>
    <w:p w14:paraId="3B12AE03">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5、投标方根据设计方案，制作飞轮以及齿轮传动护罩（可拆卸并预留必要检修窗孔），护罩与主电机联锁，护罩联锁拆下时，主电机控制回路自动断开，设备无法上电启动。飞轮制动与主电机联锁，确保制动状态下，设备无法上电启动。</w:t>
      </w:r>
    </w:p>
    <w:p w14:paraId="0805CE59">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6、投标方现场实施组装，连接电气控制，调试设备动作。</w:t>
      </w:r>
    </w:p>
    <w:p w14:paraId="75671CCC">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7、技术要求：飞轮制动装置，动作灵敏可靠，制动效果良好。</w:t>
      </w:r>
    </w:p>
    <w:p w14:paraId="583C3FEE">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8、飞轮以及齿轮传动护罩设计制作满足：</w:t>
      </w:r>
    </w:p>
    <w:p w14:paraId="73C24C60">
      <w:pPr>
        <w:pStyle w:val="2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①急停功能的设计应使急停装置触发后，机器的危险运动和操作以适当的方式停止，不产生附加风险，且无需人为进一步干预。</w:t>
      </w:r>
    </w:p>
    <w:p w14:paraId="57E09A0C">
      <w:pPr>
        <w:pStyle w:val="25"/>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0" w:firstLineChars="100"/>
        <w:textAlignment w:val="auto"/>
        <w:rPr>
          <w:rFonts w:hint="eastAsia" w:ascii="仿宋_GB2312" w:hAnsi="Calibri" w:eastAsia="仿宋_GB2312" w:cs="Times New Roman"/>
          <w:kern w:val="2"/>
          <w:sz w:val="32"/>
          <w:szCs w:val="22"/>
          <w:lang w:val="en-US" w:eastAsia="zh-CN" w:bidi="ar-SA"/>
        </w:rPr>
      </w:pPr>
      <w:r>
        <w:rPr>
          <w:rFonts w:hint="eastAsia" w:ascii="仿宋_GB2312" w:hAnsi="Calibri" w:eastAsia="仿宋_GB2312" w:cs="Times New Roman"/>
          <w:kern w:val="2"/>
          <w:sz w:val="32"/>
          <w:szCs w:val="22"/>
          <w:lang w:val="en-US" w:eastAsia="zh-CN" w:bidi="ar-SA"/>
        </w:rPr>
        <w:t>②机械压力机应至少配备一个机械制动器,该制动器应符机械制动器及其控制系统的设计应保证，在气动、液压或电力供应出现故障的情况下，机械制动器应立即接合。</w:t>
      </w:r>
    </w:p>
    <w:p w14:paraId="0489A487">
      <w:pPr>
        <w:pStyle w:val="25"/>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三、质量要求</w:t>
      </w:r>
    </w:p>
    <w:p w14:paraId="6F381D52">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3.1承揽方要通过质量管理活动不断提高全体员工的质量意识，制定完善的施工工艺、检验制度和考核制度，主动采取质量预防措施，及时发现质量问题并及时纠正。</w:t>
      </w:r>
    </w:p>
    <w:p w14:paraId="5E49CC99">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3.2工程质量必须符合国家(行业)相关规范和标准。</w:t>
      </w:r>
    </w:p>
    <w:p w14:paraId="6073EB50">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w:t>
      </w:r>
      <w:r>
        <w:rPr>
          <w:rFonts w:hint="eastAsia" w:ascii="仿宋_GB2312" w:hAnsi="仿宋_GB2312" w:eastAsia="仿宋_GB2312" w:cs="仿宋_GB2312"/>
          <w:color w:val="auto"/>
          <w:spacing w:val="4"/>
          <w:sz w:val="32"/>
          <w:szCs w:val="32"/>
        </w:rPr>
        <w:t>3承揽方均应经过维修质量自检。</w:t>
      </w:r>
    </w:p>
    <w:p w14:paraId="524E0931">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3.4对维修所用的材料、备件、半成品（构件）必须是国内知名厂家的产品。必须符合合同要求和国家有关标准，具有出厂合格证，注明厂名、产品型号、规格、出厂日期和检查编号等。</w:t>
      </w:r>
      <w:r>
        <w:rPr>
          <w:rFonts w:hint="eastAsia" w:ascii="仿宋_GB2312" w:hAnsi="仿宋_GB2312" w:eastAsia="仿宋_GB2312" w:cs="仿宋_GB2312"/>
          <w:sz w:val="32"/>
          <w:szCs w:val="32"/>
        </w:rPr>
        <w:t>材料管理应按以下规定执行：</w:t>
      </w:r>
    </w:p>
    <w:p w14:paraId="3754CB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材料型号规格应符合标书要求，如有偏离只能优于标书标准。</w:t>
      </w:r>
    </w:p>
    <w:p w14:paraId="38D40D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材料质量应符合国家或部颁标准。每批材料应有合格证或质保书。</w:t>
      </w:r>
    </w:p>
    <w:p w14:paraId="5B435F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承揽方必须将材料的</w:t>
      </w:r>
      <w:r>
        <w:rPr>
          <w:rFonts w:hint="eastAsia" w:ascii="仿宋_GB2312" w:hAnsi="仿宋_GB2312" w:eastAsia="仿宋_GB2312" w:cs="仿宋_GB2312"/>
          <w:spacing w:val="4"/>
          <w:sz w:val="32"/>
          <w:szCs w:val="32"/>
        </w:rPr>
        <w:t>出厂合格证（注明厂名、产品型号、规格、出厂日期和检查编号等）和质量保证书交由委托方认可。进口材料必须有商品检验单复印件，未经商检不得使用。</w:t>
      </w:r>
    </w:p>
    <w:p w14:paraId="7C80EE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委托方可</w:t>
      </w:r>
      <w:r>
        <w:rPr>
          <w:rFonts w:hint="eastAsia" w:ascii="仿宋_GB2312" w:hAnsi="仿宋_GB2312" w:eastAsia="仿宋_GB2312" w:cs="仿宋_GB2312"/>
          <w:spacing w:val="4"/>
          <w:sz w:val="32"/>
          <w:szCs w:val="32"/>
        </w:rPr>
        <w:t>以对承揽方使用的材料进行查验，发现与技术文件要求不一致的，承揽方承担按照报价书上写明的单价的假一罚三的违约金，但是经委托方确认其性能无差异或更为优越者除外。</w:t>
      </w:r>
    </w:p>
    <w:p w14:paraId="01FC2C21">
      <w:pPr>
        <w:keepNext w:val="0"/>
        <w:keepLines w:val="0"/>
        <w:pageBreakBefore w:val="0"/>
        <w:widowControl w:val="0"/>
        <w:kinsoku/>
        <w:wordWrap/>
        <w:overflowPunct/>
        <w:topLinePunct w:val="0"/>
        <w:autoSpaceDE/>
        <w:autoSpaceDN/>
        <w:bidi w:val="0"/>
        <w:adjustRightInd/>
        <w:snapToGrid/>
        <w:spacing w:line="560" w:lineRule="exact"/>
        <w:ind w:left="0" w:leftChars="0" w:firstLine="656" w:firstLineChars="200"/>
        <w:textAlignment w:val="auto"/>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3.5承揽方使用代用材料或更换外购设备，必须经过委托方同意，要以设计修改通知单为依据。</w:t>
      </w:r>
    </w:p>
    <w:p w14:paraId="03B06D8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3.6如果承揽方不能满足质量要求而被委托责令停工超过两次，委托方有权要求承揽方停工。本合同终止，承揽方承担违约责任。</w:t>
      </w:r>
    </w:p>
    <w:p w14:paraId="051CCBDF">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4.特别提示</w:t>
      </w:r>
    </w:p>
    <w:p w14:paraId="757CDFE6">
      <w:pPr>
        <w:pStyle w:val="25"/>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4.1本技术协议适用于</w:t>
      </w:r>
      <w:r>
        <w:rPr>
          <w:rFonts w:hint="eastAsia" w:ascii="仿宋_GB2312" w:hAnsi="仿宋_GB2312" w:eastAsia="仿宋_GB2312" w:cs="仿宋_GB2312"/>
          <w:sz w:val="32"/>
          <w:szCs w:val="32"/>
        </w:rPr>
        <w:t>中国重汽集团济南动力有限公司成型厂</w:t>
      </w:r>
      <w:r>
        <w:rPr>
          <w:rFonts w:hint="eastAsia" w:ascii="仿宋_GB2312" w:hAnsi="仿宋_GB2312" w:eastAsia="仿宋_GB2312" w:cs="仿宋_GB2312"/>
          <w:b w:val="0"/>
          <w:bCs/>
          <w:sz w:val="32"/>
          <w:szCs w:val="32"/>
          <w:u w:val="none"/>
          <w:lang w:val="en-US" w:eastAsia="zh-CN"/>
        </w:rPr>
        <w:t>锻造二部1250切边机设计加装飞轮制动器及护罩</w:t>
      </w:r>
      <w:r>
        <w:rPr>
          <w:rFonts w:hint="eastAsia" w:ascii="仿宋_GB2312" w:hAnsi="仿宋_GB2312" w:eastAsia="仿宋_GB2312" w:cs="仿宋_GB2312"/>
          <w:sz w:val="32"/>
          <w:szCs w:val="32"/>
        </w:rPr>
        <w:t>项目施工</w:t>
      </w:r>
      <w:r>
        <w:rPr>
          <w:rFonts w:hint="eastAsia" w:ascii="仿宋_GB2312" w:hAnsi="仿宋_GB2312" w:eastAsia="仿宋_GB2312" w:cs="仿宋_GB2312"/>
          <w:kern w:val="0"/>
          <w:sz w:val="32"/>
          <w:szCs w:val="32"/>
        </w:rPr>
        <w:t>。</w:t>
      </w:r>
    </w:p>
    <w:p w14:paraId="0F0CB94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4.2本技术协议提出的是最低限度的技术要求，并未对一切技术细节作出规定，也未充分引述有关标准和规范条文，承揽方应保证提供符合本技术规范书和现行国家（行业）标准的合格产品。</w:t>
      </w:r>
    </w:p>
    <w:p w14:paraId="1AFDF10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4.3本技术协议所使用的标准如遇与承揽方所执行的标准发生矛盾时，应按较高标准执行。</w:t>
      </w:r>
    </w:p>
    <w:p w14:paraId="5136389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4.4本技术协议作为施工承揽合同的技术附件，经委托、施工双方确认后，与合同正文具有同等的法律效力。</w:t>
      </w:r>
    </w:p>
    <w:p w14:paraId="5903A037">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四、标志、包装、运输、储存</w:t>
      </w:r>
    </w:p>
    <w:p w14:paraId="2B00512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1.所提供设备的包装，应遵照国家标准和有关包装、包皮的技术条件，或按照最好的商业惯例进行包装。</w:t>
      </w:r>
    </w:p>
    <w:p w14:paraId="0C5B65A2">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2.包装应能满足所需要采取的运输方式（船运、汽运或铁路运输）、多次吊装卸装、卸货以及长期露天堆放要求，应能防止雨淋、受潮、生锈、腐蚀、受振、受磁以及机械和化学因素等引起的损坏。</w:t>
      </w:r>
    </w:p>
    <w:p w14:paraId="72D285C8">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3.所提供设备的包装，应能防止其一般性被窃或受外力破坏；一般不得采用有大缝隙的板条包装。</w:t>
      </w:r>
    </w:p>
    <w:p w14:paraId="34CBBF0F">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4.应对包装件做必要的加固和固定，以防止运输可能造成的损坏。</w:t>
      </w:r>
    </w:p>
    <w:p w14:paraId="4BC2828C">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5.应负责将设备运到目的地，并必须做到设备在任何运输过程中不受损坏和遗失。</w:t>
      </w:r>
    </w:p>
    <w:p w14:paraId="5B4C972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6.一般情况下，经由铁路、公路运输的包装件尺寸和重量不应超过国家所规定的尺寸限制。特殊情况应予以说明。</w:t>
      </w:r>
    </w:p>
    <w:p w14:paraId="4917A42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7.设备运抵交货地点后，应负责货物（或设备）的卸货、搬运、保管等事宜；或按照合同约定。</w:t>
      </w:r>
    </w:p>
    <w:p w14:paraId="7AEE25A1">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五、交付</w:t>
      </w:r>
    </w:p>
    <w:p w14:paraId="36176EB6">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方案设计及施工准备工期不超过30天，现场施工不超过15天。</w:t>
      </w:r>
    </w:p>
    <w:p w14:paraId="3E6AD7ED">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六、服务</w:t>
      </w:r>
    </w:p>
    <w:p w14:paraId="7BF73855">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由于承揽方责任，造成委托方设备的损坏、丢失的，应当赔偿委托方因此造成的损失。赔偿金额视设备的损坏程度及价值而定。</w:t>
      </w:r>
    </w:p>
    <w:p w14:paraId="1AA0B8A9">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承揽方完成的工作少于合同规定时，委托方仍然需要的，应当照数补齐，补齐部分按逾期交付处理；少交迟交部分委托方不再需要的，承揽方应承担因此造成的损失。</w:t>
      </w:r>
    </w:p>
    <w:p w14:paraId="32357C8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承揽方保证全部按照合同条款规定和交货期向委托方主提供上述合格的设备和服务质保期自验收合格之日起开始计算，质保期内发生质量问题由承揽方负责免费整改。</w:t>
      </w:r>
    </w:p>
    <w:p w14:paraId="24E7808A">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承揽方人员在委托方现场进行施工时，须遵守委托方的规章制度，服从委托方指定人员的安排。</w:t>
      </w:r>
    </w:p>
    <w:p w14:paraId="70D4B510">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在施工过程中，由于承揽方原因造成车间地面损坏的，由承揽方负责维修至车间地面新建状态，费用由承揽方自理。</w:t>
      </w:r>
    </w:p>
    <w:p w14:paraId="0B315578">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承揽方施工过程中，负责设备施工场地的清理工作。</w:t>
      </w:r>
    </w:p>
    <w:p w14:paraId="4EB3A402">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七、验收</w:t>
      </w:r>
    </w:p>
    <w:p w14:paraId="5F6687B9">
      <w:pPr>
        <w:pStyle w:val="25"/>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承包方按照招标文件、投标文件、技术交流文件等形成并达成一致的技术协议书和合同规定验收。</w:t>
      </w:r>
    </w:p>
    <w:p w14:paraId="199ADAF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1．验收</w:t>
      </w:r>
    </w:p>
    <w:p w14:paraId="66ED0867">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委托方负责协调各方对</w:t>
      </w:r>
      <w:r>
        <w:rPr>
          <w:rFonts w:hint="eastAsia" w:ascii="仿宋_GB2312" w:hAnsi="仿宋_GB2312" w:eastAsia="仿宋_GB2312" w:cs="仿宋_GB2312"/>
          <w:sz w:val="32"/>
          <w:szCs w:val="32"/>
          <w:lang w:val="en-US" w:eastAsia="zh-CN"/>
        </w:rPr>
        <w:t>锻造二部1250切边机设计加装飞轮制动器及护罩项目</w:t>
      </w:r>
      <w:r>
        <w:rPr>
          <w:rFonts w:hint="eastAsia" w:ascii="仿宋_GB2312" w:hAnsi="仿宋_GB2312" w:eastAsia="仿宋_GB2312" w:cs="仿宋_GB2312"/>
          <w:sz w:val="32"/>
          <w:szCs w:val="32"/>
        </w:rPr>
        <w:t>进行验收。验收由相关各方按照合同要求或在安装现场进行。对验收时不符合验收标准的部分，承揽方负责整改，费用承揽方自理。</w:t>
      </w:r>
    </w:p>
    <w:p w14:paraId="1889B40D">
      <w:pPr>
        <w:keepNext w:val="0"/>
        <w:keepLines w:val="0"/>
        <w:pageBreakBefore w:val="0"/>
        <w:widowControl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承揽方需要将最终设计方案（包含机械图纸、电气图纸、备件明细等），经委托方确认后，电子版以及纸质版（盖章签字确认）3份交于委托方入</w:t>
      </w:r>
      <w:r>
        <w:rPr>
          <w:rFonts w:hint="eastAsia" w:ascii="仿宋_GB2312" w:hAnsi="仿宋_GB2312" w:eastAsia="仿宋_GB2312" w:cs="仿宋_GB2312"/>
          <w:color w:val="auto"/>
          <w:sz w:val="32"/>
          <w:szCs w:val="32"/>
          <w:lang w:val="en-US" w:eastAsia="zh-CN"/>
        </w:rPr>
        <w:t>档。</w:t>
      </w:r>
    </w:p>
    <w:p w14:paraId="2333893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2．验收标准</w:t>
      </w:r>
    </w:p>
    <w:p w14:paraId="15E77772">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（1）根据维修内容及相关国标规定验收；由承揽方负责维修项目，维修完毕提供符合要求的验收报告，维修部分运行平稳</w:t>
      </w:r>
      <w:r>
        <w:rPr>
          <w:rFonts w:hint="eastAsia" w:ascii="仿宋_GB2312" w:hAnsi="仿宋_GB2312" w:eastAsia="仿宋_GB2312" w:cs="仿宋_GB2312"/>
          <w:sz w:val="32"/>
          <w:szCs w:val="32"/>
          <w:lang w:eastAsia="zh-CN"/>
        </w:rPr>
        <w:t>。</w:t>
      </w:r>
    </w:p>
    <w:p w14:paraId="0ECBA9D0">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最后的验收以设备连续运行一个月，视为验收合格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14:paraId="2623BD7D">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符合《锻压机械安全技术规范》（GB 17120-2025）、《机械安全 急停功能 设计原则》GB/T16754—2021、《</w:t>
      </w:r>
      <w:r>
        <w:rPr>
          <w:rFonts w:hint="eastAsia" w:ascii="仿宋_GB2312" w:hAnsi="仿宋_GB2312" w:eastAsia="仿宋_GB2312" w:cs="仿宋_GB2312"/>
          <w:sz w:val="32"/>
          <w:szCs w:val="32"/>
        </w:rPr>
        <w:t>机床安全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压力机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部分</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GB/T 42596</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标准。</w:t>
      </w:r>
    </w:p>
    <w:p w14:paraId="152E604E">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3、投标方对维修质量进行质保，自终验收合格起，质保十二个月。</w:t>
      </w:r>
    </w:p>
    <w:p w14:paraId="4E18B624">
      <w:pPr>
        <w:pStyle w:val="25"/>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Calibri" w:eastAsia="黑体" w:cs="Times New Roman"/>
          <w:b/>
          <w:kern w:val="2"/>
          <w:sz w:val="32"/>
          <w:szCs w:val="22"/>
          <w:lang w:val="en-US" w:eastAsia="zh-CN" w:bidi="ar-SA"/>
        </w:rPr>
      </w:pPr>
      <w:r>
        <w:rPr>
          <w:rFonts w:hint="eastAsia" w:ascii="黑体" w:hAnsi="Calibri" w:eastAsia="黑体" w:cs="Times New Roman"/>
          <w:b/>
          <w:kern w:val="2"/>
          <w:sz w:val="32"/>
          <w:szCs w:val="22"/>
          <w:lang w:val="en-US" w:eastAsia="zh-CN" w:bidi="ar-SA"/>
        </w:rPr>
        <w:t>八、其他</w:t>
      </w:r>
    </w:p>
    <w:p w14:paraId="0CC3E4F3">
      <w:pPr>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1.投标人承诺对参与该项目所获得的与招标人产品相关的所有信息都予以保密，并承担与此相关的所有法律责任。</w:t>
      </w:r>
    </w:p>
    <w:p w14:paraId="4CB1E353">
      <w:pPr>
        <w:keepNext w:val="0"/>
        <w:keepLines w:val="0"/>
        <w:pageBreakBefore w:val="0"/>
        <w:widowControl w:val="0"/>
        <w:kinsoku/>
        <w:wordWrap/>
        <w:overflowPunct/>
        <w:topLinePunct w:val="0"/>
        <w:bidi w:val="0"/>
        <w:snapToGrid/>
        <w:spacing w:line="560" w:lineRule="exact"/>
        <w:ind w:firstLine="640" w:firstLineChars="200"/>
        <w:textAlignment w:val="auto"/>
      </w:pPr>
      <w:r>
        <w:rPr>
          <w:rFonts w:hint="eastAsia" w:ascii="仿宋_GB2312" w:hAnsi="仿宋_GB2312" w:eastAsia="仿宋_GB2312" w:cs="仿宋_GB2312"/>
          <w:sz w:val="32"/>
          <w:szCs w:val="32"/>
          <w:lang w:val="en-US" w:eastAsia="zh-CN"/>
        </w:rPr>
        <w:t>2.其余未尽事宜，投标人应与招标人指派的答疑人员充分沟通，理解认可并接受相关技术规范及服务要求。</w:t>
      </w:r>
    </w:p>
    <w:p w14:paraId="03F2F28E">
      <w:pPr>
        <w:keepNext/>
        <w:keepLines/>
        <w:jc w:val="center"/>
        <w:outlineLvl w:val="0"/>
        <w:rPr>
          <w:rFonts w:hint="eastAsia" w:ascii="Calibri" w:hAnsi="Calibri" w:cs="Times New Roman"/>
          <w:b/>
          <w:bCs/>
          <w:kern w:val="44"/>
          <w:sz w:val="44"/>
          <w:szCs w:val="44"/>
          <w:highlight w:val="none"/>
          <w:lang w:val="en-US" w:eastAsia="zh-CN"/>
        </w:rPr>
      </w:pPr>
    </w:p>
    <w:p w14:paraId="6FB80218">
      <w:pPr>
        <w:keepNext/>
        <w:keepLines/>
        <w:jc w:val="center"/>
        <w:outlineLvl w:val="0"/>
        <w:rPr>
          <w:rFonts w:hint="eastAsia" w:ascii="Calibri" w:hAnsi="Calibri" w:cs="Times New Roman"/>
          <w:b/>
          <w:bCs/>
          <w:kern w:val="44"/>
          <w:sz w:val="44"/>
          <w:szCs w:val="44"/>
          <w:highlight w:val="none"/>
          <w:lang w:val="en-US" w:eastAsia="zh-CN"/>
        </w:rPr>
      </w:pPr>
    </w:p>
    <w:p w14:paraId="0529E09B">
      <w:pPr>
        <w:keepNext/>
        <w:keepLines/>
        <w:jc w:val="center"/>
        <w:outlineLvl w:val="0"/>
        <w:rPr>
          <w:rFonts w:hint="eastAsia" w:ascii="Calibri" w:hAnsi="Calibri" w:cs="Times New Roman"/>
          <w:b/>
          <w:bCs/>
          <w:kern w:val="44"/>
          <w:sz w:val="44"/>
          <w:szCs w:val="44"/>
          <w:highlight w:val="none"/>
          <w:lang w:val="en-US" w:eastAsia="zh-CN"/>
        </w:rPr>
      </w:pPr>
    </w:p>
    <w:p w14:paraId="61935CDF">
      <w:pPr>
        <w:keepNext/>
        <w:keepLines/>
        <w:jc w:val="center"/>
        <w:outlineLvl w:val="0"/>
        <w:rPr>
          <w:rFonts w:hint="eastAsia" w:ascii="Calibri" w:hAnsi="Calibri" w:cs="Times New Roman"/>
          <w:b/>
          <w:bCs/>
          <w:kern w:val="44"/>
          <w:sz w:val="44"/>
          <w:szCs w:val="44"/>
          <w:highlight w:val="none"/>
          <w:lang w:val="en-US" w:eastAsia="zh-CN"/>
        </w:rPr>
      </w:pPr>
    </w:p>
    <w:p w14:paraId="3AC76B2D">
      <w:pPr>
        <w:keepNext/>
        <w:keepLines/>
        <w:jc w:val="center"/>
        <w:outlineLvl w:val="0"/>
        <w:rPr>
          <w:rFonts w:hint="eastAsia" w:ascii="Calibri" w:hAnsi="Calibri" w:cs="Times New Roman"/>
          <w:b/>
          <w:bCs/>
          <w:kern w:val="44"/>
          <w:sz w:val="44"/>
          <w:szCs w:val="44"/>
          <w:highlight w:val="none"/>
          <w:lang w:val="en-US" w:eastAsia="zh-CN"/>
        </w:rPr>
      </w:pPr>
    </w:p>
    <w:p w14:paraId="69A66FF6">
      <w:pPr>
        <w:keepNext/>
        <w:keepLines/>
        <w:jc w:val="center"/>
        <w:outlineLvl w:val="0"/>
        <w:rPr>
          <w:rFonts w:hint="eastAsia" w:ascii="Calibri" w:hAnsi="Calibri" w:cs="Times New Roman"/>
          <w:b/>
          <w:bCs/>
          <w:kern w:val="44"/>
          <w:sz w:val="44"/>
          <w:szCs w:val="44"/>
          <w:highlight w:val="none"/>
          <w:lang w:val="en-US" w:eastAsia="zh-CN"/>
        </w:rPr>
      </w:pPr>
    </w:p>
    <w:p w14:paraId="390291A8">
      <w:pPr>
        <w:keepNext/>
        <w:keepLines/>
        <w:jc w:val="center"/>
        <w:outlineLvl w:val="0"/>
        <w:rPr>
          <w:rFonts w:hint="eastAsia" w:ascii="Calibri" w:hAnsi="Calibri" w:cs="Times New Roman"/>
          <w:b/>
          <w:bCs/>
          <w:kern w:val="44"/>
          <w:sz w:val="44"/>
          <w:szCs w:val="44"/>
          <w:highlight w:val="none"/>
          <w:lang w:val="en-US" w:eastAsia="zh-CN"/>
        </w:rPr>
      </w:pPr>
    </w:p>
    <w:p w14:paraId="4EA5457D">
      <w:pPr>
        <w:keepNext/>
        <w:keepLines/>
        <w:jc w:val="center"/>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5811"/>
      <w:bookmarkStart w:id="16" w:name="_Toc212369550"/>
      <w:bookmarkStart w:id="17" w:name="_Toc353881012"/>
      <w:bookmarkStart w:id="18"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934"/>
        <w:gridCol w:w="7801"/>
      </w:tblGrid>
      <w:tr w14:paraId="36FFF833">
        <w:tblPrEx>
          <w:tblCellMar>
            <w:top w:w="0" w:type="dxa"/>
            <w:left w:w="108" w:type="dxa"/>
            <w:bottom w:w="0" w:type="dxa"/>
            <w:right w:w="108" w:type="dxa"/>
          </w:tblCellMar>
        </w:tblPrEx>
        <w:trPr>
          <w:trHeight w:val="531"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3633"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3633"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3633"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p>
        </w:tc>
      </w:tr>
      <w:tr w14:paraId="04EB5B9B">
        <w:tblPrEx>
          <w:tblCellMar>
            <w:top w:w="0" w:type="dxa"/>
            <w:left w:w="108" w:type="dxa"/>
            <w:bottom w:w="0" w:type="dxa"/>
            <w:right w:w="108" w:type="dxa"/>
          </w:tblCellMar>
        </w:tblPrEx>
        <w:trPr>
          <w:trHeight w:val="1266"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21533388">
      <w:pPr>
        <w:spacing w:line="360" w:lineRule="auto"/>
        <w:rPr>
          <w:rFonts w:hint="eastAsia" w:ascii="宋体" w:hAnsi="宋体"/>
          <w:sz w:val="24"/>
        </w:rPr>
      </w:pPr>
    </w:p>
    <w:p w14:paraId="02DC23E0">
      <w:pPr>
        <w:spacing w:line="360" w:lineRule="auto"/>
        <w:rPr>
          <w:rFonts w:hint="eastAsia" w:ascii="宋体" w:hAnsi="宋体"/>
          <w:sz w:val="24"/>
        </w:rPr>
      </w:pP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26556"/>
      <w:bookmarkStart w:id="20" w:name="_Toc639008"/>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433"/>
        <w:gridCol w:w="1181"/>
        <w:gridCol w:w="561"/>
        <w:gridCol w:w="661"/>
        <w:gridCol w:w="589"/>
        <w:gridCol w:w="553"/>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设计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材料</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辅材</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加工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73BD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F58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DF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人工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B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2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4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E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68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7691">
            <w:pPr>
              <w:jc w:val="center"/>
              <w:rPr>
                <w:rFonts w:hint="eastAsia" w:ascii="宋体" w:hAnsi="宋体" w:eastAsia="宋体" w:cs="宋体"/>
                <w:i w:val="0"/>
                <w:iCs w:val="0"/>
                <w:color w:val="000000"/>
                <w:sz w:val="16"/>
                <w:szCs w:val="16"/>
                <w:u w:val="none"/>
              </w:rPr>
            </w:pPr>
          </w:p>
        </w:tc>
      </w:tr>
      <w:tr w14:paraId="1FAB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01BA">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38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3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3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0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57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31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E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003E">
            <w:pPr>
              <w:jc w:val="center"/>
              <w:rPr>
                <w:rFonts w:hint="eastAsia" w:ascii="宋体" w:hAnsi="宋体" w:eastAsia="宋体" w:cs="宋体"/>
                <w:i w:val="0"/>
                <w:iCs w:val="0"/>
                <w:color w:val="000000"/>
                <w:sz w:val="16"/>
                <w:szCs w:val="16"/>
                <w:u w:val="none"/>
              </w:rPr>
            </w:pPr>
          </w:p>
        </w:tc>
      </w:tr>
      <w:tr w14:paraId="05D2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2B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C1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0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8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6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8F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3B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825E">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4A2B05BC">
      <w:pPr>
        <w:spacing w:line="360" w:lineRule="auto"/>
        <w:jc w:val="left"/>
        <w:rPr>
          <w:rFonts w:ascii="宋体" w:hAnsi="宋体"/>
          <w:bCs/>
          <w:sz w:val="24"/>
        </w:rPr>
      </w:pPr>
    </w:p>
    <w:p w14:paraId="4C632B23">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22549972">
      <w:pPr>
        <w:overflowPunct w:val="0"/>
        <w:snapToGrid w:val="0"/>
        <w:spacing w:line="360" w:lineRule="auto"/>
        <w:rPr>
          <w:rFonts w:hint="eastAsia" w:ascii="宋体" w:hAnsi="宋体"/>
          <w:b/>
          <w:bCs/>
          <w:sz w:val="24"/>
        </w:rPr>
      </w:pPr>
    </w:p>
    <w:p w14:paraId="2697B0D8">
      <w:pPr>
        <w:overflowPunct w:val="0"/>
        <w:snapToGrid w:val="0"/>
        <w:spacing w:line="360" w:lineRule="auto"/>
        <w:rPr>
          <w:rFonts w:hint="eastAsia" w:ascii="宋体" w:hAnsi="宋体"/>
          <w:b/>
          <w:bCs/>
          <w:sz w:val="24"/>
          <w:lang w:val="en-US" w:eastAsia="zh-CN"/>
        </w:rPr>
      </w:pPr>
      <w:r>
        <w:rPr>
          <w:rFonts w:hint="eastAsia" w:ascii="宋体" w:hAnsi="宋体"/>
          <w:b/>
          <w:bCs/>
          <w:sz w:val="24"/>
          <w:lang w:val="en-US" w:eastAsia="zh-CN"/>
        </w:rPr>
        <w:t>1.</w:t>
      </w:r>
    </w:p>
    <w:p w14:paraId="5706AD3C">
      <w:pPr>
        <w:overflowPunct w:val="0"/>
        <w:snapToGrid w:val="0"/>
        <w:spacing w:line="360" w:lineRule="auto"/>
        <w:rPr>
          <w:rFonts w:hint="default" w:ascii="宋体" w:hAnsi="宋体"/>
          <w:b/>
          <w:bCs/>
          <w:sz w:val="24"/>
          <w:lang w:val="en-US" w:eastAsia="zh-CN"/>
        </w:rPr>
      </w:pPr>
      <w:r>
        <w:rPr>
          <w:rFonts w:hint="eastAsia" w:ascii="宋体" w:hAnsi="宋体"/>
          <w:b/>
          <w:bCs/>
          <w:sz w:val="24"/>
          <w:lang w:val="en-US" w:eastAsia="zh-CN"/>
        </w:rPr>
        <w:t>2.</w:t>
      </w:r>
    </w:p>
    <w:p w14:paraId="7BE0F750">
      <w:pPr>
        <w:overflowPunct w:val="0"/>
        <w:snapToGrid w:val="0"/>
        <w:spacing w:line="360" w:lineRule="auto"/>
        <w:rPr>
          <w:rFonts w:hint="eastAsia" w:ascii="宋体" w:hAnsi="宋体"/>
          <w:b/>
          <w:bCs/>
          <w:sz w:val="24"/>
        </w:rPr>
      </w:pPr>
    </w:p>
    <w:p w14:paraId="0E486CFA">
      <w:pPr>
        <w:overflowPunct w:val="0"/>
        <w:snapToGrid w:val="0"/>
        <w:spacing w:line="360" w:lineRule="auto"/>
        <w:rPr>
          <w:rFonts w:hint="eastAsia" w:ascii="宋体" w:hAnsi="宋体"/>
          <w:b/>
          <w:bCs/>
          <w:sz w:val="24"/>
        </w:rPr>
      </w:pPr>
    </w:p>
    <w:p w14:paraId="14B4B011">
      <w:pPr>
        <w:overflowPunct w:val="0"/>
        <w:snapToGrid w:val="0"/>
        <w:spacing w:line="360" w:lineRule="auto"/>
        <w:rPr>
          <w:rFonts w:hint="eastAsia" w:ascii="宋体" w:hAnsi="宋体"/>
          <w:b/>
          <w:bCs/>
          <w:sz w:val="24"/>
        </w:rPr>
      </w:pPr>
    </w:p>
    <w:p w14:paraId="321FDDC5">
      <w:pPr>
        <w:overflowPunct w:val="0"/>
        <w:snapToGrid w:val="0"/>
        <w:spacing w:line="360" w:lineRule="auto"/>
        <w:rPr>
          <w:rFonts w:hint="eastAsia" w:ascii="宋体" w:hAnsi="宋体"/>
          <w:b/>
          <w:bCs/>
          <w:sz w:val="24"/>
        </w:rPr>
      </w:pPr>
    </w:p>
    <w:p w14:paraId="1259D981">
      <w:pPr>
        <w:overflowPunct w:val="0"/>
        <w:snapToGrid w:val="0"/>
        <w:spacing w:line="360" w:lineRule="auto"/>
        <w:rPr>
          <w:rFonts w:hint="eastAsia" w:ascii="宋体" w:hAnsi="宋体"/>
          <w:b/>
          <w:bCs/>
          <w:sz w:val="24"/>
        </w:rPr>
      </w:pPr>
    </w:p>
    <w:p w14:paraId="162DACDA">
      <w:pPr>
        <w:overflowPunct w:val="0"/>
        <w:snapToGrid w:val="0"/>
        <w:spacing w:line="360" w:lineRule="auto"/>
        <w:rPr>
          <w:rFonts w:hint="eastAsia" w:ascii="宋体" w:hAnsi="宋体"/>
          <w:b/>
          <w:bCs/>
          <w:sz w:val="24"/>
        </w:rPr>
      </w:pPr>
    </w:p>
    <w:p w14:paraId="70D2D33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3151F2B5">
      <w:pPr>
        <w:spacing w:line="360" w:lineRule="auto"/>
        <w:ind w:left="480"/>
        <w:rPr>
          <w:rFonts w:ascii="宋体" w:hAnsi="宋体"/>
          <w:sz w:val="24"/>
        </w:rPr>
      </w:pPr>
    </w:p>
    <w:p w14:paraId="7DCF644D">
      <w:pPr>
        <w:spacing w:line="360" w:lineRule="auto"/>
        <w:ind w:left="480"/>
        <w:rPr>
          <w:rFonts w:ascii="宋体" w:hAnsi="宋体"/>
          <w:sz w:val="24"/>
        </w:rPr>
      </w:pPr>
    </w:p>
    <w:p w14:paraId="13EB3027">
      <w:pPr>
        <w:spacing w:line="360" w:lineRule="auto"/>
        <w:ind w:left="480"/>
        <w:rPr>
          <w:rFonts w:ascii="宋体" w:hAnsi="宋体"/>
          <w:sz w:val="24"/>
        </w:rPr>
      </w:pPr>
    </w:p>
    <w:p w14:paraId="18B55869">
      <w:pPr>
        <w:spacing w:line="360" w:lineRule="auto"/>
        <w:ind w:left="480"/>
        <w:rPr>
          <w:rFonts w:ascii="宋体" w:hAnsi="宋体"/>
          <w:sz w:val="24"/>
        </w:rPr>
      </w:pPr>
    </w:p>
    <w:p w14:paraId="234E87BE">
      <w:pPr>
        <w:spacing w:line="360" w:lineRule="auto"/>
        <w:ind w:left="480"/>
        <w:rPr>
          <w:rFonts w:ascii="宋体" w:hAnsi="宋体"/>
          <w:sz w:val="24"/>
        </w:rPr>
      </w:pPr>
    </w:p>
    <w:p w14:paraId="6DAAC686">
      <w:pPr>
        <w:spacing w:line="360" w:lineRule="auto"/>
        <w:ind w:left="480"/>
        <w:rPr>
          <w:rFonts w:ascii="宋体" w:hAnsi="宋体"/>
          <w:sz w:val="24"/>
        </w:rPr>
      </w:pPr>
    </w:p>
    <w:p w14:paraId="5228DB43">
      <w:pPr>
        <w:spacing w:line="360" w:lineRule="auto"/>
        <w:ind w:left="480"/>
        <w:rPr>
          <w:rFonts w:ascii="宋体" w:hAnsi="宋体"/>
          <w:sz w:val="24"/>
        </w:rPr>
      </w:pPr>
    </w:p>
    <w:p w14:paraId="1B46A3E2">
      <w:pPr>
        <w:spacing w:line="360" w:lineRule="auto"/>
        <w:ind w:left="480"/>
        <w:rPr>
          <w:rFonts w:ascii="宋体" w:hAnsi="宋体"/>
          <w:sz w:val="24"/>
        </w:rPr>
      </w:pPr>
    </w:p>
    <w:p w14:paraId="59E43BC6">
      <w:pPr>
        <w:spacing w:line="360" w:lineRule="auto"/>
        <w:ind w:left="480"/>
        <w:rPr>
          <w:rFonts w:ascii="宋体" w:hAnsi="宋体"/>
          <w:sz w:val="24"/>
        </w:rPr>
      </w:pPr>
    </w:p>
    <w:p w14:paraId="251052F8">
      <w:pPr>
        <w:spacing w:line="360" w:lineRule="auto"/>
        <w:ind w:left="480"/>
        <w:rPr>
          <w:rFonts w:ascii="宋体" w:hAnsi="宋体"/>
          <w:sz w:val="24"/>
        </w:rPr>
      </w:pPr>
    </w:p>
    <w:p w14:paraId="6BCFFFCE">
      <w:pPr>
        <w:spacing w:line="360" w:lineRule="auto"/>
        <w:ind w:left="480"/>
        <w:rPr>
          <w:rFonts w:ascii="宋体" w:hAnsi="宋体"/>
          <w:sz w:val="24"/>
        </w:rPr>
      </w:pPr>
    </w:p>
    <w:p w14:paraId="7C90A98B">
      <w:pPr>
        <w:spacing w:line="360" w:lineRule="auto"/>
        <w:ind w:left="480"/>
        <w:rPr>
          <w:rFonts w:ascii="宋体" w:hAnsi="宋体"/>
          <w:sz w:val="24"/>
        </w:rPr>
      </w:pPr>
    </w:p>
    <w:p w14:paraId="764DF813">
      <w:pPr>
        <w:spacing w:line="360" w:lineRule="auto"/>
        <w:ind w:left="480"/>
        <w:rPr>
          <w:rFonts w:ascii="宋体" w:hAnsi="宋体"/>
          <w:sz w:val="24"/>
        </w:rPr>
      </w:pPr>
    </w:p>
    <w:p w14:paraId="7387941B">
      <w:pPr>
        <w:spacing w:line="360" w:lineRule="auto"/>
        <w:ind w:left="480"/>
        <w:rPr>
          <w:rFonts w:ascii="宋体" w:hAnsi="宋体"/>
          <w:sz w:val="24"/>
        </w:rPr>
      </w:pPr>
    </w:p>
    <w:p w14:paraId="59F738EB">
      <w:pPr>
        <w:spacing w:line="360" w:lineRule="auto"/>
        <w:ind w:left="480"/>
        <w:rPr>
          <w:rFonts w:ascii="宋体" w:hAnsi="宋体"/>
          <w:sz w:val="24"/>
        </w:rPr>
      </w:pPr>
    </w:p>
    <w:p w14:paraId="39AE5852">
      <w:pPr>
        <w:spacing w:line="360" w:lineRule="auto"/>
        <w:ind w:left="480"/>
        <w:rPr>
          <w:rFonts w:ascii="宋体" w:hAnsi="宋体"/>
          <w:sz w:val="24"/>
        </w:rPr>
      </w:pPr>
    </w:p>
    <w:p w14:paraId="4D1AEB83">
      <w:pPr>
        <w:spacing w:line="360" w:lineRule="auto"/>
        <w:ind w:left="480"/>
        <w:rPr>
          <w:rFonts w:ascii="宋体" w:hAnsi="宋体"/>
          <w:sz w:val="24"/>
        </w:rPr>
      </w:pPr>
    </w:p>
    <w:p w14:paraId="3CB8BACB">
      <w:pPr>
        <w:spacing w:line="360" w:lineRule="auto"/>
        <w:ind w:left="480"/>
        <w:rPr>
          <w:rFonts w:ascii="宋体" w:hAnsi="宋体"/>
          <w:sz w:val="24"/>
        </w:rPr>
      </w:pPr>
    </w:p>
    <w:p w14:paraId="3AAEE7BB">
      <w:pPr>
        <w:spacing w:line="360" w:lineRule="auto"/>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2ACDD6EC">
      <w:pPr>
        <w:spacing w:line="360" w:lineRule="auto"/>
        <w:ind w:firstLine="480" w:firstLineChars="200"/>
        <w:rPr>
          <w:rFonts w:hint="eastAsia" w:ascii="宋体" w:hAnsi="宋体" w:cs="Times New Roman"/>
          <w:sz w:val="24"/>
        </w:rPr>
      </w:pPr>
      <w:r>
        <w:rPr>
          <w:rFonts w:hint="eastAsia" w:ascii="宋体" w:hAnsi="宋体" w:cs="Times New Roman"/>
          <w:sz w:val="24"/>
        </w:rPr>
        <w:t>1．</w:t>
      </w:r>
    </w:p>
    <w:p w14:paraId="0A291637">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2.</w:t>
      </w:r>
    </w:p>
    <w:p w14:paraId="3687E7A4">
      <w:pPr>
        <w:spacing w:line="360" w:lineRule="auto"/>
        <w:ind w:firstLine="480" w:firstLineChars="200"/>
        <w:rPr>
          <w:rFonts w:hint="eastAsia" w:ascii="宋体" w:hAnsi="宋体" w:cs="Times New Roman"/>
          <w:sz w:val="24"/>
          <w:lang w:val="en-US" w:eastAsia="zh-CN"/>
        </w:rPr>
      </w:pPr>
    </w:p>
    <w:p w14:paraId="708BE6CF">
      <w:pPr>
        <w:spacing w:line="360" w:lineRule="auto"/>
        <w:ind w:firstLine="480" w:firstLineChars="200"/>
        <w:rPr>
          <w:rFonts w:hint="eastAsia" w:ascii="宋体" w:hAnsi="宋体" w:cs="Times New Roman"/>
          <w:sz w:val="24"/>
          <w:lang w:val="en-US" w:eastAsia="zh-CN"/>
        </w:rPr>
      </w:pPr>
    </w:p>
    <w:p w14:paraId="795FBC08">
      <w:pPr>
        <w:spacing w:line="360" w:lineRule="auto"/>
        <w:ind w:firstLine="480" w:firstLineChars="200"/>
        <w:rPr>
          <w:rFonts w:hint="eastAsia" w:ascii="宋体" w:hAnsi="宋体" w:cs="Times New Roman"/>
          <w:sz w:val="24"/>
          <w:lang w:val="en-US" w:eastAsia="zh-CN"/>
        </w:rPr>
      </w:pPr>
    </w:p>
    <w:p w14:paraId="0812DE23">
      <w:pPr>
        <w:spacing w:line="360" w:lineRule="auto"/>
        <w:ind w:firstLine="480" w:firstLineChars="200"/>
        <w:rPr>
          <w:rFonts w:hint="eastAsia" w:ascii="宋体" w:hAnsi="宋体" w:cs="Times New Roman"/>
          <w:sz w:val="24"/>
          <w:lang w:val="en-US" w:eastAsia="zh-CN"/>
        </w:rPr>
      </w:pPr>
    </w:p>
    <w:p w14:paraId="210210F2">
      <w:pPr>
        <w:spacing w:line="360" w:lineRule="auto"/>
        <w:ind w:firstLine="480" w:firstLineChars="200"/>
        <w:rPr>
          <w:rFonts w:hint="eastAsia" w:ascii="宋体" w:hAnsi="宋体" w:cs="Times New Roman"/>
          <w:sz w:val="24"/>
          <w:lang w:val="en-US" w:eastAsia="zh-CN"/>
        </w:rPr>
      </w:pPr>
    </w:p>
    <w:p w14:paraId="21C9ADFF">
      <w:pPr>
        <w:spacing w:line="360" w:lineRule="auto"/>
        <w:ind w:firstLine="480" w:firstLineChars="200"/>
        <w:rPr>
          <w:rFonts w:hint="default" w:ascii="宋体" w:hAnsi="宋体" w:cs="Times New Roman"/>
          <w:sz w:val="24"/>
          <w:lang w:val="en-US" w:eastAsia="zh-CN"/>
        </w:rPr>
      </w:pPr>
    </w:p>
    <w:p w14:paraId="5A5A376B">
      <w:pPr>
        <w:spacing w:line="360" w:lineRule="auto"/>
        <w:ind w:firstLine="480" w:firstLineChars="200"/>
        <w:rPr>
          <w:rFonts w:hint="default" w:ascii="宋体" w:hAnsi="宋体" w:cs="Times New Roman"/>
          <w:sz w:val="24"/>
          <w:lang w:val="en-US" w:eastAsia="zh-CN"/>
        </w:rPr>
      </w:pPr>
    </w:p>
    <w:p w14:paraId="4286A836">
      <w:pPr>
        <w:spacing w:line="360" w:lineRule="auto"/>
        <w:ind w:left="480"/>
        <w:rPr>
          <w:rFonts w:ascii="宋体" w:hAnsi="宋体"/>
          <w:sz w:val="24"/>
        </w:rPr>
      </w:pPr>
    </w:p>
    <w:p w14:paraId="765CFDDA">
      <w:pPr>
        <w:spacing w:line="360" w:lineRule="auto"/>
        <w:ind w:left="481" w:leftChars="229" w:firstLine="4548" w:firstLineChars="1895"/>
        <w:rPr>
          <w:rFonts w:hint="eastAsia" w:ascii="宋体" w:hAnsi="宋体"/>
          <w:sz w:val="24"/>
        </w:rPr>
      </w:pPr>
    </w:p>
    <w:p w14:paraId="3B87CB69">
      <w:pPr>
        <w:spacing w:line="360" w:lineRule="auto"/>
        <w:ind w:left="481" w:leftChars="229" w:firstLine="4548" w:firstLineChars="1895"/>
        <w:rPr>
          <w:rFonts w:hint="eastAsia" w:ascii="宋体" w:hAnsi="宋体"/>
          <w:sz w:val="24"/>
        </w:rPr>
      </w:pPr>
    </w:p>
    <w:p w14:paraId="3D8AAF18">
      <w:pPr>
        <w:spacing w:line="360" w:lineRule="auto"/>
        <w:ind w:left="481" w:leftChars="229" w:firstLine="4548" w:firstLineChars="1895"/>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19"/>
        <w:rPr>
          <w:rFonts w:hint="eastAsia" w:ascii="宋体" w:hAnsi="宋体"/>
          <w:sz w:val="24"/>
        </w:rPr>
      </w:pPr>
    </w:p>
    <w:p w14:paraId="0350BD0E">
      <w:pPr>
        <w:pStyle w:val="20"/>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3FFED474">
      <w:pPr>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4"/>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安全消防</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9A74C5B6"/>
    <w:multiLevelType w:val="singleLevel"/>
    <w:tmpl w:val="9A74C5B6"/>
    <w:lvl w:ilvl="0" w:tentative="0">
      <w:start w:val="2"/>
      <w:numFmt w:val="chineseCounting"/>
      <w:suff w:val="nothing"/>
      <w:lvlText w:val="%1、"/>
      <w:lvlJc w:val="left"/>
      <w:rPr>
        <w:rFonts w:hint="eastAsia"/>
      </w:r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49FEDE0"/>
    <w:multiLevelType w:val="singleLevel"/>
    <w:tmpl w:val="F49FEDE0"/>
    <w:lvl w:ilvl="0" w:tentative="0">
      <w:start w:val="18"/>
      <w:numFmt w:val="decimal"/>
      <w:suff w:val="nothing"/>
      <w:lvlText w:val="%1、"/>
      <w:lvlJc w:val="left"/>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FDF06E8D"/>
    <w:multiLevelType w:val="singleLevel"/>
    <w:tmpl w:val="FDF06E8D"/>
    <w:lvl w:ilvl="0" w:tentative="0">
      <w:start w:val="1"/>
      <w:numFmt w:val="chineseCounting"/>
      <w:suff w:val="nothing"/>
      <w:lvlText w:val="（%1）"/>
      <w:lvlJc w:val="left"/>
      <w:rPr>
        <w:rFonts w:hint="eastAsia"/>
      </w:r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2"/>
  </w:num>
  <w:num w:numId="2">
    <w:abstractNumId w:val="8"/>
  </w:num>
  <w:num w:numId="3">
    <w:abstractNumId w:val="13"/>
  </w:num>
  <w:num w:numId="4">
    <w:abstractNumId w:val="4"/>
  </w:num>
  <w:num w:numId="5">
    <w:abstractNumId w:val="0"/>
  </w:num>
  <w:num w:numId="6">
    <w:abstractNumId w:val="1"/>
  </w:num>
  <w:num w:numId="7">
    <w:abstractNumId w:val="3"/>
  </w:num>
  <w:num w:numId="8">
    <w:abstractNumId w:val="15"/>
  </w:num>
  <w:num w:numId="9">
    <w:abstractNumId w:val="10"/>
  </w:num>
  <w:num w:numId="10">
    <w:abstractNumId w:val="9"/>
  </w:num>
  <w:num w:numId="11">
    <w:abstractNumId w:val="14"/>
  </w:num>
  <w:num w:numId="12">
    <w:abstractNumId w:val="2"/>
  </w:num>
  <w:num w:numId="13">
    <w:abstractNumId w:val="6"/>
  </w:num>
  <w:num w:numId="14">
    <w:abstractNumId w:val="7"/>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EA03360"/>
    <w:rsid w:val="10FE7942"/>
    <w:rsid w:val="118E6D12"/>
    <w:rsid w:val="121216F1"/>
    <w:rsid w:val="126A32DB"/>
    <w:rsid w:val="135A557B"/>
    <w:rsid w:val="1378147A"/>
    <w:rsid w:val="13D35827"/>
    <w:rsid w:val="14DA122C"/>
    <w:rsid w:val="14F641C2"/>
    <w:rsid w:val="15D32F45"/>
    <w:rsid w:val="17787D90"/>
    <w:rsid w:val="17D46287"/>
    <w:rsid w:val="1868332D"/>
    <w:rsid w:val="1DA82577"/>
    <w:rsid w:val="1E1170AC"/>
    <w:rsid w:val="20A57BD4"/>
    <w:rsid w:val="2188552B"/>
    <w:rsid w:val="22A44CDF"/>
    <w:rsid w:val="234A764E"/>
    <w:rsid w:val="253009F4"/>
    <w:rsid w:val="25F44B01"/>
    <w:rsid w:val="28812CD5"/>
    <w:rsid w:val="29581C87"/>
    <w:rsid w:val="29C928E7"/>
    <w:rsid w:val="2A7C02EC"/>
    <w:rsid w:val="2A8F7CD5"/>
    <w:rsid w:val="2B282065"/>
    <w:rsid w:val="2B3F4DD2"/>
    <w:rsid w:val="2B485D2C"/>
    <w:rsid w:val="2B9654FA"/>
    <w:rsid w:val="2C2D426E"/>
    <w:rsid w:val="2E7345D1"/>
    <w:rsid w:val="2F083808"/>
    <w:rsid w:val="2FBA0ACE"/>
    <w:rsid w:val="33380434"/>
    <w:rsid w:val="353F5A8C"/>
    <w:rsid w:val="35CA23C2"/>
    <w:rsid w:val="36DE1355"/>
    <w:rsid w:val="376D0FF4"/>
    <w:rsid w:val="38107BD1"/>
    <w:rsid w:val="38E050B4"/>
    <w:rsid w:val="393D26BB"/>
    <w:rsid w:val="396B689B"/>
    <w:rsid w:val="3A5B7C10"/>
    <w:rsid w:val="3AE576F5"/>
    <w:rsid w:val="3C3170AD"/>
    <w:rsid w:val="3D9C2881"/>
    <w:rsid w:val="3F801B0E"/>
    <w:rsid w:val="3FE37598"/>
    <w:rsid w:val="40206EE5"/>
    <w:rsid w:val="40B3559D"/>
    <w:rsid w:val="413C1020"/>
    <w:rsid w:val="41A55A6F"/>
    <w:rsid w:val="41AE7F1F"/>
    <w:rsid w:val="429D2840"/>
    <w:rsid w:val="43AD09C3"/>
    <w:rsid w:val="45B527CD"/>
    <w:rsid w:val="46D92B01"/>
    <w:rsid w:val="46F30DEA"/>
    <w:rsid w:val="470B7BE0"/>
    <w:rsid w:val="47764C2F"/>
    <w:rsid w:val="48A82A9E"/>
    <w:rsid w:val="48CA190C"/>
    <w:rsid w:val="49DA3B9B"/>
    <w:rsid w:val="4A0309FD"/>
    <w:rsid w:val="4A082E0A"/>
    <w:rsid w:val="4AA4422A"/>
    <w:rsid w:val="4AC268B8"/>
    <w:rsid w:val="4BDC009E"/>
    <w:rsid w:val="4C1B4B58"/>
    <w:rsid w:val="4CC51E60"/>
    <w:rsid w:val="4CC748AA"/>
    <w:rsid w:val="4CD06839"/>
    <w:rsid w:val="4CD949FD"/>
    <w:rsid w:val="4F4A4FC8"/>
    <w:rsid w:val="4FD97D99"/>
    <w:rsid w:val="50135CCA"/>
    <w:rsid w:val="50D74B46"/>
    <w:rsid w:val="51654692"/>
    <w:rsid w:val="52585C54"/>
    <w:rsid w:val="543D56F2"/>
    <w:rsid w:val="54605E09"/>
    <w:rsid w:val="54B773D8"/>
    <w:rsid w:val="54D67D81"/>
    <w:rsid w:val="54D7260C"/>
    <w:rsid w:val="55F231C8"/>
    <w:rsid w:val="561B17C3"/>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2B84C59"/>
    <w:rsid w:val="736A2597"/>
    <w:rsid w:val="73E74B0A"/>
    <w:rsid w:val="74995770"/>
    <w:rsid w:val="74EF49EC"/>
    <w:rsid w:val="7540626B"/>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9847</Words>
  <Characters>10207</Characters>
  <Lines>52</Lines>
  <Paragraphs>14</Paragraphs>
  <TotalTime>8</TotalTime>
  <ScaleCrop>false</ScaleCrop>
  <LinksUpToDate>false</LinksUpToDate>
  <CharactersWithSpaces>10235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2026-06-27T01:26:51Z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