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YN-X079-C2动力头更换项修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u w:val="single"/>
          <w:lang w:eastAsia="zh-CN"/>
        </w:rPr>
        <w:t>ZBGL2026050292</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- 4 -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- 15 -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- 15 -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- 24 -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eastAsia="zh-CN"/>
        </w:rPr>
        <w:t>YN-X079-C2动力头更换项修</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eastAsia="zh-CN"/>
        </w:rPr>
        <w:t>YN-X079-C2动力头更换项修</w:t>
      </w:r>
      <w:r>
        <w:rPr>
          <w:rFonts w:hint="eastAsia"/>
        </w:rPr>
        <w:t>项目</w:t>
      </w:r>
    </w:p>
    <w:p w14:paraId="15020D03">
      <w:pPr>
        <w:pStyle w:val="75"/>
      </w:pPr>
      <w:r>
        <w:rPr>
          <w:rFonts w:hint="eastAsia"/>
        </w:rPr>
        <w:t>项目编号：</w:t>
      </w:r>
      <w:r>
        <w:rPr>
          <w:rFonts w:hint="eastAsia"/>
          <w:lang w:eastAsia="zh-CN"/>
        </w:rPr>
        <w:t>ZBGL2026050292</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eastAsia="zh-CN"/>
        </w:rPr>
        <w:t>YN-X079-C2动力头更换项修</w:t>
      </w:r>
      <w:r>
        <w:rPr>
          <w:rFonts w:hint="eastAsia"/>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66"/>
        <w:gridCol w:w="1558"/>
        <w:gridCol w:w="1080"/>
        <w:gridCol w:w="1080"/>
        <w:gridCol w:w="1096"/>
        <w:gridCol w:w="1080"/>
        <w:gridCol w:w="1080"/>
      </w:tblGrid>
      <w:tr w14:paraId="3DDA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75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4BF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60" w:type="dxa"/>
            <w:tcBorders>
              <w:top w:val="single" w:color="000000" w:sz="8" w:space="0"/>
              <w:left w:val="nil"/>
              <w:bottom w:val="single" w:color="000000" w:sz="8" w:space="0"/>
              <w:right w:val="single" w:color="000000" w:sz="8" w:space="0"/>
            </w:tcBorders>
            <w:shd w:val="clear" w:color="auto" w:fill="auto"/>
            <w:vAlign w:val="center"/>
          </w:tcPr>
          <w:p w14:paraId="26D3E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4BBA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99C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8F9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516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29D0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4E2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EB3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7912C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560" w:type="dxa"/>
            <w:tcBorders>
              <w:top w:val="nil"/>
              <w:left w:val="nil"/>
              <w:bottom w:val="single" w:color="000000" w:sz="8" w:space="0"/>
              <w:right w:val="single" w:color="000000" w:sz="8" w:space="0"/>
            </w:tcBorders>
            <w:shd w:val="clear" w:color="auto" w:fill="auto"/>
            <w:vAlign w:val="center"/>
          </w:tcPr>
          <w:p w14:paraId="1EFA7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nil"/>
              <w:left w:val="nil"/>
              <w:bottom w:val="single" w:color="000000" w:sz="8" w:space="0"/>
              <w:right w:val="single" w:color="000000" w:sz="8" w:space="0"/>
            </w:tcBorders>
            <w:shd w:val="clear" w:color="auto" w:fill="auto"/>
            <w:noWrap/>
            <w:vAlign w:val="center"/>
          </w:tcPr>
          <w:p w14:paraId="5E563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017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4648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D66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443208E">
            <w:pPr>
              <w:jc w:val="center"/>
              <w:rPr>
                <w:rFonts w:hint="eastAsia" w:ascii="宋体" w:hAnsi="宋体" w:eastAsia="宋体" w:cs="宋体"/>
                <w:i w:val="0"/>
                <w:iCs w:val="0"/>
                <w:color w:val="000000"/>
                <w:sz w:val="22"/>
                <w:szCs w:val="22"/>
                <w:u w:val="none"/>
              </w:rPr>
            </w:pPr>
          </w:p>
        </w:tc>
      </w:tr>
      <w:tr w14:paraId="6C0B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F4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79352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560" w:type="dxa"/>
            <w:tcBorders>
              <w:top w:val="nil"/>
              <w:left w:val="nil"/>
              <w:bottom w:val="single" w:color="000000" w:sz="8" w:space="0"/>
              <w:right w:val="single" w:color="000000" w:sz="8" w:space="0"/>
            </w:tcBorders>
            <w:shd w:val="clear" w:color="auto" w:fill="auto"/>
            <w:vAlign w:val="center"/>
          </w:tcPr>
          <w:p w14:paraId="7A7A3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nil"/>
              <w:left w:val="nil"/>
              <w:bottom w:val="single" w:color="000000" w:sz="8" w:space="0"/>
              <w:right w:val="single" w:color="000000" w:sz="8" w:space="0"/>
            </w:tcBorders>
            <w:shd w:val="clear" w:color="auto" w:fill="auto"/>
            <w:noWrap/>
            <w:vAlign w:val="center"/>
          </w:tcPr>
          <w:p w14:paraId="483A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FDF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48F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05B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751AC0CC">
            <w:pPr>
              <w:jc w:val="center"/>
              <w:rPr>
                <w:rFonts w:hint="eastAsia" w:ascii="宋体" w:hAnsi="宋体" w:eastAsia="宋体" w:cs="宋体"/>
                <w:i w:val="0"/>
                <w:iCs w:val="0"/>
                <w:color w:val="000000"/>
                <w:sz w:val="22"/>
                <w:szCs w:val="22"/>
                <w:u w:val="none"/>
              </w:rPr>
            </w:pPr>
          </w:p>
        </w:tc>
      </w:tr>
      <w:tr w14:paraId="57AC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F24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1071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560" w:type="dxa"/>
            <w:tcBorders>
              <w:top w:val="nil"/>
              <w:left w:val="nil"/>
              <w:bottom w:val="single" w:color="000000" w:sz="8" w:space="0"/>
              <w:right w:val="single" w:color="000000" w:sz="8" w:space="0"/>
            </w:tcBorders>
            <w:shd w:val="clear" w:color="auto" w:fill="auto"/>
            <w:vAlign w:val="center"/>
          </w:tcPr>
          <w:p w14:paraId="0D02A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nil"/>
              <w:left w:val="nil"/>
              <w:bottom w:val="single" w:color="000000" w:sz="8" w:space="0"/>
              <w:right w:val="single" w:color="000000" w:sz="8" w:space="0"/>
            </w:tcBorders>
            <w:shd w:val="clear" w:color="auto" w:fill="auto"/>
            <w:noWrap/>
            <w:vAlign w:val="center"/>
          </w:tcPr>
          <w:p w14:paraId="0124A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D02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5DDB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B2B0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3B3D6DCC">
            <w:pPr>
              <w:jc w:val="center"/>
              <w:rPr>
                <w:rFonts w:hint="eastAsia" w:ascii="宋体" w:hAnsi="宋体" w:eastAsia="宋体" w:cs="宋体"/>
                <w:i w:val="0"/>
                <w:iCs w:val="0"/>
                <w:color w:val="000000"/>
                <w:sz w:val="22"/>
                <w:szCs w:val="22"/>
                <w:u w:val="none"/>
              </w:rPr>
            </w:pPr>
          </w:p>
        </w:tc>
      </w:tr>
      <w:tr w14:paraId="1BAB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0D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07FD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560" w:type="dxa"/>
            <w:tcBorders>
              <w:top w:val="nil"/>
              <w:left w:val="nil"/>
              <w:bottom w:val="single" w:color="000000" w:sz="8" w:space="0"/>
              <w:right w:val="single" w:color="000000" w:sz="8" w:space="0"/>
            </w:tcBorders>
            <w:shd w:val="clear" w:color="auto" w:fill="auto"/>
            <w:vAlign w:val="center"/>
          </w:tcPr>
          <w:p w14:paraId="243F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nil"/>
              <w:left w:val="nil"/>
              <w:bottom w:val="single" w:color="000000" w:sz="8" w:space="0"/>
              <w:right w:val="single" w:color="000000" w:sz="8" w:space="0"/>
            </w:tcBorders>
            <w:shd w:val="clear" w:color="auto" w:fill="auto"/>
            <w:noWrap/>
            <w:vAlign w:val="center"/>
          </w:tcPr>
          <w:p w14:paraId="17F2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D19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4E75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D2FE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C3A0324">
            <w:pPr>
              <w:jc w:val="center"/>
              <w:rPr>
                <w:rFonts w:hint="eastAsia" w:ascii="宋体" w:hAnsi="宋体" w:eastAsia="宋体" w:cs="宋体"/>
                <w:i w:val="0"/>
                <w:iCs w:val="0"/>
                <w:color w:val="000000"/>
                <w:sz w:val="22"/>
                <w:szCs w:val="22"/>
                <w:u w:val="none"/>
              </w:rPr>
            </w:pPr>
          </w:p>
        </w:tc>
      </w:tr>
      <w:tr w14:paraId="3367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51B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AC7E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560" w:type="dxa"/>
            <w:tcBorders>
              <w:top w:val="nil"/>
              <w:left w:val="nil"/>
              <w:bottom w:val="single" w:color="000000" w:sz="8" w:space="0"/>
              <w:right w:val="single" w:color="000000" w:sz="8" w:space="0"/>
            </w:tcBorders>
            <w:shd w:val="clear" w:color="auto" w:fill="auto"/>
            <w:vAlign w:val="bottom"/>
          </w:tcPr>
          <w:p w14:paraId="08AC57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nil"/>
              <w:left w:val="nil"/>
              <w:bottom w:val="single" w:color="000000" w:sz="8" w:space="0"/>
              <w:right w:val="single" w:color="000000" w:sz="8" w:space="0"/>
            </w:tcBorders>
            <w:shd w:val="clear" w:color="auto" w:fill="auto"/>
            <w:noWrap/>
            <w:vAlign w:val="center"/>
          </w:tcPr>
          <w:p w14:paraId="3430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F6B8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A3D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842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406470C5">
            <w:pPr>
              <w:jc w:val="center"/>
              <w:rPr>
                <w:rFonts w:hint="eastAsia" w:ascii="宋体" w:hAnsi="宋体" w:eastAsia="宋体" w:cs="宋体"/>
                <w:i w:val="0"/>
                <w:iCs w:val="0"/>
                <w:color w:val="000000"/>
                <w:sz w:val="22"/>
                <w:szCs w:val="22"/>
                <w:u w:val="none"/>
              </w:rPr>
            </w:pPr>
          </w:p>
        </w:tc>
      </w:tr>
      <w:tr w14:paraId="0AE3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FC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14:paraId="6A5F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560" w:type="dxa"/>
            <w:tcBorders>
              <w:top w:val="nil"/>
              <w:left w:val="nil"/>
              <w:bottom w:val="single" w:color="000000" w:sz="8" w:space="0"/>
              <w:right w:val="single" w:color="000000" w:sz="8" w:space="0"/>
            </w:tcBorders>
            <w:shd w:val="clear" w:color="auto" w:fill="auto"/>
            <w:vAlign w:val="center"/>
          </w:tcPr>
          <w:p w14:paraId="477C5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E01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1CFB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EB56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47EB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17F2B02">
            <w:pPr>
              <w:jc w:val="center"/>
              <w:rPr>
                <w:rFonts w:hint="eastAsia" w:ascii="宋体" w:hAnsi="宋体" w:eastAsia="宋体" w:cs="宋体"/>
                <w:i w:val="0"/>
                <w:iCs w:val="0"/>
                <w:color w:val="000000"/>
                <w:sz w:val="22"/>
                <w:szCs w:val="22"/>
                <w:u w:val="none"/>
              </w:rPr>
            </w:pPr>
          </w:p>
        </w:tc>
      </w:tr>
      <w:tr w14:paraId="0BC4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5E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14:paraId="2311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560" w:type="dxa"/>
            <w:tcBorders>
              <w:top w:val="nil"/>
              <w:left w:val="nil"/>
              <w:bottom w:val="single" w:color="000000" w:sz="8" w:space="0"/>
              <w:right w:val="single" w:color="000000" w:sz="8" w:space="0"/>
            </w:tcBorders>
            <w:shd w:val="clear" w:color="auto" w:fill="auto"/>
            <w:vAlign w:val="center"/>
          </w:tcPr>
          <w:p w14:paraId="5BF7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0942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41EAE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015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4C94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94F7A7C">
            <w:pPr>
              <w:jc w:val="center"/>
              <w:rPr>
                <w:rFonts w:hint="eastAsia" w:ascii="宋体" w:hAnsi="宋体" w:eastAsia="宋体" w:cs="宋体"/>
                <w:i w:val="0"/>
                <w:iCs w:val="0"/>
                <w:color w:val="000000"/>
                <w:sz w:val="22"/>
                <w:szCs w:val="22"/>
                <w:u w:val="none"/>
              </w:rPr>
            </w:pPr>
          </w:p>
        </w:tc>
      </w:tr>
      <w:tr w14:paraId="46DF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278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14:paraId="3D84B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560" w:type="dxa"/>
            <w:tcBorders>
              <w:top w:val="nil"/>
              <w:left w:val="nil"/>
              <w:bottom w:val="single" w:color="000000" w:sz="8" w:space="0"/>
              <w:right w:val="single" w:color="000000" w:sz="8" w:space="0"/>
            </w:tcBorders>
            <w:shd w:val="clear" w:color="auto" w:fill="auto"/>
            <w:vAlign w:val="center"/>
          </w:tcPr>
          <w:p w14:paraId="17C3A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CA9C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2084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418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9C9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7AF1A6D">
            <w:pPr>
              <w:jc w:val="center"/>
              <w:rPr>
                <w:rFonts w:hint="eastAsia" w:ascii="宋体" w:hAnsi="宋体" w:eastAsia="宋体" w:cs="宋体"/>
                <w:i w:val="0"/>
                <w:iCs w:val="0"/>
                <w:color w:val="000000"/>
                <w:sz w:val="22"/>
                <w:szCs w:val="22"/>
                <w:u w:val="none"/>
              </w:rPr>
            </w:pPr>
          </w:p>
        </w:tc>
      </w:tr>
      <w:tr w14:paraId="0B4A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0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14:paraId="0BFF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1560" w:type="dxa"/>
            <w:tcBorders>
              <w:top w:val="nil"/>
              <w:left w:val="nil"/>
              <w:bottom w:val="single" w:color="000000" w:sz="8" w:space="0"/>
              <w:right w:val="single" w:color="000000" w:sz="8" w:space="0"/>
            </w:tcBorders>
            <w:shd w:val="clear" w:color="auto" w:fill="auto"/>
            <w:vAlign w:val="center"/>
          </w:tcPr>
          <w:p w14:paraId="7C54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A98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7D03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B8B2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171D8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12E6CE5">
            <w:pPr>
              <w:jc w:val="center"/>
              <w:rPr>
                <w:rFonts w:hint="eastAsia" w:ascii="宋体" w:hAnsi="宋体" w:eastAsia="宋体" w:cs="宋体"/>
                <w:i w:val="0"/>
                <w:iCs w:val="0"/>
                <w:color w:val="000000"/>
                <w:sz w:val="22"/>
                <w:szCs w:val="22"/>
                <w:u w:val="none"/>
              </w:rPr>
            </w:pPr>
          </w:p>
        </w:tc>
      </w:tr>
    </w:tbl>
    <w:p w14:paraId="4D2C8143">
      <w:pPr>
        <w:pStyle w:val="75"/>
        <w:numPr>
          <w:ilvl w:val="0"/>
          <w:numId w:val="0"/>
        </w:numPr>
        <w:ind w:left="710" w:leftChars="0"/>
      </w:pP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7</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7</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10</w:t>
      </w:r>
      <w:r>
        <w:rPr>
          <w:rFonts w:hint="eastAsia" w:ascii="宋体" w:hAnsi="宋体" w:eastAsia="宋体" w:cs="宋体"/>
          <w:color w:val="auto"/>
          <w:sz w:val="21"/>
          <w:szCs w:val="21"/>
          <w:highlight w:val="yellow"/>
        </w:rPr>
        <w:t>日</w:t>
      </w:r>
      <w:r>
        <w:rPr>
          <w:rFonts w:hint="eastAsia" w:hAnsi="宋体" w:cs="宋体"/>
          <w:color w:val="auto"/>
          <w:sz w:val="21"/>
          <w:szCs w:val="21"/>
          <w:highlight w:val="yellow"/>
          <w:lang w:val="en-US" w:eastAsia="zh-CN"/>
        </w:rPr>
        <w:t>10</w:t>
      </w:r>
      <w:r>
        <w:rPr>
          <w:rFonts w:hint="eastAsia" w:ascii="宋体" w:hAnsi="宋体" w:eastAsia="宋体" w:cs="宋体"/>
          <w:color w:val="auto"/>
          <w:sz w:val="21"/>
          <w:szCs w:val="21"/>
          <w:highlight w:val="yellow"/>
          <w:lang w:val="en-US" w:eastAsia="zh-CN"/>
        </w:rPr>
        <w:t>：00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7</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10</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br w:type="page"/>
      </w:r>
    </w:p>
    <w:p w14:paraId="3D820EEC">
      <w:pPr>
        <w:pStyle w:val="73"/>
      </w:pPr>
      <w:bookmarkStart w:id="10" w:name="_Toc7753"/>
      <w:bookmarkStart w:id="11" w:name="_Toc47976595"/>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eastAsia="zh-CN"/>
        </w:rPr>
        <w:t>YN-X079-C2动力头更换项修</w:t>
      </w:r>
      <w:r>
        <w:rPr>
          <w:rFonts w:hint="eastAsia"/>
        </w:rPr>
        <w:t>项目</w:t>
      </w:r>
    </w:p>
    <w:p w14:paraId="17A97EAA">
      <w:pPr>
        <w:pStyle w:val="78"/>
        <w:numPr>
          <w:ilvl w:val="0"/>
          <w:numId w:val="12"/>
        </w:numPr>
        <w:ind w:left="425" w:leftChars="0" w:hanging="425" w:firstLineChars="0"/>
      </w:pPr>
      <w:r>
        <w:rPr>
          <w:rFonts w:hint="eastAsia"/>
        </w:rPr>
        <w:t>项目编号：</w:t>
      </w:r>
      <w:r>
        <w:rPr>
          <w:rFonts w:hint="eastAsia"/>
          <w:lang w:eastAsia="zh-CN"/>
        </w:rPr>
        <w:t>ZBGL2026050292</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07D1DA08">
      <w:pPr>
        <w:pStyle w:val="78"/>
        <w:numPr>
          <w:ilvl w:val="0"/>
          <w:numId w:val="0"/>
        </w:numPr>
        <w:ind w:leftChars="0"/>
        <w:rPr>
          <w:rFonts w:hint="eastAsia"/>
          <w:lang w:val="en-US" w:eastAsia="zh-CN"/>
        </w:rPr>
      </w:pPr>
      <w:r>
        <w:rPr>
          <w:rFonts w:hint="eastAsia"/>
          <w:lang w:val="en-US" w:eastAsia="zh-CN"/>
        </w:rPr>
        <w:t>项目概况：1、对济南发动机厂YN-X0094报废设备的2个动力头进行大修改造；</w:t>
      </w:r>
    </w:p>
    <w:p w14:paraId="1D4C8C0A">
      <w:pPr>
        <w:pStyle w:val="78"/>
        <w:numPr>
          <w:ilvl w:val="0"/>
          <w:numId w:val="0"/>
        </w:numPr>
        <w:ind w:leftChars="0"/>
        <w:rPr>
          <w:rFonts w:hint="eastAsia"/>
          <w:lang w:val="en-US" w:eastAsia="zh-CN"/>
        </w:rPr>
      </w:pPr>
      <w:r>
        <w:rPr>
          <w:rFonts w:hint="eastAsia"/>
          <w:lang w:val="en-US" w:eastAsia="zh-CN"/>
        </w:rPr>
        <w:t>2、更换一套</w:t>
      </w:r>
      <w:r>
        <w:rPr>
          <w:rFonts w:hint="eastAsia" w:ascii="宋体" w:hAnsi="宋体" w:eastAsia="宋体" w:cs="宋体"/>
          <w:i w:val="0"/>
          <w:iCs w:val="0"/>
          <w:color w:val="000000"/>
          <w:kern w:val="0"/>
          <w:sz w:val="22"/>
          <w:szCs w:val="22"/>
          <w:u w:val="none"/>
          <w:lang w:val="en-US" w:eastAsia="zh-CN" w:bidi="ar"/>
        </w:rPr>
        <w:t>Y轴数控滑台</w:t>
      </w:r>
      <w:r>
        <w:rPr>
          <w:rFonts w:hint="eastAsia"/>
          <w:lang w:val="en-US" w:eastAsia="zh-CN"/>
        </w:rPr>
        <w:t>、1套</w:t>
      </w:r>
      <w:r>
        <w:rPr>
          <w:rFonts w:hint="eastAsia" w:ascii="宋体" w:hAnsi="宋体" w:eastAsia="宋体" w:cs="宋体"/>
          <w:i w:val="0"/>
          <w:iCs w:val="0"/>
          <w:color w:val="000000"/>
          <w:kern w:val="0"/>
          <w:sz w:val="22"/>
          <w:szCs w:val="22"/>
          <w:u w:val="none"/>
          <w:lang w:val="en-US" w:eastAsia="zh-CN" w:bidi="ar"/>
        </w:rPr>
        <w:t>X轴数控滑台</w:t>
      </w:r>
      <w:r>
        <w:rPr>
          <w:rFonts w:hint="eastAsia"/>
          <w:lang w:val="en-US" w:eastAsia="zh-CN"/>
        </w:rPr>
        <w:t>；</w:t>
      </w:r>
    </w:p>
    <w:p w14:paraId="742B3A80">
      <w:pPr>
        <w:pStyle w:val="78"/>
        <w:numPr>
          <w:ilvl w:val="0"/>
          <w:numId w:val="0"/>
        </w:numPr>
        <w:ind w:leftChars="0"/>
        <w:rPr>
          <w:rFonts w:hint="eastAsia" w:hAnsi="宋体"/>
          <w:bCs/>
          <w:sz w:val="21"/>
          <w:szCs w:val="21"/>
          <w:highlight w:val="none"/>
          <w:lang w:eastAsia="zh-CN"/>
        </w:rPr>
      </w:pPr>
      <w:r>
        <w:rPr>
          <w:rFonts w:hint="eastAsia"/>
          <w:lang w:val="en-US" w:eastAsia="zh-CN"/>
        </w:rPr>
        <w:t>3、调整设备加工尺寸，满足现有工艺要求。</w:t>
      </w:r>
      <w:r>
        <w:rPr>
          <w:rFonts w:hint="eastAsia" w:ascii="宋体" w:hAnsi="宋体"/>
          <w:bCs/>
          <w:sz w:val="21"/>
          <w:szCs w:val="21"/>
          <w:highlight w:val="none"/>
        </w:rPr>
        <w:t>确保</w:t>
      </w:r>
      <w:r>
        <w:rPr>
          <w:rFonts w:hint="eastAsia"/>
          <w:lang w:eastAsia="zh-CN"/>
        </w:rPr>
        <w:t>YN-X079-C2</w:t>
      </w:r>
      <w:r>
        <w:rPr>
          <w:rFonts w:hint="eastAsia" w:ascii="宋体" w:hAnsi="宋体"/>
          <w:bCs/>
          <w:sz w:val="21"/>
          <w:szCs w:val="21"/>
          <w:highlight w:val="none"/>
        </w:rPr>
        <w:t>设备正常运行状态</w:t>
      </w:r>
      <w:r>
        <w:rPr>
          <w:rFonts w:hint="eastAsia" w:hAnsi="宋体"/>
          <w:bCs/>
          <w:sz w:val="21"/>
          <w:szCs w:val="21"/>
          <w:highlight w:val="none"/>
          <w:lang w:eastAsia="zh-CN"/>
        </w:rPr>
        <w:t>。</w:t>
      </w:r>
    </w:p>
    <w:tbl>
      <w:tblPr>
        <w:tblStyle w:val="32"/>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861"/>
        <w:gridCol w:w="1506"/>
        <w:gridCol w:w="1061"/>
        <w:gridCol w:w="1061"/>
        <w:gridCol w:w="1076"/>
        <w:gridCol w:w="1061"/>
        <w:gridCol w:w="1506"/>
      </w:tblGrid>
      <w:tr w14:paraId="7534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5F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4D1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60" w:type="dxa"/>
            <w:tcBorders>
              <w:top w:val="single" w:color="000000" w:sz="8" w:space="0"/>
              <w:left w:val="nil"/>
              <w:bottom w:val="single" w:color="000000" w:sz="8" w:space="0"/>
              <w:right w:val="single" w:color="000000" w:sz="8" w:space="0"/>
            </w:tcBorders>
            <w:shd w:val="clear" w:color="auto" w:fill="auto"/>
            <w:vAlign w:val="center"/>
          </w:tcPr>
          <w:p w14:paraId="6F09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2FE8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0840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618D0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5446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407AF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19D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D2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1E6A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560" w:type="dxa"/>
            <w:tcBorders>
              <w:top w:val="nil"/>
              <w:left w:val="nil"/>
              <w:bottom w:val="single" w:color="000000" w:sz="8" w:space="0"/>
              <w:right w:val="single" w:color="000000" w:sz="8" w:space="0"/>
            </w:tcBorders>
            <w:shd w:val="clear" w:color="auto" w:fill="auto"/>
            <w:vAlign w:val="center"/>
          </w:tcPr>
          <w:p w14:paraId="46A4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nil"/>
              <w:left w:val="nil"/>
              <w:bottom w:val="single" w:color="000000" w:sz="8" w:space="0"/>
              <w:right w:val="single" w:color="000000" w:sz="8" w:space="0"/>
            </w:tcBorders>
            <w:shd w:val="clear" w:color="auto" w:fill="auto"/>
            <w:noWrap/>
            <w:vAlign w:val="center"/>
          </w:tcPr>
          <w:p w14:paraId="1C4C0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BC6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B74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E4DC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016429A">
            <w:pPr>
              <w:jc w:val="center"/>
              <w:rPr>
                <w:rFonts w:hint="eastAsia" w:ascii="宋体" w:hAnsi="宋体" w:eastAsia="宋体" w:cs="宋体"/>
                <w:i w:val="0"/>
                <w:iCs w:val="0"/>
                <w:color w:val="000000"/>
                <w:sz w:val="22"/>
                <w:szCs w:val="22"/>
                <w:u w:val="none"/>
              </w:rPr>
            </w:pPr>
          </w:p>
        </w:tc>
      </w:tr>
      <w:tr w14:paraId="3143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80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579A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560" w:type="dxa"/>
            <w:tcBorders>
              <w:top w:val="nil"/>
              <w:left w:val="nil"/>
              <w:bottom w:val="single" w:color="000000" w:sz="8" w:space="0"/>
              <w:right w:val="single" w:color="000000" w:sz="8" w:space="0"/>
            </w:tcBorders>
            <w:shd w:val="clear" w:color="auto" w:fill="auto"/>
            <w:vAlign w:val="center"/>
          </w:tcPr>
          <w:p w14:paraId="5275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nil"/>
              <w:left w:val="nil"/>
              <w:bottom w:val="single" w:color="000000" w:sz="8" w:space="0"/>
              <w:right w:val="single" w:color="000000" w:sz="8" w:space="0"/>
            </w:tcBorders>
            <w:shd w:val="clear" w:color="auto" w:fill="auto"/>
            <w:noWrap/>
            <w:vAlign w:val="center"/>
          </w:tcPr>
          <w:p w14:paraId="0283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523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DB7C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D379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AE318D0">
            <w:pPr>
              <w:jc w:val="center"/>
              <w:rPr>
                <w:rFonts w:hint="eastAsia" w:ascii="宋体" w:hAnsi="宋体" w:eastAsia="宋体" w:cs="宋体"/>
                <w:i w:val="0"/>
                <w:iCs w:val="0"/>
                <w:color w:val="000000"/>
                <w:sz w:val="22"/>
                <w:szCs w:val="22"/>
                <w:u w:val="none"/>
              </w:rPr>
            </w:pPr>
          </w:p>
        </w:tc>
      </w:tr>
      <w:tr w14:paraId="7B5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C3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73E1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560" w:type="dxa"/>
            <w:tcBorders>
              <w:top w:val="nil"/>
              <w:left w:val="nil"/>
              <w:bottom w:val="single" w:color="000000" w:sz="8" w:space="0"/>
              <w:right w:val="single" w:color="000000" w:sz="8" w:space="0"/>
            </w:tcBorders>
            <w:shd w:val="clear" w:color="auto" w:fill="auto"/>
            <w:vAlign w:val="center"/>
          </w:tcPr>
          <w:p w14:paraId="512D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nil"/>
              <w:left w:val="nil"/>
              <w:bottom w:val="single" w:color="000000" w:sz="8" w:space="0"/>
              <w:right w:val="single" w:color="000000" w:sz="8" w:space="0"/>
            </w:tcBorders>
            <w:shd w:val="clear" w:color="auto" w:fill="auto"/>
            <w:noWrap/>
            <w:vAlign w:val="center"/>
          </w:tcPr>
          <w:p w14:paraId="42F4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3BF1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44DC0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57BD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7D6D7B2">
            <w:pPr>
              <w:jc w:val="center"/>
              <w:rPr>
                <w:rFonts w:hint="eastAsia" w:ascii="宋体" w:hAnsi="宋体" w:eastAsia="宋体" w:cs="宋体"/>
                <w:i w:val="0"/>
                <w:iCs w:val="0"/>
                <w:color w:val="000000"/>
                <w:sz w:val="22"/>
                <w:szCs w:val="22"/>
                <w:u w:val="none"/>
              </w:rPr>
            </w:pPr>
          </w:p>
        </w:tc>
      </w:tr>
      <w:tr w14:paraId="02B9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AC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31D01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560" w:type="dxa"/>
            <w:tcBorders>
              <w:top w:val="nil"/>
              <w:left w:val="nil"/>
              <w:bottom w:val="single" w:color="000000" w:sz="8" w:space="0"/>
              <w:right w:val="single" w:color="000000" w:sz="8" w:space="0"/>
            </w:tcBorders>
            <w:shd w:val="clear" w:color="auto" w:fill="auto"/>
            <w:vAlign w:val="center"/>
          </w:tcPr>
          <w:p w14:paraId="680C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nil"/>
              <w:left w:val="nil"/>
              <w:bottom w:val="single" w:color="000000" w:sz="8" w:space="0"/>
              <w:right w:val="single" w:color="000000" w:sz="8" w:space="0"/>
            </w:tcBorders>
            <w:shd w:val="clear" w:color="auto" w:fill="auto"/>
            <w:noWrap/>
            <w:vAlign w:val="center"/>
          </w:tcPr>
          <w:p w14:paraId="3E6E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91B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9D4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7F2DA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1CBFFC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旧件维修改造</w:t>
            </w:r>
          </w:p>
        </w:tc>
      </w:tr>
      <w:tr w14:paraId="5B13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3A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9E3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560" w:type="dxa"/>
            <w:tcBorders>
              <w:top w:val="nil"/>
              <w:left w:val="nil"/>
              <w:bottom w:val="single" w:color="000000" w:sz="8" w:space="0"/>
              <w:right w:val="single" w:color="000000" w:sz="8" w:space="0"/>
            </w:tcBorders>
            <w:shd w:val="clear" w:color="auto" w:fill="auto"/>
            <w:vAlign w:val="bottom"/>
          </w:tcPr>
          <w:p w14:paraId="039F5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nil"/>
              <w:left w:val="nil"/>
              <w:bottom w:val="single" w:color="000000" w:sz="8" w:space="0"/>
              <w:right w:val="single" w:color="000000" w:sz="8" w:space="0"/>
            </w:tcBorders>
            <w:shd w:val="clear" w:color="auto" w:fill="auto"/>
            <w:noWrap/>
            <w:vAlign w:val="center"/>
          </w:tcPr>
          <w:p w14:paraId="38B9E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4311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E6D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0647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72ABCAB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旧件维修改造</w:t>
            </w:r>
          </w:p>
        </w:tc>
      </w:tr>
      <w:tr w14:paraId="1387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024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8" w:space="0"/>
              <w:right w:val="single" w:color="000000" w:sz="8" w:space="0"/>
            </w:tcBorders>
            <w:shd w:val="clear" w:color="auto" w:fill="auto"/>
            <w:vAlign w:val="center"/>
          </w:tcPr>
          <w:p w14:paraId="0AED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560" w:type="dxa"/>
            <w:tcBorders>
              <w:top w:val="nil"/>
              <w:left w:val="nil"/>
              <w:bottom w:val="single" w:color="000000" w:sz="8" w:space="0"/>
              <w:right w:val="single" w:color="000000" w:sz="8" w:space="0"/>
            </w:tcBorders>
            <w:shd w:val="clear" w:color="auto" w:fill="auto"/>
            <w:vAlign w:val="center"/>
          </w:tcPr>
          <w:p w14:paraId="46A1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D7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4E1C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E53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36B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164E0D56">
            <w:pPr>
              <w:jc w:val="center"/>
              <w:rPr>
                <w:rFonts w:hint="eastAsia" w:ascii="宋体" w:hAnsi="宋体" w:eastAsia="宋体" w:cs="宋体"/>
                <w:i w:val="0"/>
                <w:iCs w:val="0"/>
                <w:color w:val="000000"/>
                <w:sz w:val="22"/>
                <w:szCs w:val="22"/>
                <w:u w:val="none"/>
              </w:rPr>
            </w:pPr>
          </w:p>
        </w:tc>
      </w:tr>
      <w:tr w14:paraId="6BA7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87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14:paraId="0647F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560" w:type="dxa"/>
            <w:tcBorders>
              <w:top w:val="nil"/>
              <w:left w:val="nil"/>
              <w:bottom w:val="single" w:color="000000" w:sz="8" w:space="0"/>
              <w:right w:val="single" w:color="000000" w:sz="8" w:space="0"/>
            </w:tcBorders>
            <w:shd w:val="clear" w:color="auto" w:fill="auto"/>
            <w:vAlign w:val="center"/>
          </w:tcPr>
          <w:p w14:paraId="6BD6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B87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2167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599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36396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05BF8A4B">
            <w:pPr>
              <w:jc w:val="center"/>
              <w:rPr>
                <w:rFonts w:hint="eastAsia" w:ascii="宋体" w:hAnsi="宋体" w:eastAsia="宋体" w:cs="宋体"/>
                <w:i w:val="0"/>
                <w:iCs w:val="0"/>
                <w:color w:val="000000"/>
                <w:sz w:val="22"/>
                <w:szCs w:val="22"/>
                <w:u w:val="none"/>
              </w:rPr>
            </w:pPr>
          </w:p>
        </w:tc>
      </w:tr>
      <w:tr w14:paraId="6045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AE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14:paraId="6DB8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560" w:type="dxa"/>
            <w:tcBorders>
              <w:top w:val="nil"/>
              <w:left w:val="nil"/>
              <w:bottom w:val="single" w:color="000000" w:sz="8" w:space="0"/>
              <w:right w:val="single" w:color="000000" w:sz="8" w:space="0"/>
            </w:tcBorders>
            <w:shd w:val="clear" w:color="auto" w:fill="auto"/>
            <w:vAlign w:val="center"/>
          </w:tcPr>
          <w:p w14:paraId="7295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62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nil"/>
              <w:left w:val="nil"/>
              <w:bottom w:val="single" w:color="000000" w:sz="8" w:space="0"/>
              <w:right w:val="single" w:color="000000" w:sz="8" w:space="0"/>
            </w:tcBorders>
            <w:shd w:val="clear" w:color="auto" w:fill="auto"/>
            <w:noWrap/>
            <w:vAlign w:val="center"/>
          </w:tcPr>
          <w:p w14:paraId="6165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CA90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13A0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25226BCD">
            <w:pPr>
              <w:jc w:val="center"/>
              <w:rPr>
                <w:rFonts w:hint="eastAsia" w:ascii="宋体" w:hAnsi="宋体" w:eastAsia="宋体" w:cs="宋体"/>
                <w:i w:val="0"/>
                <w:iCs w:val="0"/>
                <w:color w:val="000000"/>
                <w:sz w:val="22"/>
                <w:szCs w:val="22"/>
                <w:u w:val="none"/>
              </w:rPr>
            </w:pPr>
          </w:p>
        </w:tc>
      </w:tr>
      <w:tr w14:paraId="4F4E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CD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14:paraId="36F4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1560" w:type="dxa"/>
            <w:tcBorders>
              <w:top w:val="nil"/>
              <w:left w:val="nil"/>
              <w:bottom w:val="single" w:color="000000" w:sz="8" w:space="0"/>
              <w:right w:val="single" w:color="000000" w:sz="8" w:space="0"/>
            </w:tcBorders>
            <w:shd w:val="clear" w:color="auto" w:fill="auto"/>
            <w:vAlign w:val="center"/>
          </w:tcPr>
          <w:p w14:paraId="072B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10C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nil"/>
              <w:left w:val="nil"/>
              <w:bottom w:val="single" w:color="000000" w:sz="8" w:space="0"/>
              <w:right w:val="single" w:color="000000" w:sz="8" w:space="0"/>
            </w:tcBorders>
            <w:shd w:val="clear" w:color="auto" w:fill="auto"/>
            <w:noWrap/>
            <w:vAlign w:val="center"/>
          </w:tcPr>
          <w:p w14:paraId="7268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FF3A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nil"/>
              <w:left w:val="nil"/>
              <w:bottom w:val="single" w:color="000000" w:sz="8" w:space="0"/>
              <w:right w:val="single" w:color="000000" w:sz="8" w:space="0"/>
            </w:tcBorders>
            <w:shd w:val="clear" w:color="auto" w:fill="auto"/>
            <w:noWrap/>
            <w:vAlign w:val="center"/>
          </w:tcPr>
          <w:p w14:paraId="2C45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nil"/>
              <w:left w:val="nil"/>
              <w:bottom w:val="single" w:color="000000" w:sz="8" w:space="0"/>
              <w:right w:val="single" w:color="000000" w:sz="8" w:space="0"/>
            </w:tcBorders>
            <w:shd w:val="clear" w:color="auto" w:fill="auto"/>
            <w:noWrap/>
            <w:vAlign w:val="bottom"/>
          </w:tcPr>
          <w:p w14:paraId="65D4322A">
            <w:pPr>
              <w:jc w:val="center"/>
              <w:rPr>
                <w:rFonts w:hint="eastAsia" w:ascii="宋体" w:hAnsi="宋体" w:eastAsia="宋体" w:cs="宋体"/>
                <w:i w:val="0"/>
                <w:iCs w:val="0"/>
                <w:color w:val="000000"/>
                <w:sz w:val="22"/>
                <w:szCs w:val="22"/>
                <w:u w:val="none"/>
              </w:rPr>
            </w:pPr>
          </w:p>
        </w:tc>
      </w:tr>
    </w:tbl>
    <w:p w14:paraId="073BF9F4">
      <w:pPr>
        <w:pStyle w:val="78"/>
        <w:numPr>
          <w:ilvl w:val="0"/>
          <w:numId w:val="0"/>
        </w:numPr>
        <w:ind w:leftChars="0"/>
        <w:rPr>
          <w:rFonts w:hint="eastAsia" w:hAnsi="宋体"/>
          <w:bCs/>
          <w:sz w:val="21"/>
          <w:szCs w:val="21"/>
          <w:highlight w:val="none"/>
          <w:lang w:eastAsia="zh-CN"/>
        </w:rPr>
      </w:pPr>
    </w:p>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商务联系人：王工 15858272719</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u w:val="single"/>
          <w:lang w:val="en-US" w:eastAsia="zh-CN"/>
        </w:rPr>
        <w:t>100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6</w:t>
      </w:r>
      <w:r>
        <w:rPr>
          <w:rFonts w:hint="eastAsia" w:ascii="宋体" w:hAnsi="Courier New" w:eastAsia="宋体" w:cs="Times New Roman"/>
          <w:highlight w:val="yellow"/>
          <w:lang w:val="en-US" w:eastAsia="zh-CN"/>
        </w:rPr>
        <w:t>月</w:t>
      </w:r>
      <w:r>
        <w:rPr>
          <w:rFonts w:hint="eastAsia" w:cs="Times New Roman"/>
          <w:highlight w:val="yellow"/>
          <w:lang w:val="en-US" w:eastAsia="zh-CN"/>
        </w:rPr>
        <w:t>25</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6</w:t>
      </w:r>
      <w:r>
        <w:rPr>
          <w:rFonts w:hint="default" w:ascii="宋体" w:hAnsi="Courier New" w:eastAsia="宋体" w:cs="Times New Roman"/>
          <w:highlight w:val="none"/>
          <w:lang w:val="en-US" w:eastAsia="zh-CN"/>
        </w:rPr>
        <w:t>月</w:t>
      </w:r>
      <w:r>
        <w:rPr>
          <w:rFonts w:hint="eastAsia" w:cs="Times New Roman"/>
          <w:highlight w:val="none"/>
          <w:lang w:val="en-US" w:eastAsia="zh-CN"/>
        </w:rPr>
        <w:t>25</w:t>
      </w:r>
      <w:r>
        <w:rPr>
          <w:rFonts w:hint="default" w:ascii="宋体" w:hAnsi="Courier New" w:eastAsia="宋体" w:cs="Times New Roman"/>
          <w:highlight w:val="none"/>
          <w:lang w:val="en-US" w:eastAsia="zh-CN"/>
        </w:rPr>
        <w:t>日-2026年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1</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7</w:t>
      </w:r>
      <w:r>
        <w:rPr>
          <w:rFonts w:hint="eastAsia" w:ascii="宋体" w:hAnsi="Courier New" w:eastAsia="宋体" w:cs="Times New Roman"/>
          <w:highlight w:val="yellow"/>
          <w:lang w:val="en-US" w:eastAsia="zh-CN"/>
        </w:rPr>
        <w:t>月</w:t>
      </w:r>
      <w:r>
        <w:rPr>
          <w:rFonts w:hint="eastAsia" w:cs="Times New Roman"/>
          <w:highlight w:val="yellow"/>
          <w:lang w:val="en-US" w:eastAsia="zh-CN"/>
        </w:rPr>
        <w:t>1</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7</w:t>
      </w:r>
      <w:r>
        <w:rPr>
          <w:rFonts w:hint="eastAsia" w:ascii="宋体" w:hAnsi="Courier New" w:eastAsia="宋体" w:cs="Times New Roman"/>
          <w:highlight w:val="yellow"/>
          <w:lang w:val="en-US" w:eastAsia="zh-CN"/>
        </w:rPr>
        <w:t>月</w:t>
      </w:r>
      <w:r>
        <w:rPr>
          <w:rFonts w:hint="eastAsia" w:cs="Times New Roman"/>
          <w:highlight w:val="yellow"/>
          <w:lang w:val="en-US" w:eastAsia="zh-CN"/>
        </w:rPr>
        <w:t>1</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：2026年7月2日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92.7651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cs="Times New Roman"/>
          <w:b w:val="0"/>
          <w:bCs/>
          <w:highlight w:val="yellow"/>
          <w:lang w:val="en-US" w:eastAsia="zh-CN"/>
        </w:rPr>
        <w:t>2026年7</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10</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10000.00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lang w:eastAsia="zh-CN"/>
        </w:rPr>
        <w:t>2026年</w:t>
      </w:r>
      <w:r>
        <w:rPr>
          <w:rFonts w:hint="eastAsia" w:ascii="宋体" w:hAnsi="宋体" w:eastAsia="宋体" w:cs="宋体"/>
          <w:b w:val="0"/>
          <w:bCs w:val="0"/>
          <w:color w:val="FF0000"/>
          <w:sz w:val="21"/>
          <w:szCs w:val="21"/>
          <w:highlight w:val="yellow"/>
          <w:lang w:val="en-US" w:eastAsia="zh-CN"/>
        </w:rPr>
        <w:t>7</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9</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bookmarkStart w:id="32" w:name="_GoBack"/>
      <w:bookmarkEnd w:id="32"/>
      <w:r>
        <w:rPr>
          <w:rFonts w:hint="eastAsia" w:ascii="宋体" w:hAnsi="宋体" w:eastAsia="宋体" w:cs="宋体"/>
          <w:b w:val="0"/>
          <w:bCs w:val="0"/>
          <w:sz w:val="21"/>
          <w:szCs w:val="21"/>
          <w:highlight w:val="yellow"/>
          <w:lang w:val="en-US" w:eastAsia="zh-CN"/>
        </w:rPr>
        <w:t>2026年7月10日10:00（暂定时间，以实际通知为准）。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技术标入围条件为技术标总分大于等于90分。</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55</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1、投标人对项目各项技术方案及组织措施具体、技术先进，并列出较多具备相关资质与经验的施工人员及维修设备，酌情得36-55分；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15</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w:t>
            </w:r>
            <w:r>
              <w:rPr>
                <w:rFonts w:hint="eastAsia" w:ascii="Calibri" w:hAnsi="Calibri"/>
              </w:rPr>
              <w:t>标人在2023 年及以</w:t>
            </w:r>
            <w:r>
              <w:rPr>
                <w:rFonts w:hint="eastAsia" w:ascii="Calibri" w:hAnsi="Calibri"/>
                <w:lang w:val="en-US" w:eastAsia="zh-CN"/>
              </w:rPr>
              <w:t>后</w:t>
            </w:r>
            <w:r>
              <w:rPr>
                <w:rFonts w:hint="eastAsia" w:ascii="Calibri" w:hAnsi="Calibri"/>
              </w:rPr>
              <w:t>，具备发动机加工专机维修相关业绩，每项得 5 分，最高 15 分；须提供合同原件或复印件，无合同不予计分。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9"/>
      <w:bookmarkStart w:id="17" w:name="OLE_LINK28"/>
      <w:bookmarkStart w:id="18" w:name="OLE_LINK27"/>
      <w:bookmarkStart w:id="19" w:name="OLE_LINK25"/>
      <w:bookmarkStart w:id="20" w:name="OLE_LINK26"/>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3C20DD31">
      <w:pPr>
        <w:spacing w:line="360" w:lineRule="auto"/>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6、本项目现场施工周期不得超过10天（与技术协议要求一致），乙方逾期交付工作成果的，每逾期一天，应当向甲方支付合同总价款 2 %的违约金。当违约金超过设备合同总金额的 30  %时，甲方有权解除本合同，且乙方应当向甲方支付上述违约金，并赔偿由此给甲方造成的一切损失和费用。</w:t>
      </w:r>
    </w:p>
    <w:p w14:paraId="60D04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AC7E4C8">
      <w:pPr>
        <w:rPr>
          <w:rFonts w:hint="eastAsia"/>
        </w:rPr>
      </w:pPr>
      <w:bookmarkStart w:id="22" w:name="_Toc1910"/>
    </w:p>
    <w:p w14:paraId="54607204">
      <w:pPr>
        <w:rPr>
          <w:rFonts w:hint="eastAsia"/>
        </w:rPr>
      </w:pPr>
    </w:p>
    <w:p w14:paraId="552794B8">
      <w:pPr>
        <w:rPr>
          <w:rFonts w:hint="eastAsia"/>
        </w:rPr>
      </w:pPr>
    </w:p>
    <w:p w14:paraId="1A8C7F81">
      <w:pPr>
        <w:rPr>
          <w:rFonts w:hint="eastAsia"/>
        </w:rPr>
      </w:pPr>
    </w:p>
    <w:p w14:paraId="104CC056">
      <w:pPr>
        <w:jc w:val="center"/>
        <w:rPr>
          <w:rFonts w:hint="eastAsia" w:ascii="黑体" w:hAnsi="黑体" w:eastAsia="黑体" w:cs="黑体"/>
          <w:sz w:val="36"/>
          <w:szCs w:val="36"/>
        </w:rPr>
      </w:pPr>
    </w:p>
    <w:p w14:paraId="18C12DBA">
      <w:pPr>
        <w:jc w:val="center"/>
        <w:rPr>
          <w:rFonts w:hint="eastAsia" w:ascii="黑体" w:hAnsi="黑体" w:eastAsia="黑体" w:cs="黑体"/>
          <w:sz w:val="36"/>
          <w:szCs w:val="36"/>
        </w:rPr>
      </w:pPr>
    </w:p>
    <w:p w14:paraId="256371DA">
      <w:pPr>
        <w:jc w:val="center"/>
        <w:rPr>
          <w:rFonts w:hint="eastAsia" w:ascii="黑体" w:hAnsi="黑体" w:eastAsia="黑体" w:cs="黑体"/>
          <w:sz w:val="36"/>
          <w:szCs w:val="36"/>
        </w:rPr>
      </w:pPr>
    </w:p>
    <w:p w14:paraId="5FFB85BA">
      <w:pPr>
        <w:jc w:val="center"/>
        <w:rPr>
          <w:rFonts w:hint="eastAsia" w:ascii="黑体" w:hAnsi="黑体" w:eastAsia="黑体" w:cs="黑体"/>
          <w:sz w:val="36"/>
          <w:szCs w:val="36"/>
        </w:rPr>
      </w:pPr>
    </w:p>
    <w:p w14:paraId="0B6A78B5">
      <w:pPr>
        <w:jc w:val="center"/>
        <w:rPr>
          <w:rFonts w:hint="eastAsia" w:ascii="黑体" w:hAnsi="黑体" w:eastAsia="黑体" w:cs="黑体"/>
          <w:sz w:val="36"/>
          <w:szCs w:val="36"/>
        </w:rPr>
      </w:pPr>
    </w:p>
    <w:p w14:paraId="0BDB9947">
      <w:pPr>
        <w:jc w:val="center"/>
        <w:rPr>
          <w:rFonts w:hint="eastAsia" w:ascii="黑体" w:hAnsi="黑体" w:eastAsia="黑体" w:cs="黑体"/>
          <w:sz w:val="36"/>
          <w:szCs w:val="36"/>
        </w:rPr>
      </w:pPr>
    </w:p>
    <w:p w14:paraId="46CBF982">
      <w:pPr>
        <w:jc w:val="center"/>
        <w:rPr>
          <w:rFonts w:hint="eastAsia" w:ascii="黑体" w:hAnsi="黑体" w:eastAsia="黑体" w:cs="黑体"/>
          <w:sz w:val="36"/>
          <w:szCs w:val="36"/>
        </w:rPr>
      </w:pPr>
    </w:p>
    <w:p w14:paraId="2B356711">
      <w:pPr>
        <w:jc w:val="center"/>
        <w:rPr>
          <w:rFonts w:hint="eastAsia" w:ascii="黑体" w:hAnsi="黑体" w:eastAsia="黑体" w:cs="黑体"/>
          <w:sz w:val="36"/>
          <w:szCs w:val="36"/>
        </w:rPr>
      </w:pPr>
    </w:p>
    <w:p w14:paraId="19562CF4">
      <w:pPr>
        <w:jc w:val="center"/>
        <w:rPr>
          <w:rFonts w:hint="eastAsia" w:ascii="黑体" w:hAnsi="黑体" w:eastAsia="黑体" w:cs="黑体"/>
          <w:sz w:val="36"/>
          <w:szCs w:val="36"/>
        </w:rPr>
      </w:pPr>
    </w:p>
    <w:p w14:paraId="00644CDA">
      <w:pPr>
        <w:jc w:val="center"/>
        <w:rPr>
          <w:rFonts w:hint="eastAsia" w:ascii="黑体" w:hAnsi="黑体" w:eastAsia="黑体" w:cs="黑体"/>
          <w:sz w:val="36"/>
          <w:szCs w:val="36"/>
        </w:rPr>
      </w:pPr>
    </w:p>
    <w:p w14:paraId="1CE3EE38">
      <w:pPr>
        <w:jc w:val="center"/>
        <w:rPr>
          <w:rFonts w:hint="eastAsia" w:ascii="黑体" w:hAnsi="黑体" w:eastAsia="黑体" w:cs="黑体"/>
          <w:sz w:val="36"/>
          <w:szCs w:val="36"/>
        </w:rPr>
      </w:pPr>
    </w:p>
    <w:p w14:paraId="590A5BF0">
      <w:pPr>
        <w:jc w:val="center"/>
        <w:rPr>
          <w:rFonts w:hint="eastAsia" w:ascii="黑体" w:hAnsi="黑体" w:eastAsia="黑体" w:cs="黑体"/>
          <w:sz w:val="36"/>
          <w:szCs w:val="36"/>
        </w:rPr>
      </w:pPr>
    </w:p>
    <w:p w14:paraId="618278A9">
      <w:pPr>
        <w:jc w:val="center"/>
        <w:rPr>
          <w:rFonts w:hint="eastAsia" w:ascii="黑体" w:hAnsi="黑体" w:eastAsia="黑体" w:cs="黑体"/>
          <w:sz w:val="36"/>
          <w:szCs w:val="36"/>
        </w:rPr>
      </w:pPr>
    </w:p>
    <w:p w14:paraId="03590F1C">
      <w:pPr>
        <w:jc w:val="center"/>
        <w:rPr>
          <w:rFonts w:hint="eastAsia" w:ascii="黑体" w:hAnsi="黑体" w:eastAsia="黑体" w:cs="黑体"/>
          <w:sz w:val="36"/>
          <w:szCs w:val="36"/>
        </w:rPr>
      </w:pPr>
    </w:p>
    <w:p w14:paraId="264B93C8">
      <w:pPr>
        <w:jc w:val="center"/>
        <w:rPr>
          <w:rFonts w:hint="eastAsia" w:ascii="黑体" w:hAnsi="黑体" w:eastAsia="黑体" w:cs="黑体"/>
          <w:sz w:val="36"/>
          <w:szCs w:val="36"/>
        </w:rPr>
      </w:pPr>
      <w:r>
        <w:rPr>
          <w:rFonts w:hint="eastAsia" w:ascii="黑体" w:hAnsi="黑体" w:eastAsia="黑体" w:cs="黑体"/>
          <w:sz w:val="36"/>
          <w:szCs w:val="36"/>
        </w:rPr>
        <w:t>第二部分</w:t>
      </w:r>
    </w:p>
    <w:bookmarkEnd w:id="21"/>
    <w:bookmarkEnd w:id="22"/>
    <w:p w14:paraId="42F74E65">
      <w:pPr>
        <w:jc w:val="center"/>
        <w:rPr>
          <w:rFonts w:hint="eastAsia"/>
          <w:sz w:val="44"/>
          <w:szCs w:val="44"/>
        </w:rPr>
      </w:pPr>
      <w:bookmarkStart w:id="23" w:name="_Toc20595"/>
      <w:bookmarkStart w:id="24" w:name="_Toc47976609"/>
      <w:r>
        <w:rPr>
          <w:rFonts w:hint="eastAsia"/>
          <w:sz w:val="44"/>
          <w:szCs w:val="44"/>
        </w:rPr>
        <w:t>机械加工部YN-X079-C2两个动力头更换</w:t>
      </w:r>
      <w:r>
        <w:rPr>
          <w:rFonts w:hint="eastAsia"/>
          <w:sz w:val="44"/>
          <w:szCs w:val="44"/>
          <w:lang w:val="en-US" w:eastAsia="zh-CN"/>
        </w:rPr>
        <w:t>项修</w:t>
      </w:r>
      <w:r>
        <w:rPr>
          <w:rFonts w:hint="eastAsia"/>
          <w:sz w:val="44"/>
          <w:szCs w:val="44"/>
        </w:rPr>
        <w:t>项目</w:t>
      </w:r>
    </w:p>
    <w:p w14:paraId="3CB1DF43">
      <w:pPr>
        <w:jc w:val="center"/>
        <w:rPr>
          <w:sz w:val="44"/>
          <w:szCs w:val="44"/>
        </w:rPr>
      </w:pPr>
    </w:p>
    <w:p w14:paraId="65FDF319">
      <w:pPr>
        <w:jc w:val="center"/>
        <w:rPr>
          <w:rFonts w:hint="eastAsia"/>
          <w:sz w:val="44"/>
          <w:szCs w:val="44"/>
        </w:rPr>
      </w:pPr>
    </w:p>
    <w:p w14:paraId="14CC4266">
      <w:pPr>
        <w:jc w:val="center"/>
        <w:rPr>
          <w:rFonts w:hint="eastAsia"/>
          <w:sz w:val="44"/>
          <w:szCs w:val="44"/>
        </w:rPr>
      </w:pPr>
    </w:p>
    <w:p w14:paraId="2F8FCF08">
      <w:pPr>
        <w:jc w:val="center"/>
        <w:rPr>
          <w:rFonts w:hint="eastAsia"/>
          <w:b/>
          <w:sz w:val="52"/>
          <w:szCs w:val="52"/>
        </w:rPr>
      </w:pPr>
      <w:r>
        <w:rPr>
          <w:rFonts w:hint="eastAsia"/>
          <w:b/>
          <w:sz w:val="52"/>
          <w:szCs w:val="52"/>
        </w:rPr>
        <w:t>技术协议</w:t>
      </w:r>
    </w:p>
    <w:p w14:paraId="4BE1071F">
      <w:pPr>
        <w:rPr>
          <w:rFonts w:hint="eastAsia"/>
        </w:rPr>
      </w:pPr>
    </w:p>
    <w:p w14:paraId="28D3D518">
      <w:pPr>
        <w:rPr>
          <w:rFonts w:hint="eastAsia"/>
        </w:rPr>
      </w:pPr>
    </w:p>
    <w:p w14:paraId="50C64A7B">
      <w:pPr>
        <w:rPr>
          <w:rFonts w:hint="eastAsia"/>
        </w:rPr>
      </w:pPr>
    </w:p>
    <w:p w14:paraId="78EC63A8">
      <w:pPr>
        <w:rPr>
          <w:rFonts w:hint="eastAsia"/>
        </w:rPr>
      </w:pPr>
    </w:p>
    <w:p w14:paraId="6B75FE8C">
      <w:pPr>
        <w:rPr>
          <w:rFonts w:hint="eastAsia"/>
        </w:rPr>
      </w:pPr>
    </w:p>
    <w:p w14:paraId="47B62636">
      <w:pPr>
        <w:rPr>
          <w:rFonts w:hint="eastAsia"/>
        </w:rPr>
      </w:pPr>
    </w:p>
    <w:p w14:paraId="4B266939">
      <w:pPr>
        <w:rPr>
          <w:rFonts w:hint="eastAsia"/>
        </w:rPr>
      </w:pPr>
    </w:p>
    <w:p w14:paraId="07D6B3DB">
      <w:pPr>
        <w:rPr>
          <w:rFonts w:hint="eastAsia"/>
        </w:rPr>
      </w:pPr>
    </w:p>
    <w:p w14:paraId="7CE8B338">
      <w:pPr>
        <w:rPr>
          <w:rFonts w:hint="eastAsia"/>
        </w:rPr>
      </w:pPr>
    </w:p>
    <w:p w14:paraId="615776A5">
      <w:pPr>
        <w:rPr>
          <w:rFonts w:hint="eastAsia"/>
        </w:rPr>
      </w:pPr>
    </w:p>
    <w:p w14:paraId="4F3D1EFE">
      <w:pPr>
        <w:rPr>
          <w:rFonts w:hint="eastAsia"/>
        </w:rPr>
      </w:pPr>
    </w:p>
    <w:p w14:paraId="14E05607">
      <w:pPr>
        <w:rPr>
          <w:rFonts w:hint="eastAsia"/>
        </w:rPr>
      </w:pPr>
    </w:p>
    <w:p w14:paraId="726027AA">
      <w:pPr>
        <w:rPr>
          <w:rFonts w:hint="eastAsia"/>
        </w:rPr>
      </w:pPr>
    </w:p>
    <w:p w14:paraId="38EDA8F6">
      <w:pPr>
        <w:jc w:val="center"/>
        <w:rPr>
          <w:sz w:val="32"/>
          <w:szCs w:val="32"/>
        </w:rPr>
      </w:pPr>
      <w:r>
        <w:rPr>
          <w:rFonts w:hint="eastAsia"/>
          <w:sz w:val="32"/>
          <w:szCs w:val="32"/>
        </w:rPr>
        <w:t>中国重汽集团杭州发动机有限公司</w:t>
      </w:r>
    </w:p>
    <w:p w14:paraId="3156D46A">
      <w:pPr>
        <w:jc w:val="center"/>
        <w:rPr>
          <w:rFonts w:hint="eastAsia"/>
          <w:sz w:val="32"/>
          <w:szCs w:val="32"/>
        </w:rPr>
      </w:pPr>
    </w:p>
    <w:p w14:paraId="17C4E4EE">
      <w:pPr>
        <w:jc w:val="center"/>
        <w:rPr>
          <w:rFonts w:hint="default" w:eastAsia="宋体"/>
          <w:sz w:val="32"/>
          <w:szCs w:val="32"/>
          <w:lang w:val="en-US" w:eastAsia="zh-CN"/>
        </w:rPr>
      </w:pPr>
      <w:r>
        <w:rPr>
          <w:rFonts w:hint="eastAsia"/>
          <w:sz w:val="32"/>
          <w:szCs w:val="32"/>
        </w:rPr>
        <w:t>20</w:t>
      </w:r>
      <w:r>
        <w:rPr>
          <w:sz w:val="32"/>
          <w:szCs w:val="32"/>
        </w:rPr>
        <w:t>2</w:t>
      </w:r>
      <w:r>
        <w:rPr>
          <w:rFonts w:hint="eastAsia"/>
          <w:sz w:val="32"/>
          <w:szCs w:val="32"/>
          <w:lang w:val="en-US" w:eastAsia="zh-CN"/>
        </w:rPr>
        <w:t>6</w:t>
      </w:r>
      <w:r>
        <w:rPr>
          <w:rFonts w:hint="eastAsia"/>
          <w:sz w:val="32"/>
          <w:szCs w:val="32"/>
        </w:rPr>
        <w:t>-</w:t>
      </w:r>
      <w:r>
        <w:rPr>
          <w:sz w:val="32"/>
          <w:szCs w:val="32"/>
        </w:rPr>
        <w:t>0</w:t>
      </w:r>
      <w:r>
        <w:rPr>
          <w:rFonts w:hint="eastAsia"/>
          <w:sz w:val="32"/>
          <w:szCs w:val="32"/>
          <w:lang w:val="en-US" w:eastAsia="zh-CN"/>
        </w:rPr>
        <w:t>3</w:t>
      </w:r>
      <w:r>
        <w:rPr>
          <w:rFonts w:hint="eastAsia"/>
          <w:sz w:val="32"/>
          <w:szCs w:val="32"/>
        </w:rPr>
        <w:t>-</w:t>
      </w:r>
      <w:r>
        <w:rPr>
          <w:rFonts w:hint="eastAsia"/>
          <w:sz w:val="32"/>
          <w:szCs w:val="32"/>
          <w:lang w:val="en-US" w:eastAsia="zh-CN"/>
        </w:rPr>
        <w:t>10</w:t>
      </w:r>
    </w:p>
    <w:p w14:paraId="3105D2E2">
      <w:pPr>
        <w:rPr>
          <w:rFonts w:hint="eastAsia"/>
        </w:rPr>
      </w:pPr>
    </w:p>
    <w:p w14:paraId="4166B958"/>
    <w:p w14:paraId="4C0D2F9E"/>
    <w:p w14:paraId="3B9680AF">
      <w:pPr>
        <w:rPr>
          <w:rFonts w:hint="eastAsia"/>
        </w:rPr>
      </w:pPr>
    </w:p>
    <w:p w14:paraId="477B4804"/>
    <w:p w14:paraId="64BB051A">
      <w:pPr>
        <w:rPr>
          <w:rFonts w:hint="eastAsia"/>
        </w:rPr>
      </w:pPr>
    </w:p>
    <w:p w14:paraId="47F1A6B2">
      <w:pPr>
        <w:jc w:val="center"/>
        <w:rPr>
          <w:rFonts w:ascii="宋体" w:hAnsi="宋体"/>
          <w:b/>
          <w:sz w:val="28"/>
          <w:szCs w:val="28"/>
        </w:rPr>
      </w:pPr>
    </w:p>
    <w:p w14:paraId="376DEAB1">
      <w:pPr>
        <w:jc w:val="center"/>
        <w:rPr>
          <w:rFonts w:hint="eastAsia" w:ascii="宋体" w:hAnsi="宋体"/>
          <w:b/>
          <w:sz w:val="36"/>
          <w:szCs w:val="28"/>
        </w:rPr>
      </w:pPr>
    </w:p>
    <w:p w14:paraId="194DFE7C">
      <w:pPr>
        <w:jc w:val="center"/>
        <w:rPr>
          <w:rFonts w:ascii="宋体" w:hAnsi="宋体"/>
          <w:b/>
          <w:sz w:val="36"/>
          <w:szCs w:val="28"/>
        </w:rPr>
      </w:pPr>
      <w:r>
        <w:rPr>
          <w:rFonts w:hint="eastAsia" w:ascii="宋体" w:hAnsi="宋体"/>
          <w:b/>
          <w:sz w:val="36"/>
          <w:szCs w:val="28"/>
        </w:rPr>
        <w:t>机械加工部YN-X079-C2两个动力头更换</w:t>
      </w:r>
      <w:r>
        <w:rPr>
          <w:rFonts w:hint="eastAsia" w:ascii="宋体" w:hAnsi="宋体"/>
          <w:b/>
          <w:sz w:val="36"/>
          <w:szCs w:val="28"/>
          <w:lang w:val="en-US" w:eastAsia="zh-CN"/>
        </w:rPr>
        <w:t>项修</w:t>
      </w:r>
      <w:r>
        <w:rPr>
          <w:rFonts w:hint="eastAsia" w:ascii="宋体" w:hAnsi="宋体"/>
          <w:b/>
          <w:sz w:val="36"/>
          <w:szCs w:val="28"/>
        </w:rPr>
        <w:t>项目技术协议</w:t>
      </w:r>
    </w:p>
    <w:p w14:paraId="4C8E1489">
      <w:pPr>
        <w:jc w:val="center"/>
        <w:rPr>
          <w:rFonts w:hint="eastAsia" w:ascii="宋体" w:hAnsi="宋体"/>
          <w:b/>
          <w:sz w:val="28"/>
          <w:szCs w:val="28"/>
        </w:rPr>
      </w:pPr>
    </w:p>
    <w:p w14:paraId="2E51E3FA">
      <w:pPr>
        <w:adjustRightInd w:val="0"/>
        <w:snapToGrid w:val="0"/>
        <w:spacing w:line="360" w:lineRule="auto"/>
        <w:ind w:firstLine="480" w:firstLineChars="200"/>
        <w:rPr>
          <w:rFonts w:hint="eastAsia" w:ascii="宋体" w:hAnsi="宋体"/>
          <w:sz w:val="24"/>
        </w:rPr>
      </w:pPr>
      <w:r>
        <w:rPr>
          <w:rFonts w:hint="eastAsia" w:ascii="宋体" w:hAnsi="宋体"/>
          <w:sz w:val="24"/>
        </w:rPr>
        <w:t>中国重汽集团杭州发动机有限公司（以下简称甲方）与_</w:t>
      </w:r>
      <w:r>
        <w:rPr>
          <w:rFonts w:ascii="宋体" w:hAnsi="宋体"/>
          <w:sz w:val="24"/>
        </w:rPr>
        <w:t>________________</w:t>
      </w:r>
      <w:r>
        <w:rPr>
          <w:rFonts w:hint="eastAsia" w:ascii="宋体" w:hAnsi="宋体"/>
          <w:sz w:val="24"/>
        </w:rPr>
        <w:t>（以下简称乙方）双方就甲方现有的</w:t>
      </w:r>
      <w:r>
        <w:rPr>
          <w:rFonts w:hint="eastAsia" w:ascii="宋体" w:hAnsi="宋体"/>
          <w:sz w:val="24"/>
          <w:lang w:val="en-US" w:eastAsia="zh-CN"/>
        </w:rPr>
        <w:t>615缸体线YN-X079-C2的2个镗头、2副Y轴滑台、1副X轴滑台、2套拉镗补偿机构</w:t>
      </w:r>
      <w:r>
        <w:rPr>
          <w:rFonts w:hint="eastAsia" w:ascii="宋体" w:hAnsi="宋体"/>
          <w:sz w:val="24"/>
        </w:rPr>
        <w:t>进行</w:t>
      </w:r>
      <w:r>
        <w:rPr>
          <w:rFonts w:hint="eastAsia" w:ascii="宋体" w:hAnsi="宋体"/>
          <w:sz w:val="24"/>
          <w:lang w:val="en-US" w:eastAsia="zh-CN"/>
        </w:rPr>
        <w:t>维修、更换</w:t>
      </w:r>
      <w:r>
        <w:rPr>
          <w:rFonts w:hint="eastAsia" w:ascii="宋体" w:hAnsi="宋体"/>
          <w:sz w:val="24"/>
        </w:rPr>
        <w:t>，</w:t>
      </w:r>
      <w:r>
        <w:rPr>
          <w:rFonts w:hint="eastAsia" w:ascii="宋体" w:hAnsi="宋体"/>
          <w:sz w:val="24"/>
          <w:lang w:val="en-US" w:eastAsia="zh-CN"/>
        </w:rPr>
        <w:t>解决</w:t>
      </w:r>
      <w:r>
        <w:rPr>
          <w:rFonts w:hint="eastAsia" w:ascii="宋体" w:hAnsi="宋体"/>
          <w:sz w:val="24"/>
        </w:rPr>
        <w:t>缸孔垂直度超差情况，主要内容为</w:t>
      </w:r>
      <w:r>
        <w:rPr>
          <w:rFonts w:hint="eastAsia" w:ascii="宋体" w:hAnsi="宋体"/>
          <w:sz w:val="24"/>
          <w:lang w:val="en-US" w:eastAsia="zh-CN"/>
        </w:rPr>
        <w:t>YN-X079-C2的2个镗头进行大修，2副Y轴滑台、1副X轴滑台、2套拉镗补偿机构</w:t>
      </w:r>
      <w:r>
        <w:rPr>
          <w:rFonts w:hint="eastAsia" w:ascii="宋体" w:hAnsi="宋体"/>
          <w:sz w:val="24"/>
        </w:rPr>
        <w:t>进行</w:t>
      </w:r>
      <w:r>
        <w:rPr>
          <w:rFonts w:hint="eastAsia" w:ascii="宋体" w:hAnsi="宋体"/>
          <w:sz w:val="24"/>
          <w:lang w:val="en-US" w:eastAsia="zh-CN"/>
        </w:rPr>
        <w:t>制作更换</w:t>
      </w:r>
      <w:r>
        <w:rPr>
          <w:rFonts w:hint="eastAsia" w:ascii="宋体" w:hAnsi="宋体" w:eastAsia="宋体" w:cs="Times New Roman"/>
          <w:sz w:val="24"/>
          <w:lang w:eastAsia="zh-CN"/>
        </w:rPr>
        <w:t>，</w:t>
      </w:r>
      <w:r>
        <w:rPr>
          <w:rFonts w:hint="eastAsia" w:ascii="宋体" w:hAnsi="宋体" w:eastAsia="宋体" w:cs="Times New Roman"/>
          <w:sz w:val="24"/>
        </w:rPr>
        <w:t>安装完成后对设备进行调整，恢复设备原先的精度。</w:t>
      </w:r>
      <w:r>
        <w:rPr>
          <w:rFonts w:hint="eastAsia" w:ascii="宋体" w:hAnsi="宋体"/>
          <w:sz w:val="24"/>
        </w:rPr>
        <w:t>经充分协商，现对维修内容及技术要求达成如下协议：</w:t>
      </w:r>
    </w:p>
    <w:p w14:paraId="2969B805">
      <w:pPr>
        <w:spacing w:line="360" w:lineRule="auto"/>
        <w:jc w:val="center"/>
        <w:rPr>
          <w:rFonts w:ascii="黑体" w:hAnsi="Courier New" w:eastAsia="黑体"/>
          <w:sz w:val="28"/>
          <w:szCs w:val="32"/>
        </w:rPr>
      </w:pPr>
      <w:r>
        <w:rPr>
          <w:rFonts w:hint="eastAsia" w:ascii="黑体" w:hAnsi="Courier New" w:eastAsia="黑体"/>
          <w:b/>
          <w:sz w:val="28"/>
          <w:szCs w:val="32"/>
        </w:rPr>
        <w:t>第一节  使用环境</w:t>
      </w:r>
    </w:p>
    <w:p w14:paraId="7721C242">
      <w:pPr>
        <w:rPr>
          <w:rFonts w:ascii="宋体" w:hAnsi="宋体"/>
          <w:sz w:val="24"/>
          <w:szCs w:val="21"/>
        </w:rPr>
      </w:pPr>
      <w:r>
        <w:rPr>
          <w:rFonts w:hint="eastAsia" w:ascii="宋体" w:hAnsi="宋体"/>
          <w:b/>
          <w:sz w:val="24"/>
          <w:szCs w:val="21"/>
        </w:rPr>
        <w:t>一、项目名称：</w:t>
      </w:r>
      <w:r>
        <w:rPr>
          <w:rFonts w:hint="eastAsia" w:ascii="宋体" w:hAnsi="宋体"/>
          <w:szCs w:val="21"/>
        </w:rPr>
        <w:t xml:space="preserve"> </w:t>
      </w:r>
      <w:r>
        <w:rPr>
          <w:rFonts w:hint="eastAsia" w:ascii="宋体" w:hAnsi="宋体"/>
          <w:sz w:val="24"/>
          <w:szCs w:val="24"/>
        </w:rPr>
        <w:t>机械加工部YN-X079-C2两个动力头更换</w:t>
      </w:r>
      <w:r>
        <w:rPr>
          <w:rFonts w:hint="eastAsia" w:ascii="宋体" w:hAnsi="宋体"/>
          <w:sz w:val="24"/>
          <w:szCs w:val="24"/>
          <w:lang w:val="en-US" w:eastAsia="zh-CN"/>
        </w:rPr>
        <w:t>项修</w:t>
      </w:r>
      <w:r>
        <w:rPr>
          <w:rFonts w:hint="eastAsia" w:ascii="宋体" w:hAnsi="宋体"/>
          <w:sz w:val="24"/>
          <w:szCs w:val="24"/>
        </w:rPr>
        <w:t>项目</w:t>
      </w:r>
    </w:p>
    <w:p w14:paraId="6AEDCDEA">
      <w:pPr>
        <w:spacing w:line="360" w:lineRule="auto"/>
        <w:jc w:val="left"/>
        <w:rPr>
          <w:rFonts w:ascii="宋体" w:hAnsi="宋体"/>
          <w:sz w:val="24"/>
          <w:szCs w:val="21"/>
        </w:rPr>
      </w:pPr>
      <w:r>
        <w:rPr>
          <w:rFonts w:hint="eastAsia" w:ascii="宋体" w:hAnsi="宋体"/>
          <w:b/>
          <w:sz w:val="24"/>
          <w:szCs w:val="21"/>
        </w:rPr>
        <w:t xml:space="preserve">二、建设地点： </w:t>
      </w:r>
      <w:r>
        <w:rPr>
          <w:rFonts w:hint="eastAsia" w:ascii="宋体" w:hAnsi="宋体"/>
          <w:sz w:val="24"/>
          <w:szCs w:val="21"/>
        </w:rPr>
        <w:t>杭州市萧山经济技术开发区红垦农场红泰六路699号</w:t>
      </w:r>
    </w:p>
    <w:p w14:paraId="57533528">
      <w:pPr>
        <w:spacing w:line="360" w:lineRule="auto"/>
        <w:jc w:val="left"/>
        <w:rPr>
          <w:rFonts w:ascii="宋体" w:hAnsi="宋体"/>
          <w:sz w:val="24"/>
          <w:szCs w:val="21"/>
        </w:rPr>
      </w:pPr>
      <w:r>
        <w:rPr>
          <w:rFonts w:hint="eastAsia" w:ascii="宋体" w:hAnsi="宋体"/>
          <w:b/>
          <w:sz w:val="24"/>
          <w:szCs w:val="21"/>
        </w:rPr>
        <w:t>三、使用地点：</w:t>
      </w:r>
      <w:r>
        <w:rPr>
          <w:rFonts w:hint="eastAsia" w:ascii="宋体" w:hAnsi="宋体"/>
          <w:sz w:val="24"/>
          <w:szCs w:val="21"/>
        </w:rPr>
        <w:t>中国重汽集团杭州发动机有限公司</w:t>
      </w:r>
    </w:p>
    <w:p w14:paraId="735FB436">
      <w:pPr>
        <w:spacing w:line="360" w:lineRule="auto"/>
        <w:jc w:val="left"/>
        <w:rPr>
          <w:rFonts w:ascii="宋体" w:hAnsi="宋体"/>
          <w:sz w:val="24"/>
          <w:szCs w:val="21"/>
        </w:rPr>
      </w:pPr>
      <w:r>
        <w:rPr>
          <w:rFonts w:hint="eastAsia" w:ascii="宋体" w:hAnsi="宋体"/>
          <w:b/>
          <w:sz w:val="24"/>
          <w:szCs w:val="21"/>
        </w:rPr>
        <w:t>四、工作制度：</w:t>
      </w:r>
      <w:r>
        <w:rPr>
          <w:rFonts w:hint="eastAsia"/>
          <w:sz w:val="24"/>
        </w:rPr>
        <w:t>全年工作</w:t>
      </w:r>
      <w:r>
        <w:rPr>
          <w:rFonts w:hint="eastAsia"/>
          <w:sz w:val="24"/>
          <w:u w:val="single"/>
        </w:rPr>
        <w:t>300</w:t>
      </w:r>
      <w:r>
        <w:rPr>
          <w:rFonts w:hint="eastAsia"/>
          <w:sz w:val="24"/>
        </w:rPr>
        <w:t>天、</w:t>
      </w:r>
      <w:r>
        <w:rPr>
          <w:sz w:val="24"/>
          <w:u w:val="single"/>
        </w:rPr>
        <w:t>2</w:t>
      </w:r>
      <w:r>
        <w:rPr>
          <w:rFonts w:hint="eastAsia"/>
          <w:sz w:val="24"/>
        </w:rPr>
        <w:t>班工作制。</w:t>
      </w:r>
    </w:p>
    <w:p w14:paraId="7BBCDF22">
      <w:pPr>
        <w:spacing w:line="360" w:lineRule="auto"/>
        <w:jc w:val="left"/>
        <w:rPr>
          <w:rFonts w:ascii="宋体" w:hAnsi="宋体"/>
          <w:b/>
          <w:sz w:val="24"/>
          <w:szCs w:val="21"/>
        </w:rPr>
      </w:pPr>
      <w:r>
        <w:rPr>
          <w:rFonts w:hint="eastAsia" w:ascii="宋体" w:hAnsi="宋体"/>
          <w:b/>
          <w:sz w:val="24"/>
          <w:szCs w:val="21"/>
        </w:rPr>
        <w:t xml:space="preserve">五、 使用地点区域自然环境： </w:t>
      </w:r>
    </w:p>
    <w:p w14:paraId="7935B017">
      <w:pPr>
        <w:spacing w:line="360" w:lineRule="auto"/>
        <w:jc w:val="left"/>
        <w:rPr>
          <w:rFonts w:ascii="宋体" w:hAnsi="宋体"/>
          <w:sz w:val="24"/>
          <w:szCs w:val="21"/>
        </w:rPr>
      </w:pPr>
      <w:r>
        <w:rPr>
          <w:rFonts w:hint="eastAsia" w:ascii="宋体" w:hAnsi="宋体"/>
          <w:sz w:val="24"/>
          <w:szCs w:val="21"/>
        </w:rPr>
        <w:t>1.海拨高度：1000m以下。</w:t>
      </w:r>
    </w:p>
    <w:p w14:paraId="7D0BCC21">
      <w:pPr>
        <w:spacing w:line="360" w:lineRule="auto"/>
        <w:jc w:val="left"/>
        <w:rPr>
          <w:rFonts w:ascii="宋体" w:hAnsi="宋体"/>
          <w:sz w:val="24"/>
          <w:szCs w:val="21"/>
        </w:rPr>
      </w:pPr>
      <w:r>
        <w:rPr>
          <w:rFonts w:hint="eastAsia" w:ascii="宋体" w:hAnsi="宋体"/>
          <w:sz w:val="24"/>
          <w:szCs w:val="21"/>
        </w:rPr>
        <w:t>2．环境温度：室外极端最低温度-10℃、极端最高温度45℃，昼夜最大温差25℃；室内温度0～45℃。</w:t>
      </w:r>
    </w:p>
    <w:p w14:paraId="3DC6214F">
      <w:pPr>
        <w:spacing w:line="360" w:lineRule="auto"/>
        <w:jc w:val="left"/>
        <w:rPr>
          <w:rFonts w:ascii="宋体" w:hAnsi="宋体"/>
          <w:sz w:val="24"/>
          <w:szCs w:val="21"/>
        </w:rPr>
      </w:pPr>
      <w:r>
        <w:rPr>
          <w:rFonts w:hint="eastAsia" w:ascii="宋体" w:hAnsi="宋体"/>
          <w:sz w:val="24"/>
          <w:szCs w:val="21"/>
        </w:rPr>
        <w:t>3．相对湿度：年平均59%，最大95%、最小15%。</w:t>
      </w:r>
    </w:p>
    <w:p w14:paraId="60E9D50A">
      <w:pPr>
        <w:spacing w:line="360" w:lineRule="auto"/>
        <w:jc w:val="left"/>
        <w:rPr>
          <w:rFonts w:ascii="宋体" w:hAnsi="宋体"/>
          <w:b/>
          <w:sz w:val="24"/>
          <w:szCs w:val="21"/>
        </w:rPr>
      </w:pPr>
      <w:r>
        <w:rPr>
          <w:rFonts w:hint="eastAsia" w:ascii="宋体" w:hAnsi="宋体"/>
          <w:b/>
          <w:sz w:val="24"/>
          <w:szCs w:val="21"/>
        </w:rPr>
        <w:t xml:space="preserve">六、能源环境： </w:t>
      </w:r>
    </w:p>
    <w:p w14:paraId="45960D69">
      <w:pPr>
        <w:spacing w:line="360" w:lineRule="auto"/>
        <w:jc w:val="left"/>
        <w:rPr>
          <w:rFonts w:ascii="宋体" w:hAnsi="宋体"/>
          <w:sz w:val="24"/>
          <w:szCs w:val="21"/>
        </w:rPr>
      </w:pPr>
      <w:r>
        <w:rPr>
          <w:rFonts w:hint="eastAsia" w:ascii="宋体" w:hAnsi="宋体"/>
          <w:sz w:val="24"/>
          <w:szCs w:val="21"/>
        </w:rPr>
        <w:t>1．电力：中国制式，</w:t>
      </w:r>
      <w:r>
        <w:rPr>
          <w:rFonts w:hint="eastAsia"/>
          <w:sz w:val="24"/>
        </w:rPr>
        <w:t>三相五线制，</w:t>
      </w:r>
      <w:r>
        <w:rPr>
          <w:rFonts w:hint="eastAsia" w:ascii="宋体" w:hAnsi="宋体"/>
          <w:sz w:val="24"/>
          <w:szCs w:val="21"/>
        </w:rPr>
        <w:t>供电电压380V±15%/220V±15%，供电频率50Hz±2%。</w:t>
      </w:r>
    </w:p>
    <w:p w14:paraId="62C86419">
      <w:pPr>
        <w:spacing w:line="360" w:lineRule="auto"/>
        <w:jc w:val="left"/>
        <w:rPr>
          <w:rFonts w:ascii="宋体" w:hAnsi="宋体"/>
          <w:sz w:val="24"/>
          <w:szCs w:val="21"/>
        </w:rPr>
      </w:pPr>
      <w:r>
        <w:rPr>
          <w:rFonts w:hint="eastAsia" w:ascii="宋体" w:hAnsi="宋体"/>
          <w:sz w:val="24"/>
          <w:szCs w:val="21"/>
        </w:rPr>
        <w:t>2．给水：市政自来水。</w:t>
      </w:r>
    </w:p>
    <w:p w14:paraId="27A80A9A">
      <w:pPr>
        <w:spacing w:line="360" w:lineRule="auto"/>
        <w:jc w:val="left"/>
        <w:rPr>
          <w:rFonts w:hint="eastAsia" w:ascii="宋体" w:hAnsi="宋体"/>
          <w:sz w:val="24"/>
          <w:szCs w:val="21"/>
        </w:rPr>
      </w:pPr>
      <w:r>
        <w:rPr>
          <w:rFonts w:hint="eastAsia" w:ascii="宋体" w:hAnsi="宋体"/>
          <w:sz w:val="24"/>
          <w:szCs w:val="21"/>
        </w:rPr>
        <w:t>3.</w:t>
      </w:r>
      <w:r>
        <w:rPr>
          <w:rFonts w:hint="eastAsia"/>
          <w:sz w:val="24"/>
        </w:rPr>
        <w:t>压缩空气：</w:t>
      </w:r>
      <w:r>
        <w:rPr>
          <w:rFonts w:hint="eastAsia" w:ascii="宋体" w:hAnsi="宋体"/>
          <w:sz w:val="24"/>
          <w:szCs w:val="21"/>
        </w:rPr>
        <w:t>0.</w:t>
      </w:r>
      <w:r>
        <w:rPr>
          <w:rFonts w:ascii="宋体" w:hAnsi="宋体"/>
          <w:sz w:val="24"/>
          <w:szCs w:val="21"/>
        </w:rPr>
        <w:t>4</w:t>
      </w:r>
      <w:r>
        <w:rPr>
          <w:rFonts w:hint="eastAsia" w:ascii="宋体" w:hAnsi="宋体"/>
          <w:sz w:val="24"/>
          <w:szCs w:val="21"/>
        </w:rPr>
        <w:t xml:space="preserve"> MPa～0.</w:t>
      </w:r>
      <w:r>
        <w:rPr>
          <w:rFonts w:ascii="宋体" w:hAnsi="宋体"/>
          <w:sz w:val="24"/>
          <w:szCs w:val="21"/>
        </w:rPr>
        <w:t>8</w:t>
      </w:r>
      <w:r>
        <w:rPr>
          <w:rFonts w:hint="eastAsia" w:ascii="宋体" w:hAnsi="宋体"/>
          <w:sz w:val="24"/>
          <w:szCs w:val="21"/>
        </w:rPr>
        <w:t xml:space="preserve"> MPa。</w:t>
      </w:r>
    </w:p>
    <w:p w14:paraId="3F2CB830">
      <w:pPr>
        <w:spacing w:line="360" w:lineRule="auto"/>
        <w:jc w:val="center"/>
        <w:rPr>
          <w:rFonts w:ascii="黑体" w:hAnsi="Courier New" w:eastAsia="黑体"/>
          <w:b/>
          <w:sz w:val="28"/>
          <w:szCs w:val="32"/>
        </w:rPr>
      </w:pPr>
      <w:r>
        <w:rPr>
          <w:rFonts w:hint="eastAsia" w:ascii="黑体" w:hAnsi="Courier New" w:eastAsia="黑体"/>
          <w:b/>
          <w:sz w:val="28"/>
          <w:szCs w:val="32"/>
        </w:rPr>
        <w:t>第二节  项目概况</w:t>
      </w:r>
    </w:p>
    <w:p w14:paraId="7410CC2A">
      <w:pPr>
        <w:spacing w:line="360" w:lineRule="auto"/>
        <w:rPr>
          <w:rFonts w:ascii="宋体" w:hAnsi="宋体"/>
          <w:szCs w:val="21"/>
        </w:rPr>
      </w:pPr>
      <w:r>
        <w:rPr>
          <w:rFonts w:hint="eastAsia" w:ascii="宋体" w:hAnsi="宋体"/>
          <w:b/>
          <w:sz w:val="24"/>
          <w:szCs w:val="21"/>
        </w:rPr>
        <w:t>一、项目名称：</w:t>
      </w:r>
      <w:r>
        <w:rPr>
          <w:rFonts w:hint="eastAsia" w:ascii="宋体" w:hAnsi="宋体"/>
          <w:b w:val="0"/>
          <w:bCs/>
          <w:sz w:val="24"/>
          <w:szCs w:val="21"/>
        </w:rPr>
        <w:t>机械加工部YN-X079-C2两个动力头更换项目</w:t>
      </w:r>
    </w:p>
    <w:p w14:paraId="628F6365">
      <w:pPr>
        <w:spacing w:line="360" w:lineRule="auto"/>
        <w:rPr>
          <w:rFonts w:ascii="宋体" w:hAnsi="宋体"/>
          <w:b/>
          <w:sz w:val="24"/>
          <w:szCs w:val="21"/>
        </w:rPr>
      </w:pPr>
      <w:r>
        <w:rPr>
          <w:rFonts w:hint="eastAsia" w:ascii="宋体" w:hAnsi="宋体"/>
          <w:b/>
          <w:sz w:val="24"/>
          <w:szCs w:val="21"/>
        </w:rPr>
        <w:t>二、项目整体需求：</w:t>
      </w:r>
    </w:p>
    <w:p w14:paraId="2EB405DF">
      <w:pPr>
        <w:spacing w:line="360" w:lineRule="auto"/>
        <w:ind w:firstLine="480" w:firstLineChars="200"/>
        <w:rPr>
          <w:rFonts w:hint="eastAsia" w:ascii="宋体" w:hAnsi="宋体"/>
          <w:sz w:val="24"/>
          <w:szCs w:val="21"/>
        </w:rPr>
      </w:pPr>
      <w:r>
        <w:rPr>
          <w:rFonts w:hint="eastAsia" w:ascii="宋体" w:hAnsi="宋体"/>
          <w:color w:val="000000"/>
          <w:sz w:val="24"/>
          <w:szCs w:val="21"/>
        </w:rPr>
        <w:t>2.1对甲方现有</w:t>
      </w:r>
      <w:r>
        <w:rPr>
          <w:rFonts w:hint="eastAsia" w:ascii="宋体" w:hAnsi="宋体"/>
          <w:color w:val="000000"/>
          <w:sz w:val="24"/>
          <w:szCs w:val="21"/>
          <w:lang w:val="en-US" w:eastAsia="zh-CN"/>
        </w:rPr>
        <w:t>的</w:t>
      </w:r>
      <w:r>
        <w:rPr>
          <w:rFonts w:hint="eastAsia" w:ascii="宋体" w:hAnsi="宋体"/>
          <w:sz w:val="24"/>
          <w:lang w:val="en-US" w:eastAsia="zh-CN"/>
        </w:rPr>
        <w:t>YN-X0094机床上</w:t>
      </w:r>
      <w:r>
        <w:rPr>
          <w:rFonts w:hint="eastAsia" w:ascii="宋体" w:hAnsi="宋体" w:eastAsia="宋体" w:cs="Times New Roman"/>
          <w:sz w:val="24"/>
          <w:lang w:val="en-US" w:eastAsia="zh-CN"/>
        </w:rPr>
        <w:t>两个镗头</w:t>
      </w:r>
      <w:r>
        <w:rPr>
          <w:rFonts w:hint="eastAsia" w:ascii="宋体" w:hAnsi="宋体"/>
          <w:sz w:val="24"/>
          <w:lang w:val="en-US" w:eastAsia="zh-CN"/>
        </w:rPr>
        <w:t>进行大修改造</w:t>
      </w:r>
      <w:r>
        <w:rPr>
          <w:rFonts w:hint="eastAsia" w:ascii="宋体" w:hAnsi="宋体"/>
          <w:color w:val="000000"/>
          <w:sz w:val="24"/>
          <w:szCs w:val="21"/>
        </w:rPr>
        <w:t>，</w:t>
      </w:r>
      <w:r>
        <w:rPr>
          <w:rFonts w:hint="eastAsia" w:ascii="宋体" w:hAnsi="宋体"/>
          <w:sz w:val="24"/>
          <w:lang w:val="en-US" w:eastAsia="zh-CN"/>
        </w:rPr>
        <w:t>大修改造</w:t>
      </w:r>
      <w:r>
        <w:rPr>
          <w:rFonts w:hint="eastAsia" w:ascii="宋体" w:hAnsi="宋体"/>
          <w:color w:val="000000"/>
          <w:sz w:val="24"/>
          <w:szCs w:val="21"/>
        </w:rPr>
        <w:t>后</w:t>
      </w:r>
      <w:r>
        <w:rPr>
          <w:rFonts w:hint="eastAsia" w:ascii="宋体" w:hAnsi="宋体" w:eastAsia="宋体" w:cs="Times New Roman"/>
          <w:sz w:val="24"/>
          <w:lang w:val="en-US" w:eastAsia="zh-CN"/>
        </w:rPr>
        <w:t>两个镗头</w:t>
      </w:r>
      <w:r>
        <w:rPr>
          <w:rFonts w:hint="eastAsia" w:ascii="宋体" w:hAnsi="宋体"/>
          <w:color w:val="000000"/>
          <w:sz w:val="24"/>
          <w:szCs w:val="21"/>
        </w:rPr>
        <w:t>能够与</w:t>
      </w:r>
      <w:r>
        <w:rPr>
          <w:rFonts w:hint="eastAsia" w:ascii="宋体" w:hAnsi="宋体"/>
          <w:color w:val="000000"/>
          <w:sz w:val="24"/>
          <w:szCs w:val="21"/>
          <w:lang w:val="en-US" w:eastAsia="zh-CN"/>
        </w:rPr>
        <w:t>YN-X079-C2</w:t>
      </w:r>
      <w:r>
        <w:rPr>
          <w:rFonts w:hint="eastAsia" w:ascii="宋体" w:hAnsi="宋体"/>
          <w:color w:val="000000"/>
          <w:sz w:val="24"/>
          <w:szCs w:val="21"/>
        </w:rPr>
        <w:t>机床</w:t>
      </w:r>
      <w:r>
        <w:rPr>
          <w:rFonts w:hint="eastAsia" w:ascii="宋体" w:hAnsi="宋体"/>
          <w:color w:val="000000"/>
          <w:sz w:val="24"/>
          <w:szCs w:val="21"/>
          <w:lang w:val="en-US" w:eastAsia="zh-CN"/>
        </w:rPr>
        <w:t>能够</w:t>
      </w:r>
      <w:r>
        <w:rPr>
          <w:rFonts w:hint="eastAsia" w:ascii="宋体" w:hAnsi="宋体"/>
          <w:color w:val="000000"/>
          <w:sz w:val="24"/>
          <w:szCs w:val="21"/>
        </w:rPr>
        <w:t>兼容匹配，</w:t>
      </w:r>
      <w:r>
        <w:rPr>
          <w:rFonts w:hint="eastAsia" w:ascii="宋体" w:hAnsi="宋体"/>
          <w:color w:val="000000"/>
          <w:sz w:val="24"/>
          <w:szCs w:val="21"/>
          <w:lang w:val="en-US" w:eastAsia="zh-CN"/>
        </w:rPr>
        <w:t>重新制作2副Y轴滑台、1副X轴滑台、2套拉镗补偿机构。要求在大修改造后，加工时无异响抖动、过载报警，满足该工序的加工工艺要求，加工节拍不低于现有节拍</w:t>
      </w:r>
      <w:r>
        <w:rPr>
          <w:rFonts w:hint="eastAsia" w:ascii="宋体" w:hAnsi="宋体"/>
          <w:sz w:val="24"/>
          <w:szCs w:val="21"/>
        </w:rPr>
        <w:t>。</w:t>
      </w:r>
    </w:p>
    <w:p w14:paraId="76C048D2">
      <w:pPr>
        <w:spacing w:line="360" w:lineRule="auto"/>
        <w:ind w:firstLine="480" w:firstLineChars="200"/>
        <w:rPr>
          <w:rFonts w:ascii="宋体" w:hAnsi="宋体"/>
          <w:sz w:val="24"/>
          <w:szCs w:val="21"/>
        </w:rPr>
      </w:pPr>
      <w:r>
        <w:rPr>
          <w:rFonts w:hint="eastAsia" w:ascii="宋体" w:hAnsi="宋体"/>
          <w:sz w:val="24"/>
          <w:szCs w:val="21"/>
        </w:rPr>
        <w:t>2.2供货地点：本项目建设场地。</w:t>
      </w:r>
    </w:p>
    <w:p w14:paraId="45E5AAA4">
      <w:pPr>
        <w:spacing w:line="360" w:lineRule="auto"/>
        <w:ind w:firstLine="480" w:firstLineChars="200"/>
        <w:rPr>
          <w:rFonts w:ascii="宋体" w:hAnsi="宋体"/>
          <w:sz w:val="24"/>
          <w:szCs w:val="21"/>
        </w:rPr>
      </w:pPr>
      <w:r>
        <w:rPr>
          <w:rFonts w:hint="eastAsia" w:ascii="宋体" w:hAnsi="宋体"/>
          <w:sz w:val="24"/>
          <w:szCs w:val="21"/>
        </w:rPr>
        <w:t>2.3供货时间：本项目由乙方负责，包括设计、制造、运输、卸货、拆箱、就位、安装、调试、培训、陪产、售后等一揽子为交钥匙工程，于2</w:t>
      </w:r>
      <w:r>
        <w:rPr>
          <w:rFonts w:ascii="宋体" w:hAnsi="宋体"/>
          <w:sz w:val="24"/>
          <w:szCs w:val="21"/>
        </w:rPr>
        <w:t>02</w:t>
      </w:r>
      <w:r>
        <w:rPr>
          <w:rFonts w:hint="eastAsia" w:ascii="宋体" w:hAnsi="宋体"/>
          <w:sz w:val="24"/>
          <w:szCs w:val="21"/>
          <w:lang w:val="en-US" w:eastAsia="zh-CN"/>
        </w:rPr>
        <w:t>6</w:t>
      </w:r>
      <w:r>
        <w:rPr>
          <w:rFonts w:ascii="宋体" w:hAnsi="宋体"/>
          <w:sz w:val="24"/>
          <w:szCs w:val="21"/>
        </w:rPr>
        <w:t>年</w:t>
      </w:r>
      <w:r>
        <w:rPr>
          <w:rFonts w:hint="eastAsia" w:ascii="宋体" w:hAnsi="宋体"/>
          <w:sz w:val="24"/>
          <w:szCs w:val="21"/>
          <w:lang w:val="en-US" w:eastAsia="zh-CN"/>
        </w:rPr>
        <w:t>11</w:t>
      </w:r>
      <w:r>
        <w:rPr>
          <w:rFonts w:hint="eastAsia" w:ascii="宋体" w:hAnsi="宋体"/>
          <w:sz w:val="24"/>
          <w:szCs w:val="21"/>
        </w:rPr>
        <w:t>月</w:t>
      </w:r>
      <w:r>
        <w:rPr>
          <w:rFonts w:hint="eastAsia" w:ascii="宋体" w:hAnsi="宋体"/>
          <w:sz w:val="24"/>
          <w:szCs w:val="21"/>
          <w:lang w:val="en-US" w:eastAsia="zh-CN"/>
        </w:rPr>
        <w:t>30</w:t>
      </w:r>
      <w:r>
        <w:rPr>
          <w:rFonts w:hint="eastAsia" w:ascii="宋体" w:hAnsi="宋体"/>
          <w:sz w:val="24"/>
          <w:szCs w:val="21"/>
        </w:rPr>
        <w:t>日前完成安装、调试，交付甲方使用。</w:t>
      </w:r>
    </w:p>
    <w:p w14:paraId="0B8EEF2A">
      <w:pPr>
        <w:numPr>
          <w:ilvl w:val="0"/>
          <w:numId w:val="29"/>
        </w:numPr>
        <w:spacing w:line="360" w:lineRule="auto"/>
        <w:rPr>
          <w:rFonts w:hint="eastAsia" w:ascii="宋体" w:hAnsi="宋体"/>
          <w:b/>
          <w:sz w:val="24"/>
          <w:szCs w:val="21"/>
        </w:rPr>
      </w:pPr>
      <w:r>
        <w:rPr>
          <w:rFonts w:hint="eastAsia" w:ascii="宋体" w:hAnsi="宋体"/>
          <w:b/>
          <w:sz w:val="24"/>
          <w:szCs w:val="21"/>
        </w:rPr>
        <w:t>技术要求</w:t>
      </w:r>
    </w:p>
    <w:p w14:paraId="735A7845">
      <w:pPr>
        <w:adjustRightInd w:val="0"/>
        <w:snapToGrid w:val="0"/>
        <w:spacing w:line="360" w:lineRule="auto"/>
        <w:rPr>
          <w:rFonts w:hint="eastAsia" w:ascii="宋体" w:hAnsi="宋体"/>
          <w:color w:val="000000"/>
          <w:sz w:val="24"/>
          <w:szCs w:val="21"/>
        </w:rPr>
      </w:pPr>
      <w:r>
        <w:rPr>
          <w:rFonts w:hint="eastAsia" w:ascii="宋体" w:hAnsi="宋体"/>
          <w:sz w:val="24"/>
        </w:rPr>
        <w:t>3.1</w:t>
      </w:r>
      <w:r>
        <w:rPr>
          <w:rFonts w:hint="eastAsia" w:ascii="宋体" w:hAnsi="宋体"/>
          <w:sz w:val="24"/>
          <w:lang w:val="en-US" w:eastAsia="zh-CN"/>
        </w:rPr>
        <w:t>大修改造</w:t>
      </w:r>
      <w:r>
        <w:rPr>
          <w:rFonts w:hint="eastAsia" w:ascii="宋体" w:hAnsi="宋体"/>
          <w:color w:val="000000"/>
          <w:sz w:val="24"/>
          <w:szCs w:val="21"/>
        </w:rPr>
        <w:t>后</w:t>
      </w:r>
      <w:r>
        <w:rPr>
          <w:rFonts w:hint="eastAsia" w:ascii="宋体" w:hAnsi="宋体"/>
          <w:color w:val="000000"/>
          <w:sz w:val="24"/>
          <w:szCs w:val="21"/>
          <w:lang w:val="en-US" w:eastAsia="zh-CN"/>
        </w:rPr>
        <w:t>的镗头、新Y轴滑台、新X轴滑台、新拉镗补偿机构安装完成后</w:t>
      </w:r>
      <w:r>
        <w:rPr>
          <w:rFonts w:hint="eastAsia" w:ascii="宋体" w:hAnsi="宋体"/>
          <w:color w:val="000000"/>
          <w:sz w:val="24"/>
          <w:szCs w:val="21"/>
        </w:rPr>
        <w:t>能够与该机床兼容匹配</w:t>
      </w:r>
      <w:r>
        <w:rPr>
          <w:rFonts w:hint="eastAsia" w:ascii="宋体" w:hAnsi="宋体"/>
          <w:color w:val="000000"/>
          <w:sz w:val="24"/>
          <w:szCs w:val="21"/>
          <w:lang w:eastAsia="zh-CN"/>
        </w:rPr>
        <w:t>，</w:t>
      </w:r>
      <w:r>
        <w:rPr>
          <w:rFonts w:hint="eastAsia" w:ascii="宋体" w:hAnsi="宋体"/>
          <w:color w:val="000000"/>
          <w:sz w:val="24"/>
          <w:szCs w:val="21"/>
          <w:lang w:val="en-US" w:eastAsia="zh-CN"/>
        </w:rPr>
        <w:t>与其他部件无干涉</w:t>
      </w:r>
      <w:r>
        <w:rPr>
          <w:rFonts w:hint="eastAsia" w:ascii="宋体" w:hAnsi="宋体"/>
          <w:color w:val="000000"/>
          <w:sz w:val="24"/>
          <w:szCs w:val="21"/>
        </w:rPr>
        <w:t>；</w:t>
      </w:r>
    </w:p>
    <w:p w14:paraId="7F015BC1">
      <w:pPr>
        <w:adjustRightInd w:val="0"/>
        <w:snapToGrid w:val="0"/>
        <w:spacing w:line="360" w:lineRule="auto"/>
        <w:rPr>
          <w:rFonts w:hint="eastAsia" w:ascii="宋体" w:hAnsi="宋体"/>
          <w:color w:val="FF0000"/>
          <w:sz w:val="24"/>
        </w:rPr>
      </w:pPr>
      <w:r>
        <w:rPr>
          <w:rFonts w:hint="eastAsia" w:ascii="宋体" w:hAnsi="宋体"/>
          <w:color w:val="FF0000"/>
          <w:sz w:val="24"/>
          <w:szCs w:val="21"/>
        </w:rPr>
        <w:t>3</w:t>
      </w:r>
      <w:r>
        <w:rPr>
          <w:rFonts w:ascii="宋体" w:hAnsi="宋体"/>
          <w:color w:val="FF0000"/>
          <w:sz w:val="24"/>
          <w:szCs w:val="21"/>
        </w:rPr>
        <w:t>.2</w:t>
      </w:r>
      <w:r>
        <w:rPr>
          <w:rFonts w:hint="eastAsia" w:ascii="宋体" w:hAnsi="宋体"/>
          <w:color w:val="FF0000"/>
          <w:sz w:val="24"/>
          <w:szCs w:val="21"/>
          <w:lang w:val="en-US" w:eastAsia="zh-CN"/>
        </w:rPr>
        <w:t>需改进原涨刀机构，解决易漏液的问题</w:t>
      </w:r>
      <w:r>
        <w:rPr>
          <w:rFonts w:hint="eastAsia" w:ascii="宋体" w:hAnsi="宋体"/>
          <w:color w:val="FF0000"/>
          <w:sz w:val="24"/>
          <w:szCs w:val="21"/>
        </w:rPr>
        <w:t>；</w:t>
      </w:r>
    </w:p>
    <w:p w14:paraId="07E2C322">
      <w:pPr>
        <w:adjustRightInd w:val="0"/>
        <w:snapToGrid w:val="0"/>
        <w:spacing w:line="360" w:lineRule="auto"/>
        <w:rPr>
          <w:rFonts w:hint="eastAsia" w:ascii="宋体" w:hAnsi="宋体"/>
          <w:color w:val="FF0000"/>
          <w:sz w:val="24"/>
        </w:rPr>
      </w:pPr>
      <w:r>
        <w:rPr>
          <w:rFonts w:hint="eastAsia" w:ascii="宋体" w:hAnsi="宋体"/>
          <w:color w:val="FF0000"/>
          <w:sz w:val="24"/>
        </w:rPr>
        <w:t>3.</w:t>
      </w:r>
      <w:r>
        <w:rPr>
          <w:rFonts w:ascii="宋体" w:hAnsi="宋体"/>
          <w:color w:val="FF0000"/>
          <w:sz w:val="24"/>
        </w:rPr>
        <w:t>3</w:t>
      </w:r>
      <w:r>
        <w:rPr>
          <w:rFonts w:hint="eastAsia" w:ascii="宋体" w:hAnsi="宋体"/>
          <w:color w:val="FF0000"/>
          <w:sz w:val="24"/>
          <w:lang w:val="en-US" w:eastAsia="zh-CN"/>
        </w:rPr>
        <w:t xml:space="preserve"> Y轴拖板与镗头必须有2个及2个以上的销子定位</w:t>
      </w:r>
      <w:r>
        <w:rPr>
          <w:rFonts w:hint="eastAsia" w:ascii="宋体" w:hAnsi="宋体"/>
          <w:color w:val="FF0000"/>
          <w:sz w:val="24"/>
        </w:rPr>
        <w:t>；</w:t>
      </w:r>
    </w:p>
    <w:p w14:paraId="29C26539">
      <w:pPr>
        <w:adjustRightInd w:val="0"/>
        <w:snapToGrid w:val="0"/>
        <w:spacing w:line="360" w:lineRule="auto"/>
        <w:rPr>
          <w:rFonts w:hint="eastAsia" w:ascii="宋体" w:hAnsi="宋体"/>
          <w:color w:val="FF0000"/>
          <w:sz w:val="24"/>
        </w:rPr>
      </w:pPr>
      <w:r>
        <w:rPr>
          <w:rFonts w:hint="eastAsia" w:ascii="宋体" w:hAnsi="宋体"/>
          <w:color w:val="FF0000"/>
          <w:sz w:val="24"/>
        </w:rPr>
        <w:t>3.</w:t>
      </w:r>
      <w:r>
        <w:rPr>
          <w:rFonts w:ascii="宋体" w:hAnsi="宋体"/>
          <w:color w:val="FF0000"/>
          <w:sz w:val="24"/>
        </w:rPr>
        <w:t>4</w:t>
      </w:r>
      <w:r>
        <w:rPr>
          <w:rFonts w:hint="eastAsia" w:ascii="宋体" w:hAnsi="宋体"/>
          <w:color w:val="FF0000"/>
          <w:sz w:val="24"/>
          <w:lang w:val="en-US" w:eastAsia="zh-CN"/>
        </w:rPr>
        <w:t>镗头左右侧需增加位置调整的机构</w:t>
      </w:r>
      <w:r>
        <w:rPr>
          <w:rFonts w:hint="eastAsia" w:ascii="宋体" w:hAnsi="宋体"/>
          <w:color w:val="FF0000"/>
          <w:sz w:val="24"/>
        </w:rPr>
        <w:t>；</w:t>
      </w:r>
    </w:p>
    <w:p w14:paraId="5C028004">
      <w:pPr>
        <w:adjustRightInd w:val="0"/>
        <w:snapToGrid w:val="0"/>
        <w:spacing w:line="360" w:lineRule="auto"/>
        <w:rPr>
          <w:rFonts w:hint="eastAsia" w:ascii="宋体" w:hAnsi="宋体"/>
          <w:sz w:val="24"/>
        </w:rPr>
      </w:pPr>
      <w:r>
        <w:rPr>
          <w:rFonts w:hint="eastAsia" w:ascii="宋体" w:hAnsi="宋体"/>
          <w:color w:val="000000"/>
          <w:sz w:val="24"/>
          <w:szCs w:val="21"/>
        </w:rPr>
        <w:t>3</w:t>
      </w:r>
      <w:r>
        <w:rPr>
          <w:rFonts w:ascii="宋体" w:hAnsi="宋体"/>
          <w:color w:val="000000"/>
          <w:sz w:val="24"/>
          <w:szCs w:val="21"/>
        </w:rPr>
        <w:t>.</w:t>
      </w:r>
      <w:r>
        <w:rPr>
          <w:rFonts w:hint="eastAsia" w:ascii="宋体" w:hAnsi="宋体"/>
          <w:color w:val="000000"/>
          <w:sz w:val="24"/>
          <w:szCs w:val="21"/>
          <w:lang w:val="en-US" w:eastAsia="zh-CN"/>
        </w:rPr>
        <w:t>5维修改造的工位加工时无异响和过载的情况</w:t>
      </w:r>
      <w:r>
        <w:rPr>
          <w:rFonts w:hint="eastAsia" w:ascii="宋体" w:hAnsi="宋体"/>
          <w:color w:val="000000"/>
          <w:sz w:val="24"/>
          <w:szCs w:val="21"/>
        </w:rPr>
        <w:t>；</w:t>
      </w:r>
    </w:p>
    <w:p w14:paraId="7623F81C">
      <w:pPr>
        <w:adjustRightInd w:val="0"/>
        <w:snapToGrid w:val="0"/>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6维修改造后的设备能达到原厂精度</w:t>
      </w:r>
      <w:r>
        <w:rPr>
          <w:rFonts w:hint="eastAsia" w:ascii="宋体" w:hAnsi="宋体"/>
          <w:sz w:val="24"/>
        </w:rPr>
        <w:t>；</w:t>
      </w:r>
    </w:p>
    <w:p w14:paraId="2ECA8FED">
      <w:pPr>
        <w:adjustRightInd w:val="0"/>
        <w:snapToGrid w:val="0"/>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7维修改造后，</w:t>
      </w:r>
      <w:r>
        <w:rPr>
          <w:rFonts w:hint="eastAsia" w:ascii="宋体" w:hAnsi="宋体"/>
          <w:color w:val="FF0000"/>
          <w:sz w:val="24"/>
          <w:lang w:val="en-US" w:eastAsia="zh-CN"/>
        </w:rPr>
        <w:t>需连续加工500件</w:t>
      </w:r>
      <w:r>
        <w:rPr>
          <w:rFonts w:hint="eastAsia" w:ascii="宋体" w:hAnsi="宋体"/>
          <w:sz w:val="24"/>
          <w:lang w:val="en-US" w:eastAsia="zh-CN"/>
        </w:rPr>
        <w:t>，且加工精度</w:t>
      </w:r>
      <w:r>
        <w:rPr>
          <w:rFonts w:hint="eastAsia" w:ascii="宋体" w:hAnsi="宋体"/>
          <w:color w:val="000000"/>
          <w:sz w:val="24"/>
          <w:szCs w:val="21"/>
          <w:lang w:val="en-US" w:eastAsia="zh-CN"/>
        </w:rPr>
        <w:t>满足该工序的加工工艺要求</w:t>
      </w:r>
      <w:r>
        <w:rPr>
          <w:rFonts w:hint="eastAsia" w:ascii="宋体" w:hAnsi="宋体"/>
          <w:sz w:val="24"/>
        </w:rPr>
        <w:t>；</w:t>
      </w:r>
    </w:p>
    <w:p w14:paraId="4C79AD2D">
      <w:pPr>
        <w:adjustRightInd w:val="0"/>
        <w:snapToGrid w:val="0"/>
        <w:spacing w:line="360" w:lineRule="auto"/>
        <w:rPr>
          <w:rFonts w:hint="eastAsia" w:ascii="宋体" w:hAnsi="宋体"/>
          <w:sz w:val="24"/>
        </w:rPr>
      </w:pPr>
      <w:r>
        <w:rPr>
          <w:rFonts w:hint="eastAsia" w:ascii="宋体" w:hAnsi="宋体"/>
          <w:sz w:val="24"/>
        </w:rPr>
        <w:t>3.</w:t>
      </w:r>
      <w:r>
        <w:rPr>
          <w:rFonts w:hint="eastAsia" w:ascii="宋体" w:hAnsi="宋体"/>
          <w:sz w:val="24"/>
          <w:lang w:val="en-US" w:eastAsia="zh-CN"/>
        </w:rPr>
        <w:t>8该工位维修改造后节拍不低于300秒</w:t>
      </w:r>
      <w:r>
        <w:rPr>
          <w:rFonts w:hint="eastAsia" w:ascii="宋体" w:hAnsi="宋体"/>
          <w:sz w:val="24"/>
        </w:rPr>
        <w:t>；</w:t>
      </w:r>
    </w:p>
    <w:p w14:paraId="5784D4E0">
      <w:pPr>
        <w:adjustRightInd w:val="0"/>
        <w:snapToGrid w:val="0"/>
        <w:spacing w:line="360" w:lineRule="auto"/>
        <w:rPr>
          <w:rFonts w:hint="default" w:ascii="宋体" w:hAnsi="宋体" w:eastAsia="宋体"/>
          <w:sz w:val="24"/>
          <w:lang w:val="en-US" w:eastAsia="zh-CN"/>
        </w:rPr>
      </w:pPr>
      <w:r>
        <w:rPr>
          <w:rFonts w:hint="eastAsia" w:ascii="宋体" w:hAnsi="宋体"/>
          <w:sz w:val="24"/>
          <w:lang w:val="en-US" w:eastAsia="zh-CN"/>
        </w:rPr>
        <w:t>3.9该项目现场施工周期不得超过10天。</w:t>
      </w:r>
    </w:p>
    <w:p w14:paraId="1B02300C">
      <w:pPr>
        <w:adjustRightInd w:val="0"/>
        <w:snapToGrid w:val="0"/>
        <w:spacing w:line="440" w:lineRule="exact"/>
        <w:rPr>
          <w:rFonts w:hint="eastAsia" w:ascii="宋体" w:hAnsi="宋体"/>
          <w:b/>
          <w:sz w:val="24"/>
          <w:szCs w:val="21"/>
        </w:rPr>
      </w:pPr>
      <w:r>
        <w:rPr>
          <w:rFonts w:hint="eastAsia" w:ascii="宋体" w:hAnsi="宋体"/>
          <w:b/>
          <w:sz w:val="24"/>
          <w:szCs w:val="21"/>
        </w:rPr>
        <w:t>四、培训及服务</w:t>
      </w:r>
    </w:p>
    <w:p w14:paraId="677058B7">
      <w:pPr>
        <w:adjustRightInd w:val="0"/>
        <w:snapToGrid w:val="0"/>
        <w:spacing w:line="360" w:lineRule="auto"/>
        <w:rPr>
          <w:rFonts w:hint="eastAsia"/>
          <w:sz w:val="24"/>
        </w:rPr>
      </w:pPr>
      <w:r>
        <w:rPr>
          <w:sz w:val="24"/>
        </w:rPr>
        <w:t>4.1</w:t>
      </w:r>
      <w:r>
        <w:rPr>
          <w:rFonts w:hint="eastAsia"/>
          <w:sz w:val="24"/>
        </w:rPr>
        <w:t>技术培训及服务</w:t>
      </w:r>
    </w:p>
    <w:p w14:paraId="7D9667BF">
      <w:pPr>
        <w:adjustRightInd w:val="0"/>
        <w:snapToGrid w:val="0"/>
        <w:spacing w:line="360" w:lineRule="auto"/>
        <w:rPr>
          <w:rFonts w:hint="eastAsia"/>
          <w:sz w:val="24"/>
        </w:rPr>
      </w:pPr>
      <w:r>
        <w:rPr>
          <w:sz w:val="24"/>
        </w:rPr>
        <w:t>4.1.1</w:t>
      </w:r>
      <w:r>
        <w:rPr>
          <w:rFonts w:hint="eastAsia"/>
          <w:sz w:val="24"/>
        </w:rPr>
        <w:t>乙方负责免费对甲方工程技术、维修、操作人员提供相关的技术指导和培训，对乙方生产制造中涉及到的理论、技术、操作、维修等方面的技术问题进行讲解。</w:t>
      </w:r>
    </w:p>
    <w:p w14:paraId="4AFA4B87">
      <w:pPr>
        <w:adjustRightInd w:val="0"/>
        <w:snapToGrid w:val="0"/>
        <w:spacing w:line="360" w:lineRule="auto"/>
        <w:rPr>
          <w:rFonts w:hint="eastAsia"/>
          <w:sz w:val="24"/>
        </w:rPr>
      </w:pPr>
      <w:r>
        <w:rPr>
          <w:sz w:val="24"/>
        </w:rPr>
        <w:t>4.1.2</w:t>
      </w:r>
      <w:r>
        <w:rPr>
          <w:rFonts w:hint="eastAsia"/>
          <w:sz w:val="24"/>
        </w:rPr>
        <w:t>乙方负责在甲方货物（或设备）使用现场，进行免费的技术指导和培训，并接受甲方有关人员的技术咨询。</w:t>
      </w:r>
    </w:p>
    <w:p w14:paraId="37676EE1">
      <w:pPr>
        <w:adjustRightInd w:val="0"/>
        <w:snapToGrid w:val="0"/>
        <w:spacing w:line="360" w:lineRule="auto"/>
        <w:rPr>
          <w:rFonts w:hint="eastAsia"/>
          <w:sz w:val="24"/>
        </w:rPr>
      </w:pPr>
      <w:r>
        <w:rPr>
          <w:sz w:val="24"/>
        </w:rPr>
        <w:t>4.1.3</w:t>
      </w:r>
      <w:r>
        <w:rPr>
          <w:rFonts w:hint="eastAsia"/>
          <w:sz w:val="24"/>
        </w:rPr>
        <w:t>乙方免费提供</w:t>
      </w:r>
      <w:r>
        <w:rPr>
          <w:sz w:val="24"/>
        </w:rPr>
        <w:t>2</w:t>
      </w:r>
      <w:r>
        <w:rPr>
          <w:rFonts w:hint="eastAsia"/>
          <w:sz w:val="24"/>
        </w:rPr>
        <w:t>份培训资料。</w:t>
      </w:r>
    </w:p>
    <w:p w14:paraId="5739CF58">
      <w:pPr>
        <w:adjustRightInd w:val="0"/>
        <w:snapToGrid w:val="0"/>
        <w:spacing w:line="360" w:lineRule="auto"/>
        <w:rPr>
          <w:rFonts w:hint="eastAsia"/>
          <w:sz w:val="24"/>
        </w:rPr>
      </w:pPr>
      <w:r>
        <w:rPr>
          <w:sz w:val="24"/>
        </w:rPr>
        <w:t>4.1.4</w:t>
      </w:r>
      <w:r>
        <w:rPr>
          <w:rFonts w:hint="eastAsia"/>
          <w:sz w:val="24"/>
        </w:rPr>
        <w:t>乙方按要求免费协助和提供甲方所需的、与货物（或设备）有关的工程设计资料、技术咨询等。</w:t>
      </w:r>
    </w:p>
    <w:p w14:paraId="08088D06">
      <w:pPr>
        <w:adjustRightInd w:val="0"/>
        <w:snapToGrid w:val="0"/>
        <w:spacing w:line="360" w:lineRule="auto"/>
        <w:rPr>
          <w:rFonts w:hint="eastAsia"/>
          <w:sz w:val="24"/>
        </w:rPr>
      </w:pPr>
      <w:r>
        <w:rPr>
          <w:sz w:val="24"/>
        </w:rPr>
        <w:t>4.1.5</w:t>
      </w:r>
      <w:r>
        <w:rPr>
          <w:rFonts w:hint="eastAsia"/>
          <w:sz w:val="24"/>
        </w:rPr>
        <w:t>乙方负责制定对甲方人员在运行、维修和试验等方面的培训计划，并有专人负责实施培训计划，负责指导甲方受培训人员正确理解设计和制造意图，认识设备的特点和特性，掌握在运行、维修和使用管理中应遵守的规则等方面的综合知识。</w:t>
      </w:r>
    </w:p>
    <w:p w14:paraId="0E153D02">
      <w:pPr>
        <w:adjustRightInd w:val="0"/>
        <w:snapToGrid w:val="0"/>
        <w:spacing w:line="360" w:lineRule="auto"/>
        <w:rPr>
          <w:rFonts w:hint="eastAsia"/>
          <w:sz w:val="24"/>
        </w:rPr>
      </w:pPr>
      <w:r>
        <w:rPr>
          <w:sz w:val="24"/>
        </w:rPr>
        <w:t>4.2</w:t>
      </w:r>
      <w:r>
        <w:rPr>
          <w:rFonts w:hint="eastAsia"/>
          <w:sz w:val="24"/>
        </w:rPr>
        <w:t>安装调试服务</w:t>
      </w:r>
    </w:p>
    <w:p w14:paraId="70205DF0">
      <w:pPr>
        <w:adjustRightInd w:val="0"/>
        <w:snapToGrid w:val="0"/>
        <w:spacing w:line="360" w:lineRule="auto"/>
        <w:rPr>
          <w:rFonts w:hint="eastAsia"/>
          <w:sz w:val="24"/>
        </w:rPr>
      </w:pPr>
      <w:r>
        <w:rPr>
          <w:rFonts w:hint="eastAsia"/>
          <w:sz w:val="24"/>
        </w:rPr>
        <w:t>乙方负责安装调试，甲方予以积极配合，若因乙方安装调试问题导致刀具损失及工件报废，乙方须承担损失费用</w:t>
      </w:r>
    </w:p>
    <w:p w14:paraId="51EFD3FF">
      <w:pPr>
        <w:adjustRightInd w:val="0"/>
        <w:snapToGrid w:val="0"/>
        <w:spacing w:line="360" w:lineRule="auto"/>
        <w:rPr>
          <w:rFonts w:hint="eastAsia"/>
          <w:sz w:val="24"/>
        </w:rPr>
      </w:pPr>
      <w:r>
        <w:rPr>
          <w:sz w:val="24"/>
        </w:rPr>
        <w:t>4.3</w:t>
      </w:r>
      <w:r>
        <w:rPr>
          <w:rFonts w:hint="eastAsia"/>
          <w:sz w:val="24"/>
        </w:rPr>
        <w:t>售后服务</w:t>
      </w:r>
    </w:p>
    <w:p w14:paraId="415C46C6">
      <w:pPr>
        <w:adjustRightInd w:val="0"/>
        <w:snapToGrid w:val="0"/>
        <w:spacing w:line="360" w:lineRule="auto"/>
        <w:rPr>
          <w:rFonts w:hint="eastAsia"/>
          <w:sz w:val="24"/>
        </w:rPr>
      </w:pPr>
      <w:r>
        <w:rPr>
          <w:sz w:val="24"/>
        </w:rPr>
        <w:t>4.</w:t>
      </w:r>
      <w:r>
        <w:rPr>
          <w:rFonts w:hint="eastAsia"/>
          <w:sz w:val="24"/>
        </w:rPr>
        <w:t>3.1所有的售后服务均由乙方受理。如果发生问题乙方应当在2小时内予以答复。</w:t>
      </w:r>
    </w:p>
    <w:p w14:paraId="542CE937">
      <w:pPr>
        <w:adjustRightInd w:val="0"/>
        <w:snapToGrid w:val="0"/>
        <w:spacing w:line="360" w:lineRule="auto"/>
        <w:rPr>
          <w:rFonts w:hint="eastAsia"/>
          <w:sz w:val="24"/>
        </w:rPr>
      </w:pPr>
      <w:r>
        <w:rPr>
          <w:sz w:val="24"/>
        </w:rPr>
        <w:t>4.</w:t>
      </w:r>
      <w:r>
        <w:rPr>
          <w:rFonts w:hint="eastAsia"/>
          <w:sz w:val="24"/>
        </w:rPr>
        <w:t>3.2如发现所提供的货物（或设备）存在问题，需要乙方解决或配合解决时，乙方应在接到通知后</w:t>
      </w:r>
      <w:r>
        <w:rPr>
          <w:sz w:val="24"/>
        </w:rPr>
        <w:t>12</w:t>
      </w:r>
      <w:r>
        <w:rPr>
          <w:rFonts w:hint="eastAsia"/>
          <w:sz w:val="24"/>
        </w:rPr>
        <w:t>小时内派相关人员到达现场；</w:t>
      </w:r>
    </w:p>
    <w:p w14:paraId="56FBA1FD">
      <w:pPr>
        <w:adjustRightInd w:val="0"/>
        <w:snapToGrid w:val="0"/>
        <w:spacing w:line="360" w:lineRule="auto"/>
        <w:rPr>
          <w:rFonts w:hint="eastAsia"/>
          <w:sz w:val="24"/>
        </w:rPr>
      </w:pPr>
      <w:r>
        <w:rPr>
          <w:sz w:val="24"/>
        </w:rPr>
        <w:t>4.</w:t>
      </w:r>
      <w:r>
        <w:rPr>
          <w:rFonts w:hint="eastAsia"/>
          <w:sz w:val="24"/>
        </w:rPr>
        <w:t>3.3乙方派往甲方生产现场的人员，应具有较高的业务素质，为甲方提供最佳的服务。</w:t>
      </w:r>
    </w:p>
    <w:p w14:paraId="717D4677">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 xml:space="preserve">五、质保期 </w:t>
      </w:r>
    </w:p>
    <w:p w14:paraId="5B649959">
      <w:pPr>
        <w:pStyle w:val="65"/>
        <w:spacing w:line="360" w:lineRule="auto"/>
        <w:ind w:firstLine="0" w:firstLineChars="0"/>
        <w:rPr>
          <w:rFonts w:hint="eastAsia" w:ascii="宋体" w:hAnsi="宋体"/>
          <w:sz w:val="24"/>
        </w:rPr>
      </w:pPr>
      <w:r>
        <w:rPr>
          <w:rFonts w:hint="eastAsia" w:ascii="宋体" w:hAnsi="宋体"/>
          <w:sz w:val="24"/>
        </w:rPr>
        <w:t>全部供货范围内的设备、材料、零配件和工器具等，其质保期自终验收签字生效之日起  12个月。</w:t>
      </w:r>
    </w:p>
    <w:p w14:paraId="68103B22">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六、其他</w:t>
      </w:r>
    </w:p>
    <w:p w14:paraId="27200B97">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.1 乙方承诺对参与该项目所获得的与甲方产品相关的所有信息都予以保密，并承担与此相关的所有法律责任。</w:t>
      </w:r>
    </w:p>
    <w:p w14:paraId="2B7E60C6">
      <w:pPr>
        <w:spacing w:line="360" w:lineRule="auto"/>
        <w:jc w:val="left"/>
        <w:rPr>
          <w:rFonts w:hint="eastAsia"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其他未尽事宜由甲乙双方协商解决。</w:t>
      </w:r>
    </w:p>
    <w:p w14:paraId="64C3AFD1">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本协议一式四份，甲方三份，乙方一份，双方签字后，随合同的生效而生效。</w:t>
      </w:r>
    </w:p>
    <w:p w14:paraId="28A145AA">
      <w:pPr>
        <w:widowControl/>
        <w:autoSpaceDE w:val="0"/>
        <w:autoSpaceDN w:val="0"/>
        <w:textAlignment w:val="bottom"/>
        <w:rPr>
          <w:rFonts w:hint="eastAsia" w:ascii="黑体" w:hAnsi="黑体" w:eastAsia="黑体" w:cs="Americana BT"/>
          <w:color w:val="FF0000"/>
          <w:sz w:val="24"/>
        </w:rPr>
      </w:pPr>
    </w:p>
    <w:p w14:paraId="7AE4AF7D">
      <w:pPr>
        <w:spacing w:line="360" w:lineRule="auto"/>
        <w:rPr>
          <w:rFonts w:ascii="宋体" w:hAnsi="宋体"/>
          <w:sz w:val="24"/>
        </w:rPr>
      </w:pPr>
      <w:r>
        <w:rPr>
          <w:rFonts w:hint="eastAsia" w:ascii="宋体" w:hAnsi="宋体"/>
          <w:sz w:val="24"/>
        </w:rPr>
        <w:t>甲方:中国重汽集团杭州发动机有限公司</w:t>
      </w:r>
      <w:r>
        <w:rPr>
          <w:rFonts w:ascii="宋体" w:hAnsi="宋体"/>
          <w:sz w:val="24"/>
        </w:rPr>
        <w:t xml:space="preserve">  </w:t>
      </w:r>
      <w:r>
        <w:rPr>
          <w:rFonts w:hint="eastAsia" w:ascii="宋体" w:hAnsi="宋体"/>
          <w:sz w:val="24"/>
        </w:rPr>
        <w:t>乙方:</w:t>
      </w:r>
    </w:p>
    <w:p w14:paraId="43B14FE4">
      <w:pPr>
        <w:spacing w:line="360" w:lineRule="auto"/>
        <w:rPr>
          <w:rFonts w:ascii="宋体" w:hAnsi="宋体"/>
          <w:sz w:val="24"/>
          <w:szCs w:val="28"/>
        </w:rPr>
      </w:pPr>
      <w:r>
        <w:rPr>
          <w:rFonts w:hint="eastAsia" w:ascii="宋体" w:hAnsi="宋体"/>
          <w:sz w:val="24"/>
          <w:szCs w:val="28"/>
        </w:rPr>
        <w:t>代表：</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代表：</w:t>
      </w:r>
    </w:p>
    <w:p w14:paraId="4FB4D3E7">
      <w:pPr>
        <w:spacing w:line="360" w:lineRule="auto"/>
        <w:rPr>
          <w:rFonts w:hint="eastAsia" w:ascii="宋体" w:hAnsi="宋体"/>
          <w:sz w:val="24"/>
          <w:szCs w:val="28"/>
        </w:rPr>
      </w:pPr>
    </w:p>
    <w:p w14:paraId="5D3D8E0A">
      <w:pPr>
        <w:spacing w:line="360" w:lineRule="auto"/>
        <w:rPr>
          <w:rFonts w:hint="eastAsia" w:ascii="宋体" w:hAnsi="宋体"/>
          <w:sz w:val="24"/>
          <w:szCs w:val="28"/>
        </w:rPr>
      </w:pPr>
      <w:r>
        <w:rPr>
          <w:rFonts w:hint="eastAsia" w:ascii="宋体" w:hAnsi="宋体"/>
          <w:sz w:val="24"/>
          <w:szCs w:val="28"/>
        </w:rPr>
        <w:t>日期：</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日期：</w:t>
      </w:r>
    </w:p>
    <w:p w14:paraId="35D055FC">
      <w:pPr>
        <w:pStyle w:val="73"/>
        <w:jc w:val="center"/>
        <w:rPr>
          <w:rFonts w:hint="eastAsia"/>
        </w:rPr>
      </w:pPr>
    </w:p>
    <w:p w14:paraId="094DA419">
      <w:pPr>
        <w:pStyle w:val="73"/>
        <w:jc w:val="center"/>
        <w:rPr>
          <w:rFonts w:hint="eastAsia"/>
        </w:rPr>
      </w:pPr>
    </w:p>
    <w:p w14:paraId="7309FB4E">
      <w:pPr>
        <w:pStyle w:val="73"/>
        <w:jc w:val="center"/>
        <w:rPr>
          <w:rFonts w:hint="eastAsia"/>
        </w:rPr>
      </w:pPr>
    </w:p>
    <w:p w14:paraId="34207619">
      <w:pPr>
        <w:pStyle w:val="73"/>
        <w:jc w:val="center"/>
        <w:rPr>
          <w:rFonts w:hint="eastAsia"/>
        </w:rPr>
      </w:pPr>
    </w:p>
    <w:p w14:paraId="38DAE0C8">
      <w:pPr>
        <w:pStyle w:val="73"/>
        <w:jc w:val="center"/>
        <w:rPr>
          <w:rFonts w:hint="eastAsia"/>
        </w:rPr>
      </w:pPr>
    </w:p>
    <w:p w14:paraId="79BC9C34">
      <w:pPr>
        <w:pStyle w:val="73"/>
        <w:jc w:val="center"/>
        <w:rPr>
          <w:rFonts w:hint="eastAsia"/>
        </w:rPr>
      </w:pPr>
    </w:p>
    <w:p w14:paraId="7BA488FF">
      <w:pPr>
        <w:pStyle w:val="73"/>
        <w:jc w:val="center"/>
        <w:rPr>
          <w:rFonts w:hint="eastAsia"/>
        </w:rPr>
      </w:pPr>
    </w:p>
    <w:p w14:paraId="11BD2CA1">
      <w:pPr>
        <w:pStyle w:val="73"/>
        <w:jc w:val="center"/>
        <w:rPr>
          <w:rFonts w:hint="eastAsia"/>
        </w:rPr>
      </w:pPr>
    </w:p>
    <w:p w14:paraId="01658BDD">
      <w:pPr>
        <w:pStyle w:val="73"/>
        <w:jc w:val="center"/>
        <w:rPr>
          <w:rFonts w:hint="eastAsia"/>
        </w:rPr>
      </w:pPr>
    </w:p>
    <w:p w14:paraId="5871DF53">
      <w:pPr>
        <w:pStyle w:val="73"/>
        <w:jc w:val="center"/>
        <w:rPr>
          <w:rFonts w:hint="eastAsia" w:eastAsia="黑体"/>
          <w:lang w:eastAsia="zh-CN"/>
        </w:rPr>
      </w:pPr>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r>
        <w:rPr>
          <w:rFonts w:hint="eastAsia" w:ascii="宋体" w:hAnsi="宋体" w:cs="宋体"/>
          <w:sz w:val="20"/>
          <w:u w:val="single"/>
          <w:lang w:val="en-US" w:eastAsia="zh-CN"/>
        </w:rPr>
        <w:t>10天</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r>
        <w:rPr>
          <w:rFonts w:hint="eastAsia" w:ascii="宋体" w:hAnsi="宋体" w:cs="宋体"/>
          <w:sz w:val="20"/>
          <w:u w:val="single"/>
          <w:lang w:val="en-US" w:eastAsia="zh-CN"/>
        </w:rPr>
        <w:t>杭发公司</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12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u w:val="single"/>
          <w:lang w:val="en-US" w:eastAsia="zh-CN"/>
        </w:rPr>
        <w:t>2</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 xml:space="preserve">1、乙方逾期交付工作成果的，每逾期一天，应当向甲方支付合同总价款 </w:t>
      </w:r>
      <w:r>
        <w:rPr>
          <w:rFonts w:hint="eastAsia" w:ascii="宋体" w:hAnsi="宋体" w:cs="宋体"/>
          <w:sz w:val="20"/>
          <w:lang w:val="en-US" w:eastAsia="zh-CN"/>
        </w:rPr>
        <w:t>2</w:t>
      </w:r>
      <w:r>
        <w:rPr>
          <w:rFonts w:hint="eastAsia" w:ascii="宋体" w:hAnsi="宋体" w:cs="宋体"/>
          <w:sz w:val="20"/>
        </w:rPr>
        <w:t xml:space="preserve"> %的违约金。当违约金超过设备合同总金额的 </w:t>
      </w:r>
      <w:r>
        <w:rPr>
          <w:rFonts w:hint="eastAsia" w:ascii="宋体" w:hAnsi="宋体" w:cs="宋体"/>
          <w:sz w:val="20"/>
          <w:lang w:val="en-US" w:eastAsia="zh-CN"/>
        </w:rPr>
        <w:t>30</w:t>
      </w:r>
      <w:r>
        <w:rPr>
          <w:rFonts w:hint="eastAsia" w:ascii="宋体" w:hAnsi="宋体" w:cs="宋体"/>
          <w:sz w:val="20"/>
        </w:rPr>
        <w:t xml:space="preserve">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EB8BBEB">
      <w:pPr>
        <w:pStyle w:val="73"/>
        <w:jc w:val="center"/>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p w14:paraId="638BE264">
      <w:pPr>
        <w:pStyle w:val="12"/>
        <w:spacing w:line="460" w:lineRule="exact"/>
        <w:jc w:val="center"/>
        <w:rPr>
          <w:rFonts w:ascii="宋体" w:hAnsi="宋体" w:cs="宋体"/>
        </w:rPr>
      </w:pPr>
      <w:r>
        <w:rPr>
          <w:rFonts w:ascii="宋体" w:hAnsi="宋体" w:cs="宋体"/>
        </w:rPr>
        <w:t xml:space="preserve"> </w:t>
      </w:r>
    </w:p>
    <w:tbl>
      <w:tblPr>
        <w:tblStyle w:val="32"/>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048"/>
        <w:gridCol w:w="1536"/>
        <w:gridCol w:w="981"/>
        <w:gridCol w:w="981"/>
        <w:gridCol w:w="1048"/>
        <w:gridCol w:w="1048"/>
        <w:gridCol w:w="1048"/>
        <w:gridCol w:w="1049"/>
      </w:tblGrid>
      <w:tr w14:paraId="3D52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5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物资/设备/服务名称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单价（元，未税）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总价（元，不含税）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单价（元，含13%税）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总价（元，含13%税）</w:t>
            </w:r>
          </w:p>
        </w:tc>
      </w:tr>
      <w:tr w14:paraId="2942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Y轴数控滑台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4C003355-G01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7662">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19B2">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4B0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AF10">
            <w:pPr>
              <w:jc w:val="both"/>
              <w:rPr>
                <w:rFonts w:hint="eastAsia" w:ascii="宋体" w:hAnsi="宋体" w:eastAsia="宋体" w:cs="宋体"/>
                <w:i w:val="0"/>
                <w:iCs w:val="0"/>
                <w:color w:val="000000"/>
                <w:sz w:val="22"/>
                <w:szCs w:val="22"/>
                <w:u w:val="none"/>
              </w:rPr>
            </w:pPr>
          </w:p>
        </w:tc>
      </w:tr>
      <w:tr w14:paraId="4E2B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X轴数控滑台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2J008529-G01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6FF6">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B1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A4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F88">
            <w:pPr>
              <w:jc w:val="both"/>
              <w:rPr>
                <w:rFonts w:hint="eastAsia" w:ascii="宋体" w:hAnsi="宋体" w:eastAsia="宋体" w:cs="宋体"/>
                <w:i w:val="0"/>
                <w:iCs w:val="0"/>
                <w:color w:val="000000"/>
                <w:sz w:val="22"/>
                <w:szCs w:val="22"/>
                <w:u w:val="none"/>
              </w:rPr>
            </w:pPr>
          </w:p>
        </w:tc>
      </w:tr>
      <w:tr w14:paraId="011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0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拉镗补偿机构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2J008143-001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C634">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1DFD">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2AD1">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8AF1">
            <w:pPr>
              <w:jc w:val="both"/>
              <w:rPr>
                <w:rFonts w:hint="eastAsia" w:ascii="宋体" w:hAnsi="宋体" w:eastAsia="宋体" w:cs="宋体"/>
                <w:i w:val="0"/>
                <w:iCs w:val="0"/>
                <w:color w:val="000000"/>
                <w:sz w:val="22"/>
                <w:szCs w:val="22"/>
                <w:u w:val="none"/>
              </w:rPr>
            </w:pPr>
          </w:p>
        </w:tc>
      </w:tr>
      <w:tr w14:paraId="32CB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591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EDE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707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7D9D">
            <w:pPr>
              <w:jc w:val="both"/>
              <w:rPr>
                <w:rFonts w:hint="eastAsia" w:ascii="宋体" w:hAnsi="宋体" w:eastAsia="宋体" w:cs="宋体"/>
                <w:i w:val="0"/>
                <w:iCs w:val="0"/>
                <w:color w:val="000000"/>
                <w:sz w:val="22"/>
                <w:szCs w:val="22"/>
                <w:u w:val="none"/>
              </w:rPr>
            </w:pPr>
          </w:p>
        </w:tc>
      </w:tr>
      <w:tr w14:paraId="32A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镗头（右）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0J006908-G02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EEE">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A3A">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563">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843F">
            <w:pPr>
              <w:jc w:val="both"/>
              <w:rPr>
                <w:rFonts w:hint="eastAsia" w:ascii="宋体" w:hAnsi="宋体" w:eastAsia="宋体" w:cs="宋体"/>
                <w:i w:val="0"/>
                <w:iCs w:val="0"/>
                <w:color w:val="000000"/>
                <w:sz w:val="22"/>
                <w:szCs w:val="22"/>
                <w:u w:val="none"/>
              </w:rPr>
            </w:pPr>
          </w:p>
        </w:tc>
      </w:tr>
      <w:tr w14:paraId="5A76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E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B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A4A">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2F7">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D4D8">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C42">
            <w:pPr>
              <w:jc w:val="both"/>
              <w:rPr>
                <w:rFonts w:hint="eastAsia" w:ascii="宋体" w:hAnsi="宋体" w:eastAsia="宋体" w:cs="宋体"/>
                <w:i w:val="0"/>
                <w:iCs w:val="0"/>
                <w:color w:val="000000"/>
                <w:sz w:val="22"/>
                <w:szCs w:val="22"/>
                <w:u w:val="none"/>
              </w:rPr>
            </w:pPr>
          </w:p>
        </w:tc>
      </w:tr>
      <w:tr w14:paraId="0E9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7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E9EC">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3AA9">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902B">
            <w:pPr>
              <w:jc w:val="both"/>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3FF">
            <w:pPr>
              <w:jc w:val="both"/>
              <w:rPr>
                <w:rFonts w:hint="eastAsia" w:ascii="宋体" w:hAnsi="宋体" w:eastAsia="宋体" w:cs="宋体"/>
                <w:i w:val="0"/>
                <w:iCs w:val="0"/>
                <w:color w:val="000000"/>
                <w:sz w:val="22"/>
                <w:szCs w:val="22"/>
                <w:u w:val="none"/>
              </w:rPr>
            </w:pPr>
          </w:p>
        </w:tc>
      </w:tr>
      <w:tr w14:paraId="728A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E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E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C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E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DD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8A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FB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ADDA">
            <w:pPr>
              <w:jc w:val="center"/>
              <w:rPr>
                <w:rFonts w:hint="eastAsia" w:ascii="宋体" w:hAnsi="宋体" w:eastAsia="宋体" w:cs="宋体"/>
                <w:i w:val="0"/>
                <w:iCs w:val="0"/>
                <w:color w:val="000000"/>
                <w:sz w:val="22"/>
                <w:szCs w:val="22"/>
                <w:u w:val="none"/>
              </w:rPr>
            </w:pPr>
          </w:p>
        </w:tc>
      </w:tr>
      <w:tr w14:paraId="0E87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8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9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B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E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E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007">
            <w:pPr>
              <w:jc w:val="center"/>
              <w:rPr>
                <w:rFonts w:hint="eastAsia" w:ascii="宋体" w:hAnsi="宋体" w:eastAsia="宋体" w:cs="宋体"/>
                <w:i w:val="0"/>
                <w:iCs w:val="0"/>
                <w:color w:val="000000"/>
                <w:sz w:val="22"/>
                <w:szCs w:val="22"/>
                <w:u w:val="none"/>
              </w:rPr>
            </w:pPr>
          </w:p>
        </w:tc>
      </w:tr>
    </w:tbl>
    <w:p w14:paraId="4BBC8489">
      <w:pPr>
        <w:pStyle w:val="12"/>
        <w:spacing w:line="460" w:lineRule="exact"/>
        <w:jc w:val="center"/>
        <w:rPr>
          <w:rFonts w:ascii="宋体" w:hAnsi="宋体"/>
        </w:rPr>
      </w:pPr>
      <w:r>
        <w:rPr>
          <w:rFonts w:ascii="宋体" w:hAnsi="宋体" w:cs="宋体"/>
        </w:rPr>
        <w:t xml:space="preserve">                        </w:t>
      </w:r>
    </w:p>
    <w:p w14:paraId="64E73B34">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0"/>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0"/>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0"/>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0"/>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1"/>
        </w:numPr>
        <w:rPr>
          <w:rFonts w:ascii="宋体" w:hAnsi="宋体"/>
          <w:sz w:val="24"/>
        </w:rPr>
      </w:pPr>
      <w:r>
        <w:rPr>
          <w:rFonts w:hint="eastAsia" w:ascii="宋体" w:hAnsi="宋体"/>
          <w:sz w:val="24"/>
        </w:rPr>
        <w:t>选购件不包括在本报价表内，应另附纸分项单报。</w:t>
      </w:r>
    </w:p>
    <w:p w14:paraId="14D33BFD">
      <w:pPr>
        <w:numPr>
          <w:ilvl w:val="0"/>
          <w:numId w:val="31"/>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79B76A41">
      <w:pPr>
        <w:rPr>
          <w:rFonts w:hint="eastAsia"/>
          <w:lang w:val="en-US" w:eastAsia="zh-CN"/>
        </w:rPr>
      </w:pPr>
      <w:r>
        <w:rPr>
          <w:rFonts w:hint="eastAsia" w:eastAsia="仿宋"/>
          <w:b/>
          <w:sz w:val="28"/>
          <w:szCs w:val="28"/>
        </w:rPr>
        <w:t>中国重汽集团杭州发动机有限公司：</w:t>
      </w:r>
    </w:p>
    <w:p w14:paraId="3683B602">
      <w:pPr>
        <w:ind w:firstLine="560" w:firstLineChars="200"/>
        <w:rPr>
          <w:rFonts w:hint="eastAsia" w:eastAsia="仿宋"/>
          <w:kern w:val="0"/>
          <w:sz w:val="28"/>
          <w:szCs w:val="28"/>
        </w:rPr>
      </w:pPr>
      <w:r>
        <w:rPr>
          <w:rFonts w:hint="eastAsia" w:eastAsia="仿宋"/>
          <w:kern w:val="0"/>
          <w:sz w:val="28"/>
          <w:szCs w:val="28"/>
        </w:rPr>
        <w:t>根据贵公司的招标邀请，遵照国家有关政策法规及《中华人民共和国招标投标法》《中华人民共和国招标投标法实施条例》相关规定，我公司经研究决定，愿以按照贵公司所要求的条件参与</w:t>
      </w:r>
      <w:r>
        <w:rPr>
          <w:rFonts w:hint="eastAsia"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1FC192B7">
      <w:pPr>
        <w:ind w:firstLine="560" w:firstLineChars="200"/>
        <w:rPr>
          <w:rFonts w:hint="eastAsia" w:eastAsia="仿宋"/>
          <w:kern w:val="0"/>
          <w:sz w:val="28"/>
          <w:szCs w:val="28"/>
        </w:rPr>
      </w:pPr>
      <w:r>
        <w:rPr>
          <w:rFonts w:hint="eastAsia" w:eastAsia="仿宋"/>
          <w:kern w:val="0"/>
          <w:sz w:val="28"/>
          <w:szCs w:val="28"/>
        </w:rPr>
        <w:t>一、提供的相关资质、文件、授权书等材料均真实、合法、有效，无任何伪造、篡改、虚假陈述等情形；</w:t>
      </w:r>
    </w:p>
    <w:p w14:paraId="79D044AD">
      <w:pPr>
        <w:ind w:firstLine="560" w:firstLineChars="200"/>
        <w:rPr>
          <w:rFonts w:hint="eastAsia" w:eastAsia="仿宋"/>
          <w:kern w:val="0"/>
          <w:sz w:val="28"/>
          <w:szCs w:val="28"/>
        </w:rPr>
      </w:pPr>
      <w:r>
        <w:rPr>
          <w:rFonts w:hint="eastAsia" w:eastAsia="仿宋"/>
          <w:kern w:val="0"/>
          <w:sz w:val="28"/>
          <w:szCs w:val="28"/>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41780A06">
      <w:pPr>
        <w:ind w:firstLine="560" w:firstLineChars="200"/>
        <w:rPr>
          <w:rFonts w:hint="eastAsia"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0A9B43F4">
      <w:pPr>
        <w:ind w:firstLine="560" w:firstLineChars="200"/>
        <w:rPr>
          <w:rFonts w:hint="eastAsia" w:eastAsia="仿宋"/>
          <w:kern w:val="0"/>
          <w:sz w:val="28"/>
          <w:szCs w:val="28"/>
        </w:rPr>
      </w:pPr>
      <w:r>
        <w:rPr>
          <w:rFonts w:hint="eastAsia" w:eastAsia="仿宋"/>
          <w:kern w:val="0"/>
          <w:sz w:val="28"/>
          <w:szCs w:val="28"/>
        </w:rPr>
        <w:t>四、我公司认可贵公司的招标工作流程及依据该流程确定的招标结果；</w:t>
      </w:r>
    </w:p>
    <w:p w14:paraId="31AA2247">
      <w:pPr>
        <w:ind w:firstLine="560" w:firstLineChars="200"/>
        <w:rPr>
          <w:rFonts w:hint="eastAsia"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3366AD50">
      <w:pPr>
        <w:ind w:firstLine="560" w:firstLineChars="200"/>
        <w:rPr>
          <w:rFonts w:hint="eastAsia" w:eastAsia="仿宋"/>
          <w:kern w:val="0"/>
          <w:sz w:val="28"/>
          <w:szCs w:val="28"/>
        </w:rPr>
      </w:pPr>
      <w:r>
        <w:rPr>
          <w:rFonts w:hint="eastAsia" w:eastAsia="仿宋"/>
          <w:kern w:val="0"/>
          <w:sz w:val="28"/>
          <w:szCs w:val="28"/>
        </w:rPr>
        <w:t xml:space="preserve">六、我公司同意在签订该承诺书的同时向贵公司缴纳投标保证金：     </w:t>
      </w:r>
    </w:p>
    <w:p w14:paraId="0756709C">
      <w:pPr>
        <w:ind w:firstLine="560" w:firstLineChars="200"/>
        <w:rPr>
          <w:rFonts w:hint="eastAsia" w:eastAsia="仿宋"/>
          <w:kern w:val="0"/>
          <w:sz w:val="28"/>
          <w:szCs w:val="28"/>
        </w:rPr>
      </w:pPr>
      <w:r>
        <w:rPr>
          <w:rFonts w:hint="eastAsia" w:eastAsia="仿宋"/>
          <w:kern w:val="0"/>
          <w:sz w:val="28"/>
          <w:szCs w:val="28"/>
        </w:rPr>
        <w:t>七、关于杜绝串标及相关违约处置承诺</w:t>
      </w:r>
    </w:p>
    <w:p w14:paraId="11CA39FA">
      <w:pPr>
        <w:ind w:firstLine="560" w:firstLineChars="200"/>
        <w:rPr>
          <w:rFonts w:hint="eastAsia" w:eastAsia="仿宋"/>
          <w:kern w:val="0"/>
          <w:sz w:val="28"/>
          <w:szCs w:val="28"/>
        </w:rPr>
      </w:pPr>
      <w:r>
        <w:rPr>
          <w:rFonts w:hint="eastAsia" w:eastAsia="仿宋"/>
          <w:kern w:val="0"/>
          <w:sz w:val="28"/>
          <w:szCs w:val="28"/>
        </w:rPr>
        <w:t>1.  我公司承诺，本次参与本项目投标系独立自主开展，为我公司独立行为，严格遵守《中华人民共和国招标投标法》《中华人民共和国招标投标法实施条例》及相关法律法规规定，坚决杜绝任何形式的串标、围标、陪标等违法违规行为，具体包括但不限于：与其他供应商协商投标报价等投标文件实质性内容、约定中标人、约定部分供应商放弃投标或中标、由同一单位或个人编制投标文件、委托同一单位或个人办理投标事宜、投标保证金从同一单位或个人账户转出等串通投标情形，也不存在挂靠其他单位投标、借用他人资质投标或为他人投标提供便利等违规情形；</w:t>
      </w:r>
    </w:p>
    <w:p w14:paraId="751726B8">
      <w:pPr>
        <w:ind w:firstLine="560" w:firstLineChars="200"/>
        <w:rPr>
          <w:rFonts w:hint="eastAsia" w:eastAsia="仿宋"/>
          <w:kern w:val="0"/>
          <w:sz w:val="28"/>
          <w:szCs w:val="28"/>
        </w:rPr>
      </w:pPr>
      <w:r>
        <w:rPr>
          <w:rFonts w:hint="eastAsia" w:eastAsia="仿宋"/>
          <w:kern w:val="0"/>
          <w:sz w:val="28"/>
          <w:szCs w:val="28"/>
        </w:rPr>
        <w:t>2.  我公司承诺，不与贵公司（甲方）任何工作人员、评标委员会成员串通投标，不向其赠送财物、提供不正当利益或进行其他利益输送，不泄露投标相关的敏感信息；</w:t>
      </w:r>
    </w:p>
    <w:p w14:paraId="35E425EB">
      <w:pPr>
        <w:ind w:firstLine="560" w:firstLineChars="200"/>
        <w:rPr>
          <w:rFonts w:hint="eastAsia" w:eastAsia="仿宋"/>
          <w:kern w:val="0"/>
          <w:sz w:val="28"/>
          <w:szCs w:val="28"/>
        </w:rPr>
      </w:pPr>
      <w:r>
        <w:rPr>
          <w:rFonts w:hint="eastAsia" w:eastAsia="仿宋"/>
          <w:kern w:val="0"/>
          <w:sz w:val="28"/>
          <w:szCs w:val="28"/>
        </w:rPr>
        <w:t>3.  若经贵公司、招标代理机构、招投标监督管理部门或司法机关查明，我公司存在本条所述任何串标、违规投标行为，无论该行为发生在投标阶段、中标阶段还是合同履约阶段，我公司自愿承担全部责任，与贵公司无任何关联，贵公司无需承担任何因我公司串标行为引发的法律责任、经济损失及不良影响，同时我公司自愿接受以下处置：</w:t>
      </w:r>
    </w:p>
    <w:p w14:paraId="1A9989EB">
      <w:pPr>
        <w:ind w:firstLine="560" w:firstLineChars="200"/>
        <w:rPr>
          <w:rFonts w:hint="eastAsia" w:eastAsia="仿宋"/>
          <w:kern w:val="0"/>
          <w:sz w:val="28"/>
          <w:szCs w:val="28"/>
        </w:rPr>
      </w:pPr>
      <w:r>
        <w:rPr>
          <w:rFonts w:hint="eastAsia" w:eastAsia="仿宋"/>
          <w:kern w:val="0"/>
          <w:sz w:val="28"/>
          <w:szCs w:val="28"/>
        </w:rPr>
        <w:t>（1） 立即被取消投标资格、中标资格（若已中标），中标结果自动无效；</w:t>
      </w:r>
    </w:p>
    <w:p w14:paraId="1A92D768">
      <w:pPr>
        <w:ind w:firstLine="560" w:firstLineChars="200"/>
        <w:rPr>
          <w:rFonts w:hint="eastAsia" w:eastAsia="仿宋"/>
          <w:kern w:val="0"/>
          <w:sz w:val="28"/>
          <w:szCs w:val="28"/>
        </w:rPr>
      </w:pPr>
      <w:r>
        <w:rPr>
          <w:rFonts w:hint="eastAsia" w:eastAsia="仿宋"/>
          <w:kern w:val="0"/>
          <w:sz w:val="28"/>
          <w:szCs w:val="28"/>
        </w:rPr>
        <w:t>（2） 已缴纳的投标保证金、履约保证金（若已缴纳）全部不予退还，任由贵公司处置；</w:t>
      </w:r>
    </w:p>
    <w:p w14:paraId="06AA624B">
      <w:pPr>
        <w:ind w:firstLine="560" w:firstLineChars="200"/>
        <w:rPr>
          <w:rFonts w:hint="eastAsia" w:eastAsia="仿宋"/>
          <w:kern w:val="0"/>
          <w:sz w:val="28"/>
          <w:szCs w:val="28"/>
        </w:rPr>
      </w:pPr>
      <w:r>
        <w:rPr>
          <w:rFonts w:hint="eastAsia" w:eastAsia="仿宋"/>
          <w:kern w:val="0"/>
          <w:sz w:val="28"/>
          <w:szCs w:val="28"/>
        </w:rPr>
        <w:t>（3） 赔偿贵公司因我公司串标行为遭受的全部直接经济损失，包括但不限于招标费用、重新招标费用、工期延误损失、价格虚高差额等；</w:t>
      </w:r>
    </w:p>
    <w:p w14:paraId="0BB2B371">
      <w:pPr>
        <w:ind w:firstLine="560" w:firstLineChars="200"/>
        <w:rPr>
          <w:rFonts w:hint="eastAsia" w:eastAsia="仿宋"/>
          <w:kern w:val="0"/>
          <w:sz w:val="28"/>
          <w:szCs w:val="28"/>
        </w:rPr>
      </w:pPr>
      <w:r>
        <w:rPr>
          <w:rFonts w:hint="eastAsia" w:eastAsia="仿宋"/>
          <w:kern w:val="0"/>
          <w:sz w:val="28"/>
          <w:szCs w:val="28"/>
        </w:rPr>
        <w:t>（4） 自愿接受行业主管部门的行政处罚，包括但不限于列入失信名单、限制1-2年内参与贵公司及同类项目投标，情节严重的接受吊销营业执照等处罚；</w:t>
      </w:r>
    </w:p>
    <w:p w14:paraId="04505947">
      <w:pPr>
        <w:ind w:firstLine="560" w:firstLineChars="200"/>
        <w:rPr>
          <w:rFonts w:hint="eastAsia" w:eastAsia="仿宋"/>
          <w:kern w:val="0"/>
          <w:sz w:val="28"/>
          <w:szCs w:val="28"/>
        </w:rPr>
      </w:pPr>
      <w:r>
        <w:rPr>
          <w:rFonts w:hint="eastAsia" w:eastAsia="仿宋"/>
          <w:kern w:val="0"/>
          <w:sz w:val="28"/>
          <w:szCs w:val="28"/>
        </w:rPr>
        <w:t>（5） 若串标行为涉嫌刑事犯罪（如造成直接经济损失30万元以上、违法所得10万元以上等），我公司自愿配合司法机关调查，依法承担刑事责任，与贵公司无任何牵连，同时承担由此给贵公司造成的全部间接损失及名誉损失；</w:t>
      </w:r>
    </w:p>
    <w:p w14:paraId="4C3E3397">
      <w:pPr>
        <w:ind w:firstLine="560" w:firstLineChars="200"/>
        <w:rPr>
          <w:rFonts w:hint="eastAsia" w:eastAsia="仿宋"/>
          <w:kern w:val="0"/>
          <w:sz w:val="28"/>
          <w:szCs w:val="28"/>
        </w:rPr>
      </w:pPr>
      <w:r>
        <w:rPr>
          <w:rFonts w:hint="eastAsia" w:eastAsia="仿宋"/>
          <w:kern w:val="0"/>
          <w:sz w:val="28"/>
          <w:szCs w:val="28"/>
        </w:rPr>
        <w:t>（6） 我公司承诺，配合贵公司及监管部门的调查工作，如实提供所有相关资料，不隐瞒、不篡改、不销毁证据，主动撇清贵公司责任。</w:t>
      </w:r>
    </w:p>
    <w:p w14:paraId="167E1283">
      <w:pPr>
        <w:ind w:firstLine="560" w:firstLineChars="200"/>
        <w:rPr>
          <w:rFonts w:hint="eastAsia" w:eastAsia="仿宋"/>
          <w:kern w:val="0"/>
          <w:sz w:val="28"/>
          <w:szCs w:val="28"/>
        </w:rPr>
      </w:pPr>
      <w:r>
        <w:rPr>
          <w:rFonts w:hint="eastAsia" w:eastAsia="仿宋"/>
          <w:kern w:val="0"/>
          <w:sz w:val="28"/>
          <w:szCs w:val="28"/>
        </w:rPr>
        <w:t>如果我公司违反了上述第一至第七条的任一条款，我公司愿意承担由此引起的一切后果和相应的法律责任，同时上述第六条所述的投标保证金我公司自愿放弃，任由贵公司处理。</w:t>
      </w:r>
    </w:p>
    <w:p w14:paraId="67B821CD">
      <w:pPr>
        <w:ind w:firstLine="560" w:firstLineChars="200"/>
        <w:rPr>
          <w:rFonts w:hint="eastAsia"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678E0065">
      <w:pPr>
        <w:ind w:firstLine="560" w:firstLineChars="200"/>
        <w:rPr>
          <w:rFonts w:hint="eastAsia" w:eastAsia="仿宋"/>
          <w:kern w:val="0"/>
          <w:sz w:val="28"/>
          <w:szCs w:val="28"/>
        </w:rPr>
      </w:pPr>
      <w:r>
        <w:rPr>
          <w:rFonts w:hint="eastAsia" w:eastAsia="仿宋"/>
          <w:kern w:val="0"/>
          <w:sz w:val="28"/>
          <w:szCs w:val="28"/>
        </w:rPr>
        <w:t>a）截至开标前5天，投标人无正当理由且未以书面形式递交说明而在投标截止日不来投标的；</w:t>
      </w:r>
    </w:p>
    <w:p w14:paraId="75D06884">
      <w:pPr>
        <w:ind w:firstLine="560" w:firstLineChars="200"/>
        <w:rPr>
          <w:rFonts w:hint="eastAsia" w:eastAsia="仿宋"/>
          <w:kern w:val="0"/>
          <w:sz w:val="28"/>
          <w:szCs w:val="28"/>
        </w:rPr>
      </w:pPr>
      <w:r>
        <w:rPr>
          <w:rFonts w:hint="eastAsia" w:eastAsia="仿宋"/>
          <w:kern w:val="0"/>
          <w:sz w:val="28"/>
          <w:szCs w:val="28"/>
        </w:rPr>
        <w:t>b）递送投标文件后，无正当理由放弃投标；</w:t>
      </w:r>
    </w:p>
    <w:p w14:paraId="30B73F45">
      <w:pPr>
        <w:ind w:firstLine="560" w:firstLineChars="200"/>
        <w:rPr>
          <w:rFonts w:hint="eastAsia" w:eastAsia="仿宋"/>
          <w:kern w:val="0"/>
          <w:sz w:val="28"/>
          <w:szCs w:val="28"/>
        </w:rPr>
      </w:pPr>
      <w:r>
        <w:rPr>
          <w:rFonts w:hint="eastAsia" w:eastAsia="仿宋"/>
          <w:kern w:val="0"/>
          <w:sz w:val="28"/>
          <w:szCs w:val="28"/>
        </w:rPr>
        <w:t>c）自中标通知书发出之日起30日内，无正当理由不签订合同；</w:t>
      </w:r>
    </w:p>
    <w:p w14:paraId="25787E1C">
      <w:pPr>
        <w:ind w:firstLine="560" w:firstLineChars="200"/>
        <w:rPr>
          <w:rFonts w:hint="eastAsia" w:eastAsia="仿宋"/>
          <w:kern w:val="0"/>
          <w:sz w:val="28"/>
          <w:szCs w:val="28"/>
        </w:rPr>
      </w:pPr>
      <w:r>
        <w:rPr>
          <w:rFonts w:hint="eastAsia" w:eastAsia="仿宋"/>
          <w:kern w:val="0"/>
          <w:sz w:val="28"/>
          <w:szCs w:val="28"/>
        </w:rPr>
        <w:t>d）在投标过程中被查实有串标、围标、陪标等违规违纪行为；</w:t>
      </w:r>
    </w:p>
    <w:p w14:paraId="076C737C">
      <w:pPr>
        <w:ind w:firstLine="560" w:firstLineChars="200"/>
        <w:rPr>
          <w:rFonts w:hint="eastAsia" w:eastAsia="仿宋"/>
          <w:kern w:val="0"/>
          <w:sz w:val="28"/>
          <w:szCs w:val="28"/>
        </w:rPr>
      </w:pPr>
      <w:r>
        <w:rPr>
          <w:rFonts w:hint="eastAsia" w:eastAsia="仿宋"/>
          <w:kern w:val="0"/>
          <w:sz w:val="28"/>
          <w:szCs w:val="28"/>
        </w:rPr>
        <w:t>e）有违约违规行为或被投诉、举报的，在调查处理期间，保证金暂不退还，待调查处理结束后按有关规定处理。</w:t>
      </w:r>
    </w:p>
    <w:p w14:paraId="00B6DB02">
      <w:pPr>
        <w:ind w:firstLine="560" w:firstLineChars="200"/>
        <w:rPr>
          <w:rFonts w:hint="eastAsia" w:eastAsia="仿宋"/>
          <w:kern w:val="0"/>
          <w:sz w:val="28"/>
          <w:szCs w:val="28"/>
        </w:rPr>
      </w:pPr>
      <w:r>
        <w:rPr>
          <w:rFonts w:hint="eastAsia" w:eastAsia="仿宋"/>
          <w:kern w:val="0"/>
          <w:sz w:val="28"/>
          <w:szCs w:val="28"/>
        </w:rPr>
        <w:t>特此承诺！</w:t>
      </w:r>
    </w:p>
    <w:p w14:paraId="075749B5">
      <w:pPr>
        <w:ind w:firstLine="560" w:firstLineChars="200"/>
        <w:rPr>
          <w:rFonts w:hint="eastAsia" w:eastAsia="仿宋"/>
          <w:kern w:val="0"/>
          <w:sz w:val="28"/>
          <w:szCs w:val="28"/>
        </w:rPr>
      </w:pPr>
      <w:r>
        <w:rPr>
          <w:rFonts w:hint="eastAsia" w:eastAsia="仿宋"/>
          <w:kern w:val="0"/>
          <w:sz w:val="28"/>
          <w:szCs w:val="28"/>
        </w:rPr>
        <w:t xml:space="preserve">投标人：                        公司 (盖章) </w:t>
      </w:r>
    </w:p>
    <w:p w14:paraId="3A18040F">
      <w:pPr>
        <w:ind w:firstLine="560" w:firstLineChars="200"/>
        <w:rPr>
          <w:rFonts w:hint="eastAsia" w:eastAsia="仿宋"/>
          <w:kern w:val="0"/>
          <w:sz w:val="28"/>
          <w:szCs w:val="28"/>
        </w:rPr>
      </w:pPr>
      <w:r>
        <w:rPr>
          <w:rFonts w:hint="eastAsia" w:eastAsia="仿宋"/>
          <w:kern w:val="0"/>
          <w:sz w:val="28"/>
          <w:szCs w:val="28"/>
        </w:rPr>
        <w:t>法定代表人或委托代理人：(签字)</w:t>
      </w:r>
    </w:p>
    <w:p w14:paraId="5D3B9DB8">
      <w:pPr>
        <w:ind w:firstLine="560" w:firstLineChars="200"/>
        <w:rPr>
          <w:rFonts w:hint="eastAsia" w:eastAsia="仿宋"/>
          <w:kern w:val="0"/>
          <w:sz w:val="28"/>
          <w:szCs w:val="28"/>
        </w:rPr>
      </w:pPr>
      <w:r>
        <w:rPr>
          <w:rFonts w:hint="eastAsia" w:eastAsia="仿宋"/>
          <w:kern w:val="0"/>
          <w:sz w:val="28"/>
          <w:szCs w:val="28"/>
        </w:rPr>
        <w:t>联系电话：</w:t>
      </w:r>
    </w:p>
    <w:p w14:paraId="2EB07788">
      <w:pPr>
        <w:ind w:firstLine="560" w:firstLineChars="200"/>
        <w:rPr>
          <w:rFonts w:hint="eastAsia" w:eastAsia="仿宋"/>
          <w:kern w:val="0"/>
          <w:sz w:val="28"/>
          <w:szCs w:val="28"/>
        </w:rPr>
      </w:pPr>
      <w:r>
        <w:rPr>
          <w:rFonts w:hint="eastAsia" w:eastAsia="仿宋"/>
          <w:kern w:val="0"/>
          <w:sz w:val="28"/>
          <w:szCs w:val="28"/>
        </w:rPr>
        <w:t>日期：  年  月  日</w:t>
      </w:r>
    </w:p>
    <w:p w14:paraId="62144C8C">
      <w:pPr>
        <w:spacing w:before="120" w:after="120" w:line="288" w:lineRule="auto"/>
        <w:ind w:left="0"/>
        <w:jc w:val="left"/>
      </w:pPr>
    </w:p>
    <w:p w14:paraId="130BFB4B">
      <w:pPr>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mericana B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4046A60"/>
    <w:multiLevelType w:val="singleLevel"/>
    <w:tmpl w:val="44046A60"/>
    <w:lvl w:ilvl="0" w:tentative="0">
      <w:start w:val="3"/>
      <w:numFmt w:val="chineseCounting"/>
      <w:suff w:val="nothing"/>
      <w:lvlText w:val="%1、"/>
      <w:lvlJc w:val="left"/>
      <w:rPr>
        <w:rFonts w:hint="eastAsia"/>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5"/>
  </w:num>
  <w:num w:numId="18">
    <w:abstractNumId w:val="27"/>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20"/>
  </w:num>
  <w:num w:numId="28">
    <w:abstractNumId w:val="17"/>
  </w:num>
  <w:num w:numId="29">
    <w:abstractNumId w:val="19"/>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B74401"/>
    <w:rsid w:val="09F169A9"/>
    <w:rsid w:val="09F24104"/>
    <w:rsid w:val="0AD823B8"/>
    <w:rsid w:val="0BD17FD7"/>
    <w:rsid w:val="0C300C4E"/>
    <w:rsid w:val="0C746EAB"/>
    <w:rsid w:val="0CB51572"/>
    <w:rsid w:val="0CE53B07"/>
    <w:rsid w:val="0DA0500B"/>
    <w:rsid w:val="0E4D31E3"/>
    <w:rsid w:val="10863702"/>
    <w:rsid w:val="10DC2AA3"/>
    <w:rsid w:val="10FA7C8C"/>
    <w:rsid w:val="125976B2"/>
    <w:rsid w:val="12BB58E4"/>
    <w:rsid w:val="12DA145B"/>
    <w:rsid w:val="130B198F"/>
    <w:rsid w:val="137A46EB"/>
    <w:rsid w:val="13916645"/>
    <w:rsid w:val="13AC347F"/>
    <w:rsid w:val="15173904"/>
    <w:rsid w:val="16A918E4"/>
    <w:rsid w:val="17D966D6"/>
    <w:rsid w:val="18335F1D"/>
    <w:rsid w:val="1901332A"/>
    <w:rsid w:val="190D7AB1"/>
    <w:rsid w:val="19222CB8"/>
    <w:rsid w:val="19B2654C"/>
    <w:rsid w:val="1A0E6C42"/>
    <w:rsid w:val="1A3C0AAA"/>
    <w:rsid w:val="1A5E0A0E"/>
    <w:rsid w:val="1BC71D3B"/>
    <w:rsid w:val="1BFE3EC5"/>
    <w:rsid w:val="1C59115B"/>
    <w:rsid w:val="1D9A259A"/>
    <w:rsid w:val="1DB23D88"/>
    <w:rsid w:val="1DE06B47"/>
    <w:rsid w:val="1EFD54D7"/>
    <w:rsid w:val="1F1C1B35"/>
    <w:rsid w:val="1FB23E60"/>
    <w:rsid w:val="20BE4D41"/>
    <w:rsid w:val="21093CBF"/>
    <w:rsid w:val="21486EDD"/>
    <w:rsid w:val="21BF6A73"/>
    <w:rsid w:val="2247129B"/>
    <w:rsid w:val="22484CBB"/>
    <w:rsid w:val="22791318"/>
    <w:rsid w:val="22C5630B"/>
    <w:rsid w:val="22E95588"/>
    <w:rsid w:val="23EC0BA6"/>
    <w:rsid w:val="24701A48"/>
    <w:rsid w:val="24AD1DA0"/>
    <w:rsid w:val="25163A6C"/>
    <w:rsid w:val="254079E5"/>
    <w:rsid w:val="256D6F65"/>
    <w:rsid w:val="268B0052"/>
    <w:rsid w:val="270C275B"/>
    <w:rsid w:val="27610E37"/>
    <w:rsid w:val="27743C90"/>
    <w:rsid w:val="27FA0805"/>
    <w:rsid w:val="28813D0E"/>
    <w:rsid w:val="29CA2459"/>
    <w:rsid w:val="2AFB6D6E"/>
    <w:rsid w:val="2B271A58"/>
    <w:rsid w:val="2B6304A7"/>
    <w:rsid w:val="2B645F92"/>
    <w:rsid w:val="2B7967FF"/>
    <w:rsid w:val="2CBE2D2A"/>
    <w:rsid w:val="2CF6734C"/>
    <w:rsid w:val="2D614E83"/>
    <w:rsid w:val="2D663463"/>
    <w:rsid w:val="2D855BEE"/>
    <w:rsid w:val="2EF96EE4"/>
    <w:rsid w:val="30542A7D"/>
    <w:rsid w:val="309A0DD7"/>
    <w:rsid w:val="32D8643E"/>
    <w:rsid w:val="331627E1"/>
    <w:rsid w:val="3343707B"/>
    <w:rsid w:val="337E22EA"/>
    <w:rsid w:val="33C100F7"/>
    <w:rsid w:val="341C4194"/>
    <w:rsid w:val="34594B05"/>
    <w:rsid w:val="353C420B"/>
    <w:rsid w:val="358F4C83"/>
    <w:rsid w:val="35FE5984"/>
    <w:rsid w:val="36254FE4"/>
    <w:rsid w:val="36914C50"/>
    <w:rsid w:val="3710183A"/>
    <w:rsid w:val="372F61E0"/>
    <w:rsid w:val="39322FCA"/>
    <w:rsid w:val="39FC420C"/>
    <w:rsid w:val="3AB90991"/>
    <w:rsid w:val="3ACA7C7F"/>
    <w:rsid w:val="3B706131"/>
    <w:rsid w:val="3B8C53DF"/>
    <w:rsid w:val="3C6E4D25"/>
    <w:rsid w:val="3CB83334"/>
    <w:rsid w:val="3D172303"/>
    <w:rsid w:val="3D490B59"/>
    <w:rsid w:val="3E6F041E"/>
    <w:rsid w:val="40337F4D"/>
    <w:rsid w:val="40CD73AF"/>
    <w:rsid w:val="410F4ECA"/>
    <w:rsid w:val="414C3A28"/>
    <w:rsid w:val="41606952"/>
    <w:rsid w:val="4275481E"/>
    <w:rsid w:val="4280553B"/>
    <w:rsid w:val="428B617A"/>
    <w:rsid w:val="42923258"/>
    <w:rsid w:val="42C35F6C"/>
    <w:rsid w:val="433D7BDC"/>
    <w:rsid w:val="437E1813"/>
    <w:rsid w:val="438A2D79"/>
    <w:rsid w:val="44742D87"/>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A8E63E0"/>
    <w:rsid w:val="4B382369"/>
    <w:rsid w:val="4B592E71"/>
    <w:rsid w:val="4BE30D5E"/>
    <w:rsid w:val="4D354A04"/>
    <w:rsid w:val="4D8E4E9F"/>
    <w:rsid w:val="4DAE616A"/>
    <w:rsid w:val="4EB055FF"/>
    <w:rsid w:val="4F9372D6"/>
    <w:rsid w:val="4FC8015F"/>
    <w:rsid w:val="50462927"/>
    <w:rsid w:val="513C3DC7"/>
    <w:rsid w:val="51612ABA"/>
    <w:rsid w:val="516C6F9F"/>
    <w:rsid w:val="51C2772F"/>
    <w:rsid w:val="52497665"/>
    <w:rsid w:val="52B9239A"/>
    <w:rsid w:val="52F83A10"/>
    <w:rsid w:val="5367649F"/>
    <w:rsid w:val="547E162A"/>
    <w:rsid w:val="54BD78FD"/>
    <w:rsid w:val="54E85B62"/>
    <w:rsid w:val="5503564E"/>
    <w:rsid w:val="55C02F87"/>
    <w:rsid w:val="57295661"/>
    <w:rsid w:val="58A86DDE"/>
    <w:rsid w:val="58C03CD6"/>
    <w:rsid w:val="59154AD7"/>
    <w:rsid w:val="596F3FB6"/>
    <w:rsid w:val="5A272E2C"/>
    <w:rsid w:val="5ADF548D"/>
    <w:rsid w:val="5BF92E16"/>
    <w:rsid w:val="5C8F2693"/>
    <w:rsid w:val="5D5C60B4"/>
    <w:rsid w:val="5DCE5B23"/>
    <w:rsid w:val="608D71B1"/>
    <w:rsid w:val="60A25FBA"/>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B1261C9"/>
    <w:rsid w:val="6B481C3B"/>
    <w:rsid w:val="6B5C5EE2"/>
    <w:rsid w:val="6C1331A3"/>
    <w:rsid w:val="6CA84BC1"/>
    <w:rsid w:val="6D3E4756"/>
    <w:rsid w:val="6DA23B2A"/>
    <w:rsid w:val="6F5D73E5"/>
    <w:rsid w:val="6F7D52B5"/>
    <w:rsid w:val="6FC523EB"/>
    <w:rsid w:val="6FF375E1"/>
    <w:rsid w:val="70477EA0"/>
    <w:rsid w:val="707F70C6"/>
    <w:rsid w:val="70834F97"/>
    <w:rsid w:val="72895F2E"/>
    <w:rsid w:val="72C02EBE"/>
    <w:rsid w:val="72C507AD"/>
    <w:rsid w:val="72D028D8"/>
    <w:rsid w:val="732B52E4"/>
    <w:rsid w:val="745D47C3"/>
    <w:rsid w:val="74CF2EE5"/>
    <w:rsid w:val="74DA48CB"/>
    <w:rsid w:val="75367AA7"/>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2114</Words>
  <Characters>2395</Characters>
  <Lines>127</Lines>
  <Paragraphs>35</Paragraphs>
  <TotalTime>28</TotalTime>
  <ScaleCrop>false</ScaleCrop>
  <LinksUpToDate>false</LinksUpToDate>
  <CharactersWithSpaces>2440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2026-04-08T07:57:00Z</cp:lastPrinted>
  <dcterms:modified xsi:type="dcterms:W3CDTF">2026-06-25T02:22:27Z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