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0987"/>
      <w:bookmarkStart w:id="1" w:name="_Toc15310"/>
    </w:p>
    <w:p>
      <w:pPr>
        <w:pStyle w:val="2"/>
        <w:rPr>
          <w:rFonts w:hint="eastAsia"/>
        </w:rPr>
      </w:pPr>
    </w:p>
    <w:p>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中国重汽集团济南动力有限公司济南成型厂铸造二部辅料间防爆行车更新技改项目</w:t>
      </w:r>
    </w:p>
    <w:p>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pPr>
        <w:pStyle w:val="4"/>
        <w:rPr>
          <w:rFonts w:hint="eastAsia"/>
        </w:rPr>
      </w:pPr>
    </w:p>
    <w:p>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jc w:val="both"/>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pStyle w:val="4"/>
        <w:rPr>
          <w:rFonts w:hint="eastAsia"/>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中国重汽集团济南动力有限公司</w:t>
      </w:r>
    </w:p>
    <w:p>
      <w:pPr>
        <w:pStyle w:val="32"/>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2026</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4</w:t>
      </w:r>
      <w:r>
        <w:rPr>
          <w:rFonts w:hint="eastAsia" w:asciiTheme="minorEastAsia" w:hAnsiTheme="minorEastAsia" w:eastAsiaTheme="minorEastAsia" w:cstheme="minorEastAsia"/>
          <w:sz w:val="30"/>
          <w:szCs w:val="30"/>
        </w:rPr>
        <w:t>月</w:t>
      </w:r>
    </w:p>
    <w:p>
      <w:pPr>
        <w:ind w:firstLine="420"/>
        <w:rPr>
          <w:rFonts w:hint="eastAsia" w:asciiTheme="minorEastAsia" w:hAnsiTheme="minorEastAsia" w:eastAsiaTheme="minorEastAsia" w:cstheme="minorEastAsia"/>
        </w:rPr>
      </w:pPr>
    </w:p>
    <w:p>
      <w:pPr>
        <w:ind w:firstLine="420"/>
        <w:rPr>
          <w:rFonts w:hint="eastAsia" w:asciiTheme="minorEastAsia" w:hAnsiTheme="minorEastAsia" w:eastAsiaTheme="minorEastAsia" w:cstheme="minorEastAsia"/>
        </w:rPr>
      </w:pPr>
    </w:p>
    <w:bookmarkEnd w:id="0"/>
    <w:bookmarkEnd w:id="1"/>
    <w:p>
      <w:pPr>
        <w:widowControl/>
        <w:ind w:firstLine="420"/>
        <w:jc w:val="left"/>
        <w:rPr>
          <w:rFonts w:hint="eastAsia" w:asciiTheme="minorEastAsia" w:hAnsiTheme="minorEastAsia" w:eastAsiaTheme="minorEastAsia" w:cstheme="minorEastAsia"/>
          <w:b/>
          <w:kern w:val="0"/>
          <w:sz w:val="32"/>
          <w:szCs w:val="32"/>
          <w:lang w:val="zh-CN"/>
        </w:rPr>
      </w:pPr>
      <w:bookmarkStart w:id="2" w:name="_Toc16518"/>
      <w:bookmarkStart w:id="3" w:name="_Toc23462"/>
      <w:bookmarkStart w:id="4" w:name="_Toc131406235"/>
      <w:r>
        <w:rPr>
          <w:rFonts w:hint="eastAsia" w:asciiTheme="minorEastAsia" w:hAnsiTheme="minorEastAsia" w:eastAsiaTheme="minorEastAsia" w:cstheme="minorEastAsia"/>
          <w:szCs w:val="32"/>
        </w:rPr>
        <w:br w:type="page"/>
      </w:r>
    </w:p>
    <w:p>
      <w:pPr>
        <w:pStyle w:val="4"/>
        <w:snapToGrid w:val="0"/>
        <w:spacing w:before="0" w:after="0" w:line="360" w:lineRule="auto"/>
        <w:ind w:firstLine="643"/>
        <w:jc w:val="center"/>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szCs w:val="32"/>
        </w:rPr>
        <w:t>招标公告</w:t>
      </w:r>
      <w:bookmarkEnd w:id="2"/>
      <w:bookmarkEnd w:id="3"/>
      <w:bookmarkEnd w:id="4"/>
    </w:p>
    <w:p>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中国重汽集团济南动力有限公司济南成型厂质量提升专项铸造二部辅料间防爆行车更新技改项目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285809451"/>
      <w:bookmarkEnd w:id="5"/>
      <w:bookmarkStart w:id="6" w:name="_Toc152042290"/>
      <w:bookmarkEnd w:id="6"/>
      <w:bookmarkStart w:id="7" w:name="_Toc144974482"/>
      <w:bookmarkEnd w:id="7"/>
      <w:bookmarkStart w:id="8" w:name="_Toc179632530"/>
      <w:bookmarkEnd w:id="8"/>
      <w:bookmarkStart w:id="9" w:name="_Toc152045514"/>
      <w:bookmarkEnd w:id="9"/>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济南成型厂质量提升专项铸造二部辅料间防爆行车更新技改项目  </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 xml:space="preserve"> ZBGL2026040310 </w:t>
      </w:r>
      <w:r>
        <w:rPr>
          <w:rFonts w:hint="eastAsia" w:asciiTheme="minorEastAsia" w:hAnsiTheme="minorEastAsia" w:eastAsiaTheme="minorEastAsia" w:cstheme="minorEastAsia"/>
          <w:kern w:val="0"/>
          <w:sz w:val="24"/>
          <w:szCs w:val="24"/>
          <w:highlight w:val="none"/>
          <w:lang w:bidi="en-US"/>
        </w:rPr>
        <w:t>；</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宋体" w:hAnsi="宋体" w:eastAsia="宋体" w:cs="宋体"/>
          <w:color w:val="000000"/>
          <w:sz w:val="24"/>
          <w:szCs w:val="24"/>
          <w:u w:val="single"/>
        </w:rPr>
        <w:t>济南成型厂</w:t>
      </w:r>
      <w:r>
        <w:rPr>
          <w:rFonts w:hint="eastAsia" w:asciiTheme="minorEastAsia" w:hAnsiTheme="minorEastAsia" w:eastAsiaTheme="minorEastAsia" w:cstheme="minorEastAsia"/>
          <w:kern w:val="0"/>
          <w:sz w:val="24"/>
          <w:szCs w:val="24"/>
          <w:highlight w:val="none"/>
          <w:u w:val="single"/>
          <w:lang w:bidi="en-US"/>
        </w:rPr>
        <w:t>；</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hint="eastAsia" w:asciiTheme="minorEastAsia" w:hAnsiTheme="minorEastAsia" w:eastAsiaTheme="minorEastAsia" w:cstheme="minorEastAsia"/>
          <w:kern w:val="0"/>
          <w:sz w:val="24"/>
          <w:szCs w:val="24"/>
          <w:highlight w:val="none"/>
          <w:u w:val="single"/>
          <w:lang w:val="en-US" w:eastAsia="zh-CN" w:bidi="en-US"/>
        </w:rPr>
        <w:t>济南成型厂</w:t>
      </w:r>
      <w:r>
        <w:rPr>
          <w:rFonts w:hint="eastAsia" w:asciiTheme="minorEastAsia" w:hAnsiTheme="minorEastAsia" w:eastAsiaTheme="minorEastAsia" w:cstheme="minorEastAsia"/>
          <w:sz w:val="24"/>
          <w:szCs w:val="24"/>
          <w:highlight w:val="none"/>
          <w:u w:val="single"/>
          <w:lang w:val="en-US" w:eastAsia="zh-CN"/>
        </w:rPr>
        <w:t>辅料间防爆行车更新</w:t>
      </w:r>
      <w:r>
        <w:rPr>
          <w:rFonts w:hint="eastAsia" w:asciiTheme="minorEastAsia" w:hAnsiTheme="minorEastAsia" w:eastAsiaTheme="minorEastAsia" w:cstheme="minorEastAsia"/>
          <w:kern w:val="0"/>
          <w:sz w:val="24"/>
          <w:szCs w:val="24"/>
          <w:highlight w:val="none"/>
          <w:u w:val="single"/>
          <w:lang w:val="en-US" w:eastAsia="zh-CN" w:bidi="en-US"/>
        </w:rPr>
        <w:t>。</w:t>
      </w:r>
      <w:r>
        <w:rPr>
          <w:rFonts w:hint="eastAsia" w:ascii="宋体" w:hAnsi="宋体"/>
          <w:b w:val="0"/>
          <w:bCs w:val="0"/>
          <w:color w:val="000000"/>
          <w:sz w:val="24"/>
          <w:szCs w:val="24"/>
          <w:lang w:val="en-US" w:eastAsia="zh-CN" w:bidi="zh-CN"/>
        </w:rPr>
        <w:t>技术要求详见“招标文件”</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1.拟投标人必须是在中华人民共和国境内注册的独立法人机构，具有独立承担民事责任能力；注册资金不少于</w:t>
      </w:r>
      <w:r>
        <w:rPr>
          <w:rFonts w:hint="eastAsia" w:hAnsi="宋体" w:cs="宋体"/>
          <w:color w:val="000000"/>
          <w:sz w:val="24"/>
          <w:szCs w:val="24"/>
          <w:highlight w:val="none"/>
          <w:lang w:val="en-US" w:eastAsia="zh-CN"/>
        </w:rPr>
        <w:t>1</w:t>
      </w:r>
      <w:r>
        <w:rPr>
          <w:rFonts w:hint="eastAsia" w:hAnsi="宋体" w:eastAsia="宋体" w:cs="宋体"/>
          <w:color w:val="000000"/>
          <w:sz w:val="24"/>
          <w:szCs w:val="24"/>
          <w:highlight w:val="none"/>
          <w:lang w:val="en-US" w:eastAsia="zh-CN"/>
        </w:rPr>
        <w:t>0</w:t>
      </w:r>
      <w:r>
        <w:rPr>
          <w:rFonts w:hint="eastAsia" w:hAnsi="宋体" w:eastAsia="宋体" w:cs="宋体"/>
          <w:color w:val="000000"/>
          <w:sz w:val="24"/>
          <w:szCs w:val="24"/>
          <w:highlight w:val="none"/>
        </w:rPr>
        <w:t>0万人民币</w:t>
      </w:r>
      <w:r>
        <w:rPr>
          <w:rFonts w:hint="eastAsia" w:hAnsi="宋体" w:cs="宋体"/>
          <w:color w:val="000000"/>
          <w:sz w:val="24"/>
          <w:szCs w:val="24"/>
          <w:highlight w:val="none"/>
          <w:lang w:eastAsia="zh-CN"/>
        </w:rPr>
        <w:t>（</w:t>
      </w:r>
      <w:r>
        <w:rPr>
          <w:rFonts w:hint="eastAsia" w:hAnsi="宋体" w:eastAsia="宋体" w:cs="宋体"/>
          <w:color w:val="000000"/>
          <w:sz w:val="24"/>
          <w:szCs w:val="24"/>
          <w:highlight w:val="none"/>
        </w:rPr>
        <w:t>或等值其他货币</w:t>
      </w:r>
      <w:r>
        <w:rPr>
          <w:rFonts w:hint="eastAsia" w:hAnsi="宋体" w:cs="宋体"/>
          <w:color w:val="000000"/>
          <w:sz w:val="24"/>
          <w:szCs w:val="24"/>
          <w:highlight w:val="none"/>
          <w:lang w:eastAsia="zh-CN"/>
        </w:rPr>
        <w:t>）；</w:t>
      </w:r>
      <w:r>
        <w:rPr>
          <w:rFonts w:hint="eastAsia" w:hAnsi="宋体" w:eastAsia="宋体" w:cs="宋体"/>
          <w:color w:val="000000"/>
          <w:sz w:val="24"/>
          <w:szCs w:val="24"/>
          <w:highlight w:val="none"/>
        </w:rPr>
        <w:t>公司成立三年以上</w:t>
      </w:r>
      <w:r>
        <w:rPr>
          <w:rFonts w:hint="eastAsia" w:hAnsi="宋体" w:cs="宋体"/>
          <w:color w:val="000000"/>
          <w:sz w:val="24"/>
          <w:szCs w:val="24"/>
          <w:highlight w:val="none"/>
          <w:lang w:eastAsia="zh-CN"/>
        </w:rPr>
        <w:t>（</w:t>
      </w:r>
      <w:r>
        <w:rPr>
          <w:rFonts w:hint="eastAsia" w:hAnsi="宋体" w:eastAsia="宋体" w:cs="宋体"/>
          <w:color w:val="000000"/>
          <w:sz w:val="24"/>
          <w:szCs w:val="24"/>
          <w:highlight w:val="none"/>
        </w:rPr>
        <w:t>以营业执照成立日期到开标当日满三年为准</w:t>
      </w:r>
      <w:r>
        <w:rPr>
          <w:rFonts w:hint="eastAsia" w:hAnsi="宋体" w:cs="宋体"/>
          <w:color w:val="000000"/>
          <w:sz w:val="24"/>
          <w:szCs w:val="24"/>
          <w:highlight w:val="none"/>
          <w:lang w:eastAsia="zh-CN"/>
        </w:rPr>
        <w:t>），</w:t>
      </w:r>
      <w:r>
        <w:rPr>
          <w:rFonts w:hint="eastAsia" w:hAnsi="宋体" w:eastAsia="宋体" w:cs="宋体"/>
          <w:color w:val="000000"/>
          <w:sz w:val="24"/>
          <w:szCs w:val="24"/>
          <w:highlight w:val="none"/>
        </w:rPr>
        <w:t>且经营范围满足招标人需求；并在人员、设备、资金等方面具有承担本项目的能力；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2.拟投标人应提供三证合一的营业执照副本原件和扫描件(需盖章);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4.拟投标人在工商行政管理局的《国家企业信用信息公示系统》中查询不存在不良记录；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6.拟投标人202</w:t>
      </w:r>
      <w:r>
        <w:rPr>
          <w:rFonts w:hint="eastAsia" w:hAnsi="宋体" w:cs="宋体"/>
          <w:color w:val="000000"/>
          <w:sz w:val="24"/>
          <w:szCs w:val="24"/>
          <w:highlight w:val="none"/>
          <w:lang w:val="en-US" w:eastAsia="zh-CN"/>
        </w:rPr>
        <w:t>3</w:t>
      </w:r>
      <w:r>
        <w:rPr>
          <w:rFonts w:hint="eastAsia" w:hAnsi="宋体" w:eastAsia="宋体" w:cs="宋体"/>
          <w:color w:val="000000"/>
          <w:sz w:val="24"/>
          <w:szCs w:val="24"/>
          <w:highlight w:val="none"/>
        </w:rPr>
        <w:t>年1月1日至今经第三方审计的公司财务报表(资产负债表、损益表、现金流量表)未显示异常；（如投标人公司没有经审计的财务报告，可提供加盖公章的近三年财务报表，包括但不限于资产负债表、利润表、现金流量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7.拟投标人有与本次招标内容相同或类似项目业绩，且近3年内无因服务不当而造成重大事故；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8.投标人三年内无违法及重大违规情况；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9.投标人须认可招标人的工作指令，包括节、假日能正常开展工作的要求；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10.投标人最近半年纳税正常；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11.投标人信用证明材料(征信报告)未显示异常；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12.供方的直接或间接股东、法定代表人、董事、监事、高管非重汽员工及其亲属；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13.本项目不接受联合体投标，拟投标人必须是最终投标单位和签订合同单位，不得以任何理由将已中标项目以任何形式分包或转包给其他单位。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bCs/>
          <w:highlight w:val="none"/>
        </w:rPr>
      </w:pPr>
      <w:r>
        <w:rPr>
          <w:rFonts w:hint="eastAsia" w:hAnsi="宋体" w:eastAsia="宋体" w:cs="宋体"/>
          <w:color w:val="000000"/>
          <w:sz w:val="24"/>
          <w:szCs w:val="24"/>
          <w:highlight w:val="none"/>
        </w:rPr>
        <w:t>14.无招标违规、谎报年度报告信息、提供虚假资质资料等行为或其他行政处罚记录；近三年内在经营活动中无与本项目有关的违法及重大违规情况。</w:t>
      </w:r>
    </w:p>
    <w:p>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w:t>
      </w:r>
      <w:r>
        <w:rPr>
          <w:rFonts w:hint="eastAsia" w:ascii="宋体" w:hAnsi="宋体" w:cs="宋体"/>
          <w:b/>
          <w:bCs/>
          <w:color w:val="000000"/>
          <w:sz w:val="24"/>
          <w:szCs w:val="24"/>
          <w:highlight w:val="none"/>
          <w:lang w:val="en-US" w:eastAsia="zh-CN"/>
        </w:rPr>
        <w:t>应标</w:t>
      </w:r>
      <w:r>
        <w:rPr>
          <w:rFonts w:hint="eastAsia" w:ascii="宋体" w:hAnsi="宋体" w:eastAsia="宋体" w:cs="宋体"/>
          <w:b/>
          <w:bCs/>
          <w:color w:val="000000"/>
          <w:sz w:val="24"/>
          <w:szCs w:val="24"/>
          <w:highlight w:val="none"/>
        </w:rPr>
        <w:t>报名</w:t>
      </w:r>
    </w:p>
    <w:p>
      <w:pPr>
        <w:keepNext/>
        <w:keepLines/>
        <w:spacing w:line="360" w:lineRule="auto"/>
        <w:ind w:firstLine="482" w:firstLineChars="200"/>
        <w:outlineLvl w:val="2"/>
        <w:rPr>
          <w:rFonts w:hint="default" w:ascii="宋体" w:hAnsi="宋体" w:eastAsia="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应标报名截止时间：2026年4月30日17：00</w:t>
      </w:r>
    </w:p>
    <w:p>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eastAsia="宋体" w:cs="宋体"/>
          <w:sz w:val="24"/>
          <w:szCs w:val="24"/>
          <w:highlight w:val="none"/>
          <w:lang w:val="en-US" w:eastAsia="zh-CN"/>
        </w:rPr>
        <w:t>在“中国重汽e采通”平台</w:t>
      </w:r>
      <w:r>
        <w:rPr>
          <w:rFonts w:hint="eastAsia" w:eastAsia="宋体" w:cs="宋体"/>
          <w:sz w:val="24"/>
          <w:szCs w:val="24"/>
          <w:highlight w:val="none"/>
        </w:rPr>
        <w:t>报名</w:t>
      </w:r>
      <w:r>
        <w:rPr>
          <w:rFonts w:hint="eastAsia" w:eastAsia="宋体" w:cs="宋体"/>
          <w:sz w:val="24"/>
          <w:szCs w:val="24"/>
          <w:highlight w:val="none"/>
          <w:lang w:eastAsia="zh-CN"/>
        </w:rPr>
        <w:t>，</w:t>
      </w:r>
      <w:r>
        <w:rPr>
          <w:rFonts w:hint="eastAsia" w:eastAsia="宋体" w:cs="宋体"/>
          <w:sz w:val="24"/>
          <w:szCs w:val="24"/>
          <w:highlight w:val="none"/>
          <w:lang w:val="en-US" w:eastAsia="zh-CN"/>
        </w:rPr>
        <w:t>具体流程如下：</w:t>
      </w:r>
      <w:r>
        <w:rPr>
          <w:rFonts w:hint="eastAsia" w:eastAsia="宋体" w:cs="宋体"/>
          <w:sz w:val="24"/>
          <w:szCs w:val="24"/>
          <w:highlight w:val="none"/>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w:t>
      </w:r>
      <w:r>
        <w:rPr>
          <w:rFonts w:hint="eastAsia" w:hAnsi="宋体" w:eastAsia="宋体" w:cs="宋体"/>
          <w:sz w:val="24"/>
          <w:szCs w:val="24"/>
          <w:lang w:val="en-US" w:eastAsia="zh-CN"/>
        </w:rPr>
        <w:t>3</w:t>
      </w:r>
      <w:r>
        <w:rPr>
          <w:rFonts w:ascii="宋体" w:hAnsi="宋体" w:eastAsia="宋体" w:cs="宋体"/>
          <w:sz w:val="24"/>
          <w:szCs w:val="24"/>
        </w:rPr>
        <w:t>-202</w:t>
      </w:r>
      <w:r>
        <w:rPr>
          <w:rFonts w:hint="eastAsia" w:hAnsi="宋体" w:eastAsia="宋体" w:cs="宋体"/>
          <w:sz w:val="24"/>
          <w:szCs w:val="24"/>
          <w:lang w:val="en-US" w:eastAsia="zh-CN"/>
        </w:rPr>
        <w:t>5</w:t>
      </w:r>
      <w:r>
        <w:rPr>
          <w:rFonts w:ascii="宋体" w:hAnsi="宋体" w:eastAsia="宋体" w:cs="宋体"/>
          <w:sz w:val="24"/>
          <w:szCs w:val="24"/>
        </w:rPr>
        <w:t>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Theme="minorEastAsia" w:hAnsiTheme="minorEastAsia" w:eastAsiaTheme="minorEastAsia" w:cstheme="minorEastAsia"/>
          <w:bCs/>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pPr>
        <w:pStyle w:val="2"/>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pPr>
        <w:pStyle w:val="2"/>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pPr>
        <w:pStyle w:val="2"/>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③2023年1月1日至今，企业近三年同类项目业绩证明，须提供用户清单、采购合同复印件；</w:t>
      </w:r>
    </w:p>
    <w:p>
      <w:pPr>
        <w:pStyle w:val="2"/>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pPr>
        <w:pStyle w:val="2"/>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应标时不做要求，投标时需随文件上传）</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pPr>
        <w:pStyle w:val="20"/>
        <w:rPr>
          <w:rFonts w:hint="eastAsia"/>
          <w:lang w:eastAsia="zh-CN"/>
        </w:rPr>
      </w:pPr>
    </w:p>
    <w:p>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p>
    <w:p>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5</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10</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17</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5</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11</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eastAsia="zh-CN"/>
        </w:rPr>
        <w:t>（</w:t>
      </w:r>
      <w:r>
        <w:rPr>
          <w:rFonts w:ascii="宋体" w:hAnsi="宋体" w:eastAsia="宋体" w:cs="宋体"/>
          <w:b/>
          <w:bCs/>
          <w:sz w:val="24"/>
          <w:szCs w:val="24"/>
        </w:rPr>
        <w:t>暂定，以实际通知为准</w:t>
      </w:r>
      <w:r>
        <w:rPr>
          <w:rFonts w:hint="eastAsia" w:asciiTheme="minorEastAsia" w:hAnsiTheme="minorEastAsia" w:eastAsiaTheme="minorEastAsia" w:cstheme="minorEastAsia"/>
          <w:b/>
          <w:sz w:val="24"/>
          <w:szCs w:val="24"/>
          <w:lang w:val="en-US" w:eastAsia="zh-CN"/>
        </w:rPr>
        <w:t>）</w:t>
      </w:r>
    </w:p>
    <w:p>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w:t>
      </w:r>
      <w:r>
        <w:rPr>
          <w:rFonts w:hint="eastAsia" w:asciiTheme="minorEastAsia" w:hAnsiTheme="minorEastAsia" w:eastAsiaTheme="minorEastAsia" w:cstheme="minorEastAsia"/>
          <w:b/>
          <w:sz w:val="24"/>
          <w:szCs w:val="24"/>
          <w:lang w:val="en-US" w:eastAsia="zh-CN"/>
        </w:rPr>
        <w:t>线上会议</w:t>
      </w:r>
      <w:r>
        <w:rPr>
          <w:rFonts w:hint="eastAsia" w:asciiTheme="minorEastAsia" w:hAnsiTheme="minorEastAsia" w:eastAsiaTheme="minorEastAsia" w:cstheme="minorEastAsia"/>
          <w:b/>
          <w:bCs w:val="0"/>
          <w:color w:val="auto"/>
          <w:sz w:val="24"/>
          <w:szCs w:val="24"/>
          <w:highlight w:val="yellow"/>
          <w:lang w:val="en-US" w:eastAsia="zh-CN"/>
        </w:rPr>
        <w:t>（</w:t>
      </w:r>
      <w:r>
        <w:rPr>
          <w:rFonts w:hint="eastAsia" w:ascii="宋体" w:hAnsi="宋体" w:eastAsia="宋体" w:cs="宋体"/>
          <w:b/>
          <w:bCs w:val="0"/>
          <w:color w:val="auto"/>
          <w:kern w:val="2"/>
          <w:sz w:val="24"/>
          <w:szCs w:val="24"/>
          <w:highlight w:val="yellow"/>
          <w:lang w:val="en-US" w:eastAsia="zh-CN" w:bidi="ar"/>
        </w:rPr>
        <w:t>投标方需要在开标前，将投标保证金</w:t>
      </w:r>
      <w:r>
        <w:rPr>
          <w:rFonts w:hint="eastAsia" w:ascii="宋体" w:hAnsi="宋体" w:cs="宋体"/>
          <w:b/>
          <w:bCs w:val="0"/>
          <w:color w:val="auto"/>
          <w:kern w:val="2"/>
          <w:sz w:val="24"/>
          <w:szCs w:val="24"/>
          <w:highlight w:val="yellow"/>
          <w:lang w:val="en-US" w:eastAsia="zh-CN" w:bidi="ar"/>
        </w:rPr>
        <w:t>缴纳凭证</w:t>
      </w:r>
      <w:r>
        <w:rPr>
          <w:rFonts w:hint="eastAsia" w:ascii="宋体" w:hAnsi="宋体" w:eastAsia="宋体" w:cs="宋体"/>
          <w:b/>
          <w:bCs w:val="0"/>
          <w:color w:val="auto"/>
          <w:kern w:val="2"/>
          <w:sz w:val="24"/>
          <w:szCs w:val="24"/>
          <w:highlight w:val="yellow"/>
          <w:lang w:val="en-US" w:eastAsia="zh-CN" w:bidi="ar"/>
        </w:rPr>
        <w:t>截图发给</w:t>
      </w:r>
      <w:r>
        <w:rPr>
          <w:rFonts w:hint="eastAsia" w:cs="宋体"/>
          <w:b/>
          <w:bCs w:val="0"/>
          <w:color w:val="auto"/>
          <w:kern w:val="2"/>
          <w:sz w:val="24"/>
          <w:szCs w:val="24"/>
          <w:highlight w:val="yellow"/>
          <w:lang w:val="en-US" w:eastAsia="zh-CN" w:bidi="ar"/>
        </w:rPr>
        <w:t>商务</w:t>
      </w:r>
      <w:r>
        <w:rPr>
          <w:rFonts w:hint="eastAsia" w:ascii="宋体" w:hAnsi="宋体" w:eastAsia="宋体" w:cs="宋体"/>
          <w:b/>
          <w:bCs w:val="0"/>
          <w:color w:val="auto"/>
          <w:kern w:val="2"/>
          <w:sz w:val="24"/>
          <w:szCs w:val="24"/>
          <w:highlight w:val="yellow"/>
          <w:lang w:val="en-US" w:eastAsia="zh-CN" w:bidi="ar"/>
        </w:rPr>
        <w:t>联系人</w:t>
      </w:r>
      <w:r>
        <w:rPr>
          <w:rFonts w:hint="eastAsia" w:cs="宋体"/>
          <w:b/>
          <w:bCs w:val="0"/>
          <w:color w:val="auto"/>
          <w:kern w:val="2"/>
          <w:sz w:val="24"/>
          <w:szCs w:val="24"/>
          <w:highlight w:val="yellow"/>
          <w:lang w:val="en-US" w:eastAsia="zh-CN" w:bidi="ar"/>
        </w:rPr>
        <w:t>李长城，</w:t>
      </w:r>
      <w:r>
        <w:rPr>
          <w:rFonts w:hint="eastAsia" w:ascii="宋体" w:hAnsi="宋体" w:eastAsia="宋体" w:cs="宋体"/>
          <w:b/>
          <w:bCs w:val="0"/>
          <w:color w:val="auto"/>
          <w:kern w:val="2"/>
          <w:sz w:val="24"/>
          <w:szCs w:val="24"/>
          <w:highlight w:val="yellow"/>
          <w:lang w:val="en-US" w:eastAsia="zh-CN" w:bidi="ar"/>
        </w:rPr>
        <w:t>微信号</w:t>
      </w:r>
      <w:r>
        <w:rPr>
          <w:rFonts w:hint="eastAsia" w:cs="宋体"/>
          <w:b/>
          <w:bCs w:val="0"/>
          <w:color w:val="auto"/>
          <w:kern w:val="2"/>
          <w:sz w:val="24"/>
          <w:szCs w:val="24"/>
          <w:highlight w:val="yellow"/>
          <w:lang w:val="en-US" w:eastAsia="zh-CN" w:bidi="ar"/>
        </w:rPr>
        <w:t>18678304476</w:t>
      </w:r>
      <w:r>
        <w:rPr>
          <w:rFonts w:hint="eastAsia" w:ascii="宋体" w:hAnsi="宋体" w:eastAsia="宋体" w:cs="宋体"/>
          <w:b/>
          <w:bCs w:val="0"/>
          <w:color w:val="auto"/>
          <w:kern w:val="2"/>
          <w:sz w:val="24"/>
          <w:szCs w:val="24"/>
          <w:highlight w:val="yellow"/>
          <w:lang w:val="en-US" w:eastAsia="zh-CN" w:bidi="ar"/>
        </w:rPr>
        <w:t>，</w:t>
      </w:r>
      <w:r>
        <w:rPr>
          <w:rFonts w:hint="eastAsia" w:ascii="宋体" w:hAnsi="宋体" w:cs="宋体"/>
          <w:b/>
          <w:bCs w:val="0"/>
          <w:color w:val="auto"/>
          <w:kern w:val="2"/>
          <w:sz w:val="24"/>
          <w:szCs w:val="24"/>
          <w:highlight w:val="yellow"/>
          <w:lang w:val="en-US" w:eastAsia="zh-CN" w:bidi="ar"/>
        </w:rPr>
        <w:t>获取会议链接）</w:t>
      </w:r>
    </w:p>
    <w:p>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lang w:val="en-US" w:eastAsia="zh-CN"/>
        </w:rPr>
        <w:t>李老师 18678304476</w:t>
      </w:r>
    </w:p>
    <w:p>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技术联系人：侯</w:t>
      </w:r>
      <w:r>
        <w:rPr>
          <w:rFonts w:hint="eastAsia" w:asciiTheme="minorEastAsia" w:hAnsiTheme="minorEastAsia" w:eastAsiaTheme="minorEastAsia" w:cstheme="minorEastAsia"/>
          <w:sz w:val="24"/>
          <w:szCs w:val="24"/>
          <w:highlight w:val="none"/>
          <w:lang w:val="en-US" w:eastAsia="zh-CN"/>
        </w:rPr>
        <w:t>老师 17860609109</w:t>
      </w:r>
    </w:p>
    <w:p>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pPr>
        <w:adjustRightInd w:val="0"/>
        <w:snapToGrid w:val="0"/>
        <w:spacing w:line="360" w:lineRule="auto"/>
        <w:ind w:firstLine="480" w:firstLineChars="200"/>
        <w:rPr>
          <w:rFonts w:hint="eastAsia" w:asciiTheme="minorEastAsia" w:hAnsiTheme="minorEastAsia" w:eastAsiaTheme="minorEastAsia" w:cstheme="minorEastAsia"/>
          <w:sz w:val="24"/>
          <w:szCs w:val="24"/>
          <w:highlight w:val="yellow"/>
        </w:rPr>
      </w:pPr>
      <w:r>
        <w:rPr>
          <w:rFonts w:hint="eastAsia" w:asciiTheme="minorEastAsia" w:hAnsiTheme="minorEastAsia" w:eastAsiaTheme="minorEastAsia" w:cstheme="minorEastAsia"/>
          <w:sz w:val="24"/>
          <w:szCs w:val="24"/>
          <w:highlight w:val="none"/>
        </w:rPr>
        <w:t>本项目采用</w:t>
      </w:r>
      <w:r>
        <w:rPr>
          <w:rFonts w:hint="eastAsia" w:asciiTheme="minorEastAsia" w:hAnsiTheme="minorEastAsia" w:eastAsiaTheme="minorEastAsia" w:cstheme="minorEastAsia"/>
          <w:sz w:val="24"/>
          <w:szCs w:val="24"/>
          <w:highlight w:val="none"/>
          <w:lang w:val="en-US" w:eastAsia="zh-CN"/>
        </w:rPr>
        <w:t>合理最低价中标</w:t>
      </w:r>
      <w:r>
        <w:rPr>
          <w:rFonts w:hint="eastAsia" w:asciiTheme="minorEastAsia" w:hAnsiTheme="minorEastAsia" w:eastAsiaTheme="minorEastAsia" w:cstheme="minorEastAsia"/>
          <w:sz w:val="24"/>
          <w:szCs w:val="24"/>
          <w:highlight w:val="none"/>
        </w:rPr>
        <w:t>，在满足招标人</w:t>
      </w:r>
      <w:r>
        <w:rPr>
          <w:rFonts w:hint="eastAsia" w:asciiTheme="minorEastAsia" w:hAnsiTheme="minorEastAsia" w:eastAsiaTheme="minorEastAsia" w:cstheme="minorEastAsia"/>
          <w:sz w:val="24"/>
          <w:szCs w:val="24"/>
          <w:highlight w:val="none"/>
          <w:lang w:val="en-US" w:eastAsia="zh-CN"/>
        </w:rPr>
        <w:t>资格和</w:t>
      </w:r>
      <w:r>
        <w:rPr>
          <w:rFonts w:hint="eastAsia" w:asciiTheme="minorEastAsia" w:hAnsiTheme="minorEastAsia" w:eastAsiaTheme="minorEastAsia" w:cstheme="minorEastAsia"/>
          <w:sz w:val="24"/>
          <w:szCs w:val="24"/>
          <w:highlight w:val="none"/>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highlight w:val="none"/>
        </w:rPr>
        <w:t>选取</w:t>
      </w:r>
      <w:r>
        <w:rPr>
          <w:rFonts w:hint="eastAsia" w:asciiTheme="minorEastAsia" w:hAnsiTheme="minorEastAsia" w:eastAsiaTheme="minorEastAsia" w:cstheme="minorEastAsia"/>
          <w:sz w:val="24"/>
          <w:szCs w:val="24"/>
          <w:highlight w:val="none"/>
          <w:lang w:val="en-US" w:eastAsia="zh-CN"/>
        </w:rPr>
        <w:t>价格最低的投标方作为</w:t>
      </w:r>
      <w:r>
        <w:rPr>
          <w:rFonts w:hint="eastAsia" w:asciiTheme="minorEastAsia" w:hAnsiTheme="minorEastAsia" w:eastAsiaTheme="minorEastAsia" w:cstheme="minorEastAsia"/>
          <w:sz w:val="24"/>
          <w:szCs w:val="24"/>
          <w:highlight w:val="none"/>
        </w:rPr>
        <w:t>为本项目中标人。</w:t>
      </w:r>
    </w:p>
    <w:p>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pPr>
        <w:pStyle w:val="2"/>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pPr>
        <w:pStyle w:val="2"/>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pPr>
        <w:pStyle w:val="2"/>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③2023年1月1日至今，企业近三年同类项目业绩证明，须提供用户清单、采购合同复印件；</w:t>
      </w:r>
    </w:p>
    <w:p>
      <w:pPr>
        <w:pStyle w:val="2"/>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pPr>
        <w:pStyle w:val="2"/>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p>
    <w:p>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技术</w:t>
      </w:r>
      <w:r>
        <w:rPr>
          <w:rFonts w:hint="eastAsia" w:asciiTheme="minorEastAsia" w:hAnsiTheme="minorEastAsia" w:eastAsiaTheme="minorEastAsia" w:cstheme="minorEastAsia"/>
          <w:b/>
          <w:bCs/>
          <w:sz w:val="24"/>
          <w:szCs w:val="24"/>
        </w:rPr>
        <w:t>标书</w:t>
      </w:r>
    </w:p>
    <w:p>
      <w:pPr>
        <w:spacing w:line="360" w:lineRule="auto"/>
        <w:ind w:firstLine="480" w:firstLineChars="200"/>
        <w:rPr>
          <w:rFonts w:hint="default" w:ascii="Times New Roman" w:hAnsi="Times New Roman" w:eastAsia="宋体" w:cs="Times New Roman"/>
          <w:highlight w:val="yellow"/>
        </w:rPr>
      </w:pPr>
      <w:r>
        <w:rPr>
          <w:rFonts w:hint="default" w:ascii="Times New Roman" w:hAnsi="Times New Roman" w:eastAsia="宋体" w:cs="Times New Roman"/>
          <w:color w:val="000000"/>
          <w:sz w:val="24"/>
          <w:szCs w:val="24"/>
        </w:rPr>
        <w:t>2.1技术规格偏离表（附件5），</w:t>
      </w:r>
      <w:r>
        <w:rPr>
          <w:rFonts w:hint="default" w:ascii="Times New Roman" w:hAnsi="Times New Roman" w:eastAsia="宋体" w:cs="Times New Roman"/>
          <w:b/>
          <w:color w:val="000000"/>
          <w:sz w:val="24"/>
          <w:szCs w:val="24"/>
        </w:rPr>
        <w:t>必须先进行两列要求一一对照，不允许直接写无偏离；</w:t>
      </w:r>
    </w:p>
    <w:p>
      <w:pPr>
        <w:spacing w:line="360" w:lineRule="auto"/>
        <w:ind w:firstLine="480"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bCs/>
          <w:color w:val="000000"/>
          <w:sz w:val="24"/>
          <w:szCs w:val="24"/>
        </w:rPr>
        <w:t>2.3</w:t>
      </w:r>
      <w:r>
        <w:rPr>
          <w:rFonts w:hint="default" w:ascii="Times New Roman" w:hAnsi="Times New Roman" w:eastAsia="宋体" w:cs="Times New Roman"/>
          <w:color w:val="000000"/>
          <w:sz w:val="24"/>
          <w:szCs w:val="24"/>
        </w:rPr>
        <w:t>提供</w:t>
      </w:r>
      <w:r>
        <w:rPr>
          <w:rFonts w:hint="default" w:ascii="Times New Roman" w:hAnsi="Times New Roman" w:eastAsia="宋体" w:cs="Times New Roman"/>
          <w:color w:val="000000"/>
          <w:sz w:val="24"/>
          <w:szCs w:val="24"/>
          <w:highlight w:val="none"/>
        </w:rPr>
        <w:t>202</w:t>
      </w:r>
      <w:r>
        <w:rPr>
          <w:rFonts w:hint="eastAsia" w:cs="Times New Roman"/>
          <w:color w:val="000000"/>
          <w:sz w:val="24"/>
          <w:szCs w:val="24"/>
          <w:highlight w:val="none"/>
          <w:lang w:val="en-US" w:eastAsia="zh-CN"/>
        </w:rPr>
        <w:t>3</w:t>
      </w:r>
      <w:r>
        <w:rPr>
          <w:rFonts w:hint="default" w:ascii="Times New Roman" w:hAnsi="Times New Roman" w:eastAsia="宋体" w:cs="Times New Roman"/>
          <w:color w:val="000000"/>
          <w:sz w:val="24"/>
          <w:szCs w:val="24"/>
          <w:highlight w:val="none"/>
        </w:rPr>
        <w:t>年1月1日</w:t>
      </w:r>
      <w:r>
        <w:rPr>
          <w:rFonts w:hint="default" w:ascii="Times New Roman" w:hAnsi="Times New Roman" w:eastAsia="宋体" w:cs="Times New Roman"/>
          <w:color w:val="000000"/>
          <w:sz w:val="24"/>
          <w:szCs w:val="24"/>
        </w:rPr>
        <w:t>以来同类产品的制造销售业绩（用户名单、联系方式），并附合同复印件。该同类项目业绩一览表必</w:t>
      </w:r>
      <w:r>
        <w:rPr>
          <w:rFonts w:hint="default" w:ascii="Times New Roman" w:hAnsi="Times New Roman" w:eastAsia="宋体" w:cs="Times New Roman"/>
          <w:b/>
          <w:bCs/>
          <w:color w:val="000000"/>
          <w:sz w:val="24"/>
          <w:szCs w:val="24"/>
        </w:rPr>
        <w:t>须如实填写，应全尽全</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bCs/>
          <w:color w:val="000000"/>
          <w:sz w:val="24"/>
          <w:szCs w:val="24"/>
        </w:rPr>
        <w:t>一览表最终的所有业绩合同总额汇总必填</w:t>
      </w:r>
      <w:r>
        <w:rPr>
          <w:rFonts w:hint="default" w:ascii="Times New Roman" w:hAnsi="Times New Roman" w:eastAsia="宋体" w:cs="Times New Roman"/>
          <w:color w:val="000000"/>
          <w:sz w:val="24"/>
          <w:szCs w:val="24"/>
        </w:rPr>
        <w:t>，数据将影响现场评标专家组对投标单位的业绩考评。</w:t>
      </w:r>
      <w:r>
        <w:rPr>
          <w:rFonts w:hint="default" w:ascii="Times New Roman" w:hAnsi="Times New Roman" w:eastAsia="宋体" w:cs="Times New Roman"/>
          <w:b/>
          <w:bCs/>
          <w:color w:val="000000"/>
          <w:sz w:val="24"/>
          <w:szCs w:val="24"/>
        </w:rPr>
        <w:t>若未提供相应业绩证明，根据技术标评分规则，将影响现场评标专家组对投标单位业绩判定打分</w:t>
      </w:r>
      <w:r>
        <w:rPr>
          <w:rFonts w:hint="default" w:ascii="Times New Roman" w:hAnsi="Times New Roman" w:eastAsia="宋体" w:cs="Times New Roman"/>
          <w:b/>
          <w:color w:val="000000"/>
          <w:sz w:val="24"/>
          <w:szCs w:val="24"/>
        </w:rPr>
        <w:t>；</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2.4供货期及保证措施；</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2.5产品的技术服务和售后服务内容及措施；</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2.6交货进度及计划；</w:t>
      </w:r>
    </w:p>
    <w:p>
      <w:pPr>
        <w:spacing w:line="360" w:lineRule="auto"/>
        <w:ind w:firstLine="480" w:firstLineChars="200"/>
        <w:rPr>
          <w:rFonts w:hint="default" w:ascii="Times New Roman" w:hAnsi="Times New Roman" w:eastAsia="宋体" w:cs="Times New Roman"/>
          <w:color w:val="000000"/>
          <w:sz w:val="24"/>
          <w:szCs w:val="24"/>
        </w:rPr>
      </w:pPr>
      <w:bookmarkStart w:id="10" w:name="_Toc536542319"/>
      <w:r>
        <w:rPr>
          <w:rFonts w:hint="default" w:ascii="Times New Roman" w:hAnsi="Times New Roman" w:eastAsia="宋体" w:cs="Times New Roman"/>
          <w:color w:val="000000"/>
          <w:sz w:val="24"/>
          <w:szCs w:val="24"/>
        </w:rPr>
        <w:t>2.7投标产品技术支持材料</w:t>
      </w:r>
      <w:bookmarkEnd w:id="10"/>
      <w:r>
        <w:rPr>
          <w:rFonts w:hint="default" w:ascii="Times New Roman" w:hAnsi="Times New Roman" w:eastAsia="宋体" w:cs="Times New Roman"/>
          <w:color w:val="000000"/>
          <w:sz w:val="24"/>
          <w:szCs w:val="24"/>
        </w:rPr>
        <w:t>，投标人所投标设备详细技术资料清单；</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2.8设备质量承诺函（附件7）；</w:t>
      </w:r>
    </w:p>
    <w:p>
      <w:pPr>
        <w:pStyle w:val="20"/>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default" w:ascii="Times New Roman" w:hAnsi="Times New Roman" w:eastAsia="宋体" w:cs="Times New Roman"/>
          <w:color w:val="000000"/>
          <w:sz w:val="24"/>
          <w:szCs w:val="24"/>
        </w:rPr>
        <w:t>2.9投标人需提交的其它资料。</w:t>
      </w:r>
    </w:p>
    <w:p>
      <w:pPr>
        <w:pStyle w:val="20"/>
        <w:rPr>
          <w:rFonts w:hint="eastAsia"/>
          <w:lang w:val="en-US" w:eastAsia="zh-CN"/>
        </w:rPr>
      </w:pPr>
    </w:p>
    <w:p>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商务标书</w:t>
      </w:r>
    </w:p>
    <w:p>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3.1开标一览表（附件8）；</w:t>
      </w:r>
    </w:p>
    <w:p>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3.2投标报价明细表（附件9-1至9-5）</w:t>
      </w:r>
      <w:r>
        <w:rPr>
          <w:rFonts w:hint="default" w:ascii="Times New Roman" w:hAnsi="Times New Roman" w:eastAsia="宋体" w:cs="Times New Roman"/>
          <w:b/>
          <w:color w:val="000000"/>
          <w:sz w:val="24"/>
          <w:szCs w:val="24"/>
          <w:highlight w:val="none"/>
        </w:rPr>
        <w:t>；</w:t>
      </w:r>
    </w:p>
    <w:p>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3.3商务条款偏离表（附件10）</w:t>
      </w:r>
      <w:bookmarkStart w:id="11" w:name="OLE_LINK19"/>
      <w:bookmarkStart w:id="12" w:name="OLE_LINK18"/>
      <w:r>
        <w:rPr>
          <w:rFonts w:hint="default" w:ascii="Times New Roman" w:hAnsi="Times New Roman" w:eastAsia="宋体" w:cs="Times New Roman"/>
          <w:b/>
          <w:color w:val="000000"/>
          <w:sz w:val="24"/>
          <w:szCs w:val="24"/>
          <w:highlight w:val="none"/>
        </w:rPr>
        <w:t>；</w:t>
      </w:r>
      <w:bookmarkEnd w:id="11"/>
      <w:bookmarkEnd w:id="12"/>
      <w:r>
        <w:rPr>
          <w:rFonts w:hint="default" w:ascii="Times New Roman" w:hAnsi="Times New Roman" w:eastAsia="宋体" w:cs="Times New Roman"/>
          <w:color w:val="000000"/>
          <w:sz w:val="24"/>
          <w:szCs w:val="24"/>
          <w:highlight w:val="none"/>
        </w:rPr>
        <w:t xml:space="preserve"> </w:t>
      </w:r>
    </w:p>
    <w:p>
      <w:pPr>
        <w:spacing w:line="360" w:lineRule="auto"/>
        <w:ind w:firstLine="480" w:firstLineChars="200"/>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color w:val="000000"/>
          <w:sz w:val="24"/>
          <w:szCs w:val="24"/>
          <w:highlight w:val="none"/>
        </w:rPr>
        <w:t>3.4投标人承诺（附件11）</w:t>
      </w:r>
      <w:r>
        <w:rPr>
          <w:rFonts w:hint="default" w:ascii="Times New Roman" w:hAnsi="Times New Roman" w:eastAsia="宋体" w:cs="Times New Roman"/>
          <w:b/>
          <w:color w:val="000000"/>
          <w:sz w:val="24"/>
          <w:szCs w:val="24"/>
          <w:highlight w:val="none"/>
        </w:rPr>
        <w:t>；</w:t>
      </w:r>
    </w:p>
    <w:p>
      <w:pPr>
        <w:spacing w:line="360" w:lineRule="auto"/>
        <w:ind w:firstLine="480" w:firstLineChars="200"/>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color w:val="000000"/>
          <w:sz w:val="24"/>
          <w:szCs w:val="24"/>
          <w:highlight w:val="none"/>
        </w:rPr>
        <w:t>3.5服务承诺函（附件12），</w:t>
      </w:r>
      <w:r>
        <w:rPr>
          <w:rFonts w:hint="default" w:ascii="Times New Roman" w:hAnsi="Times New Roman" w:eastAsia="宋体" w:cs="Times New Roman"/>
          <w:b/>
          <w:color w:val="000000"/>
          <w:sz w:val="24"/>
          <w:szCs w:val="24"/>
          <w:highlight w:val="none"/>
        </w:rPr>
        <w:t>需写明质保期以外服务费用情况</w:t>
      </w:r>
      <w:r>
        <w:rPr>
          <w:rFonts w:hint="default" w:ascii="Times New Roman" w:hAnsi="Times New Roman" w:eastAsia="宋体" w:cs="Times New Roman"/>
          <w:color w:val="000000"/>
          <w:sz w:val="24"/>
          <w:szCs w:val="24"/>
          <w:highlight w:val="none"/>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eastAsia="zh-CN"/>
        </w:rPr>
      </w:pPr>
      <w:r>
        <w:rPr>
          <w:rFonts w:hint="default" w:ascii="Times New Roman" w:hAnsi="Times New Roman" w:eastAsia="宋体" w:cs="Times New Roman"/>
          <w:color w:val="000000"/>
          <w:sz w:val="24"/>
          <w:szCs w:val="24"/>
          <w:highlight w:val="none"/>
        </w:rPr>
        <w:t>3.6按招标文件投标人须知和技术规格书中要求提供的有关文件</w:t>
      </w:r>
      <w:r>
        <w:rPr>
          <w:rFonts w:hint="eastAsia" w:asciiTheme="minorEastAsia" w:hAnsiTheme="minorEastAsia" w:eastAsiaTheme="minorEastAsia" w:cstheme="minorEastAsia"/>
          <w:bCs/>
          <w:sz w:val="24"/>
          <w:szCs w:val="24"/>
          <w:highlight w:val="none"/>
          <w:lang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lang w:val="en-US" w:eastAsia="zh-CN"/>
        </w:rPr>
        <w:t>3</w:t>
      </w:r>
      <w:r>
        <w:rPr>
          <w:rFonts w:hint="eastAsia" w:asciiTheme="minorEastAsia" w:hAnsiTheme="minorEastAsia" w:eastAsiaTheme="minorEastAsia" w:cstheme="minorEastAsia"/>
          <w:bCs/>
          <w:sz w:val="24"/>
          <w:szCs w:val="24"/>
        </w:rPr>
        <w:t>、商务文件至少应对招标设备（或材料）“商务偏离”做出有无说明，若有，应予以详细填写和说明</w:t>
      </w:r>
      <w:r>
        <w:rPr>
          <w:rFonts w:hint="eastAsia" w:asciiTheme="minorEastAsia" w:hAnsiTheme="minorEastAsia" w:eastAsiaTheme="minorEastAsia" w:cstheme="minorEastAsia"/>
          <w:bCs/>
          <w:sz w:val="24"/>
          <w:szCs w:val="24"/>
          <w:highlight w:val="none"/>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highlight w:val="none"/>
          <w:lang w:val="en-US" w:eastAsia="zh-CN"/>
        </w:rPr>
        <w:t>4</w:t>
      </w:r>
      <w:r>
        <w:rPr>
          <w:rFonts w:hint="eastAsia" w:asciiTheme="minorEastAsia" w:hAnsiTheme="minorEastAsia" w:eastAsiaTheme="minorEastAsia" w:cstheme="minorEastAsia"/>
          <w:bCs/>
          <w:sz w:val="24"/>
          <w:szCs w:val="24"/>
          <w:highlight w:val="none"/>
        </w:rPr>
        <w:t>、投标文件不得涂改和增删，如有修改</w:t>
      </w:r>
      <w:r>
        <w:rPr>
          <w:rFonts w:hint="eastAsia" w:asciiTheme="minorEastAsia" w:hAnsiTheme="minorEastAsia" w:eastAsiaTheme="minorEastAsia" w:cstheme="minorEastAsia"/>
          <w:bCs/>
          <w:sz w:val="24"/>
          <w:szCs w:val="24"/>
        </w:rPr>
        <w:t>错漏的地方，必须由法人代表或授权代表签字或盖章。</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5</w:t>
      </w:r>
      <w:r>
        <w:rPr>
          <w:rFonts w:hint="eastAsia" w:asciiTheme="minorEastAsia" w:hAnsiTheme="minorEastAsia" w:eastAsiaTheme="minorEastAsia" w:cstheme="minorEastAsia"/>
          <w:bCs/>
          <w:sz w:val="24"/>
          <w:szCs w:val="24"/>
        </w:rPr>
        <w:t>、投标文件因字迹潦草或表达不清所引起的后果由投标人负责。</w:t>
      </w:r>
    </w:p>
    <w:p>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⑴本次招标为公开招标，报价应为：</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经与招标人或其指派的答疑人员充分沟通确认基础上，由投标人在满足招标人所提出的、与本项目所有相关环节有关的所有费用；</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⑵所有报价货币单位为：万元（人民币），</w:t>
      </w:r>
      <w:r>
        <w:rPr>
          <w:rFonts w:hint="eastAsia" w:asciiTheme="minorEastAsia" w:hAnsiTheme="minorEastAsia" w:eastAsiaTheme="minorEastAsia" w:cstheme="minorEastAsia"/>
          <w:b/>
          <w:bCs w:val="0"/>
          <w:sz w:val="24"/>
          <w:szCs w:val="24"/>
          <w:highlight w:val="none"/>
          <w:lang w:val="en-US" w:eastAsia="zh-CN"/>
        </w:rPr>
        <w:t>含税</w:t>
      </w:r>
      <w:r>
        <w:rPr>
          <w:rFonts w:hint="eastAsia" w:asciiTheme="minorEastAsia" w:hAnsiTheme="minorEastAsia" w:eastAsiaTheme="minorEastAsia" w:cstheme="minorEastAsia"/>
          <w:bCs/>
          <w:sz w:val="24"/>
          <w:szCs w:val="24"/>
          <w:highlight w:val="none"/>
          <w:lang w:val="en-US"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bCs/>
          <w:sz w:val="24"/>
          <w:szCs w:val="24"/>
          <w:highlight w:val="none"/>
          <w:lang w:val="en-US" w:eastAsia="zh-CN"/>
        </w:rPr>
        <w:t>⑶付款结算方式：</w:t>
      </w:r>
      <w:r>
        <w:rPr>
          <w:rFonts w:hint="eastAsia" w:asciiTheme="minorEastAsia" w:hAnsiTheme="minorEastAsia" w:eastAsiaTheme="minorEastAsia" w:cstheme="minorEastAsia"/>
          <w:b/>
          <w:bCs/>
          <w:color w:val="000000"/>
          <w:kern w:val="0"/>
          <w:sz w:val="24"/>
          <w:szCs w:val="24"/>
          <w:lang w:val="en-US" w:eastAsia="zh-CN" w:bidi="ar"/>
        </w:rPr>
        <w:t>半年期商业汇票(包括银行承兑汇票和商业承兑汇票)</w:t>
      </w:r>
    </w:p>
    <w:p>
      <w:pPr>
        <w:pStyle w:val="20"/>
        <w:keepNext w:val="0"/>
        <w:keepLines w:val="0"/>
        <w:pageBreakBefore w:val="0"/>
        <w:widowControl w:val="0"/>
        <w:kinsoku/>
        <w:wordWrap/>
        <w:topLinePunct w:val="0"/>
        <w:autoSpaceDE/>
        <w:autoSpaceDN/>
        <w:bidi w:val="0"/>
        <w:adjustRightInd w:val="0"/>
        <w:snapToGrid w:val="0"/>
        <w:spacing w:line="300" w:lineRule="auto"/>
        <w:ind w:left="273" w:right="149"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A.设备验收合格后，中标人提供合同价款100%的增值税专用发票,经招标人依照财务制度审核通过后30日支付合同价款的90%；</w:t>
      </w:r>
    </w:p>
    <w:p>
      <w:pPr>
        <w:pStyle w:val="20"/>
        <w:keepNext w:val="0"/>
        <w:keepLines w:val="0"/>
        <w:pageBreakBefore w:val="0"/>
        <w:widowControl w:val="0"/>
        <w:kinsoku/>
        <w:wordWrap/>
        <w:topLinePunct w:val="0"/>
        <w:autoSpaceDE/>
        <w:autoSpaceDN/>
        <w:bidi w:val="0"/>
        <w:adjustRightInd w:val="0"/>
        <w:snapToGrid w:val="0"/>
        <w:spacing w:line="300" w:lineRule="auto"/>
        <w:ind w:left="283"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B.合同总价款的10%作为本合同约定设备的质量保证金，质量保证金在质量保证期内不计利息。质保期届满后支付。</w:t>
      </w:r>
    </w:p>
    <w:p>
      <w:pPr>
        <w:pStyle w:val="2"/>
        <w:keepNext w:val="0"/>
        <w:keepLines w:val="0"/>
        <w:pageBreakBefore w:val="0"/>
        <w:widowControl w:val="0"/>
        <w:kinsoku/>
        <w:wordWrap/>
        <w:topLinePunct w:val="0"/>
        <w:autoSpaceDE/>
        <w:autoSpaceDN/>
        <w:bidi w:val="0"/>
        <w:adjustRightInd w:val="0"/>
        <w:snapToGrid w:val="0"/>
        <w:spacing w:line="300" w:lineRule="auto"/>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具体以双方最终签署的合同为准。</w:t>
      </w:r>
    </w:p>
    <w:p>
      <w:pPr>
        <w:pStyle w:val="2"/>
        <w:keepNext w:val="0"/>
        <w:keepLines w:val="0"/>
        <w:pageBreakBefore w:val="0"/>
        <w:widowControl w:val="0"/>
        <w:kinsoku/>
        <w:wordWrap/>
        <w:topLinePunct w:val="0"/>
        <w:bidi w:val="0"/>
        <w:adjustRightInd w:val="0"/>
        <w:snapToGrid w:val="0"/>
        <w:spacing w:line="300" w:lineRule="auto"/>
        <w:ind w:firstLine="480" w:firstLineChars="200"/>
        <w:textAlignment w:val="auto"/>
        <w:rPr>
          <w:rFonts w:hint="default" w:asciiTheme="minorEastAsia" w:hAnsiTheme="minorEastAsia" w:eastAsiaTheme="minorEastAsia" w:cstheme="minorEastAsia"/>
          <w:color w:val="000000"/>
          <w:kern w:val="0"/>
          <w:sz w:val="24"/>
          <w:szCs w:val="24"/>
          <w:lang w:val="en-US" w:eastAsia="zh-CN" w:bidi="ar"/>
        </w:rPr>
      </w:pPr>
      <w:r>
        <w:rPr>
          <w:rFonts w:hint="eastAsia" w:hAnsi="宋体"/>
          <w:highlight w:val="none"/>
          <w:lang w:eastAsia="zh-CN"/>
        </w:rPr>
        <w:t>（</w:t>
      </w:r>
      <w:r>
        <w:rPr>
          <w:rFonts w:hint="eastAsia" w:hAnsi="宋体"/>
          <w:highlight w:val="none"/>
          <w:lang w:val="en-US" w:eastAsia="zh-CN"/>
        </w:rPr>
        <w:t>4</w:t>
      </w:r>
      <w:r>
        <w:rPr>
          <w:rFonts w:hint="eastAsia" w:hAnsi="宋体"/>
          <w:highlight w:val="none"/>
          <w:lang w:eastAsia="zh-CN"/>
        </w:rPr>
        <w:t>）</w:t>
      </w:r>
      <w:r>
        <w:rPr>
          <w:rFonts w:hint="eastAsia" w:asciiTheme="minorEastAsia" w:hAnsiTheme="minorEastAsia" w:eastAsiaTheme="minorEastAsia" w:cstheme="minorEastAsia"/>
          <w:color w:val="000000"/>
          <w:kern w:val="0"/>
          <w:sz w:val="24"/>
          <w:szCs w:val="24"/>
          <w:lang w:val="en-US" w:eastAsia="zh-CN" w:bidi="ar"/>
        </w:rPr>
        <w:t>项目预算：</w:t>
      </w:r>
      <w:r>
        <w:rPr>
          <w:rFonts w:hint="eastAsia" w:asciiTheme="minorEastAsia" w:hAnsiTheme="minorEastAsia" w:eastAsiaTheme="minorEastAsia" w:cstheme="minorEastAsia"/>
          <w:b/>
          <w:bCs/>
          <w:color w:val="000000"/>
          <w:kern w:val="0"/>
          <w:sz w:val="24"/>
          <w:szCs w:val="24"/>
          <w:highlight w:val="yellow"/>
          <w:lang w:val="en-US" w:eastAsia="zh-CN" w:bidi="ar"/>
        </w:rPr>
        <w:t>含税7万元</w:t>
      </w:r>
      <w:r>
        <w:rPr>
          <w:rFonts w:hint="eastAsia" w:asciiTheme="minorEastAsia" w:hAnsiTheme="minorEastAsia" w:eastAsiaTheme="minorEastAsia" w:cstheme="minorEastAsia"/>
          <w:color w:val="000000"/>
          <w:kern w:val="0"/>
          <w:sz w:val="24"/>
          <w:szCs w:val="24"/>
          <w:lang w:val="en-US" w:eastAsia="zh-CN" w:bidi="ar"/>
        </w:rPr>
        <w:t>。</w:t>
      </w:r>
    </w:p>
    <w:p>
      <w:pPr>
        <w:pStyle w:val="57"/>
        <w:keepNext w:val="0"/>
        <w:keepLines w:val="0"/>
        <w:pageBreakBefore w:val="0"/>
        <w:widowControl w:val="0"/>
        <w:kinsoku/>
        <w:wordWrap/>
        <w:overflowPunct/>
        <w:topLinePunct w:val="0"/>
        <w:autoSpaceDE w:val="0"/>
        <w:autoSpaceDN w:val="0"/>
        <w:bidi w:val="0"/>
        <w:adjustRightInd w:val="0"/>
        <w:snapToGrid w:val="0"/>
        <w:spacing w:line="30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pPr>
        <w:pStyle w:val="151"/>
        <w:numPr>
          <w:ilvl w:val="0"/>
          <w:numId w:val="6"/>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pPr>
        <w:pStyle w:val="151"/>
        <w:keepNext w:val="0"/>
        <w:keepLines w:val="0"/>
        <w:pageBreakBefore w:val="0"/>
        <w:widowControl w:val="0"/>
        <w:numPr>
          <w:ilvl w:val="0"/>
          <w:numId w:val="6"/>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yellow"/>
          <w:u w:val="single"/>
        </w:rPr>
        <w:t>202</w:t>
      </w:r>
      <w:r>
        <w:rPr>
          <w:rFonts w:hint="eastAsia" w:asciiTheme="minorEastAsia" w:hAnsiTheme="minorEastAsia" w:eastAsiaTheme="minorEastAsia" w:cstheme="minorEastAsia"/>
          <w:b/>
          <w:bCs/>
          <w:color w:val="000000"/>
          <w:sz w:val="24"/>
          <w:szCs w:val="24"/>
          <w:highlight w:val="yellow"/>
          <w:u w:val="single"/>
          <w:lang w:val="en-US" w:eastAsia="zh-CN"/>
        </w:rPr>
        <w:t>6</w:t>
      </w:r>
      <w:r>
        <w:rPr>
          <w:rFonts w:hint="eastAsia" w:asciiTheme="minorEastAsia" w:hAnsiTheme="minorEastAsia" w:eastAsiaTheme="minorEastAsia" w:cstheme="minorEastAsia"/>
          <w:b/>
          <w:bCs/>
          <w:color w:val="000000"/>
          <w:sz w:val="24"/>
          <w:szCs w:val="24"/>
          <w:highlight w:val="yellow"/>
          <w:u w:val="single"/>
        </w:rPr>
        <w:t>年</w:t>
      </w:r>
      <w:r>
        <w:rPr>
          <w:rFonts w:hint="eastAsia" w:asciiTheme="minorEastAsia" w:hAnsiTheme="minorEastAsia" w:eastAsiaTheme="minorEastAsia" w:cstheme="minorEastAsia"/>
          <w:b/>
          <w:bCs/>
          <w:color w:val="000000"/>
          <w:sz w:val="24"/>
          <w:szCs w:val="24"/>
          <w:highlight w:val="yellow"/>
          <w:u w:val="single"/>
          <w:lang w:val="en-US" w:eastAsia="zh-CN"/>
        </w:rPr>
        <w:t>5</w:t>
      </w:r>
      <w:r>
        <w:rPr>
          <w:rFonts w:hint="eastAsia" w:asciiTheme="minorEastAsia" w:hAnsiTheme="minorEastAsia" w:eastAsiaTheme="minorEastAsia" w:cstheme="minorEastAsia"/>
          <w:b/>
          <w:bCs/>
          <w:color w:val="000000"/>
          <w:sz w:val="24"/>
          <w:szCs w:val="24"/>
          <w:highlight w:val="yellow"/>
          <w:u w:val="single"/>
        </w:rPr>
        <w:t>月</w:t>
      </w:r>
      <w:r>
        <w:rPr>
          <w:rFonts w:hint="eastAsia" w:asciiTheme="minorEastAsia" w:hAnsiTheme="minorEastAsia" w:eastAsiaTheme="minorEastAsia" w:cstheme="minorEastAsia"/>
          <w:b/>
          <w:bCs/>
          <w:color w:val="000000"/>
          <w:sz w:val="24"/>
          <w:szCs w:val="24"/>
          <w:highlight w:val="yellow"/>
          <w:u w:val="single"/>
          <w:lang w:val="en-US" w:eastAsia="zh-CN"/>
        </w:rPr>
        <w:t>8</w:t>
      </w:r>
      <w:r>
        <w:rPr>
          <w:rFonts w:hint="eastAsia" w:asciiTheme="minorEastAsia" w:hAnsiTheme="minorEastAsia" w:eastAsiaTheme="minorEastAsia" w:cstheme="minorEastAsia"/>
          <w:b/>
          <w:bCs/>
          <w:color w:val="000000"/>
          <w:sz w:val="24"/>
          <w:szCs w:val="24"/>
          <w:highlight w:val="yellow"/>
          <w:u w:val="single"/>
        </w:rPr>
        <w:t>日</w:t>
      </w:r>
      <w:r>
        <w:rPr>
          <w:rFonts w:hint="eastAsia" w:asciiTheme="minorEastAsia" w:hAnsiTheme="minorEastAsia" w:eastAsiaTheme="minorEastAsia" w:cstheme="minorEastAsia"/>
          <w:b/>
          <w:bCs/>
          <w:color w:val="000000"/>
          <w:sz w:val="24"/>
          <w:szCs w:val="24"/>
          <w:highlight w:val="yellow"/>
          <w:u w:val="single"/>
          <w:lang w:val="en-US" w:eastAsia="zh-CN"/>
        </w:rPr>
        <w:t>9</w:t>
      </w:r>
      <w:r>
        <w:rPr>
          <w:rFonts w:hint="eastAsia" w:asciiTheme="minorEastAsia" w:hAnsiTheme="minorEastAsia" w:eastAsiaTheme="minorEastAsia" w:cstheme="minorEastAsia"/>
          <w:b/>
          <w:bCs/>
          <w:color w:val="000000"/>
          <w:sz w:val="24"/>
          <w:szCs w:val="24"/>
          <w:highlight w:val="yellow"/>
          <w:u w:val="single"/>
        </w:rPr>
        <w:t xml:space="preserve">:00 </w:t>
      </w:r>
      <w:r>
        <w:rPr>
          <w:rFonts w:hint="eastAsia" w:asciiTheme="minorEastAsia" w:hAnsiTheme="minorEastAsia" w:eastAsiaTheme="minorEastAsia" w:cstheme="minorEastAsia"/>
          <w:b/>
          <w:color w:val="000000"/>
          <w:sz w:val="24"/>
          <w:szCs w:val="24"/>
          <w:highlight w:val="yellow"/>
          <w:u w:val="single"/>
        </w:rPr>
        <w:t>。</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投标保证金的金额：人民币</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000元</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单位名称：中国重汽集团济南动力有限公司</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收款账号：371899991010003152396</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开户行名称：交通银行山东省分行</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开户行行号：301451000017</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pPr>
        <w:pStyle w:val="151"/>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自中标通知书发出之日起30日内，中标人无正当理由不签订合同的；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pPr>
        <w:pStyle w:val="151"/>
        <w:numPr>
          <w:ilvl w:val="0"/>
          <w:numId w:val="8"/>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若投标人已成为意向中标人，投标人必须无条件配合招标人完成核价流程的工作。</w:t>
      </w:r>
    </w:p>
    <w:p>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pPr>
        <w:pStyle w:val="2"/>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pPr>
        <w:pStyle w:val="2"/>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pPr>
        <w:pStyle w:val="2"/>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3" w:name="OLE_LINK27"/>
      <w:bookmarkStart w:id="14" w:name="OLE_LINK28"/>
      <w:bookmarkStart w:id="15" w:name="OLE_LINK29"/>
      <w:bookmarkStart w:id="16" w:name="OLE_LINK25"/>
      <w:bookmarkStart w:id="17" w:name="OLE_LINK26"/>
      <w:r>
        <w:rPr>
          <w:rFonts w:hint="eastAsia" w:ascii="宋体" w:hAnsi="宋体" w:eastAsia="宋体" w:cs="宋体"/>
          <w:bCs/>
          <w:sz w:val="24"/>
          <w:szCs w:val="24"/>
          <w:highlight w:val="none"/>
        </w:rPr>
        <w:t>；</w:t>
      </w:r>
      <w:bookmarkEnd w:id="13"/>
      <w:bookmarkEnd w:id="14"/>
      <w:bookmarkEnd w:id="15"/>
      <w:bookmarkEnd w:id="16"/>
      <w:bookmarkEnd w:id="17"/>
    </w:p>
    <w:p>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pPr>
        <w:pStyle w:val="2"/>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lang w:eastAsia="zh-CN"/>
        </w:rPr>
        <w:t>。</w:t>
      </w:r>
    </w:p>
    <w:p>
      <w:pPr>
        <w:snapToGrid w:val="0"/>
        <w:spacing w:line="360" w:lineRule="auto"/>
        <w:jc w:val="left"/>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pPr>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济南成型厂质量提升专项铸造二部辅料间防爆行车更新技改项目</w:t>
      </w:r>
    </w:p>
    <w:p>
      <w:pPr>
        <w:pStyle w:val="2"/>
      </w:pP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2"/>
      </w:pPr>
    </w:p>
    <w:p>
      <w:pPr>
        <w:pStyle w:val="2"/>
        <w:rPr>
          <w:rFonts w:ascii="黑体" w:hAnsi="宋体" w:eastAsia="黑体" w:cs="Times New Roman"/>
          <w:color w:val="000000"/>
          <w:sz w:val="72"/>
          <w:szCs w:val="72"/>
        </w:rPr>
      </w:pPr>
    </w:p>
    <w:p>
      <w:pPr>
        <w:spacing w:line="860" w:lineRule="exact"/>
        <w:rPr>
          <w:rFonts w:hint="eastAsia" w:ascii="华文仿宋" w:hAnsi="华文仿宋" w:eastAsia="华文仿宋"/>
          <w:b/>
          <w:bCs/>
          <w:sz w:val="32"/>
          <w:szCs w:val="28"/>
        </w:rPr>
      </w:pP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pPr>
        <w:pStyle w:val="2"/>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hint="default" w:ascii="宋体" w:hAnsi="宋体" w:eastAsia="宋体" w:cs="宋体"/>
          <w:b/>
          <w:bCs/>
          <w:color w:val="000000"/>
          <w:sz w:val="44"/>
          <w:szCs w:val="44"/>
          <w:highlight w:val="none"/>
          <w:u w:val="none"/>
          <w:lang w:val="en-US" w:eastAsia="zh-CN" w:bidi="zh-CN"/>
        </w:rPr>
      </w:pPr>
      <w:r>
        <w:rPr>
          <w:rFonts w:hint="eastAsia"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6</w:t>
      </w:r>
      <w:r>
        <w:rPr>
          <w:rFonts w:hint="eastAsia" w:ascii="Calibri" w:hAnsi="Calibri" w:eastAsia="宋体" w:cs="Times New Roman"/>
          <w:color w:val="000000"/>
          <w:sz w:val="28"/>
          <w:szCs w:val="28"/>
        </w:rPr>
        <w:t>年</w:t>
      </w:r>
      <w:r>
        <w:rPr>
          <w:rFonts w:hint="eastAsia" w:ascii="Calibri" w:hAnsi="Calibri" w:eastAsia="宋体" w:cs="Times New Roman"/>
          <w:color w:val="000000"/>
          <w:sz w:val="28"/>
          <w:szCs w:val="28"/>
          <w:lang w:val="en-US" w:eastAsia="zh-CN"/>
        </w:rPr>
        <w:t>4</w:t>
      </w:r>
      <w:r>
        <w:rPr>
          <w:rFonts w:hint="eastAsia" w:ascii="Calibri" w:hAnsi="Calibri" w:eastAsia="宋体" w:cs="Times New Roman"/>
          <w:color w:val="000000"/>
          <w:sz w:val="28"/>
          <w:szCs w:val="28"/>
        </w:rPr>
        <w:t>月</w:t>
      </w:r>
      <w:r>
        <w:rPr>
          <w:rFonts w:hint="default" w:ascii="宋体" w:hAnsi="宋体" w:eastAsia="宋体" w:cs="宋体"/>
          <w:b/>
          <w:bCs/>
          <w:color w:val="000000"/>
          <w:sz w:val="44"/>
          <w:szCs w:val="44"/>
          <w:highlight w:val="none"/>
          <w:u w:val="none"/>
          <w:lang w:val="en-US" w:eastAsia="zh-CN" w:bidi="zh-CN"/>
        </w:rPr>
        <w:br w:type="page"/>
      </w:r>
    </w:p>
    <w:p>
      <w:pPr>
        <w:keepNext/>
        <w:keepLines/>
        <w:spacing w:before="120" w:after="120" w:line="480" w:lineRule="exact"/>
        <w:jc w:val="center"/>
        <w:outlineLvl w:val="1"/>
        <w:rPr>
          <w:rFonts w:ascii="宋体" w:hAnsi="Calibri" w:eastAsia="宋体" w:cs="Times New Roman"/>
          <w:b/>
          <w:bCs/>
          <w:kern w:val="44"/>
          <w:sz w:val="28"/>
          <w:szCs w:val="28"/>
          <w:highlight w:val="none"/>
        </w:rPr>
      </w:pPr>
      <w:r>
        <w:rPr>
          <w:rFonts w:hint="eastAsia" w:ascii="黑体" w:eastAsia="黑体"/>
          <w:b/>
          <w:bCs/>
          <w:sz w:val="36"/>
          <w:szCs w:val="36"/>
        </w:rPr>
        <w:t xml:space="preserve"> </w:t>
      </w:r>
      <w:bookmarkStart w:id="18" w:name="_Toc169605877"/>
      <w:r>
        <w:rPr>
          <w:rFonts w:hint="eastAsia" w:ascii="宋体" w:hAnsi="宋体" w:eastAsia="宋体" w:cs="Times New Roman"/>
          <w:b/>
          <w:bCs/>
          <w:kern w:val="44"/>
          <w:sz w:val="28"/>
          <w:szCs w:val="28"/>
          <w:highlight w:val="none"/>
        </w:rPr>
        <w:t>第一章</w:t>
      </w:r>
      <w:r>
        <w:rPr>
          <w:rFonts w:ascii="宋体" w:hAnsi="宋体" w:eastAsia="宋体" w:cs="Times New Roman"/>
          <w:b/>
          <w:bCs/>
          <w:kern w:val="44"/>
          <w:sz w:val="28"/>
          <w:szCs w:val="28"/>
          <w:highlight w:val="none"/>
        </w:rPr>
        <w:t xml:space="preserve">  </w:t>
      </w:r>
      <w:r>
        <w:rPr>
          <w:rFonts w:hint="eastAsia" w:ascii="宋体" w:hAnsi="宋体" w:eastAsia="宋体" w:cs="Times New Roman"/>
          <w:b/>
          <w:bCs/>
          <w:kern w:val="44"/>
          <w:sz w:val="28"/>
          <w:szCs w:val="28"/>
          <w:highlight w:val="none"/>
        </w:rPr>
        <w:t>采购货物概况</w:t>
      </w:r>
      <w:bookmarkEnd w:id="18"/>
    </w:p>
    <w:p>
      <w:pPr>
        <w:keepNext/>
        <w:keepLines/>
        <w:spacing w:before="120" w:after="120" w:line="480" w:lineRule="exact"/>
        <w:jc w:val="center"/>
        <w:outlineLvl w:val="2"/>
        <w:rPr>
          <w:rFonts w:ascii="Arial" w:hAnsi="Arial" w:eastAsia="宋体" w:cs="Times New Roman"/>
          <w:b/>
          <w:bCs/>
          <w:sz w:val="24"/>
          <w:highlight w:val="none"/>
        </w:rPr>
      </w:pPr>
      <w:bookmarkStart w:id="19" w:name="_Toc169605878"/>
      <w:r>
        <w:rPr>
          <w:rFonts w:hint="eastAsia" w:ascii="Arial" w:hAnsi="Arial" w:eastAsia="宋体" w:cs="Times New Roman"/>
          <w:b/>
          <w:bCs/>
          <w:sz w:val="24"/>
          <w:highlight w:val="none"/>
        </w:rPr>
        <w:t>第一节</w:t>
      </w:r>
      <w:r>
        <w:rPr>
          <w:rFonts w:ascii="Arial" w:hAnsi="Arial" w:eastAsia="宋体" w:cs="Times New Roman"/>
          <w:b/>
          <w:bCs/>
          <w:sz w:val="24"/>
          <w:highlight w:val="none"/>
        </w:rPr>
        <w:t xml:space="preserve">  </w:t>
      </w:r>
      <w:r>
        <w:rPr>
          <w:rFonts w:hint="eastAsia" w:ascii="Arial" w:hAnsi="Arial" w:eastAsia="宋体" w:cs="Times New Roman"/>
          <w:b/>
          <w:bCs/>
          <w:sz w:val="24"/>
          <w:highlight w:val="none"/>
        </w:rPr>
        <w:t>使用环境</w:t>
      </w:r>
      <w:bookmarkEnd w:id="19"/>
    </w:p>
    <w:p>
      <w:pPr>
        <w:spacing w:line="360" w:lineRule="auto"/>
        <w:outlineLvl w:val="3"/>
        <w:rPr>
          <w:rFonts w:ascii="宋体" w:hAnsi="宋体" w:eastAsia="宋体" w:cs="宋体"/>
          <w:color w:val="000000"/>
          <w:sz w:val="24"/>
          <w:highlight w:val="none"/>
        </w:rPr>
      </w:pPr>
      <w:r>
        <w:rPr>
          <w:rFonts w:hint="eastAsia" w:ascii="宋体" w:hAnsi="宋体" w:eastAsia="宋体" w:cs="宋体"/>
          <w:sz w:val="24"/>
          <w:highlight w:val="none"/>
        </w:rPr>
        <w:t>一、项目名称：</w:t>
      </w:r>
      <w:r>
        <w:rPr>
          <w:rFonts w:hint="eastAsia" w:ascii="宋体" w:hAnsi="宋体" w:eastAsia="宋体" w:cs="宋体"/>
          <w:sz w:val="24"/>
          <w:highlight w:val="none"/>
          <w:u w:val="single"/>
        </w:rPr>
        <w:t>济南成型厂质量提升专项</w:t>
      </w:r>
      <w:r>
        <w:rPr>
          <w:rFonts w:hint="eastAsia" w:ascii="宋体" w:hAnsi="宋体" w:eastAsia="宋体" w:cs="宋体"/>
          <w:sz w:val="24"/>
          <w:szCs w:val="24"/>
          <w:u w:val="single"/>
          <w:lang w:val="en-US" w:eastAsia="zh-CN"/>
        </w:rPr>
        <w:t>铸造二部辅料间防爆行车更新</w:t>
      </w:r>
      <w:r>
        <w:rPr>
          <w:rFonts w:hint="eastAsia" w:ascii="宋体" w:hAnsi="宋体" w:cs="宋体"/>
          <w:sz w:val="24"/>
          <w:szCs w:val="24"/>
          <w:u w:val="single"/>
          <w:lang w:val="en-US" w:eastAsia="zh-CN"/>
        </w:rPr>
        <w:t>技改项目</w:t>
      </w:r>
      <w:r>
        <w:rPr>
          <w:rFonts w:hint="eastAsia" w:ascii="宋体" w:hAnsi="宋体" w:eastAsia="宋体" w:cs="宋体"/>
          <w:color w:val="000000"/>
          <w:sz w:val="24"/>
          <w:highlight w:val="none"/>
        </w:rPr>
        <w:t>。</w:t>
      </w:r>
    </w:p>
    <w:p>
      <w:pPr>
        <w:spacing w:line="360" w:lineRule="auto"/>
        <w:outlineLvl w:val="3"/>
        <w:rPr>
          <w:rFonts w:ascii="宋体" w:hAnsi="宋体" w:eastAsia="宋体" w:cs="宋体"/>
          <w:sz w:val="24"/>
          <w:highlight w:val="none"/>
          <w:shd w:val="pct10" w:color="auto" w:fill="FFFFFF"/>
        </w:rPr>
      </w:pPr>
      <w:r>
        <w:rPr>
          <w:rFonts w:hint="eastAsia" w:ascii="宋体" w:hAnsi="宋体" w:eastAsia="宋体" w:cs="宋体"/>
          <w:sz w:val="24"/>
          <w:highlight w:val="none"/>
        </w:rPr>
        <w:t>二、建设地点：</w:t>
      </w:r>
      <w:r>
        <w:rPr>
          <w:rFonts w:hint="eastAsia" w:ascii="宋体" w:hAnsi="宋体" w:eastAsia="宋体" w:cs="宋体"/>
          <w:color w:val="000000"/>
          <w:sz w:val="24"/>
          <w:highlight w:val="none"/>
        </w:rPr>
        <w:t>济南成型厂</w:t>
      </w:r>
      <w:r>
        <w:rPr>
          <w:rFonts w:hint="eastAsia" w:ascii="宋体" w:hAnsi="宋体" w:eastAsia="宋体" w:cs="宋体"/>
          <w:color w:val="000000"/>
          <w:sz w:val="24"/>
          <w:highlight w:val="none"/>
          <w:lang w:val="en-US" w:eastAsia="zh-CN"/>
        </w:rPr>
        <w:t>铸造二部</w:t>
      </w:r>
      <w:r>
        <w:rPr>
          <w:rFonts w:hint="eastAsia" w:ascii="宋体" w:hAnsi="宋体" w:eastAsia="宋体" w:cs="宋体"/>
          <w:color w:val="000000"/>
          <w:sz w:val="24"/>
          <w:highlight w:val="none"/>
        </w:rPr>
        <w:t>。</w:t>
      </w:r>
    </w:p>
    <w:p>
      <w:pPr>
        <w:spacing w:line="360" w:lineRule="auto"/>
        <w:outlineLvl w:val="3"/>
        <w:rPr>
          <w:rFonts w:ascii="宋体" w:hAnsi="宋体" w:eastAsia="宋体" w:cs="宋体"/>
          <w:sz w:val="24"/>
          <w:highlight w:val="none"/>
        </w:rPr>
      </w:pPr>
      <w:r>
        <w:rPr>
          <w:rFonts w:hint="eastAsia" w:ascii="宋体" w:hAnsi="宋体" w:eastAsia="宋体" w:cs="宋体"/>
          <w:sz w:val="24"/>
          <w:highlight w:val="none"/>
        </w:rPr>
        <w:t>三、使用地点：</w:t>
      </w:r>
      <w:r>
        <w:rPr>
          <w:rFonts w:hint="eastAsia" w:ascii="宋体" w:hAnsi="宋体" w:eastAsia="宋体" w:cs="宋体"/>
          <w:color w:val="000000"/>
          <w:sz w:val="24"/>
          <w:highlight w:val="none"/>
        </w:rPr>
        <w:t>济南成型厂</w:t>
      </w:r>
      <w:r>
        <w:rPr>
          <w:rFonts w:hint="eastAsia" w:ascii="宋体" w:hAnsi="宋体" w:eastAsia="宋体" w:cs="宋体"/>
          <w:color w:val="000000"/>
          <w:sz w:val="24"/>
          <w:highlight w:val="none"/>
          <w:lang w:val="en-US" w:eastAsia="zh-CN"/>
        </w:rPr>
        <w:t>铸造二部砂处理工序辅料间</w:t>
      </w:r>
      <w:r>
        <w:rPr>
          <w:rFonts w:hint="eastAsia" w:ascii="宋体" w:hAnsi="宋体" w:eastAsia="宋体" w:cs="宋体"/>
          <w:color w:val="000000"/>
          <w:sz w:val="24"/>
          <w:highlight w:val="none"/>
        </w:rPr>
        <w:t>。</w:t>
      </w:r>
    </w:p>
    <w:p>
      <w:pPr>
        <w:spacing w:line="360" w:lineRule="auto"/>
        <w:outlineLvl w:val="3"/>
        <w:rPr>
          <w:rFonts w:ascii="宋体" w:hAnsi="宋体" w:eastAsia="宋体" w:cs="宋体"/>
          <w:bCs/>
          <w:sz w:val="24"/>
          <w:highlight w:val="none"/>
        </w:rPr>
      </w:pPr>
      <w:r>
        <w:rPr>
          <w:rFonts w:hint="eastAsia" w:ascii="宋体" w:hAnsi="宋体" w:eastAsia="宋体" w:cs="宋体"/>
          <w:sz w:val="24"/>
          <w:highlight w:val="none"/>
        </w:rPr>
        <w:t>四、工作制度：</w:t>
      </w:r>
      <w:r>
        <w:rPr>
          <w:rFonts w:hint="eastAsia" w:ascii="宋体" w:hAnsi="宋体" w:eastAsia="宋体" w:cs="宋体"/>
          <w:bCs/>
          <w:sz w:val="24"/>
          <w:highlight w:val="none"/>
        </w:rPr>
        <w:t>全年工作365天、双班制、设备年时基数</w:t>
      </w:r>
      <w:r>
        <w:rPr>
          <w:rFonts w:hint="eastAsia" w:ascii="宋体" w:hAnsi="宋体" w:cs="宋体"/>
          <w:bCs/>
          <w:sz w:val="24"/>
          <w:highlight w:val="none"/>
          <w:lang w:val="en-US" w:eastAsia="zh-CN"/>
        </w:rPr>
        <w:t>5840</w:t>
      </w:r>
      <w:r>
        <w:rPr>
          <w:rFonts w:hint="eastAsia" w:ascii="宋体" w:hAnsi="宋体" w:eastAsia="宋体" w:cs="宋体"/>
          <w:bCs/>
          <w:sz w:val="24"/>
          <w:highlight w:val="none"/>
        </w:rPr>
        <w:t>小时。</w:t>
      </w:r>
    </w:p>
    <w:p>
      <w:pPr>
        <w:spacing w:line="360" w:lineRule="auto"/>
        <w:outlineLvl w:val="3"/>
        <w:rPr>
          <w:rFonts w:ascii="宋体" w:hAnsi="宋体" w:eastAsia="宋体" w:cs="宋体"/>
          <w:sz w:val="24"/>
          <w:highlight w:val="none"/>
        </w:rPr>
      </w:pPr>
      <w:r>
        <w:rPr>
          <w:rFonts w:hint="eastAsia" w:ascii="宋体" w:hAnsi="宋体" w:eastAsia="宋体" w:cs="宋体"/>
          <w:sz w:val="24"/>
          <w:highlight w:val="none"/>
        </w:rPr>
        <w:t>五、使用地点区域自然环境：</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5.1.海拔高度：1000m以下。</w:t>
      </w:r>
    </w:p>
    <w:p>
      <w:pPr>
        <w:spacing w:line="360" w:lineRule="auto"/>
        <w:ind w:left="719" w:leftChars="228" w:hanging="240" w:hangingChars="100"/>
        <w:rPr>
          <w:rFonts w:ascii="宋体" w:hAnsi="宋体" w:eastAsia="宋体" w:cs="宋体"/>
          <w:bCs/>
          <w:sz w:val="24"/>
          <w:highlight w:val="none"/>
        </w:rPr>
      </w:pPr>
      <w:r>
        <w:rPr>
          <w:rFonts w:hint="eastAsia" w:ascii="宋体" w:hAnsi="宋体" w:eastAsia="宋体" w:cs="宋体"/>
          <w:bCs/>
          <w:sz w:val="24"/>
          <w:highlight w:val="none"/>
        </w:rPr>
        <w:t>5.2.环境温度：室外极端最低温度-</w:t>
      </w:r>
      <w:r>
        <w:rPr>
          <w:rFonts w:ascii="宋体" w:hAnsi="宋体" w:eastAsia="宋体" w:cs="宋体"/>
          <w:bCs/>
          <w:sz w:val="24"/>
          <w:highlight w:val="none"/>
        </w:rPr>
        <w:t>20</w:t>
      </w:r>
      <w:r>
        <w:rPr>
          <w:rFonts w:hint="eastAsia" w:ascii="宋体" w:hAnsi="宋体" w:eastAsia="宋体" w:cs="宋体"/>
          <w:bCs/>
          <w:sz w:val="24"/>
          <w:highlight w:val="none"/>
        </w:rPr>
        <w:t>℃、极端最高温度50℃，昼夜最大温差25℃；室内温度-10～42℃。</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5.3.相对湿度：年平均59%，最大95%、最小15%。</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5.4  降雨量：日最大降雨量298.4mm、年总降雨量685mm。</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5.5  最大风速：15m/s。</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5.6  最大积雪厚度：190mm。</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5.7  地震烈度：七度。</w:t>
      </w:r>
    </w:p>
    <w:p>
      <w:pPr>
        <w:spacing w:line="360" w:lineRule="auto"/>
        <w:outlineLvl w:val="3"/>
        <w:rPr>
          <w:rFonts w:ascii="宋体" w:hAnsi="宋体" w:eastAsia="宋体" w:cs="宋体"/>
          <w:sz w:val="24"/>
          <w:highlight w:val="none"/>
        </w:rPr>
      </w:pPr>
      <w:r>
        <w:rPr>
          <w:rFonts w:hint="eastAsia" w:ascii="宋体" w:hAnsi="宋体" w:eastAsia="宋体" w:cs="宋体"/>
          <w:sz w:val="24"/>
          <w:highlight w:val="none"/>
        </w:rPr>
        <w:t xml:space="preserve">六、能源环境： </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6.1  电力：中国制式，供电电压380V±15%/220V±15%，供电频率50Hz±2%。</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6.2  给水：市政自来水，0.20 MPa。</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6.3  蒸汽：市政蒸汽，0.6 MPa±0.1。</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6.4  压缩空气：自备空压机自产压缩空气，0.5-0.7MPa。</w:t>
      </w:r>
    </w:p>
    <w:p>
      <w:pPr>
        <w:bidi w:val="0"/>
        <w:rPr>
          <w:rFonts w:hint="eastAsia"/>
        </w:rPr>
      </w:pPr>
    </w:p>
    <w:p>
      <w:pPr>
        <w:bidi w:val="0"/>
        <w:rPr>
          <w:rFonts w:hint="eastAsia"/>
        </w:rPr>
      </w:pPr>
    </w:p>
    <w:p>
      <w:pPr>
        <w:bidi w:val="0"/>
        <w:rPr>
          <w:rFonts w:hint="eastAsia"/>
        </w:rPr>
      </w:pPr>
    </w:p>
    <w:p>
      <w:pPr>
        <w:rPr>
          <w:rFonts w:hint="eastAsia" w:ascii="宋体" w:hAnsi="宋体" w:eastAsia="宋体" w:cs="Times New Roman"/>
          <w:b/>
          <w:bCs/>
          <w:sz w:val="24"/>
          <w:szCs w:val="24"/>
        </w:rPr>
      </w:pPr>
      <w:r>
        <w:rPr>
          <w:rFonts w:hint="eastAsia" w:ascii="宋体" w:hAnsi="宋体" w:eastAsia="宋体" w:cs="Times New Roman"/>
          <w:b/>
          <w:bCs/>
          <w:sz w:val="24"/>
          <w:szCs w:val="24"/>
        </w:rPr>
        <w:br w:type="page"/>
      </w:r>
    </w:p>
    <w:p>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bCs/>
          <w:sz w:val="24"/>
          <w:szCs w:val="24"/>
          <w:u w:val="single"/>
          <w:lang w:val="en-US" w:eastAsia="zh-CN"/>
        </w:rPr>
        <w:t>防爆单梁（悬挂）起重机</w:t>
      </w:r>
      <w:r>
        <w:rPr>
          <w:rFonts w:hint="eastAsia" w:ascii="宋体" w:hAnsi="宋体" w:eastAsia="宋体" w:cs="宋体"/>
          <w:b w:val="0"/>
          <w:bCs w:val="0"/>
          <w:sz w:val="24"/>
          <w:szCs w:val="24"/>
          <w:highlight w:val="none"/>
          <w:u w:val="single"/>
          <w:lang w:eastAsia="zh-CN"/>
        </w:rPr>
        <w:t>（</w:t>
      </w:r>
      <w:r>
        <w:rPr>
          <w:rFonts w:hint="eastAsia" w:ascii="宋体" w:hAnsi="宋体" w:eastAsia="宋体" w:cs="宋体"/>
          <w:sz w:val="24"/>
          <w:szCs w:val="24"/>
        </w:rPr>
        <w:t>详见下表）</w:t>
      </w:r>
    </w:p>
    <w:p>
      <w:pPr>
        <w:spacing w:line="420" w:lineRule="exact"/>
        <w:outlineLvl w:val="3"/>
        <w:rPr>
          <w:rFonts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b/>
          <w:sz w:val="24"/>
          <w:szCs w:val="24"/>
          <w:u w:val="single"/>
        </w:rPr>
        <w:t>1</w:t>
      </w:r>
      <w:r>
        <w:rPr>
          <w:rFonts w:hint="eastAsia" w:ascii="宋体" w:hAnsi="宋体" w:eastAsia="宋体" w:cs="宋体"/>
          <w:sz w:val="24"/>
          <w:szCs w:val="24"/>
          <w:u w:val="single"/>
          <w:shd w:val="pct10" w:color="auto" w:fill="FFFFFF"/>
          <w:lang w:val="en-US" w:eastAsia="zh-CN"/>
        </w:rPr>
        <w:t>台</w:t>
      </w:r>
      <w:r>
        <w:rPr>
          <w:rFonts w:hint="eastAsia" w:ascii="宋体" w:hAnsi="宋体" w:eastAsia="宋体" w:cs="宋体"/>
          <w:sz w:val="24"/>
          <w:szCs w:val="24"/>
        </w:rPr>
        <w:t>（详见下表）</w:t>
      </w:r>
    </w:p>
    <w:p>
      <w:pPr>
        <w:spacing w:line="420" w:lineRule="exact"/>
        <w:outlineLvl w:val="3"/>
        <w:rPr>
          <w:rFonts w:ascii="宋体" w:hAnsi="宋体" w:eastAsia="宋体" w:cs="宋体"/>
          <w:b/>
          <w:sz w:val="24"/>
          <w:szCs w:val="24"/>
        </w:rPr>
      </w:pPr>
      <w:r>
        <w:rPr>
          <w:rFonts w:hint="eastAsia" w:ascii="宋体" w:hAnsi="宋体" w:eastAsia="宋体" w:cs="宋体"/>
          <w:b/>
          <w:sz w:val="24"/>
          <w:szCs w:val="24"/>
        </w:rPr>
        <w:t>三、分投分中：不允许</w:t>
      </w:r>
    </w:p>
    <w:p>
      <w:pPr>
        <w:jc w:val="center"/>
        <w:rPr>
          <w:rFonts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48"/>
        <w:tblW w:w="99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1700"/>
        <w:gridCol w:w="3150"/>
        <w:gridCol w:w="630"/>
        <w:gridCol w:w="675"/>
        <w:gridCol w:w="1245"/>
        <w:gridCol w:w="1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1700" w:type="dxa"/>
            <w:vAlign w:val="center"/>
          </w:tcPr>
          <w:p>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名称</w:t>
            </w:r>
          </w:p>
        </w:tc>
        <w:tc>
          <w:tcPr>
            <w:tcW w:w="3150" w:type="dxa"/>
            <w:vAlign w:val="center"/>
          </w:tcPr>
          <w:p>
            <w:pPr>
              <w:spacing w:line="560" w:lineRule="exact"/>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型号规格</w:t>
            </w:r>
          </w:p>
        </w:tc>
        <w:tc>
          <w:tcPr>
            <w:tcW w:w="630" w:type="dxa"/>
            <w:vAlign w:val="center"/>
          </w:tcPr>
          <w:p>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单位</w:t>
            </w:r>
          </w:p>
        </w:tc>
        <w:tc>
          <w:tcPr>
            <w:tcW w:w="675" w:type="dxa"/>
            <w:vAlign w:val="center"/>
          </w:tcPr>
          <w:p>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数量</w:t>
            </w:r>
          </w:p>
        </w:tc>
        <w:tc>
          <w:tcPr>
            <w:tcW w:w="1245" w:type="dxa"/>
            <w:vAlign w:val="center"/>
          </w:tcPr>
          <w:p>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安装地点</w:t>
            </w:r>
          </w:p>
        </w:tc>
        <w:tc>
          <w:tcPr>
            <w:tcW w:w="1682" w:type="dxa"/>
            <w:vAlign w:val="center"/>
          </w:tcPr>
          <w:p>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供货方式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4" w:hRule="atLeast"/>
        </w:trPr>
        <w:tc>
          <w:tcPr>
            <w:tcW w:w="821" w:type="dxa"/>
            <w:vAlign w:val="center"/>
          </w:tcPr>
          <w:p>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700" w:type="dxa"/>
          </w:tcPr>
          <w:p>
            <w:pPr>
              <w:spacing w:line="560" w:lineRule="exac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吨</w:t>
            </w:r>
            <w:r>
              <w:rPr>
                <w:rFonts w:hint="eastAsia" w:ascii="宋体" w:hAnsi="宋体" w:eastAsia="宋体" w:cs="宋体"/>
                <w:color w:val="auto"/>
                <w:sz w:val="24"/>
                <w:szCs w:val="24"/>
                <w:highlight w:val="none"/>
                <w:lang w:val="en-US" w:eastAsia="zh-CN"/>
              </w:rPr>
              <w:t>防爆单梁（悬挂）起重机</w:t>
            </w:r>
          </w:p>
        </w:tc>
        <w:tc>
          <w:tcPr>
            <w:tcW w:w="3150" w:type="dxa"/>
          </w:tcPr>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⑴起重量：2t。</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⑵起升高度：9m。</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⑶跨度：9m。</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⑷防爆等级：EX</w:t>
            </w:r>
            <w:r>
              <w:rPr>
                <w:rFonts w:hint="eastAsia" w:ascii="宋体" w:hAnsi="宋体" w:cs="宋体"/>
                <w:color w:val="auto"/>
                <w:sz w:val="24"/>
                <w:szCs w:val="24"/>
                <w:highlight w:val="none"/>
                <w:lang w:val="en-US" w:eastAsia="zh-CN"/>
              </w:rPr>
              <w:t>d</w:t>
            </w:r>
            <w:r>
              <w:rPr>
                <w:rFonts w:hint="eastAsia" w:ascii="宋体" w:hAnsi="宋体" w:eastAsia="宋体" w:cs="宋体"/>
                <w:color w:val="auto"/>
                <w:sz w:val="24"/>
                <w:szCs w:val="24"/>
                <w:highlight w:val="none"/>
                <w:lang w:val="en-US" w:eastAsia="zh-CN"/>
              </w:rPr>
              <w:t>Ⅲ</w:t>
            </w:r>
            <w:r>
              <w:rPr>
                <w:rFonts w:hint="eastAsia" w:ascii="宋体" w:hAnsi="宋体" w:cs="宋体"/>
                <w:color w:val="auto"/>
                <w:sz w:val="24"/>
                <w:szCs w:val="24"/>
                <w:highlight w:val="none"/>
                <w:lang w:val="en-US" w:eastAsia="zh-CN"/>
              </w:rPr>
              <w:t>B</w:t>
            </w:r>
            <w:r>
              <w:rPr>
                <w:rFonts w:hint="eastAsia" w:ascii="宋体" w:hAnsi="宋体" w:eastAsia="宋体" w:cs="宋体"/>
                <w:color w:val="auto"/>
                <w:sz w:val="24"/>
                <w:szCs w:val="24"/>
                <w:highlight w:val="none"/>
                <w:lang w:val="en-US" w:eastAsia="zh-CN"/>
              </w:rPr>
              <w:t>T4D</w:t>
            </w:r>
            <w:r>
              <w:rPr>
                <w:rFonts w:hint="eastAsia" w:ascii="宋体" w:hAnsi="宋体" w:cs="宋体"/>
                <w:color w:val="auto"/>
                <w:sz w:val="24"/>
                <w:szCs w:val="24"/>
                <w:highlight w:val="none"/>
                <w:lang w:val="en-US" w:eastAsia="zh-CN"/>
              </w:rPr>
              <w:t>b</w:t>
            </w:r>
            <w:r>
              <w:rPr>
                <w:rFonts w:hint="eastAsia" w:ascii="宋体" w:hAnsi="宋体" w:eastAsia="宋体" w:cs="宋体"/>
                <w:color w:val="auto"/>
                <w:sz w:val="24"/>
                <w:szCs w:val="24"/>
                <w:highlight w:val="none"/>
                <w:lang w:val="en-US" w:eastAsia="zh-CN"/>
              </w:rPr>
              <w:t>。</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⑸操作方式：地面手柄操作</w:t>
            </w:r>
          </w:p>
          <w:p>
            <w:pPr>
              <w:spacing w:line="360" w:lineRule="auto"/>
              <w:rPr>
                <w:rFonts w:hint="eastAsia"/>
              </w:rPr>
            </w:pPr>
            <w:r>
              <w:rPr>
                <w:rFonts w:hint="eastAsia" w:ascii="宋体" w:hAnsi="宋体" w:cs="宋体"/>
                <w:color w:val="auto"/>
                <w:sz w:val="24"/>
                <w:szCs w:val="24"/>
                <w:highlight w:val="none"/>
                <w:lang w:val="en-US" w:eastAsia="zh-CN"/>
              </w:rPr>
              <w:t>(6)</w:t>
            </w:r>
            <w:r>
              <w:rPr>
                <w:rFonts w:hint="eastAsia" w:ascii="宋体" w:hAnsi="宋体" w:eastAsia="宋体" w:cs="宋体"/>
                <w:color w:val="auto"/>
                <w:kern w:val="2"/>
                <w:sz w:val="24"/>
                <w:szCs w:val="24"/>
                <w:highlight w:val="none"/>
                <w:lang w:val="en-US" w:eastAsia="zh-CN" w:bidi="ar-SA"/>
              </w:rPr>
              <w:t>工作级别：A3</w:t>
            </w:r>
            <w:r>
              <w:rPr>
                <w:rFonts w:hint="eastAsia" w:ascii="宋体" w:hAnsi="宋体" w:eastAsia="宋体" w:cs="宋体"/>
                <w:color w:val="auto"/>
                <w:sz w:val="24"/>
                <w:szCs w:val="24"/>
                <w:highlight w:val="none"/>
                <w:lang w:val="en-US" w:eastAsia="zh-CN"/>
              </w:rPr>
              <w:t>。</w:t>
            </w:r>
          </w:p>
        </w:tc>
        <w:tc>
          <w:tcPr>
            <w:tcW w:w="630" w:type="dxa"/>
          </w:tcPr>
          <w:p>
            <w:pPr>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w:t>
            </w:r>
          </w:p>
        </w:tc>
        <w:tc>
          <w:tcPr>
            <w:tcW w:w="675" w:type="dxa"/>
          </w:tcPr>
          <w:p>
            <w:pPr>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245" w:type="dxa"/>
          </w:tcPr>
          <w:p>
            <w:pPr>
              <w:spacing w:line="5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济南成型厂</w:t>
            </w:r>
            <w:r>
              <w:rPr>
                <w:rFonts w:hint="eastAsia" w:ascii="宋体" w:hAnsi="宋体" w:eastAsia="宋体" w:cs="宋体"/>
                <w:color w:val="000000"/>
                <w:sz w:val="24"/>
                <w:highlight w:val="none"/>
                <w:lang w:val="en-US" w:eastAsia="zh-CN"/>
              </w:rPr>
              <w:t>铸造二部</w:t>
            </w:r>
          </w:p>
        </w:tc>
        <w:tc>
          <w:tcPr>
            <w:tcW w:w="1682" w:type="dxa"/>
          </w:tcPr>
          <w:p>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交钥匙</w:t>
            </w:r>
          </w:p>
        </w:tc>
      </w:tr>
    </w:tbl>
    <w:p>
      <w:pPr>
        <w:spacing w:line="360" w:lineRule="auto"/>
        <w:ind w:firstLine="480" w:firstLineChars="200"/>
        <w:rPr>
          <w:rFonts w:hint="eastAsia" w:ascii="宋体" w:hAnsi="宋体" w:eastAsia="宋体" w:cs="宋体"/>
          <w:bCs/>
          <w:sz w:val="24"/>
          <w:szCs w:val="24"/>
        </w:rPr>
      </w:pP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pPr>
        <w:numPr>
          <w:ilvl w:val="0"/>
          <w:numId w:val="9"/>
        </w:numPr>
        <w:spacing w:line="360" w:lineRule="auto"/>
        <w:ind w:left="150" w:leftChars="0" w:firstLine="480" w:firstLineChars="0"/>
        <w:rPr>
          <w:szCs w:val="21"/>
        </w:rPr>
      </w:pPr>
      <w:r>
        <w:rPr>
          <w:rFonts w:hint="eastAsia" w:ascii="宋体" w:hAnsi="宋体" w:eastAsia="宋体" w:cs="宋体"/>
          <w:bCs/>
          <w:sz w:val="24"/>
          <w:szCs w:val="24"/>
        </w:rPr>
        <w:t>本表“供货方式”指：交钥匙方式——包括制造、运输、定点卸货、安装、调试</w:t>
      </w:r>
      <w:r>
        <w:rPr>
          <w:rFonts w:hint="eastAsia" w:ascii="宋体" w:hAnsi="宋体" w:eastAsia="宋体" w:cs="宋体"/>
          <w:bCs/>
          <w:sz w:val="24"/>
          <w:szCs w:val="24"/>
          <w:lang w:eastAsia="zh-CN"/>
        </w:rPr>
        <w:t>、</w:t>
      </w:r>
      <w:r>
        <w:rPr>
          <w:rFonts w:hint="eastAsia" w:ascii="宋体" w:hAnsi="宋体" w:eastAsia="宋体" w:cs="宋体"/>
          <w:bCs/>
          <w:sz w:val="24"/>
          <w:szCs w:val="24"/>
          <w:lang w:val="en-US" w:eastAsia="zh-CN"/>
        </w:rPr>
        <w:t>相关设备线路，特种设备登记检验等</w:t>
      </w:r>
      <w:r>
        <w:rPr>
          <w:rFonts w:hint="eastAsia" w:ascii="宋体" w:hAnsi="宋体" w:eastAsia="宋体" w:cs="宋体"/>
          <w:bCs/>
          <w:sz w:val="24"/>
          <w:szCs w:val="24"/>
        </w:rPr>
        <w:t>。</w:t>
      </w:r>
    </w:p>
    <w:p>
      <w:pPr>
        <w:pStyle w:val="2"/>
        <w:jc w:val="center"/>
        <w:rPr>
          <w:rFonts w:hAnsi="宋体" w:eastAsia="宋体" w:cs="宋体"/>
          <w:bCs/>
          <w:sz w:val="24"/>
          <w:highlight w:val="none"/>
        </w:rPr>
      </w:pPr>
      <w:r>
        <w:rPr>
          <w:rFonts w:hint="eastAsia" w:hAnsi="宋体" w:eastAsia="宋体" w:cs="宋体"/>
          <w:bCs/>
          <w:sz w:val="24"/>
          <w:highlight w:val="none"/>
        </w:rPr>
        <w:t>主要器件品牌表（可选同等或更优质量品牌）</w:t>
      </w:r>
    </w:p>
    <w:tbl>
      <w:tblPr>
        <w:tblStyle w:val="4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835"/>
        <w:gridCol w:w="3266"/>
        <w:gridCol w:w="1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shd w:val="clear" w:color="auto" w:fill="auto"/>
            <w:vAlign w:val="center"/>
          </w:tcPr>
          <w:p>
            <w:pPr>
              <w:spacing w:line="420" w:lineRule="exact"/>
              <w:jc w:val="center"/>
              <w:rPr>
                <w:szCs w:val="21"/>
                <w:highlight w:val="none"/>
              </w:rPr>
            </w:pPr>
            <w:r>
              <w:rPr>
                <w:kern w:val="0"/>
                <w:szCs w:val="21"/>
                <w:highlight w:val="none"/>
              </w:rPr>
              <w:t>序号</w:t>
            </w:r>
          </w:p>
        </w:tc>
        <w:tc>
          <w:tcPr>
            <w:tcW w:w="2835" w:type="dxa"/>
            <w:shd w:val="clear" w:color="auto" w:fill="auto"/>
            <w:vAlign w:val="center"/>
          </w:tcPr>
          <w:p>
            <w:pPr>
              <w:spacing w:line="420" w:lineRule="exact"/>
              <w:jc w:val="center"/>
              <w:rPr>
                <w:szCs w:val="21"/>
                <w:highlight w:val="yellow"/>
              </w:rPr>
            </w:pPr>
            <w:r>
              <w:rPr>
                <w:kern w:val="0"/>
                <w:szCs w:val="21"/>
                <w:highlight w:val="none"/>
              </w:rPr>
              <w:t>器件名称</w:t>
            </w:r>
          </w:p>
        </w:tc>
        <w:tc>
          <w:tcPr>
            <w:tcW w:w="3266" w:type="dxa"/>
            <w:shd w:val="clear" w:color="auto" w:fill="auto"/>
            <w:vAlign w:val="center"/>
          </w:tcPr>
          <w:p>
            <w:pPr>
              <w:widowControl/>
              <w:spacing w:line="240" w:lineRule="auto"/>
              <w:jc w:val="center"/>
              <w:textAlignment w:val="center"/>
              <w:rPr>
                <w:rFonts w:hint="default"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bidi="ar"/>
              </w:rPr>
              <w:t>品牌</w:t>
            </w:r>
            <w:r>
              <w:rPr>
                <w:rFonts w:hint="eastAsia" w:ascii="宋体" w:hAnsi="宋体" w:eastAsia="宋体" w:cs="宋体"/>
                <w:color w:val="000000"/>
                <w:kern w:val="0"/>
                <w:sz w:val="22"/>
                <w:szCs w:val="22"/>
                <w:highlight w:val="none"/>
                <w:lang w:eastAsia="zh-CN" w:bidi="ar"/>
              </w:rPr>
              <w:t>（</w:t>
            </w:r>
            <w:r>
              <w:rPr>
                <w:rFonts w:hint="eastAsia" w:ascii="宋体" w:hAnsi="宋体" w:eastAsia="宋体" w:cs="宋体"/>
                <w:color w:val="000000"/>
                <w:kern w:val="0"/>
                <w:sz w:val="22"/>
                <w:szCs w:val="22"/>
                <w:highlight w:val="none"/>
                <w:lang w:val="en-US" w:eastAsia="zh-CN" w:bidi="ar"/>
              </w:rPr>
              <w:t>不指定品牌，仅作参考，与参考不一致，需在技术偏离表中写明）</w:t>
            </w:r>
          </w:p>
        </w:tc>
        <w:tc>
          <w:tcPr>
            <w:tcW w:w="1971" w:type="dxa"/>
            <w:shd w:val="clear" w:color="auto" w:fill="auto"/>
            <w:vAlign w:val="center"/>
          </w:tcPr>
          <w:p>
            <w:pPr>
              <w:spacing w:line="420" w:lineRule="exact"/>
              <w:jc w:val="center"/>
              <w:rPr>
                <w:szCs w:val="21"/>
                <w:highlight w:val="none"/>
              </w:rPr>
            </w:pPr>
            <w:r>
              <w:rPr>
                <w:rFonts w:hint="eastAsia"/>
                <w:kern w:val="0"/>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shd w:val="clear" w:color="auto" w:fill="auto"/>
            <w:vAlign w:val="center"/>
          </w:tcPr>
          <w:p>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1</w:t>
            </w:r>
          </w:p>
        </w:tc>
        <w:tc>
          <w:tcPr>
            <w:tcW w:w="2835"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22"/>
                <w:szCs w:val="22"/>
                <w:highlight w:val="yellow"/>
                <w:lang w:val="en-US" w:eastAsia="zh-CN"/>
              </w:rPr>
            </w:pPr>
            <w:r>
              <w:rPr>
                <w:rFonts w:hint="eastAsia" w:ascii="宋体" w:hAnsi="宋体" w:eastAsia="宋体" w:cs="宋体"/>
                <w:color w:val="000000" w:themeColor="text1"/>
                <w:kern w:val="2"/>
                <w:sz w:val="22"/>
                <w:szCs w:val="22"/>
                <w:lang w:val="en-US" w:eastAsia="zh-CN" w:bidi="ar-SA"/>
                <w14:textFill>
                  <w14:solidFill>
                    <w14:schemeClr w14:val="tx1"/>
                  </w14:solidFill>
                </w14:textFill>
              </w:rPr>
              <w:t>防爆电机</w:t>
            </w:r>
          </w:p>
        </w:tc>
        <w:tc>
          <w:tcPr>
            <w:tcW w:w="3266"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color w:val="000000" w:themeColor="text1"/>
                <w:kern w:val="2"/>
                <w:sz w:val="22"/>
                <w:szCs w:val="22"/>
                <w:lang w:val="en-US" w:eastAsia="zh-CN" w:bidi="ar-SA"/>
                <w14:textFill>
                  <w14:solidFill>
                    <w14:schemeClr w14:val="tx1"/>
                  </w14:solidFill>
                </w14:textFill>
              </w:rPr>
              <w:t>黄河防爆、佳木斯等知名品牌</w:t>
            </w:r>
          </w:p>
        </w:tc>
        <w:tc>
          <w:tcPr>
            <w:tcW w:w="1971" w:type="dxa"/>
            <w:shd w:val="clear" w:color="auto" w:fill="auto"/>
            <w:vAlign w:val="center"/>
          </w:tcPr>
          <w:p>
            <w:pPr>
              <w:spacing w:line="420" w:lineRule="exact"/>
              <w:jc w:val="center"/>
              <w:rPr>
                <w:rFonts w:hint="default" w:eastAsiaTheme="minorEastAsia"/>
                <w:kern w:val="0"/>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shd w:val="clear" w:color="auto" w:fill="auto"/>
            <w:vAlign w:val="center"/>
          </w:tcPr>
          <w:p>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2</w:t>
            </w:r>
          </w:p>
        </w:tc>
        <w:tc>
          <w:tcPr>
            <w:tcW w:w="2835"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22"/>
                <w:szCs w:val="22"/>
                <w:highlight w:val="yellow"/>
              </w:rPr>
            </w:pPr>
            <w:r>
              <w:rPr>
                <w:rFonts w:hint="eastAsia" w:ascii="宋体" w:hAnsi="宋体" w:eastAsia="宋体" w:cs="宋体"/>
                <w:color w:val="000000" w:themeColor="text1"/>
                <w:kern w:val="2"/>
                <w:sz w:val="22"/>
                <w:szCs w:val="22"/>
                <w:lang w:val="en-US" w:eastAsia="zh-CN" w:bidi="ar-SA"/>
                <w14:textFill>
                  <w14:solidFill>
                    <w14:schemeClr w14:val="tx1"/>
                  </w14:solidFill>
                </w14:textFill>
              </w:rPr>
              <w:t>钢材</w:t>
            </w:r>
          </w:p>
        </w:tc>
        <w:tc>
          <w:tcPr>
            <w:tcW w:w="3266"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color w:val="000000" w:themeColor="text1"/>
                <w:kern w:val="2"/>
                <w:sz w:val="22"/>
                <w:szCs w:val="22"/>
                <w:lang w:val="en-US" w:eastAsia="zh-CN" w:bidi="ar-SA"/>
                <w14:textFill>
                  <w14:solidFill>
                    <w14:schemeClr w14:val="tx1"/>
                  </w14:solidFill>
                </w14:textFill>
              </w:rPr>
              <w:t>邯钢及普阳等国内知名钢厂</w:t>
            </w:r>
          </w:p>
        </w:tc>
        <w:tc>
          <w:tcPr>
            <w:tcW w:w="1971" w:type="dxa"/>
            <w:shd w:val="clear" w:color="auto" w:fill="auto"/>
            <w:vAlign w:val="center"/>
          </w:tcPr>
          <w:p>
            <w:pPr>
              <w:spacing w:line="420" w:lineRule="exact"/>
              <w:jc w:val="center"/>
              <w:rPr>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shd w:val="clear" w:color="auto" w:fill="auto"/>
            <w:vAlign w:val="center"/>
          </w:tcPr>
          <w:p>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3</w:t>
            </w:r>
          </w:p>
        </w:tc>
        <w:tc>
          <w:tcPr>
            <w:tcW w:w="283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themeColor="text1"/>
                <w:kern w:val="2"/>
                <w:sz w:val="22"/>
                <w:szCs w:val="22"/>
                <w:lang w:val="en-US" w:eastAsia="zh-CN" w:bidi="ar-SA"/>
                <w14:textFill>
                  <w14:solidFill>
                    <w14:schemeClr w14:val="tx1"/>
                  </w14:solidFill>
                </w14:textFill>
              </w:rPr>
              <w:t>电缆线</w:t>
            </w:r>
          </w:p>
        </w:tc>
        <w:tc>
          <w:tcPr>
            <w:tcW w:w="3266"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color w:val="000000" w:themeColor="text1"/>
                <w:kern w:val="2"/>
                <w:sz w:val="22"/>
                <w:szCs w:val="22"/>
                <w:lang w:val="en-US" w:eastAsia="zh-CN" w:bidi="ar-SA"/>
                <w14:textFill>
                  <w14:solidFill>
                    <w14:schemeClr w14:val="tx1"/>
                  </w14:solidFill>
                </w14:textFill>
              </w:rPr>
              <w:t>金水、河南卓越、河南浩翔等知名品牌</w:t>
            </w:r>
          </w:p>
        </w:tc>
        <w:tc>
          <w:tcPr>
            <w:tcW w:w="1971" w:type="dxa"/>
            <w:shd w:val="clear" w:color="auto" w:fill="auto"/>
            <w:vAlign w:val="center"/>
          </w:tcPr>
          <w:p>
            <w:pPr>
              <w:spacing w:line="420" w:lineRule="exact"/>
              <w:jc w:val="center"/>
              <w:rPr>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shd w:val="clear" w:color="auto" w:fill="auto"/>
            <w:vAlign w:val="center"/>
          </w:tcPr>
          <w:p>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4</w:t>
            </w:r>
          </w:p>
        </w:tc>
        <w:tc>
          <w:tcPr>
            <w:tcW w:w="283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color w:val="000000" w:themeColor="text1"/>
                <w:kern w:val="2"/>
                <w:sz w:val="22"/>
                <w:szCs w:val="22"/>
                <w:lang w:val="en-US" w:eastAsia="zh-CN" w:bidi="ar-SA"/>
                <w14:textFill>
                  <w14:solidFill>
                    <w14:schemeClr w14:val="tx1"/>
                  </w14:solidFill>
                </w14:textFill>
              </w:rPr>
              <w:t>电器元件</w:t>
            </w:r>
          </w:p>
        </w:tc>
        <w:tc>
          <w:tcPr>
            <w:tcW w:w="3266"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sz w:val="22"/>
                <w:szCs w:val="22"/>
                <w:highlight w:val="none"/>
                <w:lang w:val="en-US" w:eastAsia="zh-CN"/>
              </w:rPr>
            </w:pPr>
            <w:r>
              <w:rPr>
                <w:rFonts w:hint="eastAsia" w:ascii="宋体" w:hAnsi="宋体" w:eastAsia="宋体" w:cs="宋体"/>
                <w:color w:val="000000" w:themeColor="text1"/>
                <w:kern w:val="2"/>
                <w:sz w:val="22"/>
                <w:szCs w:val="22"/>
                <w:lang w:val="en-US" w:eastAsia="zh-CN" w:bidi="ar-SA"/>
                <w14:textFill>
                  <w14:solidFill>
                    <w14:schemeClr w14:val="tx1"/>
                  </w14:solidFill>
                </w14:textFill>
              </w:rPr>
              <w:t>黄河防爆、德力西、正泰、西门子等知名品牌</w:t>
            </w:r>
          </w:p>
        </w:tc>
        <w:tc>
          <w:tcPr>
            <w:tcW w:w="1971" w:type="dxa"/>
            <w:shd w:val="clear" w:color="auto" w:fill="auto"/>
            <w:vAlign w:val="center"/>
          </w:tcPr>
          <w:p>
            <w:pPr>
              <w:spacing w:line="420" w:lineRule="exact"/>
              <w:jc w:val="center"/>
              <w:rPr>
                <w:rFonts w:hint="default" w:eastAsiaTheme="minorEastAsia"/>
                <w:kern w:val="0"/>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shd w:val="clear" w:color="auto" w:fill="auto"/>
            <w:vAlign w:val="center"/>
          </w:tcPr>
          <w:p>
            <w:pPr>
              <w:widowControl/>
              <w:jc w:val="center"/>
              <w:textAlignment w:val="center"/>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5</w:t>
            </w:r>
          </w:p>
        </w:tc>
        <w:tc>
          <w:tcPr>
            <w:tcW w:w="283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color w:val="000000" w:themeColor="text1"/>
                <w:kern w:val="2"/>
                <w:sz w:val="22"/>
                <w:szCs w:val="22"/>
                <w:lang w:val="en-US" w:eastAsia="zh-CN" w:bidi="ar-SA"/>
                <w14:textFill>
                  <w14:solidFill>
                    <w14:schemeClr w14:val="tx1"/>
                  </w14:solidFill>
                </w14:textFill>
              </w:rPr>
              <w:t>钢丝绳</w:t>
            </w:r>
          </w:p>
        </w:tc>
        <w:tc>
          <w:tcPr>
            <w:tcW w:w="3266"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sz w:val="22"/>
                <w:szCs w:val="22"/>
                <w:highlight w:val="none"/>
                <w:lang w:val="en-US" w:eastAsia="zh-CN"/>
              </w:rPr>
            </w:pPr>
            <w:r>
              <w:rPr>
                <w:rFonts w:hint="eastAsia" w:ascii="宋体" w:hAnsi="宋体" w:eastAsia="宋体" w:cs="宋体"/>
                <w:color w:val="000000" w:themeColor="text1"/>
                <w:kern w:val="2"/>
                <w:sz w:val="22"/>
                <w:szCs w:val="22"/>
                <w:lang w:val="en-US" w:eastAsia="zh-CN" w:bidi="ar-SA"/>
                <w14:textFill>
                  <w14:solidFill>
                    <w14:schemeClr w14:val="tx1"/>
                  </w14:solidFill>
                </w14:textFill>
              </w:rPr>
              <w:t>河南中威、南通、江苏巨力等知名品牌</w:t>
            </w:r>
          </w:p>
        </w:tc>
        <w:tc>
          <w:tcPr>
            <w:tcW w:w="1971" w:type="dxa"/>
            <w:shd w:val="clear" w:color="auto" w:fill="auto"/>
            <w:vAlign w:val="center"/>
          </w:tcPr>
          <w:p>
            <w:pPr>
              <w:spacing w:line="420" w:lineRule="exact"/>
              <w:jc w:val="center"/>
              <w:rPr>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shd w:val="clear" w:color="auto" w:fill="auto"/>
            <w:vAlign w:val="center"/>
          </w:tcPr>
          <w:p>
            <w:pPr>
              <w:widowControl/>
              <w:jc w:val="center"/>
              <w:textAlignment w:val="center"/>
              <w:rPr>
                <w:rFonts w:hint="default"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6</w:t>
            </w:r>
          </w:p>
        </w:tc>
        <w:tc>
          <w:tcPr>
            <w:tcW w:w="283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color w:val="000000" w:themeColor="text1"/>
                <w:kern w:val="2"/>
                <w:sz w:val="22"/>
                <w:szCs w:val="22"/>
                <w:lang w:val="en-US" w:eastAsia="zh-CN" w:bidi="ar-SA"/>
                <w14:textFill>
                  <w14:solidFill>
                    <w14:schemeClr w14:val="tx1"/>
                  </w14:solidFill>
                </w14:textFill>
              </w:rPr>
              <w:t>超载限制器</w:t>
            </w:r>
          </w:p>
        </w:tc>
        <w:tc>
          <w:tcPr>
            <w:tcW w:w="3266"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sz w:val="22"/>
                <w:szCs w:val="22"/>
                <w:highlight w:val="none"/>
                <w:lang w:val="en-US" w:eastAsia="zh-CN"/>
              </w:rPr>
            </w:pPr>
            <w:r>
              <w:rPr>
                <w:rFonts w:hint="eastAsia" w:ascii="宋体" w:hAnsi="宋体" w:eastAsia="宋体" w:cs="宋体"/>
                <w:color w:val="000000" w:themeColor="text1"/>
                <w:kern w:val="2"/>
                <w:sz w:val="22"/>
                <w:szCs w:val="22"/>
                <w:lang w:val="en-US" w:eastAsia="zh-CN" w:bidi="ar-SA"/>
                <w14:textFill>
                  <w14:solidFill>
                    <w14:schemeClr w14:val="tx1"/>
                  </w14:solidFill>
                </w14:textFill>
              </w:rPr>
              <w:t>赛英电子、新乡豫鼎、河南恒达等知名品牌</w:t>
            </w:r>
          </w:p>
        </w:tc>
        <w:tc>
          <w:tcPr>
            <w:tcW w:w="1971" w:type="dxa"/>
            <w:shd w:val="clear" w:color="auto" w:fill="auto"/>
            <w:vAlign w:val="center"/>
          </w:tcPr>
          <w:p>
            <w:pPr>
              <w:spacing w:line="420" w:lineRule="exact"/>
              <w:jc w:val="center"/>
              <w:rPr>
                <w:kern w:val="0"/>
                <w:szCs w:val="21"/>
                <w:highlight w:val="none"/>
              </w:rPr>
            </w:pPr>
          </w:p>
        </w:tc>
      </w:tr>
    </w:tbl>
    <w:p>
      <w:pPr>
        <w:widowControl w:val="0"/>
        <w:numPr>
          <w:ilvl w:val="0"/>
          <w:numId w:val="0"/>
        </w:numPr>
        <w:tabs>
          <w:tab w:val="left" w:pos="312"/>
        </w:tabs>
        <w:spacing w:line="360" w:lineRule="auto"/>
        <w:jc w:val="both"/>
        <w:rPr>
          <w:szCs w:val="21"/>
        </w:rPr>
      </w:pPr>
    </w:p>
    <w:p>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pPr>
        <w:widowControl/>
        <w:jc w:val="left"/>
      </w:pPr>
      <w:r>
        <w:br w:type="page"/>
      </w:r>
    </w:p>
    <w:p>
      <w:pPr>
        <w:keepNext/>
        <w:keepLines/>
        <w:spacing w:before="120" w:after="120" w:line="480" w:lineRule="exact"/>
        <w:jc w:val="center"/>
        <w:outlineLvl w:val="1"/>
        <w:rPr>
          <w:rFonts w:ascii="宋体" w:hAnsi="Calibri" w:eastAsia="宋体" w:cs="Times New Roman"/>
          <w:bCs/>
          <w:kern w:val="44"/>
          <w:sz w:val="28"/>
          <w:szCs w:val="28"/>
        </w:rPr>
      </w:pPr>
      <w:bookmarkStart w:id="20" w:name="_Toc169605880"/>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bookmarkEnd w:id="20"/>
    </w:p>
    <w:p>
      <w:pPr>
        <w:pStyle w:val="236"/>
        <w:numPr>
          <w:ilvl w:val="0"/>
          <w:numId w:val="10"/>
        </w:numPr>
        <w:spacing w:line="360" w:lineRule="auto"/>
        <w:ind w:left="0" w:leftChars="0" w:firstLine="420" w:firstLineChars="0"/>
        <w:outlineLvl w:val="2"/>
        <w:rPr>
          <w:rFonts w:eastAsia="宋体" w:cs="宋体"/>
          <w:b/>
          <w:bCs w:val="0"/>
          <w:sz w:val="24"/>
          <w:szCs w:val="24"/>
        </w:rPr>
      </w:pPr>
      <w:r>
        <w:rPr>
          <w:rFonts w:hint="eastAsia" w:eastAsia="宋体" w:cs="宋体"/>
          <w:b/>
          <w:bCs w:val="0"/>
          <w:sz w:val="24"/>
          <w:szCs w:val="24"/>
        </w:rPr>
        <w:t>特别提示</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pPr>
        <w:pStyle w:val="236"/>
        <w:numPr>
          <w:ilvl w:val="0"/>
          <w:numId w:val="10"/>
        </w:numPr>
        <w:spacing w:line="360" w:lineRule="auto"/>
        <w:ind w:left="0" w:leftChars="0" w:firstLine="420" w:firstLineChars="0"/>
        <w:outlineLvl w:val="2"/>
        <w:rPr>
          <w:rFonts w:eastAsia="宋体" w:cs="宋体"/>
          <w:b/>
          <w:bCs w:val="0"/>
          <w:sz w:val="24"/>
          <w:szCs w:val="24"/>
        </w:rPr>
      </w:pPr>
      <w:r>
        <w:rPr>
          <w:rFonts w:hint="eastAsia" w:eastAsia="宋体" w:cs="宋体"/>
          <w:b/>
          <w:bCs w:val="0"/>
          <w:sz w:val="24"/>
          <w:szCs w:val="24"/>
        </w:rPr>
        <w:t>基本要求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w:t>
      </w:r>
      <w:r>
        <w:rPr>
          <w:rFonts w:hint="eastAsia" w:ascii="宋体" w:hAnsi="宋体" w:eastAsia="宋体" w:cs="Times New Roman"/>
          <w:sz w:val="24"/>
          <w:szCs w:val="24"/>
          <w:lang w:val="en-US" w:eastAsia="zh-CN"/>
        </w:rPr>
        <w:t>程序</w:t>
      </w:r>
      <w:r>
        <w:rPr>
          <w:rFonts w:hint="eastAsia" w:ascii="宋体" w:hAnsi="宋体" w:eastAsia="宋体" w:cs="Times New Roman"/>
          <w:sz w:val="24"/>
          <w:szCs w:val="24"/>
        </w:rPr>
        <w:t>图纸要求</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7.1 投标方必须提供所有设备程序的源代码，包括但不限于 PLC程序、HMI 程序、组态程序、机器人程序、视觉程序、伺服等。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sz w:val="24"/>
          <w:highlight w:val="none"/>
        </w:rPr>
      </w:pPr>
      <w:r>
        <w:rPr>
          <w:rFonts w:hint="eastAsia" w:ascii="宋体" w:hAnsi="宋体" w:eastAsia="宋体" w:cs="Times New Roman"/>
          <w:sz w:val="24"/>
          <w:highlight w:val="none"/>
        </w:rPr>
        <w:t>7.2 投标方所提供的程序不得设置任何密码、保护等限制手段，PLC 不得设置修改下载权限，功能块不得设置密码保护。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sz w:val="24"/>
          <w:highlight w:val="none"/>
        </w:rPr>
      </w:pPr>
      <w:r>
        <w:rPr>
          <w:rFonts w:hint="eastAsia" w:ascii="宋体" w:hAnsi="宋体" w:eastAsia="宋体" w:cs="Times New Roman"/>
          <w:sz w:val="24"/>
          <w:highlight w:val="none"/>
        </w:rPr>
        <w:t>7.3 HMI界面等需要密码保护的程序，投标方必须提供所有级别的用户名、密码。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sz w:val="24"/>
          <w:highlight w:val="none"/>
        </w:rPr>
      </w:pPr>
      <w:r>
        <w:rPr>
          <w:rFonts w:hint="eastAsia" w:ascii="宋体" w:hAnsi="宋体" w:eastAsia="宋体" w:cs="Times New Roman"/>
          <w:sz w:val="24"/>
          <w:highlight w:val="none"/>
        </w:rPr>
        <w:t>7.4 投标方需在设备入场前提供设备程序源码，HMI 界面各级用户名和密码，并保证与现场程序一致。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sz w:val="24"/>
          <w:highlight w:val="none"/>
        </w:rPr>
      </w:pPr>
      <w:r>
        <w:rPr>
          <w:rFonts w:hint="eastAsia" w:ascii="宋体" w:hAnsi="宋体" w:eastAsia="宋体" w:cs="Times New Roman"/>
          <w:sz w:val="24"/>
          <w:highlight w:val="none"/>
        </w:rPr>
        <w:t>7.5 投标方需在终验收前提供最新的设备程序源码和电气图纸，图纸要求为可编辑原格式（EPLAN、CAD 格式）且与实际接线一致。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sz w:val="24"/>
          <w:highlight w:val="none"/>
        </w:rPr>
      </w:pPr>
      <w:r>
        <w:rPr>
          <w:rFonts w:hint="eastAsia" w:ascii="宋体" w:hAnsi="宋体" w:eastAsia="宋体" w:cs="Times New Roman"/>
          <w:sz w:val="24"/>
          <w:highlight w:val="none"/>
        </w:rPr>
        <w:t>7.6投标方提供所有备件详细明细（excel），包括备件名称、规格型号、品牌、数量等，非标件需提供详细订货号。</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7.7仪器、仪表、控制器、特殊用途传感器等，如伺服驱动器、变频器、称重传感器等，需提供设备使用说明书。</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7.8提供所有信号对接表（excel）。</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8.接口协议要求</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8.1 投标方免费开放所有通讯接口，包括但不限于以太网、RS232、RS485、PROFIBUS、PROFINET、MODBUS 等常见接口，以及设备特有的专用接口。</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8.2 投标方免费提供数据交互功能，交互数据包括但不限于实时数据、历史数据、报警信息等。</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8.3 投标方在设备入场前提供接口的技术文档和参数说明，包括但不限于接口协议、通讯速率、数据格式等。</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8.4 设备使用周期内，投标方免费派遣技术人员与招标方调试团队共同进行设备通讯接口的调试工作。</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9.电机能效</w:t>
      </w:r>
    </w:p>
    <w:p>
      <w:pPr>
        <w:spacing w:line="360" w:lineRule="auto"/>
        <w:ind w:firstLine="480" w:firstLineChars="200"/>
        <w:rPr>
          <w:rFonts w:hint="eastAsia" w:eastAsia="宋体" w:cs="宋体"/>
          <w:b/>
          <w:bCs w:val="0"/>
          <w:sz w:val="24"/>
          <w:szCs w:val="24"/>
          <w:highlight w:val="yellow"/>
        </w:rPr>
      </w:pPr>
      <w:r>
        <w:rPr>
          <w:rFonts w:hint="eastAsia" w:ascii="宋体" w:hAnsi="宋体" w:eastAsia="宋体" w:cs="Times New Roman"/>
          <w:sz w:val="24"/>
          <w:highlight w:val="none"/>
        </w:rPr>
        <w:t>关于投标方货物中所供电机：</w:t>
      </w:r>
      <w:r>
        <w:rPr>
          <w:rFonts w:ascii="宋体" w:hAnsi="宋体" w:eastAsia="宋体" w:cs="宋体"/>
          <w:b/>
          <w:bCs/>
          <w:sz w:val="24"/>
          <w:szCs w:val="24"/>
        </w:rPr>
        <w:t>电机功率≥7.5kW，必须选用一级能效。</w:t>
      </w:r>
      <w:r>
        <w:rPr>
          <w:rFonts w:ascii="宋体" w:hAnsi="宋体" w:eastAsia="宋体" w:cs="宋体"/>
          <w:sz w:val="24"/>
          <w:szCs w:val="24"/>
        </w:rPr>
        <w:t>电机功率＜7.5kW，优先选用一级能效；其中对于能源供应类设备及年运行时间≥2000h工艺设备的电机必须选用一级能效。杜绝选用三级及以下能效。空调必须选用一级能效，变压器最低选用二级能效</w:t>
      </w:r>
      <w:r>
        <w:rPr>
          <w:rFonts w:hint="eastAsia" w:ascii="宋体" w:hAnsi="宋体" w:eastAsia="宋体" w:cs="Times New Roman"/>
          <w:sz w:val="24"/>
          <w:highlight w:val="none"/>
          <w:lang w:val="en-US" w:eastAsia="zh-CN"/>
        </w:rPr>
        <w:t>。</w:t>
      </w:r>
    </w:p>
    <w:p>
      <w:pPr>
        <w:pStyle w:val="236"/>
        <w:numPr>
          <w:ilvl w:val="0"/>
          <w:numId w:val="10"/>
        </w:numPr>
        <w:spacing w:line="360" w:lineRule="auto"/>
        <w:ind w:left="0" w:leftChars="0" w:firstLine="420" w:firstLineChars="0"/>
        <w:outlineLvl w:val="2"/>
        <w:rPr>
          <w:rFonts w:hint="eastAsia" w:ascii="仿宋_GB2312" w:hAnsi="仿宋_GB2312" w:eastAsia="仿宋_GB2312" w:cs="仿宋_GB2312"/>
          <w:b w:val="0"/>
          <w:bCs w:val="0"/>
          <w:sz w:val="24"/>
          <w:szCs w:val="24"/>
          <w:lang w:val="en-US" w:eastAsia="zh-CN"/>
        </w:rPr>
      </w:pPr>
      <w:r>
        <w:rPr>
          <w:rFonts w:hint="eastAsia" w:eastAsia="宋体" w:cs="宋体"/>
          <w:b/>
          <w:bCs w:val="0"/>
          <w:sz w:val="24"/>
          <w:szCs w:val="24"/>
          <w:highlight w:val="none"/>
        </w:rPr>
        <w:t>技术要求</w:t>
      </w:r>
      <w:bookmarkStart w:id="21" w:name="_Toc169605881"/>
    </w:p>
    <w:p>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1.</w:t>
      </w:r>
      <w:r>
        <w:rPr>
          <w:rFonts w:hint="eastAsia" w:ascii="宋体" w:hAnsi="宋体" w:eastAsia="宋体" w:cs="Times New Roman"/>
          <w:sz w:val="24"/>
          <w:highlight w:val="none"/>
        </w:rPr>
        <w:t>供方提供的起重设备应是功能完整、技术先进、经济合理、成熟可靠的产品，并具有较高的灵活性，能够满足</w:t>
      </w:r>
      <w:r>
        <w:rPr>
          <w:rFonts w:hint="eastAsia" w:ascii="宋体" w:hAnsi="宋体" w:eastAsia="宋体" w:cs="Times New Roman"/>
          <w:sz w:val="24"/>
          <w:highlight w:val="none"/>
          <w:lang w:val="en-US" w:eastAsia="zh-CN"/>
        </w:rPr>
        <w:t>砂处理工序辅料间上料作业等</w:t>
      </w:r>
      <w:r>
        <w:rPr>
          <w:rFonts w:hint="eastAsia" w:ascii="宋体" w:hAnsi="宋体" w:eastAsia="宋体" w:cs="Times New Roman"/>
          <w:sz w:val="24"/>
          <w:highlight w:val="none"/>
        </w:rPr>
        <w:t>运行方式的需要，</w:t>
      </w:r>
      <w:r>
        <w:rPr>
          <w:rFonts w:hint="eastAsia" w:ascii="宋体" w:hAnsi="宋体" w:eastAsia="宋体" w:cs="Times New Roman"/>
          <w:sz w:val="24"/>
          <w:highlight w:val="none"/>
          <w:lang w:val="zh-CN"/>
        </w:rPr>
        <w:t>并能满足人身安全和劳动保护条件，</w:t>
      </w:r>
      <w:r>
        <w:rPr>
          <w:rFonts w:hint="eastAsia" w:ascii="宋体" w:hAnsi="宋体" w:eastAsia="宋体" w:cs="Times New Roman"/>
          <w:sz w:val="24"/>
          <w:highlight w:val="none"/>
        </w:rPr>
        <w:t>应保证</w:t>
      </w:r>
      <w:r>
        <w:rPr>
          <w:rFonts w:hint="eastAsia" w:ascii="宋体" w:hAnsi="宋体" w:eastAsia="宋体" w:cs="Times New Roman"/>
          <w:sz w:val="24"/>
          <w:highlight w:val="none"/>
          <w:lang w:val="en-US" w:eastAsia="zh-CN"/>
        </w:rPr>
        <w:t>产线</w:t>
      </w:r>
      <w:r>
        <w:rPr>
          <w:rFonts w:hint="eastAsia" w:ascii="宋体" w:hAnsi="宋体" w:eastAsia="宋体" w:cs="Times New Roman"/>
          <w:sz w:val="24"/>
          <w:highlight w:val="none"/>
        </w:rPr>
        <w:t>都能长期连续、安全、稳定、可靠地运行。</w:t>
      </w:r>
    </w:p>
    <w:p>
      <w:pPr>
        <w:bidi w:val="0"/>
        <w:rPr>
          <w:rFonts w:hint="eastAsia" w:ascii="宋体" w:hAnsi="宋体" w:eastAsia="宋体" w:cs="宋体"/>
          <w:sz w:val="24"/>
          <w:szCs w:val="24"/>
          <w:lang w:val="en-US" w:eastAsia="zh-CN"/>
        </w:rPr>
      </w:pPr>
    </w:p>
    <w:p>
      <w:pPr>
        <w:numPr>
          <w:ilvl w:val="0"/>
          <w:numId w:val="0"/>
        </w:numPr>
        <w:spacing w:line="24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2.参数表</w:t>
      </w:r>
    </w:p>
    <w:tbl>
      <w:tblPr>
        <w:tblStyle w:val="48"/>
        <w:tblW w:w="607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
      <w:tblGrid>
        <w:gridCol w:w="2784"/>
        <w:gridCol w:w="32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87" w:hRule="atLeast"/>
          <w:jc w:val="center"/>
        </w:trPr>
        <w:tc>
          <w:tcPr>
            <w:tcW w:w="2784" w:type="dxa"/>
            <w:vAlign w:val="center"/>
          </w:tcPr>
          <w:p>
            <w:pPr>
              <w:pStyle w:val="20"/>
              <w:spacing w:before="48" w:beforeLines="20" w:after="48" w:afterLines="2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主要技术参数</w:t>
            </w:r>
          </w:p>
        </w:tc>
        <w:tc>
          <w:tcPr>
            <w:tcW w:w="3291" w:type="dxa"/>
            <w:vAlign w:val="center"/>
          </w:tcPr>
          <w:p>
            <w:pPr>
              <w:pStyle w:val="20"/>
              <w:spacing w:before="48" w:beforeLines="20" w:after="48" w:afterLines="20" w:line="360" w:lineRule="auto"/>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吨</w:t>
            </w:r>
            <w:r>
              <w:rPr>
                <w:rFonts w:hint="eastAsia" w:ascii="宋体" w:hAnsi="宋体" w:eastAsia="宋体" w:cs="宋体"/>
                <w:color w:val="auto"/>
                <w:sz w:val="24"/>
                <w:szCs w:val="24"/>
                <w:highlight w:val="none"/>
                <w:lang w:val="en-US" w:eastAsia="zh-CN"/>
              </w:rPr>
              <w:t>防爆单梁（悬挂）起重机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jc w:val="center"/>
        </w:trPr>
        <w:tc>
          <w:tcPr>
            <w:tcW w:w="2784" w:type="dxa"/>
            <w:shd w:val="clear" w:color="auto" w:fill="auto"/>
            <w:vAlign w:val="center"/>
          </w:tcPr>
          <w:p>
            <w:pPr>
              <w:pStyle w:val="20"/>
              <w:spacing w:before="48" w:beforeLines="20" w:after="48" w:afterLines="20"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起</w:t>
            </w:r>
            <w:r>
              <w:rPr>
                <w:rFonts w:hint="eastAsia" w:ascii="宋体" w:hAnsi="宋体" w:cs="宋体"/>
                <w:color w:val="auto"/>
                <w:sz w:val="24"/>
                <w:szCs w:val="24"/>
                <w:highlight w:val="none"/>
                <w:lang w:val="en-US" w:eastAsia="zh-CN"/>
              </w:rPr>
              <w:t>升</w:t>
            </w:r>
            <w:r>
              <w:rPr>
                <w:rFonts w:hint="eastAsia" w:ascii="宋体" w:hAnsi="宋体" w:eastAsia="宋体" w:cs="宋体"/>
                <w:color w:val="auto"/>
                <w:sz w:val="24"/>
                <w:szCs w:val="24"/>
                <w:highlight w:val="none"/>
              </w:rPr>
              <w:t>重量</w:t>
            </w:r>
          </w:p>
        </w:tc>
        <w:tc>
          <w:tcPr>
            <w:tcW w:w="3291" w:type="dxa"/>
            <w:shd w:val="clear" w:color="auto" w:fill="auto"/>
            <w:vAlign w:val="center"/>
          </w:tcPr>
          <w:p>
            <w:pPr>
              <w:pStyle w:val="20"/>
              <w:spacing w:before="48" w:beforeLines="20" w:after="48" w:afterLines="20"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284" w:hRule="atLeast"/>
          <w:jc w:val="center"/>
        </w:trPr>
        <w:tc>
          <w:tcPr>
            <w:tcW w:w="2784" w:type="dxa"/>
            <w:vAlign w:val="center"/>
          </w:tcPr>
          <w:p>
            <w:pPr>
              <w:pStyle w:val="20"/>
              <w:spacing w:before="48" w:beforeLines="20" w:after="48" w:afterLines="2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工作电源</w:t>
            </w:r>
          </w:p>
        </w:tc>
        <w:tc>
          <w:tcPr>
            <w:tcW w:w="3291" w:type="dxa"/>
            <w:vAlign w:val="center"/>
          </w:tcPr>
          <w:p>
            <w:pPr>
              <w:pStyle w:val="20"/>
              <w:spacing w:before="48" w:beforeLines="20" w:after="48" w:afterLines="2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三相380V/50Hz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jc w:val="center"/>
        </w:trPr>
        <w:tc>
          <w:tcPr>
            <w:tcW w:w="2784" w:type="dxa"/>
            <w:vAlign w:val="center"/>
          </w:tcPr>
          <w:p>
            <w:pPr>
              <w:pStyle w:val="20"/>
              <w:spacing w:before="48" w:beforeLines="20" w:after="48" w:afterLines="2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防爆等级</w:t>
            </w:r>
          </w:p>
        </w:tc>
        <w:tc>
          <w:tcPr>
            <w:tcW w:w="3291" w:type="dxa"/>
            <w:vAlign w:val="center"/>
          </w:tcPr>
          <w:p>
            <w:pPr>
              <w:pStyle w:val="20"/>
              <w:spacing w:before="48" w:beforeLines="20" w:after="48" w:afterLines="20" w:line="360" w:lineRule="auto"/>
              <w:jc w:val="center"/>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EX</w:t>
            </w:r>
            <w:r>
              <w:rPr>
                <w:rFonts w:hint="eastAsia" w:ascii="宋体" w:hAnsi="宋体" w:cs="宋体"/>
                <w:color w:val="auto"/>
                <w:sz w:val="24"/>
                <w:szCs w:val="24"/>
                <w:highlight w:val="none"/>
                <w:lang w:val="en-US" w:eastAsia="zh-CN"/>
              </w:rPr>
              <w:t>d</w:t>
            </w:r>
            <w:r>
              <w:rPr>
                <w:rFonts w:hint="eastAsia" w:ascii="宋体" w:hAnsi="宋体" w:eastAsia="宋体" w:cs="宋体"/>
                <w:color w:val="auto"/>
                <w:sz w:val="24"/>
                <w:szCs w:val="24"/>
                <w:highlight w:val="none"/>
                <w:lang w:val="en-US" w:eastAsia="zh-CN"/>
              </w:rPr>
              <w:t>Ⅲ</w:t>
            </w:r>
            <w:r>
              <w:rPr>
                <w:rFonts w:hint="eastAsia" w:ascii="宋体" w:hAnsi="宋体" w:cs="宋体"/>
                <w:color w:val="auto"/>
                <w:sz w:val="24"/>
                <w:szCs w:val="24"/>
                <w:highlight w:val="none"/>
                <w:lang w:val="en-US" w:eastAsia="zh-CN"/>
              </w:rPr>
              <w:t>B</w:t>
            </w:r>
            <w:r>
              <w:rPr>
                <w:rFonts w:hint="eastAsia" w:ascii="宋体" w:hAnsi="宋体" w:eastAsia="宋体" w:cs="宋体"/>
                <w:color w:val="auto"/>
                <w:sz w:val="24"/>
                <w:szCs w:val="24"/>
                <w:highlight w:val="none"/>
                <w:lang w:val="en-US" w:eastAsia="zh-CN"/>
              </w:rPr>
              <w:t>T4D</w:t>
            </w:r>
            <w:r>
              <w:rPr>
                <w:rFonts w:hint="eastAsia" w:ascii="宋体" w:hAnsi="宋体" w:cs="宋体"/>
                <w:color w:val="auto"/>
                <w:sz w:val="24"/>
                <w:szCs w:val="24"/>
                <w:highlight w:val="none"/>
                <w:lang w:val="en-US" w:eastAsia="zh-CN"/>
              </w:rPr>
              <w:t>b</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jc w:val="center"/>
        </w:trPr>
        <w:tc>
          <w:tcPr>
            <w:tcW w:w="2784" w:type="dxa"/>
            <w:vAlign w:val="center"/>
          </w:tcPr>
          <w:p>
            <w:pPr>
              <w:pStyle w:val="20"/>
              <w:spacing w:before="48" w:beforeLines="20" w:after="48" w:afterLines="2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跨度</w:t>
            </w:r>
          </w:p>
        </w:tc>
        <w:tc>
          <w:tcPr>
            <w:tcW w:w="3291" w:type="dxa"/>
            <w:vAlign w:val="center"/>
          </w:tcPr>
          <w:p>
            <w:pPr>
              <w:pStyle w:val="20"/>
              <w:spacing w:before="48" w:beforeLines="20" w:after="48" w:afterLines="20" w:line="360" w:lineRule="auto"/>
              <w:jc w:val="center"/>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9米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jc w:val="center"/>
        </w:trPr>
        <w:tc>
          <w:tcPr>
            <w:tcW w:w="2784" w:type="dxa"/>
            <w:vAlign w:val="center"/>
          </w:tcPr>
          <w:p>
            <w:pPr>
              <w:pStyle w:val="20"/>
              <w:spacing w:before="48" w:beforeLines="20" w:after="48" w:afterLines="2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大车运行速度</w:t>
            </w:r>
          </w:p>
        </w:tc>
        <w:tc>
          <w:tcPr>
            <w:tcW w:w="3291" w:type="dxa"/>
            <w:vAlign w:val="center"/>
          </w:tcPr>
          <w:p>
            <w:pPr>
              <w:pStyle w:val="20"/>
              <w:spacing w:before="48" w:beforeLines="20" w:after="48" w:afterLines="2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20m/min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jc w:val="center"/>
        </w:trPr>
        <w:tc>
          <w:tcPr>
            <w:tcW w:w="2784" w:type="dxa"/>
            <w:shd w:val="clear" w:color="auto" w:fill="auto"/>
            <w:vAlign w:val="center"/>
          </w:tcPr>
          <w:p>
            <w:pPr>
              <w:pStyle w:val="20"/>
              <w:spacing w:before="48" w:beforeLines="20" w:after="48" w:afterLines="20"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起升高度</w:t>
            </w:r>
          </w:p>
        </w:tc>
        <w:tc>
          <w:tcPr>
            <w:tcW w:w="3291" w:type="dxa"/>
            <w:shd w:val="clear" w:color="auto" w:fill="auto"/>
            <w:vAlign w:val="center"/>
          </w:tcPr>
          <w:p>
            <w:pPr>
              <w:pStyle w:val="20"/>
              <w:spacing w:before="48" w:beforeLines="20" w:after="48" w:afterLines="20"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jc w:val="center"/>
        </w:trPr>
        <w:tc>
          <w:tcPr>
            <w:tcW w:w="2784" w:type="dxa"/>
            <w:shd w:val="clear" w:color="auto" w:fill="auto"/>
            <w:vAlign w:val="center"/>
          </w:tcPr>
          <w:p>
            <w:pPr>
              <w:pStyle w:val="20"/>
              <w:spacing w:before="48" w:beforeLines="20" w:after="48" w:afterLines="20"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起升速度</w:t>
            </w:r>
          </w:p>
        </w:tc>
        <w:tc>
          <w:tcPr>
            <w:tcW w:w="3291" w:type="dxa"/>
            <w:shd w:val="clear" w:color="auto" w:fill="auto"/>
            <w:vAlign w:val="center"/>
          </w:tcPr>
          <w:p>
            <w:pPr>
              <w:pStyle w:val="20"/>
              <w:spacing w:before="48" w:beforeLines="20" w:after="48" w:afterLines="20"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8m/min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jc w:val="center"/>
        </w:trPr>
        <w:tc>
          <w:tcPr>
            <w:tcW w:w="2784" w:type="dxa"/>
            <w:vAlign w:val="center"/>
          </w:tcPr>
          <w:p>
            <w:pPr>
              <w:pStyle w:val="20"/>
              <w:spacing w:before="48" w:beforeLines="20" w:after="48" w:afterLines="2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操作方式</w:t>
            </w:r>
          </w:p>
        </w:tc>
        <w:tc>
          <w:tcPr>
            <w:tcW w:w="3291" w:type="dxa"/>
            <w:vAlign w:val="center"/>
          </w:tcPr>
          <w:p>
            <w:pPr>
              <w:pStyle w:val="20"/>
              <w:spacing w:before="48" w:beforeLines="20" w:after="48" w:afterLines="2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地面手柄操作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jc w:val="center"/>
        </w:trPr>
        <w:tc>
          <w:tcPr>
            <w:tcW w:w="2784" w:type="dxa"/>
            <w:vAlign w:val="center"/>
          </w:tcPr>
          <w:p>
            <w:pPr>
              <w:pStyle w:val="20"/>
              <w:spacing w:before="48" w:beforeLines="20" w:after="48" w:afterLines="2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使用场所</w:t>
            </w:r>
          </w:p>
        </w:tc>
        <w:tc>
          <w:tcPr>
            <w:tcW w:w="3291" w:type="dxa"/>
            <w:vAlign w:val="center"/>
          </w:tcPr>
          <w:p>
            <w:pPr>
              <w:pStyle w:val="20"/>
              <w:spacing w:before="48" w:beforeLines="20" w:after="48" w:afterLines="2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室内</w:t>
            </w:r>
          </w:p>
        </w:tc>
      </w:tr>
    </w:tbl>
    <w:p>
      <w:pPr>
        <w:bidi w:val="0"/>
        <w:rPr>
          <w:rFonts w:hint="eastAsia"/>
          <w:lang w:val="en-US" w:eastAsia="zh-CN"/>
        </w:rPr>
      </w:pPr>
    </w:p>
    <w:p>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cs="Times New Roman"/>
          <w:sz w:val="24"/>
          <w:highlight w:val="none"/>
          <w:lang w:val="en-US" w:eastAsia="zh-CN"/>
        </w:rPr>
        <w:t>3</w:t>
      </w:r>
      <w:r>
        <w:rPr>
          <w:rFonts w:hint="default" w:ascii="宋体" w:hAnsi="宋体" w:eastAsia="宋体" w:cs="Times New Roman"/>
          <w:sz w:val="24"/>
          <w:highlight w:val="none"/>
          <w:lang w:val="en-US" w:eastAsia="zh-CN"/>
        </w:rPr>
        <w:t>.</w:t>
      </w:r>
      <w:r>
        <w:rPr>
          <w:rFonts w:hint="eastAsia" w:ascii="宋体" w:hAnsi="宋体" w:eastAsia="宋体" w:cs="Times New Roman"/>
          <w:sz w:val="24"/>
          <w:highlight w:val="none"/>
          <w:lang w:val="en-US" w:eastAsia="zh-CN"/>
        </w:rPr>
        <w:t>拆除原有电动单梁起重机，并转运至厂区内指定位置，安装新的防爆单梁（悬挂）起重机：起升重量为2T，具有防爆功能，防爆等级为</w:t>
      </w:r>
      <w:r>
        <w:rPr>
          <w:rFonts w:hint="eastAsia" w:ascii="宋体" w:hAnsi="宋体" w:eastAsia="宋体" w:cs="宋体"/>
          <w:color w:val="auto"/>
          <w:sz w:val="24"/>
          <w:szCs w:val="24"/>
          <w:highlight w:val="none"/>
          <w:lang w:val="en-US" w:eastAsia="zh-CN"/>
        </w:rPr>
        <w:t>EX</w:t>
      </w:r>
      <w:r>
        <w:rPr>
          <w:rFonts w:hint="eastAsia" w:ascii="宋体" w:hAnsi="宋体" w:cs="宋体"/>
          <w:color w:val="auto"/>
          <w:sz w:val="24"/>
          <w:szCs w:val="24"/>
          <w:highlight w:val="none"/>
          <w:lang w:val="en-US" w:eastAsia="zh-CN"/>
        </w:rPr>
        <w:t>d</w:t>
      </w:r>
      <w:r>
        <w:rPr>
          <w:rFonts w:hint="eastAsia" w:ascii="宋体" w:hAnsi="宋体" w:eastAsia="宋体" w:cs="宋体"/>
          <w:color w:val="auto"/>
          <w:sz w:val="24"/>
          <w:szCs w:val="24"/>
          <w:highlight w:val="none"/>
          <w:lang w:val="en-US" w:eastAsia="zh-CN"/>
        </w:rPr>
        <w:t>Ⅲ</w:t>
      </w:r>
      <w:r>
        <w:rPr>
          <w:rFonts w:hint="eastAsia" w:ascii="宋体" w:hAnsi="宋体" w:cs="宋体"/>
          <w:color w:val="auto"/>
          <w:sz w:val="24"/>
          <w:szCs w:val="24"/>
          <w:highlight w:val="none"/>
          <w:lang w:val="en-US" w:eastAsia="zh-CN"/>
        </w:rPr>
        <w:t>B</w:t>
      </w:r>
      <w:r>
        <w:rPr>
          <w:rFonts w:hint="eastAsia" w:ascii="宋体" w:hAnsi="宋体" w:eastAsia="宋体" w:cs="宋体"/>
          <w:color w:val="auto"/>
          <w:sz w:val="24"/>
          <w:szCs w:val="24"/>
          <w:highlight w:val="none"/>
          <w:lang w:val="en-US" w:eastAsia="zh-CN"/>
        </w:rPr>
        <w:t>T4D</w:t>
      </w:r>
      <w:r>
        <w:rPr>
          <w:rFonts w:hint="eastAsia" w:ascii="宋体" w:hAnsi="宋体" w:cs="宋体"/>
          <w:color w:val="auto"/>
          <w:sz w:val="24"/>
          <w:szCs w:val="24"/>
          <w:highlight w:val="none"/>
          <w:lang w:val="en-US" w:eastAsia="zh-CN"/>
        </w:rPr>
        <w:t>b</w:t>
      </w:r>
      <w:r>
        <w:rPr>
          <w:rFonts w:hint="eastAsia" w:ascii="宋体" w:hAnsi="宋体" w:eastAsia="宋体" w:cs="Times New Roman"/>
          <w:sz w:val="24"/>
          <w:highlight w:val="none"/>
          <w:lang w:val="en-US" w:eastAsia="zh-CN"/>
        </w:rPr>
        <w:t>，跨度为9m，运行速度20m/min，地面手柄操作。</w:t>
      </w:r>
    </w:p>
    <w:p>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cs="Times New Roman"/>
          <w:sz w:val="24"/>
          <w:highlight w:val="none"/>
          <w:lang w:val="en-US" w:eastAsia="zh-CN"/>
        </w:rPr>
        <w:t>3.1</w:t>
      </w:r>
      <w:r>
        <w:rPr>
          <w:rFonts w:hint="eastAsia" w:ascii="宋体" w:hAnsi="宋体" w:eastAsia="宋体" w:cs="Times New Roman"/>
          <w:sz w:val="24"/>
          <w:highlight w:val="none"/>
          <w:lang w:val="en-US" w:eastAsia="zh-CN"/>
        </w:rPr>
        <w:t>防爆电动葫芦：电机采用锥形转子制动防爆电机，起升重量为2T，起升高度9m，起升速度为8m/min，运行速度为20m/min。电动葫芦应保证运行可靠，并附带防坠落功能。</w:t>
      </w:r>
    </w:p>
    <w:p>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cs="Times New Roman"/>
          <w:sz w:val="24"/>
          <w:highlight w:val="none"/>
          <w:lang w:val="en-US" w:eastAsia="zh-CN"/>
        </w:rPr>
        <w:t>3.2</w:t>
      </w:r>
      <w:r>
        <w:rPr>
          <w:rFonts w:hint="eastAsia" w:ascii="宋体" w:hAnsi="宋体" w:eastAsia="宋体" w:cs="Times New Roman"/>
          <w:sz w:val="24"/>
          <w:highlight w:val="none"/>
          <w:lang w:val="en-US" w:eastAsia="zh-CN"/>
        </w:rPr>
        <w:t>电气控制箱：具有防爆功能，主要是由断路器、交流接触器、中间继电器等组成，用以控制大车、小车行走和起升机构升降，且电气线路需接入原起重机线路内。</w:t>
      </w:r>
    </w:p>
    <w:p>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cs="Times New Roman"/>
          <w:sz w:val="24"/>
          <w:highlight w:val="none"/>
          <w:lang w:val="en-US" w:eastAsia="zh-CN"/>
        </w:rPr>
        <w:t>3.3</w:t>
      </w:r>
      <w:r>
        <w:rPr>
          <w:rFonts w:hint="eastAsia" w:ascii="宋体" w:hAnsi="宋体" w:eastAsia="宋体" w:cs="Times New Roman"/>
          <w:sz w:val="24"/>
          <w:highlight w:val="none"/>
          <w:lang w:val="en-US" w:eastAsia="zh-CN"/>
        </w:rPr>
        <w:t>供电电源：电源为三相五线制380V(±10%，尖峰电流时下限为-15%)，50Hz。</w:t>
      </w:r>
    </w:p>
    <w:p>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cs="Times New Roman"/>
          <w:sz w:val="24"/>
          <w:highlight w:val="none"/>
          <w:lang w:val="en-US" w:eastAsia="zh-CN"/>
        </w:rPr>
        <w:t>3.4</w:t>
      </w:r>
      <w:r>
        <w:rPr>
          <w:rFonts w:hint="eastAsia" w:ascii="宋体" w:hAnsi="宋体" w:eastAsia="宋体" w:cs="Times New Roman"/>
          <w:sz w:val="24"/>
          <w:highlight w:val="none"/>
          <w:lang w:val="en-US" w:eastAsia="zh-CN"/>
        </w:rPr>
        <w:t>供电方式：电缆滑车，电缆滑车馈电所用滑道可以是钢丝绳滑道、工字钢滑道、异型钢滑道。</w:t>
      </w:r>
    </w:p>
    <w:p>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cs="Times New Roman"/>
          <w:sz w:val="24"/>
          <w:highlight w:val="none"/>
          <w:lang w:val="en-US" w:eastAsia="zh-CN"/>
        </w:rPr>
        <w:t>3.5</w:t>
      </w:r>
      <w:r>
        <w:rPr>
          <w:rFonts w:hint="eastAsia" w:ascii="宋体" w:hAnsi="宋体" w:eastAsia="宋体" w:cs="Times New Roman"/>
          <w:sz w:val="24"/>
          <w:highlight w:val="none"/>
          <w:lang w:val="en-US" w:eastAsia="zh-CN"/>
        </w:rPr>
        <w:t>电线及电缆：起重机上全部采用多股、有护套的绝缘电线及电缆。控制线截面积不小于1.5mm</w:t>
      </w:r>
      <w:r>
        <w:rPr>
          <w:rFonts w:hint="eastAsia" w:ascii="宋体" w:hAnsi="宋体" w:cs="Times New Roman"/>
          <w:sz w:val="24"/>
          <w:highlight w:val="none"/>
          <w:lang w:val="en-US" w:eastAsia="zh-CN"/>
        </w:rPr>
        <w:t>²</w:t>
      </w:r>
      <w:r>
        <w:rPr>
          <w:rFonts w:hint="eastAsia" w:ascii="宋体" w:hAnsi="宋体" w:eastAsia="宋体" w:cs="Times New Roman"/>
          <w:sz w:val="24"/>
          <w:highlight w:val="none"/>
          <w:lang w:val="en-US" w:eastAsia="zh-CN"/>
        </w:rPr>
        <w:t>多股单芯导线及1.0mm</w:t>
      </w:r>
      <w:r>
        <w:rPr>
          <w:rFonts w:hint="eastAsia" w:ascii="宋体" w:hAnsi="宋体" w:cs="Times New Roman"/>
          <w:sz w:val="24"/>
          <w:highlight w:val="none"/>
          <w:lang w:val="en-US" w:eastAsia="zh-CN"/>
        </w:rPr>
        <w:t>²</w:t>
      </w:r>
      <w:r>
        <w:rPr>
          <w:rFonts w:hint="eastAsia" w:ascii="宋体" w:hAnsi="宋体" w:eastAsia="宋体" w:cs="Times New Roman"/>
          <w:sz w:val="24"/>
          <w:highlight w:val="none"/>
          <w:lang w:val="en-US" w:eastAsia="zh-CN"/>
        </w:rPr>
        <w:t>的多股多芯导线，动力线截面积≥2.5mm</w:t>
      </w:r>
      <w:r>
        <w:rPr>
          <w:rFonts w:hint="eastAsia" w:ascii="宋体" w:hAnsi="宋体" w:cs="Times New Roman"/>
          <w:sz w:val="24"/>
          <w:highlight w:val="none"/>
          <w:lang w:val="en-US" w:eastAsia="zh-CN"/>
        </w:rPr>
        <w:t>²</w:t>
      </w:r>
      <w:r>
        <w:rPr>
          <w:rFonts w:hint="eastAsia" w:ascii="宋体" w:hAnsi="宋体" w:eastAsia="宋体" w:cs="Times New Roman"/>
          <w:sz w:val="24"/>
          <w:highlight w:val="none"/>
          <w:lang w:val="en-US" w:eastAsia="zh-CN"/>
        </w:rPr>
        <w:t>。起重机上的电缆敷设于壁厚为1.5mm～2mm的线槽或钢管中。在有机械损伤、化学腐蚀或油污侵蚀的部位均设有防护装置。</w:t>
      </w:r>
    </w:p>
    <w:p>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cs="Times New Roman"/>
          <w:sz w:val="24"/>
          <w:highlight w:val="none"/>
          <w:lang w:val="en-US" w:eastAsia="zh-CN"/>
        </w:rPr>
        <w:t>3.6</w:t>
      </w:r>
      <w:r>
        <w:rPr>
          <w:rFonts w:hint="eastAsia" w:ascii="宋体" w:hAnsi="宋体" w:eastAsia="宋体" w:cs="Times New Roman"/>
          <w:sz w:val="24"/>
          <w:highlight w:val="none"/>
          <w:lang w:val="en-US" w:eastAsia="zh-CN"/>
        </w:rPr>
        <w:t>操纵方式：地面手柄操作</w:t>
      </w:r>
      <w:r>
        <w:rPr>
          <w:rFonts w:hint="eastAsia" w:ascii="宋体" w:hAnsi="宋体" w:cs="Times New Roman"/>
          <w:sz w:val="24"/>
          <w:highlight w:val="none"/>
          <w:lang w:val="en-US" w:eastAsia="zh-CN"/>
        </w:rPr>
        <w:t>（带急停、复位按钮）</w:t>
      </w:r>
      <w:r>
        <w:rPr>
          <w:rFonts w:hint="eastAsia" w:ascii="宋体" w:hAnsi="宋体" w:eastAsia="宋体" w:cs="Times New Roman"/>
          <w:sz w:val="24"/>
          <w:highlight w:val="none"/>
          <w:lang w:val="en-US" w:eastAsia="zh-CN"/>
        </w:rPr>
        <w:t>，由控制手柄上的按钮控制起重机相应机构动作，控制回路电压为交流</w:t>
      </w:r>
      <w:r>
        <w:rPr>
          <w:rFonts w:hint="eastAsia" w:ascii="宋体" w:hAnsi="宋体" w:cs="Times New Roman"/>
          <w:sz w:val="24"/>
          <w:highlight w:val="none"/>
          <w:lang w:val="en-US" w:eastAsia="zh-CN"/>
        </w:rPr>
        <w:t>36</w:t>
      </w:r>
      <w:r>
        <w:rPr>
          <w:rFonts w:hint="eastAsia" w:ascii="宋体" w:hAnsi="宋体" w:eastAsia="宋体" w:cs="Times New Roman"/>
          <w:sz w:val="24"/>
          <w:highlight w:val="none"/>
          <w:lang w:val="en-US" w:eastAsia="zh-CN"/>
        </w:rPr>
        <w:t>V安全电压，切断电源按键不可自动复位。</w:t>
      </w:r>
    </w:p>
    <w:p>
      <w:pPr>
        <w:spacing w:line="360" w:lineRule="auto"/>
        <w:ind w:firstLine="480" w:firstLineChars="200"/>
        <w:rPr>
          <w:rFonts w:hint="eastAsia" w:ascii="宋体" w:hAnsi="宋体" w:eastAsia="宋体" w:cs="Times New Roman"/>
          <w:sz w:val="24"/>
          <w:highlight w:val="none"/>
        </w:rPr>
      </w:pPr>
      <w:r>
        <w:rPr>
          <w:rFonts w:hint="eastAsia" w:ascii="宋体" w:hAnsi="宋体" w:cs="Times New Roman"/>
          <w:sz w:val="24"/>
          <w:highlight w:val="none"/>
          <w:lang w:val="en-US" w:eastAsia="zh-CN"/>
        </w:rPr>
        <w:t>3.7</w:t>
      </w:r>
      <w:r>
        <w:rPr>
          <w:rFonts w:hint="eastAsia" w:ascii="宋体" w:hAnsi="宋体" w:eastAsia="宋体" w:cs="Times New Roman"/>
          <w:sz w:val="24"/>
          <w:highlight w:val="none"/>
          <w:lang w:val="en-US" w:eastAsia="zh-CN"/>
        </w:rPr>
        <w:t>安全及安全装置：具有断电保护功能，紧急停止按钮等安全措施；起重机上金属机构及所有电气设备金属外壳、管槽，变压器低压侧均设有可靠接地；防爆型电气装置外壳密闭牢固，防爆级别为</w:t>
      </w:r>
      <w:r>
        <w:rPr>
          <w:rFonts w:hint="eastAsia" w:ascii="宋体" w:hAnsi="宋体" w:eastAsia="宋体" w:cs="宋体"/>
          <w:color w:val="auto"/>
          <w:sz w:val="24"/>
          <w:szCs w:val="24"/>
          <w:highlight w:val="none"/>
          <w:lang w:val="en-US" w:eastAsia="zh-CN"/>
        </w:rPr>
        <w:t>EX</w:t>
      </w:r>
      <w:r>
        <w:rPr>
          <w:rFonts w:hint="eastAsia" w:ascii="宋体" w:hAnsi="宋体" w:cs="宋体"/>
          <w:color w:val="auto"/>
          <w:sz w:val="24"/>
          <w:szCs w:val="24"/>
          <w:highlight w:val="none"/>
          <w:lang w:val="en-US" w:eastAsia="zh-CN"/>
        </w:rPr>
        <w:t>d</w:t>
      </w:r>
      <w:r>
        <w:rPr>
          <w:rFonts w:hint="eastAsia" w:ascii="宋体" w:hAnsi="宋体" w:eastAsia="宋体" w:cs="宋体"/>
          <w:color w:val="auto"/>
          <w:sz w:val="24"/>
          <w:szCs w:val="24"/>
          <w:highlight w:val="none"/>
          <w:lang w:val="en-US" w:eastAsia="zh-CN"/>
        </w:rPr>
        <w:t>Ⅲ</w:t>
      </w:r>
      <w:r>
        <w:rPr>
          <w:rFonts w:hint="eastAsia" w:ascii="宋体" w:hAnsi="宋体" w:cs="宋体"/>
          <w:color w:val="auto"/>
          <w:sz w:val="24"/>
          <w:szCs w:val="24"/>
          <w:highlight w:val="none"/>
          <w:lang w:val="en-US" w:eastAsia="zh-CN"/>
        </w:rPr>
        <w:t>B</w:t>
      </w:r>
      <w:r>
        <w:rPr>
          <w:rFonts w:hint="eastAsia" w:ascii="宋体" w:hAnsi="宋体" w:eastAsia="宋体" w:cs="宋体"/>
          <w:color w:val="auto"/>
          <w:sz w:val="24"/>
          <w:szCs w:val="24"/>
          <w:highlight w:val="none"/>
          <w:lang w:val="en-US" w:eastAsia="zh-CN"/>
        </w:rPr>
        <w:t>T4D</w:t>
      </w:r>
      <w:r>
        <w:rPr>
          <w:rFonts w:hint="eastAsia" w:ascii="宋体" w:hAnsi="宋体" w:cs="宋体"/>
          <w:color w:val="auto"/>
          <w:sz w:val="24"/>
          <w:szCs w:val="24"/>
          <w:highlight w:val="none"/>
          <w:lang w:val="en-US" w:eastAsia="zh-CN"/>
        </w:rPr>
        <w:t>b</w:t>
      </w:r>
      <w:r>
        <w:rPr>
          <w:rFonts w:hint="eastAsia" w:ascii="宋体" w:hAnsi="宋体" w:eastAsia="宋体" w:cs="Times New Roman"/>
          <w:sz w:val="24"/>
          <w:highlight w:val="none"/>
          <w:lang w:val="en-US" w:eastAsia="zh-CN"/>
        </w:rPr>
        <w:t>；防爆控制箱内部电器元件均采用质量高、可靠性好、寿命长的低压电器元件，尽可能减少因电气故障导致的防爆箱开箱次数</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w:t>
      </w:r>
      <w:r>
        <w:rPr>
          <w:rFonts w:hint="eastAsia" w:ascii="宋体" w:hAnsi="宋体" w:eastAsia="宋体" w:cs="Times New Roman"/>
          <w:sz w:val="24"/>
          <w:highlight w:val="none"/>
        </w:rPr>
        <w:t>电气保护功能。</w:t>
      </w:r>
    </w:p>
    <w:p>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3.</w:t>
      </w:r>
      <w:r>
        <w:rPr>
          <w:rFonts w:hint="eastAsia" w:ascii="宋体" w:hAnsi="宋体" w:eastAsia="宋体" w:cs="Times New Roman"/>
          <w:sz w:val="24"/>
          <w:highlight w:val="none"/>
          <w:lang w:val="en-US" w:eastAsia="zh-CN"/>
        </w:rPr>
        <w:t>7</w:t>
      </w:r>
      <w:r>
        <w:rPr>
          <w:rFonts w:hint="eastAsia" w:ascii="宋体" w:hAnsi="宋体" w:eastAsia="宋体" w:cs="Times New Roman"/>
          <w:sz w:val="24"/>
          <w:highlight w:val="none"/>
        </w:rPr>
        <w:t>.1过流、过压、缺项保护；电压保护器。</w:t>
      </w:r>
    </w:p>
    <w:p>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3.</w:t>
      </w:r>
      <w:r>
        <w:rPr>
          <w:rFonts w:hint="eastAsia" w:ascii="宋体" w:hAnsi="宋体" w:eastAsia="宋体" w:cs="Times New Roman"/>
          <w:sz w:val="24"/>
          <w:highlight w:val="none"/>
          <w:lang w:val="en-US" w:eastAsia="zh-CN"/>
        </w:rPr>
        <w:t>7</w:t>
      </w:r>
      <w:r>
        <w:rPr>
          <w:rFonts w:hint="eastAsia" w:ascii="宋体" w:hAnsi="宋体" w:eastAsia="宋体" w:cs="Times New Roman"/>
          <w:sz w:val="24"/>
          <w:highlight w:val="none"/>
        </w:rPr>
        <w:t>.2起升高度限位器</w:t>
      </w:r>
    </w:p>
    <w:p>
      <w:pPr>
        <w:spacing w:line="360" w:lineRule="auto"/>
        <w:ind w:left="479" w:leftChars="228" w:firstLine="0" w:firstLineChars="0"/>
        <w:rPr>
          <w:rFonts w:hint="eastAsia" w:ascii="宋体" w:hAnsi="宋体" w:eastAsia="宋体" w:cs="Times New Roman"/>
          <w:sz w:val="24"/>
          <w:highlight w:val="none"/>
        </w:rPr>
      </w:pPr>
      <w:r>
        <w:rPr>
          <w:rFonts w:hint="eastAsia" w:ascii="宋体" w:hAnsi="宋体" w:eastAsia="宋体" w:cs="Times New Roman"/>
          <w:sz w:val="24"/>
          <w:highlight w:val="none"/>
        </w:rPr>
        <w:t>3.</w:t>
      </w:r>
      <w:r>
        <w:rPr>
          <w:rFonts w:hint="eastAsia" w:ascii="宋体" w:hAnsi="宋体" w:eastAsia="宋体" w:cs="Times New Roman"/>
          <w:sz w:val="24"/>
          <w:highlight w:val="none"/>
          <w:lang w:val="en-US" w:eastAsia="zh-CN"/>
        </w:rPr>
        <w:t>7</w:t>
      </w:r>
      <w:r>
        <w:rPr>
          <w:rFonts w:hint="eastAsia" w:ascii="宋体" w:hAnsi="宋体" w:eastAsia="宋体" w:cs="Times New Roman"/>
          <w:sz w:val="24"/>
          <w:highlight w:val="none"/>
        </w:rPr>
        <w:t>.3起重限制器（超载保护）</w:t>
      </w:r>
    </w:p>
    <w:p>
      <w:pPr>
        <w:spacing w:line="360" w:lineRule="auto"/>
        <w:ind w:left="479" w:leftChars="228" w:firstLine="0" w:firstLineChars="0"/>
        <w:rPr>
          <w:rFonts w:hint="eastAsia" w:ascii="宋体" w:hAnsi="宋体" w:eastAsia="宋体" w:cs="Times New Roman"/>
          <w:sz w:val="24"/>
          <w:highlight w:val="none"/>
        </w:rPr>
      </w:pPr>
      <w:r>
        <w:rPr>
          <w:rFonts w:hint="eastAsia" w:ascii="宋体" w:hAnsi="宋体" w:cs="Times New Roman"/>
          <w:sz w:val="24"/>
          <w:highlight w:val="none"/>
          <w:lang w:val="en-US" w:eastAsia="zh-CN"/>
        </w:rPr>
        <w:t>3.7.4</w:t>
      </w:r>
      <w:r>
        <w:rPr>
          <w:rFonts w:hint="eastAsia" w:ascii="宋体" w:hAnsi="宋体" w:eastAsia="宋体" w:cs="宋体"/>
          <w:kern w:val="0"/>
          <w:sz w:val="24"/>
          <w:lang w:val="en-US" w:eastAsia="zh-CN"/>
        </w:rPr>
        <w:t>超速保护装置</w:t>
      </w:r>
      <w:r>
        <w:rPr>
          <w:rFonts w:hint="eastAsia" w:ascii="宋体" w:hAnsi="宋体" w:eastAsia="宋体" w:cs="Times New Roman"/>
          <w:sz w:val="24"/>
          <w:highlight w:val="none"/>
        </w:rPr>
        <w:t>（超</w:t>
      </w:r>
      <w:r>
        <w:rPr>
          <w:rFonts w:hint="eastAsia" w:ascii="宋体" w:hAnsi="宋体" w:eastAsia="宋体" w:cs="Times New Roman"/>
          <w:sz w:val="24"/>
          <w:highlight w:val="none"/>
          <w:lang w:val="en-US" w:eastAsia="zh-CN"/>
        </w:rPr>
        <w:t>速</w:t>
      </w:r>
      <w:r>
        <w:rPr>
          <w:rFonts w:hint="eastAsia" w:ascii="宋体" w:hAnsi="宋体" w:eastAsia="宋体" w:cs="Times New Roman"/>
          <w:sz w:val="24"/>
          <w:highlight w:val="none"/>
        </w:rPr>
        <w:t>保护）</w:t>
      </w:r>
    </w:p>
    <w:p>
      <w:pPr>
        <w:pStyle w:val="2"/>
        <w:ind w:firstLine="480" w:firstLineChars="200"/>
        <w:rPr>
          <w:rFonts w:hint="eastAsia" w:hAnsi="宋体" w:eastAsia="宋体" w:cs="Times New Roman"/>
          <w:sz w:val="24"/>
          <w:highlight w:val="none"/>
          <w:lang w:val="en-US" w:eastAsia="zh-CN"/>
        </w:rPr>
      </w:pPr>
      <w:r>
        <w:rPr>
          <w:rFonts w:hint="eastAsia" w:hAnsi="宋体" w:eastAsia="宋体" w:cs="Times New Roman"/>
          <w:sz w:val="24"/>
          <w:highlight w:val="none"/>
          <w:lang w:val="en-US" w:eastAsia="zh-CN"/>
        </w:rPr>
        <w:t>3.7.5行车装有警报灯，要求行车在运行过程中，警报灯处于警报状态</w:t>
      </w:r>
    </w:p>
    <w:p>
      <w:pPr>
        <w:pStyle w:val="2"/>
        <w:ind w:firstLine="480" w:firstLineChars="200"/>
        <w:rPr>
          <w:rFonts w:hint="default" w:hAnsi="宋体" w:eastAsia="宋体" w:cs="Times New Roman"/>
          <w:sz w:val="24"/>
          <w:highlight w:val="none"/>
          <w:lang w:val="en-US" w:eastAsia="zh-CN"/>
        </w:rPr>
      </w:pPr>
      <w:r>
        <w:rPr>
          <w:rFonts w:hint="eastAsia" w:hAnsi="宋体" w:eastAsia="宋体" w:cs="Times New Roman"/>
          <w:sz w:val="24"/>
          <w:highlight w:val="none"/>
          <w:lang w:val="en-US" w:eastAsia="zh-CN"/>
        </w:rPr>
        <w:t>3.7.6大小车两端行程限位器</w:t>
      </w:r>
    </w:p>
    <w:p>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3.</w:t>
      </w:r>
      <w:r>
        <w:rPr>
          <w:rFonts w:hint="eastAsia" w:ascii="宋体" w:hAnsi="宋体" w:eastAsia="宋体" w:cs="Times New Roman"/>
          <w:sz w:val="24"/>
          <w:highlight w:val="none"/>
          <w:lang w:val="en-US" w:eastAsia="zh-CN"/>
        </w:rPr>
        <w:t>8</w:t>
      </w:r>
      <w:r>
        <w:rPr>
          <w:rFonts w:hint="eastAsia" w:ascii="宋体" w:hAnsi="宋体" w:eastAsia="宋体" w:cs="Times New Roman"/>
          <w:sz w:val="24"/>
          <w:highlight w:val="none"/>
        </w:rPr>
        <w:t xml:space="preserve">  外观色彩、外观造型要求：</w:t>
      </w:r>
    </w:p>
    <w:p>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rPr>
        <w:t>起重设备</w:t>
      </w:r>
      <w:r>
        <w:rPr>
          <w:rFonts w:hint="eastAsia" w:ascii="宋体" w:hAnsi="宋体" w:eastAsia="宋体" w:cs="Times New Roman"/>
          <w:sz w:val="24"/>
          <w:highlight w:val="none"/>
          <w:lang w:val="zh-CN"/>
        </w:rPr>
        <w:t>的涂漆应符合JB/T4297的规定</w:t>
      </w:r>
      <w:r>
        <w:rPr>
          <w:rFonts w:hint="eastAsia" w:ascii="宋体" w:hAnsi="宋体" w:eastAsia="宋体" w:cs="Times New Roman"/>
          <w:sz w:val="24"/>
          <w:highlight w:val="none"/>
        </w:rPr>
        <w:t>的安全色。</w:t>
      </w:r>
    </w:p>
    <w:p>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4.其他要求</w:t>
      </w:r>
    </w:p>
    <w:p>
      <w:pPr>
        <w:spacing w:line="360" w:lineRule="auto"/>
        <w:ind w:firstLine="480" w:firstLineChars="200"/>
        <w:rPr>
          <w:rFonts w:hint="eastAsia" w:ascii="宋体" w:hAnsi="宋体" w:eastAsia="宋体" w:cs="Times New Roman"/>
          <w:sz w:val="24"/>
          <w:highlight w:val="none"/>
          <w:lang w:eastAsia="zh-CN"/>
        </w:rPr>
      </w:pPr>
      <w:r>
        <w:rPr>
          <w:rFonts w:hint="eastAsia" w:ascii="宋体" w:hAnsi="宋体" w:eastAsia="宋体" w:cs="Times New Roman"/>
          <w:sz w:val="24"/>
          <w:highlight w:val="none"/>
          <w:lang w:val="en-US" w:eastAsia="zh-CN"/>
        </w:rPr>
        <w:t>4.1</w:t>
      </w:r>
      <w:r>
        <w:rPr>
          <w:rFonts w:hint="eastAsia" w:ascii="宋体" w:hAnsi="宋体" w:eastAsia="宋体" w:cs="Times New Roman"/>
          <w:sz w:val="24"/>
          <w:highlight w:val="none"/>
          <w:lang w:eastAsia="zh-CN"/>
        </w:rPr>
        <w:t>投标方</w:t>
      </w:r>
      <w:r>
        <w:rPr>
          <w:rFonts w:hint="eastAsia" w:ascii="宋体" w:hAnsi="宋体" w:eastAsia="宋体" w:cs="Times New Roman"/>
          <w:sz w:val="24"/>
          <w:highlight w:val="none"/>
        </w:rPr>
        <w:t>应向</w:t>
      </w:r>
      <w:r>
        <w:rPr>
          <w:rFonts w:hint="eastAsia" w:ascii="宋体" w:hAnsi="宋体" w:eastAsia="宋体" w:cs="Times New Roman"/>
          <w:sz w:val="24"/>
          <w:highlight w:val="none"/>
          <w:lang w:val="en-US" w:eastAsia="zh-CN"/>
        </w:rPr>
        <w:t>招标</w:t>
      </w:r>
      <w:r>
        <w:rPr>
          <w:rFonts w:hint="eastAsia" w:ascii="宋体" w:hAnsi="宋体" w:eastAsia="宋体" w:cs="Times New Roman"/>
          <w:sz w:val="24"/>
          <w:highlight w:val="none"/>
        </w:rPr>
        <w:t>方提供设备制造进度计划表，当实际进度严重偏离计划时，应向</w:t>
      </w:r>
      <w:r>
        <w:rPr>
          <w:rFonts w:hint="eastAsia" w:ascii="宋体" w:hAnsi="宋体" w:eastAsia="宋体" w:cs="Times New Roman"/>
          <w:sz w:val="24"/>
          <w:highlight w:val="none"/>
          <w:lang w:val="en-US" w:eastAsia="zh-CN"/>
        </w:rPr>
        <w:t>招标</w:t>
      </w:r>
      <w:r>
        <w:rPr>
          <w:rFonts w:hint="eastAsia" w:ascii="宋体" w:hAnsi="宋体" w:eastAsia="宋体" w:cs="Times New Roman"/>
          <w:sz w:val="24"/>
          <w:highlight w:val="none"/>
        </w:rPr>
        <w:t>方说明</w:t>
      </w:r>
      <w:r>
        <w:rPr>
          <w:rFonts w:hint="eastAsia" w:ascii="宋体" w:hAnsi="宋体" w:eastAsia="宋体" w:cs="Times New Roman"/>
          <w:sz w:val="24"/>
          <w:highlight w:val="none"/>
          <w:lang w:eastAsia="zh-CN"/>
        </w:rPr>
        <w:t>。</w:t>
      </w:r>
    </w:p>
    <w:p>
      <w:pPr>
        <w:spacing w:line="360" w:lineRule="auto"/>
        <w:ind w:firstLine="480" w:firstLineChars="200"/>
        <w:rPr>
          <w:rFonts w:hint="default"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4.2 设备设计合理，制造精良，性能稳定可靠，且使用维修方便，造型美观。设备的结构应保证有足够的静态、动态、刚度和精度。</w:t>
      </w:r>
    </w:p>
    <w:p>
      <w:pPr>
        <w:spacing w:line="360" w:lineRule="auto"/>
        <w:ind w:firstLine="480" w:firstLineChars="200"/>
        <w:rPr>
          <w:rFonts w:hint="default"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4.3设备机身漆面均匀无气泡、龟裂和其它缺陷,设备旋转零部件，如电机等需有旋转标识。</w:t>
      </w:r>
    </w:p>
    <w:p>
      <w:pPr>
        <w:spacing w:line="360" w:lineRule="auto"/>
        <w:ind w:firstLine="480" w:firstLineChars="200"/>
        <w:rPr>
          <w:rFonts w:hint="default"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4.4有空气开关，含过流、过载、短路、缺相保护功能。三相线互换不会影响限位保护装置的保护功能。</w:t>
      </w:r>
    </w:p>
    <w:p>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4.5润滑点设置全面合理。</w:t>
      </w:r>
    </w:p>
    <w:p>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4.6电气系统</w:t>
      </w:r>
    </w:p>
    <w:p>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4.6.1电控系统设计及系统配置元器件的性能满足国际电工IEC标准，电器元件通过CE或UL认证，所有电器元件选用</w:t>
      </w:r>
      <w:r>
        <w:rPr>
          <w:rFonts w:hint="eastAsia" w:ascii="宋体" w:hAnsi="宋体" w:cs="Times New Roman"/>
          <w:sz w:val="24"/>
          <w:highlight w:val="none"/>
          <w:lang w:val="en-US" w:eastAsia="zh-CN"/>
        </w:rPr>
        <w:t>黄河防爆、</w:t>
      </w:r>
      <w:r>
        <w:rPr>
          <w:rFonts w:hint="eastAsia" w:ascii="宋体" w:hAnsi="宋体" w:eastAsia="宋体" w:cs="Times New Roman"/>
          <w:sz w:val="24"/>
          <w:highlight w:val="none"/>
          <w:lang w:val="en-US" w:eastAsia="zh-CN"/>
        </w:rPr>
        <w:t xml:space="preserve">德力西、正泰、西门子等知名品牌。 </w:t>
      </w:r>
    </w:p>
    <w:p>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 xml:space="preserve">4.6.2控制电路全部采用 </w:t>
      </w:r>
      <w:r>
        <w:rPr>
          <w:rFonts w:hint="eastAsia" w:ascii="宋体" w:hAnsi="宋体" w:cs="Times New Roman"/>
          <w:sz w:val="24"/>
          <w:highlight w:val="none"/>
          <w:lang w:val="en-US" w:eastAsia="zh-CN"/>
        </w:rPr>
        <w:t>36</w:t>
      </w:r>
      <w:r>
        <w:rPr>
          <w:rFonts w:hint="eastAsia" w:ascii="宋体" w:hAnsi="宋体" w:eastAsia="宋体" w:cs="Times New Roman"/>
          <w:sz w:val="24"/>
          <w:highlight w:val="none"/>
          <w:lang w:val="en-US" w:eastAsia="zh-CN"/>
        </w:rPr>
        <w:t>V 安全电压，操作安全可靠。</w:t>
      </w:r>
    </w:p>
    <w:p>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4.6.3电控柜柜体表面漆膜应平整光滑、肉眼看不到皱痕、气泡等，电气柜的门应有足够的刚度，在全开启及转动时，无变形或下垂。门应开关灵活，开启角应大于90度，门与框之间不能有摩擦及损坏涂层的现象。</w:t>
      </w:r>
    </w:p>
    <w:p>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4.6.4电器元件型号、规格、数量、品牌等与图纸相符，所有元器件组装应排列整齐，安装牢固，所有标记牌的字迹应完整、清晰，且不易脱色、粘贴牢固，电器元件应能单独拆装更换，而不影响其它电器及导线束的固定。</w:t>
      </w:r>
    </w:p>
    <w:p>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4.6.5接线端子应无损坏，绝缘良好，固定牢固，强、弱电端子应分开布置。电气柜应按接线图进行布线，多股导线应加接线端子，压接牢固，接线两端应有编号套管，套管上字母朝向应一致，布线应按水平或垂直方向敷设，在不宜使用汇线槽的地方，可采用绝缘支架固定。两个接线端之间的导线不得有中间接头。</w:t>
      </w:r>
    </w:p>
    <w:p>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4.6.6直流正极采用棕色线，负极采用蓝色线，接地线PE采用黄绿相间线。</w:t>
      </w:r>
    </w:p>
    <w:p>
      <w:pPr>
        <w:spacing w:line="360" w:lineRule="auto"/>
        <w:ind w:firstLine="480" w:firstLineChars="200"/>
        <w:rPr>
          <w:rFonts w:hint="default"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4.6.7电器元件的每一个接点不得超出2根接线端子。接线端子应与导线截面积匹配，不允许小端子配大截面导线。导线在穿越金属板孔时，应在金属板孔上套上大小适宜的保护套，保护导线绝缘层不磨损。柜体与柜门之间的走线，必须加护套导线，在线槽内容量不宜超过线槽的2/3。</w:t>
      </w:r>
    </w:p>
    <w:p>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4.6.8控制柜到设备之间弱电部分不可与强电同槽布线。</w:t>
      </w:r>
    </w:p>
    <w:p>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4.6.9程序图纸要求</w:t>
      </w:r>
    </w:p>
    <w:p>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投标方必须提供所有设备程序的源代码（涉及的），包括但不限于 PLC程序、HMI 程序、机器人程序、视觉程序、伺服等。</w:t>
      </w:r>
    </w:p>
    <w:p>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b. 投标方所提供的程序不得设置任何密码、保护等限制手段，PLC 不得设置修改下载权限，功能块不得设置密码保护。</w:t>
      </w:r>
    </w:p>
    <w:p>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c. HMI 界面等需要密码保护的程序，投标方必须提供所有级别的用户名、密码。</w:t>
      </w:r>
    </w:p>
    <w:p>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d. 投标方需在设备入场前提供设备程序源码，HMI 界面各级用户名和密码，并保证与现场程序一致。</w:t>
      </w:r>
    </w:p>
    <w:p>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e. 投标方需在终验收前提供最新的设备程序源码和电气图纸，图纸要求为可编辑原格式（EPLAN、CAD 格式）且与实际接线一致。</w:t>
      </w:r>
    </w:p>
    <w:p>
      <w:pPr>
        <w:spacing w:line="360" w:lineRule="auto"/>
        <w:ind w:firstLine="480" w:firstLineChars="200"/>
        <w:rPr>
          <w:rFonts w:hint="default"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5.安全及职业健康</w:t>
      </w:r>
    </w:p>
    <w:p>
      <w:pPr>
        <w:spacing w:line="360" w:lineRule="auto"/>
        <w:ind w:firstLine="480" w:firstLineChars="200"/>
        <w:rPr>
          <w:rFonts w:hint="default" w:ascii="宋体" w:hAnsi="宋体" w:eastAsia="宋体" w:cs="宋体"/>
          <w:color w:val="auto"/>
          <w:kern w:val="0"/>
          <w:sz w:val="24"/>
          <w:szCs w:val="24"/>
          <w:highlight w:val="yellow"/>
          <w:lang w:val="en-US" w:eastAsia="zh-CN" w:bidi="ar-SA"/>
        </w:rPr>
      </w:pPr>
      <w:r>
        <w:rPr>
          <w:rFonts w:hint="default" w:ascii="宋体" w:hAnsi="宋体" w:eastAsia="宋体" w:cs="Times New Roman"/>
          <w:sz w:val="24"/>
          <w:highlight w:val="none"/>
          <w:lang w:val="en-US" w:eastAsia="zh-CN"/>
        </w:rPr>
        <w:t>按照国家安全标准设计安装安全护栏，做到“有轴必有套，有轮必有罩，有台必有栏，有洞必有盖”的要求，以保证设备及操作人员的安全。</w:t>
      </w:r>
    </w:p>
    <w:p>
      <w:pPr>
        <w:pStyle w:val="237"/>
        <w:numPr>
          <w:ilvl w:val="0"/>
          <w:numId w:val="10"/>
        </w:numPr>
        <w:spacing w:line="360" w:lineRule="auto"/>
        <w:ind w:left="0" w:leftChars="0" w:firstLine="420" w:firstLineChars="0"/>
        <w:rPr>
          <w:rFonts w:ascii="宋体" w:hAnsi="宋体" w:cs="宋体"/>
          <w:color w:val="auto"/>
          <w:highlight w:val="none"/>
        </w:rPr>
      </w:pPr>
      <w:r>
        <w:rPr>
          <w:rFonts w:hint="eastAsia" w:ascii="宋体" w:hAnsi="宋体" w:cs="宋体"/>
          <w:color w:val="auto"/>
          <w:highlight w:val="none"/>
        </w:rPr>
        <w:t>执行标准</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1.招标人此处所列标准仅为涉及的主要标准，而且不保证其为最新版执行标准；投标人应当在投标文件中认真予以填写、补充和修改完善。</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2.投标人需要执行的标准，应当采用所供货物通过买方组织的最终验收之日已经开始执行的最新标准。</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4.采购货物没有国家或专业（部）标准的，按企业标准执行时，卖方应在合同签署之前，将所涉及的企业标准提供给买方确认。</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5.采购货物如果采用国际标准，其执行标准由投标人提供、招标人确认。</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6.采购货物所涉及的标准不统一时，原则上按照最严格标准执行。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highlight w:val="none"/>
        </w:rPr>
        <w:t>7.涉及的主要标准表</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4091"/>
        <w:gridCol w:w="2986"/>
        <w:gridCol w:w="1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1"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序号</w:t>
            </w:r>
          </w:p>
        </w:tc>
        <w:tc>
          <w:tcPr>
            <w:tcW w:w="4091"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宋体" w:hAnsi="宋体" w:eastAsia="宋体" w:cs="宋体"/>
                <w:b/>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标准名称</w:t>
            </w:r>
          </w:p>
        </w:tc>
        <w:tc>
          <w:tcPr>
            <w:tcW w:w="2986"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宋体" w:hAnsi="宋体" w:eastAsia="宋体" w:cs="宋体"/>
                <w:b/>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标准编号</w:t>
            </w:r>
          </w:p>
        </w:tc>
        <w:tc>
          <w:tcPr>
            <w:tcW w:w="1045"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微软雅黑" w:hAnsi="微软雅黑" w:eastAsia="微软雅黑" w:cs="微软雅黑"/>
                <w:b/>
                <w:bCs/>
                <w:color w:val="000000" w:themeColor="text1"/>
                <w:kern w:val="2"/>
                <w:sz w:val="24"/>
                <w:szCs w:val="24"/>
                <w:lang w:val="en-US" w:eastAsia="zh-CN" w:bidi="ar-SA"/>
                <w14:textFill>
                  <w14:solidFill>
                    <w14:schemeClr w14:val="tx1"/>
                  </w14:solidFill>
                </w14:textFill>
              </w:rPr>
            </w:pPr>
            <w:r>
              <w:rPr>
                <w:rFonts w:hint="eastAsia" w:ascii="微软雅黑" w:hAnsi="微软雅黑" w:eastAsia="微软雅黑" w:cs="微软雅黑"/>
                <w:b/>
                <w:bCs/>
                <w:color w:val="000000" w:themeColor="text1"/>
                <w:kern w:val="2"/>
                <w:sz w:val="24"/>
                <w:szCs w:val="24"/>
                <w:lang w:val="en-US" w:eastAsia="zh-CN" w:bidi="ar-SA"/>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81"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1</w:t>
            </w:r>
          </w:p>
        </w:tc>
        <w:tc>
          <w:tcPr>
            <w:tcW w:w="4091"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起重机械超载保护装置</w:t>
            </w:r>
          </w:p>
        </w:tc>
        <w:tc>
          <w:tcPr>
            <w:tcW w:w="2986"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GB/T 12602-2020</w:t>
            </w:r>
          </w:p>
        </w:tc>
        <w:tc>
          <w:tcPr>
            <w:tcW w:w="1045" w:type="dxa"/>
            <w:noWrap w:val="0"/>
            <w:vAlign w:val="center"/>
          </w:tcPr>
          <w:p>
            <w:pPr>
              <w:spacing w:line="360" w:lineRule="auto"/>
              <w:jc w:val="center"/>
              <w:rPr>
                <w:rFonts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81"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2</w:t>
            </w:r>
          </w:p>
        </w:tc>
        <w:tc>
          <w:tcPr>
            <w:tcW w:w="4091"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起重机电控设备标准</w:t>
            </w:r>
          </w:p>
        </w:tc>
        <w:tc>
          <w:tcPr>
            <w:tcW w:w="2986"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JB/T4315-2020</w:t>
            </w:r>
          </w:p>
        </w:tc>
        <w:tc>
          <w:tcPr>
            <w:tcW w:w="1045" w:type="dxa"/>
            <w:noWrap w:val="0"/>
            <w:vAlign w:val="top"/>
          </w:tcPr>
          <w:p>
            <w:pPr>
              <w:spacing w:line="360" w:lineRule="auto"/>
              <w:jc w:val="center"/>
              <w:rPr>
                <w:rFonts w:ascii="宋体" w:hAnsi="宋体" w:eastAsia="宋体" w:cs="宋体"/>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81"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3</w:t>
            </w:r>
          </w:p>
        </w:tc>
        <w:tc>
          <w:tcPr>
            <w:tcW w:w="4091"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通用桥式起重机</w:t>
            </w:r>
          </w:p>
        </w:tc>
        <w:tc>
          <w:tcPr>
            <w:tcW w:w="2986"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GB/T14405-2011</w:t>
            </w:r>
          </w:p>
        </w:tc>
        <w:tc>
          <w:tcPr>
            <w:tcW w:w="1045" w:type="dxa"/>
            <w:noWrap w:val="0"/>
            <w:vAlign w:val="top"/>
          </w:tcPr>
          <w:p>
            <w:pPr>
              <w:spacing w:line="360" w:lineRule="auto"/>
              <w:jc w:val="center"/>
              <w:rPr>
                <w:rFonts w:ascii="宋体" w:hAnsi="宋体" w:eastAsia="宋体" w:cs="宋体"/>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81"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4</w:t>
            </w:r>
          </w:p>
        </w:tc>
        <w:tc>
          <w:tcPr>
            <w:tcW w:w="4091"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机械电气安全</w:t>
            </w:r>
          </w:p>
        </w:tc>
        <w:tc>
          <w:tcPr>
            <w:tcW w:w="2986"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GB/T5226.1-2019</w:t>
            </w:r>
          </w:p>
        </w:tc>
        <w:tc>
          <w:tcPr>
            <w:tcW w:w="1045" w:type="dxa"/>
            <w:noWrap w:val="0"/>
            <w:vAlign w:val="top"/>
          </w:tcPr>
          <w:p>
            <w:pPr>
              <w:spacing w:line="360" w:lineRule="auto"/>
              <w:jc w:val="center"/>
              <w:rPr>
                <w:rFonts w:ascii="宋体" w:hAnsi="宋体" w:eastAsia="宋体" w:cs="宋体"/>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81"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5</w:t>
            </w:r>
          </w:p>
        </w:tc>
        <w:tc>
          <w:tcPr>
            <w:tcW w:w="4091"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低压配电设计规范</w:t>
            </w:r>
          </w:p>
        </w:tc>
        <w:tc>
          <w:tcPr>
            <w:tcW w:w="2986"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GB50054-2011</w:t>
            </w:r>
          </w:p>
        </w:tc>
        <w:tc>
          <w:tcPr>
            <w:tcW w:w="1045" w:type="dxa"/>
            <w:noWrap w:val="0"/>
            <w:vAlign w:val="top"/>
          </w:tcPr>
          <w:p>
            <w:pPr>
              <w:spacing w:line="360" w:lineRule="auto"/>
              <w:jc w:val="center"/>
              <w:rPr>
                <w:rFonts w:ascii="宋体" w:hAnsi="宋体" w:eastAsia="宋体" w:cs="宋体"/>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81"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6</w:t>
            </w:r>
          </w:p>
        </w:tc>
        <w:tc>
          <w:tcPr>
            <w:tcW w:w="4091"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起重机设计规范</w:t>
            </w:r>
          </w:p>
        </w:tc>
        <w:tc>
          <w:tcPr>
            <w:tcW w:w="2986"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GB3811-2011</w:t>
            </w:r>
          </w:p>
        </w:tc>
        <w:tc>
          <w:tcPr>
            <w:tcW w:w="1045" w:type="dxa"/>
            <w:noWrap w:val="0"/>
            <w:vAlign w:val="top"/>
          </w:tcPr>
          <w:p>
            <w:pPr>
              <w:spacing w:line="360" w:lineRule="auto"/>
              <w:jc w:val="center"/>
              <w:rPr>
                <w:rFonts w:ascii="宋体" w:hAnsi="宋体" w:eastAsia="宋体" w:cs="宋体"/>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81"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7</w:t>
            </w:r>
          </w:p>
        </w:tc>
        <w:tc>
          <w:tcPr>
            <w:tcW w:w="4091"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起重机械安全规程</w:t>
            </w:r>
          </w:p>
        </w:tc>
        <w:tc>
          <w:tcPr>
            <w:tcW w:w="2986"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GB6067.1-2021</w:t>
            </w:r>
          </w:p>
        </w:tc>
        <w:tc>
          <w:tcPr>
            <w:tcW w:w="1045" w:type="dxa"/>
            <w:noWrap w:val="0"/>
            <w:vAlign w:val="top"/>
          </w:tcPr>
          <w:p>
            <w:pPr>
              <w:spacing w:line="360" w:lineRule="auto"/>
              <w:jc w:val="center"/>
              <w:rPr>
                <w:rFonts w:ascii="宋体" w:hAnsi="宋体" w:eastAsia="宋体" w:cs="宋体"/>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81"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8</w:t>
            </w:r>
          </w:p>
        </w:tc>
        <w:tc>
          <w:tcPr>
            <w:tcW w:w="4091"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安全标准</w:t>
            </w:r>
          </w:p>
        </w:tc>
        <w:tc>
          <w:tcPr>
            <w:tcW w:w="2986"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default"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GB</w:t>
            </w:r>
            <w:r>
              <w:rPr>
                <w:rFonts w:hint="eastAsia" w:ascii="宋体" w:hAnsi="宋体" w:cs="宋体"/>
                <w:color w:val="000000" w:themeColor="text1"/>
                <w:kern w:val="2"/>
                <w:sz w:val="24"/>
                <w:szCs w:val="24"/>
                <w:lang w:val="en-US" w:eastAsia="zh-CN" w:bidi="ar-SA"/>
                <w14:textFill>
                  <w14:solidFill>
                    <w14:schemeClr w14:val="tx1"/>
                  </w14:solidFill>
                </w14:textFill>
              </w:rPr>
              <w:t>/T 6067系列</w:t>
            </w:r>
          </w:p>
        </w:tc>
        <w:tc>
          <w:tcPr>
            <w:tcW w:w="1045" w:type="dxa"/>
            <w:noWrap w:val="0"/>
            <w:vAlign w:val="top"/>
          </w:tcPr>
          <w:p>
            <w:pPr>
              <w:spacing w:line="360" w:lineRule="auto"/>
              <w:jc w:val="center"/>
              <w:rPr>
                <w:rFonts w:ascii="宋体" w:hAnsi="宋体" w:eastAsia="宋体" w:cs="宋体"/>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881"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9</w:t>
            </w:r>
          </w:p>
        </w:tc>
        <w:tc>
          <w:tcPr>
            <w:tcW w:w="4091"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起重机车轮及大车和小车轨道公差</w:t>
            </w:r>
          </w:p>
        </w:tc>
        <w:tc>
          <w:tcPr>
            <w:tcW w:w="2986"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GB/T 10183.1-2018</w:t>
            </w:r>
          </w:p>
        </w:tc>
        <w:tc>
          <w:tcPr>
            <w:tcW w:w="1045" w:type="dxa"/>
            <w:noWrap w:val="0"/>
            <w:vAlign w:val="top"/>
          </w:tcPr>
          <w:p>
            <w:pPr>
              <w:spacing w:line="360" w:lineRule="auto"/>
              <w:jc w:val="center"/>
              <w:rPr>
                <w:rFonts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81"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10</w:t>
            </w:r>
          </w:p>
        </w:tc>
        <w:tc>
          <w:tcPr>
            <w:tcW w:w="4091"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电动单梁起重机</w:t>
            </w:r>
          </w:p>
        </w:tc>
        <w:tc>
          <w:tcPr>
            <w:tcW w:w="2986"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default"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JB/T1306-20</w:t>
            </w:r>
            <w:r>
              <w:rPr>
                <w:rFonts w:hint="eastAsia" w:ascii="宋体" w:hAnsi="宋体" w:cs="宋体"/>
                <w:color w:val="000000" w:themeColor="text1"/>
                <w:kern w:val="2"/>
                <w:sz w:val="24"/>
                <w:szCs w:val="24"/>
                <w:lang w:val="en-US" w:eastAsia="zh-CN" w:bidi="ar-SA"/>
                <w14:textFill>
                  <w14:solidFill>
                    <w14:schemeClr w14:val="tx1"/>
                  </w14:solidFill>
                </w14:textFill>
              </w:rPr>
              <w:t>24</w:t>
            </w:r>
          </w:p>
        </w:tc>
        <w:tc>
          <w:tcPr>
            <w:tcW w:w="1045" w:type="dxa"/>
            <w:noWrap w:val="0"/>
            <w:vAlign w:val="top"/>
          </w:tcPr>
          <w:p>
            <w:pPr>
              <w:spacing w:line="360" w:lineRule="auto"/>
              <w:jc w:val="center"/>
              <w:rPr>
                <w:rFonts w:ascii="宋体" w:hAnsi="宋体" w:eastAsia="宋体" w:cs="宋体"/>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81"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11</w:t>
            </w:r>
          </w:p>
        </w:tc>
        <w:tc>
          <w:tcPr>
            <w:tcW w:w="4091"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起重机械安全技术规程</w:t>
            </w:r>
          </w:p>
        </w:tc>
        <w:tc>
          <w:tcPr>
            <w:tcW w:w="2986"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TSG51-2023</w:t>
            </w:r>
          </w:p>
        </w:tc>
        <w:tc>
          <w:tcPr>
            <w:tcW w:w="1045" w:type="dxa"/>
            <w:noWrap w:val="0"/>
            <w:vAlign w:val="top"/>
          </w:tcPr>
          <w:p>
            <w:pPr>
              <w:spacing w:line="360" w:lineRule="auto"/>
              <w:jc w:val="center"/>
              <w:rPr>
                <w:rFonts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881"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12</w:t>
            </w:r>
          </w:p>
        </w:tc>
        <w:tc>
          <w:tcPr>
            <w:tcW w:w="4091"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企业安全生产标准化基本规范</w:t>
            </w:r>
          </w:p>
        </w:tc>
        <w:tc>
          <w:tcPr>
            <w:tcW w:w="2986"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default"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‌GB/T 33000-20</w:t>
            </w:r>
            <w:r>
              <w:rPr>
                <w:rFonts w:hint="eastAsia" w:ascii="宋体" w:hAnsi="宋体" w:cs="宋体"/>
                <w:color w:val="000000" w:themeColor="text1"/>
                <w:kern w:val="2"/>
                <w:sz w:val="24"/>
                <w:szCs w:val="24"/>
                <w:lang w:val="en-US" w:eastAsia="zh-CN" w:bidi="ar-SA"/>
                <w14:textFill>
                  <w14:solidFill>
                    <w14:schemeClr w14:val="tx1"/>
                  </w14:solidFill>
                </w14:textFill>
              </w:rPr>
              <w:t>25</w:t>
            </w:r>
          </w:p>
        </w:tc>
        <w:tc>
          <w:tcPr>
            <w:tcW w:w="1045" w:type="dxa"/>
            <w:noWrap w:val="0"/>
            <w:vAlign w:val="top"/>
          </w:tcPr>
          <w:p>
            <w:pPr>
              <w:spacing w:line="360" w:lineRule="auto"/>
              <w:jc w:val="center"/>
              <w:rPr>
                <w:rFonts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881"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13</w:t>
            </w:r>
          </w:p>
        </w:tc>
        <w:tc>
          <w:tcPr>
            <w:tcW w:w="4091"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电动悬挂起重机</w:t>
            </w:r>
          </w:p>
        </w:tc>
        <w:tc>
          <w:tcPr>
            <w:tcW w:w="2986"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JB/T2603-20</w:t>
            </w:r>
            <w:r>
              <w:rPr>
                <w:rFonts w:hint="eastAsia" w:ascii="宋体" w:hAnsi="宋体" w:cs="宋体"/>
                <w:color w:val="000000" w:themeColor="text1"/>
                <w:kern w:val="2"/>
                <w:sz w:val="24"/>
                <w:szCs w:val="24"/>
                <w:lang w:val="en-US" w:eastAsia="zh-CN" w:bidi="ar-SA"/>
                <w14:textFill>
                  <w14:solidFill>
                    <w14:schemeClr w14:val="tx1"/>
                  </w14:solidFill>
                </w14:textFill>
              </w:rPr>
              <w:t>24</w:t>
            </w:r>
            <w:r>
              <w:rPr>
                <w:rFonts w:hint="eastAsia" w:ascii="宋体" w:hAnsi="宋体" w:eastAsia="宋体" w:cs="宋体"/>
                <w:color w:val="000000" w:themeColor="text1"/>
                <w:kern w:val="2"/>
                <w:sz w:val="24"/>
                <w:szCs w:val="24"/>
                <w:lang w:val="en-US" w:eastAsia="zh-CN" w:bidi="ar-SA"/>
                <w14:textFill>
                  <w14:solidFill>
                    <w14:schemeClr w14:val="tx1"/>
                  </w14:solidFill>
                </w14:textFill>
              </w:rPr>
              <w:t xml:space="preserve"> </w:t>
            </w:r>
          </w:p>
        </w:tc>
        <w:tc>
          <w:tcPr>
            <w:tcW w:w="1045" w:type="dxa"/>
            <w:noWrap w:val="0"/>
            <w:vAlign w:val="top"/>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微软雅黑" w:hAnsi="微软雅黑" w:eastAsia="微软雅黑" w:cs="微软雅黑"/>
                <w:color w:val="000000" w:themeColor="text1"/>
                <w:kern w:val="2"/>
                <w:sz w:val="24"/>
                <w:szCs w:val="24"/>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881"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14</w:t>
            </w:r>
          </w:p>
        </w:tc>
        <w:tc>
          <w:tcPr>
            <w:tcW w:w="4091"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防爆梁式起重机</w:t>
            </w:r>
          </w:p>
        </w:tc>
        <w:tc>
          <w:tcPr>
            <w:tcW w:w="2986" w:type="dxa"/>
            <w:noWrap w:val="0"/>
            <w:vAlign w:val="center"/>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JB/T10219-20</w:t>
            </w:r>
            <w:r>
              <w:rPr>
                <w:rFonts w:hint="eastAsia" w:ascii="宋体" w:hAnsi="宋体" w:cs="宋体"/>
                <w:color w:val="000000" w:themeColor="text1"/>
                <w:kern w:val="2"/>
                <w:sz w:val="24"/>
                <w:szCs w:val="24"/>
                <w:lang w:val="en-US" w:eastAsia="zh-CN" w:bidi="ar-SA"/>
                <w14:textFill>
                  <w14:solidFill>
                    <w14:schemeClr w14:val="tx1"/>
                  </w14:solidFill>
                </w14:textFill>
              </w:rPr>
              <w:t>1</w:t>
            </w:r>
            <w:r>
              <w:rPr>
                <w:rFonts w:hint="eastAsia" w:ascii="宋体" w:hAnsi="宋体" w:eastAsia="宋体" w:cs="宋体"/>
                <w:color w:val="000000" w:themeColor="text1"/>
                <w:kern w:val="2"/>
                <w:sz w:val="24"/>
                <w:szCs w:val="24"/>
                <w:lang w:val="en-US" w:eastAsia="zh-CN" w:bidi="ar-SA"/>
                <w14:textFill>
                  <w14:solidFill>
                    <w14:schemeClr w14:val="tx1"/>
                  </w14:solidFill>
                </w14:textFill>
              </w:rPr>
              <w:t>1</w:t>
            </w:r>
          </w:p>
        </w:tc>
        <w:tc>
          <w:tcPr>
            <w:tcW w:w="1045" w:type="dxa"/>
            <w:noWrap w:val="0"/>
            <w:vAlign w:val="top"/>
          </w:tcPr>
          <w:p>
            <w:pPr>
              <w:pageBreakBefore w:val="0"/>
              <w:numPr>
                <w:ilvl w:val="0"/>
                <w:numId w:val="0"/>
              </w:numPr>
              <w:kinsoku/>
              <w:wordWrap/>
              <w:overflowPunct/>
              <w:topLinePunct w:val="0"/>
              <w:bidi w:val="0"/>
              <w:spacing w:line="240" w:lineRule="auto"/>
              <w:ind w:left="425" w:leftChars="0" w:hanging="425" w:firstLineChars="0"/>
              <w:jc w:val="center"/>
              <w:textAlignment w:val="auto"/>
              <w:rPr>
                <w:rFonts w:hint="eastAsia" w:ascii="微软雅黑" w:hAnsi="微软雅黑" w:eastAsia="微软雅黑" w:cs="微软雅黑"/>
                <w:color w:val="000000" w:themeColor="text1"/>
                <w:kern w:val="2"/>
                <w:sz w:val="24"/>
                <w:szCs w:val="24"/>
                <w:lang w:val="en-US" w:eastAsia="zh-CN" w:bidi="ar-SA"/>
                <w14:textFill>
                  <w14:solidFill>
                    <w14:schemeClr w14:val="tx1"/>
                  </w14:solidFill>
                </w14:textFill>
              </w:rPr>
            </w:pPr>
          </w:p>
        </w:tc>
      </w:tr>
    </w:tbl>
    <w:p>
      <w:pPr>
        <w:spacing w:line="360" w:lineRule="auto"/>
        <w:ind w:firstLine="480" w:firstLineChars="200"/>
        <w:rPr>
          <w:rFonts w:ascii="Calibri" w:hAnsi="Calibri" w:eastAsia="宋体" w:cs="Times New Roman"/>
          <w:b/>
          <w:bCs/>
          <w:kern w:val="44"/>
          <w:sz w:val="28"/>
          <w:szCs w:val="28"/>
        </w:rPr>
      </w:pPr>
      <w:r>
        <w:rPr>
          <w:rFonts w:hint="eastAsia" w:ascii="宋体" w:hAnsi="宋体" w:eastAsia="宋体" w:cs="宋体"/>
          <w:sz w:val="24"/>
          <w:szCs w:val="24"/>
        </w:rPr>
        <w:t xml:space="preserve"> </w:t>
      </w:r>
    </w:p>
    <w:p>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21"/>
    </w:p>
    <w:p/>
    <w:p>
      <w:pPr>
        <w:keepNext/>
        <w:keepLines/>
        <w:spacing w:line="360" w:lineRule="auto"/>
        <w:jc w:val="center"/>
        <w:outlineLvl w:val="2"/>
        <w:rPr>
          <w:rFonts w:ascii="宋体" w:hAnsi="宋体" w:eastAsia="宋体" w:cs="宋体"/>
          <w:b/>
          <w:bCs/>
          <w:sz w:val="24"/>
          <w:szCs w:val="32"/>
        </w:rPr>
      </w:pPr>
      <w:bookmarkStart w:id="22" w:name="_Toc169605882"/>
      <w:r>
        <w:rPr>
          <w:rFonts w:hint="eastAsia" w:ascii="宋体" w:hAnsi="宋体" w:eastAsia="宋体" w:cs="宋体"/>
          <w:b/>
          <w:bCs/>
          <w:sz w:val="24"/>
          <w:szCs w:val="32"/>
        </w:rPr>
        <w:t xml:space="preserve">第一节  </w:t>
      </w:r>
      <w:r>
        <w:rPr>
          <w:rFonts w:hint="eastAsia" w:ascii="宋体" w:hAnsi="宋体" w:eastAsia="宋体" w:cs="宋体"/>
          <w:b/>
          <w:bCs/>
          <w:sz w:val="24"/>
          <w:szCs w:val="32"/>
          <w:highlight w:val="none"/>
        </w:rPr>
        <w:t>供货范围</w:t>
      </w:r>
      <w:bookmarkEnd w:id="22"/>
    </w:p>
    <w:p>
      <w:pPr>
        <w:spacing w:line="420" w:lineRule="exact"/>
        <w:ind w:firstLine="482" w:firstLineChars="200"/>
        <w:outlineLvl w:val="3"/>
        <w:rPr>
          <w:rFonts w:hint="eastAsia" w:ascii="宋体" w:hAnsi="宋体" w:eastAsia="宋体" w:cs="宋体"/>
          <w:b/>
          <w:bCs/>
          <w:color w:val="auto"/>
          <w:sz w:val="24"/>
          <w:szCs w:val="24"/>
          <w:highlight w:val="none"/>
        </w:rPr>
      </w:pPr>
      <w:r>
        <w:rPr>
          <w:rFonts w:hint="eastAsia" w:ascii="宋体" w:hAnsi="宋体" w:eastAsia="宋体" w:cs="宋体"/>
          <w:b/>
          <w:bCs/>
          <w:sz w:val="24"/>
          <w:szCs w:val="24"/>
        </w:rPr>
        <w:t>一</w:t>
      </w:r>
      <w:r>
        <w:rPr>
          <w:rFonts w:hint="eastAsia" w:ascii="宋体" w:hAnsi="宋体" w:eastAsia="宋体" w:cs="宋体"/>
          <w:b/>
          <w:bCs/>
          <w:sz w:val="24"/>
          <w:szCs w:val="24"/>
          <w:highlight w:val="none"/>
        </w:rPr>
        <w:t>、</w:t>
      </w:r>
      <w:r>
        <w:rPr>
          <w:rFonts w:hint="eastAsia" w:ascii="宋体" w:hAnsi="宋体" w:eastAsia="宋体" w:cs="宋体"/>
          <w:b/>
          <w:bCs/>
          <w:color w:val="auto"/>
          <w:sz w:val="24"/>
          <w:szCs w:val="24"/>
          <w:highlight w:val="none"/>
        </w:rPr>
        <w:t>供货范围（按照组成项目主要构成一览表的所有最小单元逐一列示，要涵盖培训等内容）</w:t>
      </w:r>
    </w:p>
    <w:tbl>
      <w:tblPr>
        <w:tblStyle w:val="4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2"/>
        <w:gridCol w:w="4053"/>
        <w:gridCol w:w="1037"/>
        <w:gridCol w:w="954"/>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noWrap w:val="0"/>
            <w:vAlign w:val="center"/>
          </w:tcPr>
          <w:p>
            <w:pPr>
              <w:spacing w:line="360" w:lineRule="auto"/>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序号</w:t>
            </w:r>
          </w:p>
        </w:tc>
        <w:tc>
          <w:tcPr>
            <w:tcW w:w="2184" w:type="pct"/>
            <w:noWrap w:val="0"/>
            <w:vAlign w:val="center"/>
          </w:tcPr>
          <w:p>
            <w:pPr>
              <w:spacing w:line="360" w:lineRule="auto"/>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名称</w:t>
            </w:r>
          </w:p>
        </w:tc>
        <w:tc>
          <w:tcPr>
            <w:tcW w:w="559" w:type="pct"/>
            <w:noWrap w:val="0"/>
            <w:vAlign w:val="center"/>
          </w:tcPr>
          <w:p>
            <w:pPr>
              <w:spacing w:line="360" w:lineRule="auto"/>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单位</w:t>
            </w:r>
          </w:p>
        </w:tc>
        <w:tc>
          <w:tcPr>
            <w:tcW w:w="514" w:type="pct"/>
            <w:noWrap w:val="0"/>
            <w:vAlign w:val="center"/>
          </w:tcPr>
          <w:p>
            <w:pPr>
              <w:spacing w:line="360" w:lineRule="auto"/>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数量</w:t>
            </w:r>
          </w:p>
        </w:tc>
        <w:tc>
          <w:tcPr>
            <w:tcW w:w="1185" w:type="pct"/>
            <w:noWrap w:val="0"/>
            <w:vAlign w:val="center"/>
          </w:tcPr>
          <w:p>
            <w:pPr>
              <w:spacing w:line="360" w:lineRule="auto"/>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noWrap w:val="0"/>
            <w:vAlign w:val="center"/>
          </w:tcPr>
          <w:p>
            <w:pPr>
              <w:spacing w:line="360" w:lineRule="auto"/>
              <w:jc w:val="center"/>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p>
        </w:tc>
        <w:tc>
          <w:tcPr>
            <w:tcW w:w="2184" w:type="pct"/>
            <w:noWrap w:val="0"/>
            <w:vAlign w:val="center"/>
          </w:tcPr>
          <w:p>
            <w:pPr>
              <w:spacing w:line="360" w:lineRule="auto"/>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防爆单梁（悬挂）起重机</w:t>
            </w:r>
          </w:p>
        </w:tc>
        <w:tc>
          <w:tcPr>
            <w:tcW w:w="559" w:type="pct"/>
            <w:noWrap w:val="0"/>
            <w:vAlign w:val="center"/>
          </w:tcPr>
          <w:p>
            <w:pPr>
              <w:spacing w:line="360" w:lineRule="auto"/>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套</w:t>
            </w:r>
          </w:p>
        </w:tc>
        <w:tc>
          <w:tcPr>
            <w:tcW w:w="514" w:type="pct"/>
            <w:noWrap w:val="0"/>
            <w:vAlign w:val="center"/>
          </w:tcPr>
          <w:p>
            <w:pPr>
              <w:spacing w:line="360" w:lineRule="auto"/>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p>
        </w:tc>
        <w:tc>
          <w:tcPr>
            <w:tcW w:w="1185" w:type="pct"/>
            <w:noWrap w:val="0"/>
            <w:vAlign w:val="top"/>
          </w:tcPr>
          <w:p>
            <w:pPr>
              <w:spacing w:line="360" w:lineRule="auto"/>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noWrap w:val="0"/>
            <w:vAlign w:val="center"/>
          </w:tcPr>
          <w:p>
            <w:pPr>
              <w:spacing w:line="360" w:lineRule="auto"/>
              <w:jc w:val="center"/>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p>
        </w:tc>
        <w:tc>
          <w:tcPr>
            <w:tcW w:w="2184" w:type="pct"/>
            <w:noWrap w:val="0"/>
            <w:vAlign w:val="center"/>
          </w:tcPr>
          <w:p>
            <w:pPr>
              <w:spacing w:line="360" w:lineRule="auto"/>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防爆电动葫芦</w:t>
            </w:r>
          </w:p>
        </w:tc>
        <w:tc>
          <w:tcPr>
            <w:tcW w:w="559" w:type="pct"/>
            <w:noWrap w:val="0"/>
            <w:vAlign w:val="center"/>
          </w:tcPr>
          <w:p>
            <w:pPr>
              <w:spacing w:line="360" w:lineRule="auto"/>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套</w:t>
            </w:r>
          </w:p>
        </w:tc>
        <w:tc>
          <w:tcPr>
            <w:tcW w:w="514" w:type="pct"/>
            <w:noWrap w:val="0"/>
            <w:vAlign w:val="center"/>
          </w:tcPr>
          <w:p>
            <w:pPr>
              <w:spacing w:line="360" w:lineRule="auto"/>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1185" w:type="pct"/>
            <w:noWrap w:val="0"/>
            <w:vAlign w:val="top"/>
          </w:tcPr>
          <w:p>
            <w:pPr>
              <w:spacing w:line="360" w:lineRule="auto"/>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noWrap w:val="0"/>
            <w:vAlign w:val="center"/>
          </w:tcPr>
          <w:p>
            <w:pPr>
              <w:spacing w:line="360" w:lineRule="auto"/>
              <w:jc w:val="center"/>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p>
        </w:tc>
        <w:tc>
          <w:tcPr>
            <w:tcW w:w="2184" w:type="pct"/>
            <w:noWrap w:val="0"/>
            <w:vAlign w:val="center"/>
          </w:tcPr>
          <w:p>
            <w:pPr>
              <w:spacing w:line="360" w:lineRule="auto"/>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防爆电器控制柜</w:t>
            </w:r>
          </w:p>
        </w:tc>
        <w:tc>
          <w:tcPr>
            <w:tcW w:w="559" w:type="pct"/>
            <w:noWrap w:val="0"/>
            <w:vAlign w:val="center"/>
          </w:tcPr>
          <w:p>
            <w:pPr>
              <w:spacing w:line="360" w:lineRule="auto"/>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套</w:t>
            </w:r>
          </w:p>
        </w:tc>
        <w:tc>
          <w:tcPr>
            <w:tcW w:w="514" w:type="pct"/>
            <w:noWrap w:val="0"/>
            <w:vAlign w:val="center"/>
          </w:tcPr>
          <w:p>
            <w:pPr>
              <w:spacing w:line="360" w:lineRule="auto"/>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1185" w:type="pct"/>
            <w:noWrap w:val="0"/>
            <w:vAlign w:val="top"/>
          </w:tcPr>
          <w:p>
            <w:pPr>
              <w:spacing w:line="360" w:lineRule="auto"/>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noWrap w:val="0"/>
            <w:vAlign w:val="center"/>
          </w:tcPr>
          <w:p>
            <w:pPr>
              <w:spacing w:line="360" w:lineRule="auto"/>
              <w:jc w:val="center"/>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w:t>
            </w:r>
          </w:p>
        </w:tc>
        <w:tc>
          <w:tcPr>
            <w:tcW w:w="2184" w:type="pct"/>
            <w:noWrap w:val="0"/>
            <w:vAlign w:val="center"/>
          </w:tcPr>
          <w:p>
            <w:pPr>
              <w:spacing w:line="360" w:lineRule="auto"/>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运输费</w:t>
            </w:r>
          </w:p>
        </w:tc>
        <w:tc>
          <w:tcPr>
            <w:tcW w:w="559" w:type="pct"/>
            <w:noWrap w:val="0"/>
            <w:vAlign w:val="center"/>
          </w:tcPr>
          <w:p>
            <w:pPr>
              <w:spacing w:line="360" w:lineRule="auto"/>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套</w:t>
            </w:r>
          </w:p>
        </w:tc>
        <w:tc>
          <w:tcPr>
            <w:tcW w:w="514" w:type="pct"/>
            <w:noWrap w:val="0"/>
            <w:vAlign w:val="center"/>
          </w:tcPr>
          <w:p>
            <w:pPr>
              <w:spacing w:line="360" w:lineRule="auto"/>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1185" w:type="pct"/>
            <w:noWrap w:val="0"/>
            <w:vAlign w:val="top"/>
          </w:tcPr>
          <w:p>
            <w:pPr>
              <w:spacing w:line="360" w:lineRule="auto"/>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556" w:type="pct"/>
            <w:noWrap w:val="0"/>
            <w:vAlign w:val="center"/>
          </w:tcPr>
          <w:p>
            <w:pPr>
              <w:spacing w:line="360" w:lineRule="auto"/>
              <w:jc w:val="center"/>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p>
        </w:tc>
        <w:tc>
          <w:tcPr>
            <w:tcW w:w="2184" w:type="pct"/>
            <w:noWrap w:val="0"/>
            <w:vAlign w:val="center"/>
          </w:tcPr>
          <w:p>
            <w:pPr>
              <w:spacing w:line="360" w:lineRule="auto"/>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现场安装</w:t>
            </w:r>
          </w:p>
        </w:tc>
        <w:tc>
          <w:tcPr>
            <w:tcW w:w="559" w:type="pct"/>
            <w:noWrap w:val="0"/>
            <w:vAlign w:val="center"/>
          </w:tcPr>
          <w:p>
            <w:pPr>
              <w:spacing w:line="360" w:lineRule="auto"/>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套</w:t>
            </w:r>
          </w:p>
        </w:tc>
        <w:tc>
          <w:tcPr>
            <w:tcW w:w="514" w:type="pct"/>
            <w:noWrap w:val="0"/>
            <w:vAlign w:val="center"/>
          </w:tcPr>
          <w:p>
            <w:pPr>
              <w:spacing w:line="360" w:lineRule="auto"/>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1185" w:type="pct"/>
            <w:noWrap w:val="0"/>
            <w:vAlign w:val="top"/>
          </w:tcPr>
          <w:p>
            <w:pPr>
              <w:spacing w:line="360" w:lineRule="auto"/>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noWrap w:val="0"/>
            <w:vAlign w:val="center"/>
          </w:tcPr>
          <w:p>
            <w:pPr>
              <w:spacing w:line="360" w:lineRule="auto"/>
              <w:jc w:val="center"/>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w:t>
            </w:r>
          </w:p>
        </w:tc>
        <w:tc>
          <w:tcPr>
            <w:tcW w:w="2184" w:type="pct"/>
            <w:noWrap w:val="0"/>
            <w:vAlign w:val="center"/>
          </w:tcPr>
          <w:p>
            <w:pPr>
              <w:spacing w:line="360" w:lineRule="auto"/>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现场调试</w:t>
            </w:r>
          </w:p>
        </w:tc>
        <w:tc>
          <w:tcPr>
            <w:tcW w:w="559" w:type="pct"/>
            <w:noWrap w:val="0"/>
            <w:vAlign w:val="center"/>
          </w:tcPr>
          <w:p>
            <w:pPr>
              <w:spacing w:line="360" w:lineRule="auto"/>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套</w:t>
            </w:r>
          </w:p>
        </w:tc>
        <w:tc>
          <w:tcPr>
            <w:tcW w:w="514" w:type="pct"/>
            <w:noWrap w:val="0"/>
            <w:vAlign w:val="top"/>
          </w:tcPr>
          <w:p>
            <w:pPr>
              <w:spacing w:line="360" w:lineRule="auto"/>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1185" w:type="pct"/>
            <w:noWrap w:val="0"/>
            <w:vAlign w:val="top"/>
          </w:tcPr>
          <w:p>
            <w:pPr>
              <w:spacing w:line="360" w:lineRule="auto"/>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noWrap w:val="0"/>
            <w:vAlign w:val="center"/>
          </w:tcPr>
          <w:p>
            <w:pPr>
              <w:spacing w:line="360" w:lineRule="auto"/>
              <w:jc w:val="center"/>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7</w:t>
            </w:r>
          </w:p>
        </w:tc>
        <w:tc>
          <w:tcPr>
            <w:tcW w:w="2184" w:type="pct"/>
            <w:noWrap w:val="0"/>
            <w:vAlign w:val="center"/>
          </w:tcPr>
          <w:p>
            <w:pPr>
              <w:spacing w:line="360" w:lineRule="auto"/>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拆卸费</w:t>
            </w:r>
          </w:p>
        </w:tc>
        <w:tc>
          <w:tcPr>
            <w:tcW w:w="559" w:type="pct"/>
            <w:noWrap w:val="0"/>
            <w:vAlign w:val="top"/>
          </w:tcPr>
          <w:p>
            <w:pPr>
              <w:spacing w:line="360" w:lineRule="auto"/>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套</w:t>
            </w:r>
          </w:p>
        </w:tc>
        <w:tc>
          <w:tcPr>
            <w:tcW w:w="514" w:type="pct"/>
            <w:noWrap w:val="0"/>
            <w:vAlign w:val="top"/>
          </w:tcPr>
          <w:p>
            <w:pPr>
              <w:spacing w:line="360" w:lineRule="auto"/>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1185" w:type="pct"/>
            <w:noWrap w:val="0"/>
            <w:vAlign w:val="top"/>
          </w:tcPr>
          <w:p>
            <w:pPr>
              <w:spacing w:line="360" w:lineRule="auto"/>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noWrap w:val="0"/>
            <w:vAlign w:val="center"/>
          </w:tcPr>
          <w:p>
            <w:pPr>
              <w:spacing w:line="360" w:lineRule="auto"/>
              <w:jc w:val="center"/>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8</w:t>
            </w:r>
          </w:p>
        </w:tc>
        <w:tc>
          <w:tcPr>
            <w:tcW w:w="2184" w:type="pct"/>
            <w:shd w:val="clear" w:color="auto" w:fill="auto"/>
            <w:noWrap w:val="0"/>
            <w:vAlign w:val="top"/>
          </w:tcPr>
          <w:p>
            <w:pPr>
              <w:spacing w:line="360" w:lineRule="auto"/>
              <w:jc w:val="center"/>
              <w:textAlignment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备件及易损件</w:t>
            </w:r>
          </w:p>
        </w:tc>
        <w:tc>
          <w:tcPr>
            <w:tcW w:w="559" w:type="pct"/>
            <w:shd w:val="clear" w:color="auto" w:fill="auto"/>
            <w:noWrap w:val="0"/>
            <w:vAlign w:val="top"/>
          </w:tcPr>
          <w:p>
            <w:pPr>
              <w:spacing w:line="360" w:lineRule="auto"/>
              <w:jc w:val="center"/>
              <w:textAlignment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套</w:t>
            </w:r>
          </w:p>
        </w:tc>
        <w:tc>
          <w:tcPr>
            <w:tcW w:w="514" w:type="pct"/>
            <w:shd w:val="clear" w:color="auto" w:fill="auto"/>
            <w:noWrap w:val="0"/>
            <w:vAlign w:val="top"/>
          </w:tcPr>
          <w:p>
            <w:pPr>
              <w:spacing w:line="360" w:lineRule="auto"/>
              <w:jc w:val="center"/>
              <w:textAlignment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1185" w:type="pct"/>
            <w:shd w:val="clear" w:color="auto" w:fill="auto"/>
            <w:noWrap w:val="0"/>
            <w:vAlign w:val="top"/>
          </w:tcPr>
          <w:p>
            <w:pPr>
              <w:spacing w:line="360" w:lineRule="auto"/>
              <w:jc w:val="center"/>
              <w:textAlignment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noWrap w:val="0"/>
            <w:vAlign w:val="center"/>
          </w:tcPr>
          <w:p>
            <w:pPr>
              <w:spacing w:line="360" w:lineRule="auto"/>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9</w:t>
            </w:r>
          </w:p>
        </w:tc>
        <w:tc>
          <w:tcPr>
            <w:tcW w:w="2184" w:type="pct"/>
            <w:shd w:val="clear" w:color="auto" w:fill="auto"/>
            <w:noWrap w:val="0"/>
            <w:vAlign w:val="top"/>
          </w:tcPr>
          <w:p>
            <w:pPr>
              <w:spacing w:line="360" w:lineRule="auto"/>
              <w:jc w:val="center"/>
              <w:textAlignment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人员培训</w:t>
            </w:r>
          </w:p>
        </w:tc>
        <w:tc>
          <w:tcPr>
            <w:tcW w:w="559" w:type="pct"/>
            <w:shd w:val="clear" w:color="auto" w:fill="auto"/>
            <w:noWrap w:val="0"/>
            <w:vAlign w:val="top"/>
          </w:tcPr>
          <w:p>
            <w:pPr>
              <w:spacing w:line="360" w:lineRule="auto"/>
              <w:jc w:val="center"/>
              <w:textAlignment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套</w:t>
            </w:r>
          </w:p>
        </w:tc>
        <w:tc>
          <w:tcPr>
            <w:tcW w:w="514" w:type="pct"/>
            <w:shd w:val="clear" w:color="auto" w:fill="auto"/>
            <w:noWrap w:val="0"/>
            <w:vAlign w:val="top"/>
          </w:tcPr>
          <w:p>
            <w:pPr>
              <w:spacing w:line="360" w:lineRule="auto"/>
              <w:jc w:val="center"/>
              <w:textAlignment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1185" w:type="pct"/>
            <w:shd w:val="clear" w:color="auto" w:fill="auto"/>
            <w:noWrap w:val="0"/>
            <w:vAlign w:val="top"/>
          </w:tcPr>
          <w:p>
            <w:pPr>
              <w:spacing w:line="360" w:lineRule="auto"/>
              <w:jc w:val="center"/>
              <w:textAlignment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交钥匙方式</w:t>
            </w:r>
          </w:p>
        </w:tc>
      </w:tr>
    </w:tbl>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等外围管线端联接法兰外端面。</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pPr>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1.备品备件、易损件和专用耗材是招标人为保证货物质保期之后正常运行一年所自备自用的备品备件、易损件和专用耗材。</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三、技术资料供货范围</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技术资料供货范围包括：</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highlight w:val="none"/>
        </w:rPr>
        <w:t>1.在</w:t>
      </w:r>
      <w:r>
        <w:rPr>
          <w:rFonts w:hint="eastAsia" w:ascii="宋体" w:hAnsi="宋体" w:eastAsia="宋体" w:cs="宋体"/>
          <w:bCs/>
          <w:sz w:val="24"/>
          <w:szCs w:val="24"/>
          <w:highlight w:val="none"/>
        </w:rPr>
        <w:t>合同签订后</w:t>
      </w:r>
      <w:r>
        <w:rPr>
          <w:rFonts w:hint="eastAsia" w:ascii="宋体" w:hAnsi="宋体" w:eastAsia="宋体" w:cs="宋体"/>
          <w:bCs/>
          <w:sz w:val="24"/>
          <w:szCs w:val="24"/>
          <w:highlight w:val="none"/>
          <w:u w:val="single"/>
          <w:shd w:val="pct10" w:color="auto" w:fill="FFFFFF"/>
        </w:rPr>
        <w:t xml:space="preserve"> 15 </w:t>
      </w:r>
      <w:r>
        <w:rPr>
          <w:rFonts w:hint="eastAsia" w:ascii="宋体" w:hAnsi="宋体" w:eastAsia="宋体" w:cs="宋体"/>
          <w:bCs/>
          <w:sz w:val="24"/>
          <w:szCs w:val="24"/>
          <w:highlight w:val="none"/>
        </w:rPr>
        <w:t>个日历日内，提供货物基础及相关的设计、制作所需的纸质及</w:t>
      </w:r>
      <w:r>
        <w:rPr>
          <w:rFonts w:hint="eastAsia" w:ascii="宋体" w:hAnsi="宋体" w:eastAsia="宋体" w:cs="宋体"/>
          <w:bCs/>
          <w:sz w:val="24"/>
          <w:szCs w:val="24"/>
        </w:rPr>
        <w:t>电子版资料；电子版文件应当能够使用常用版本软件可以阅读甚至使用，进口货物、设备应有中外文对照。</w:t>
      </w:r>
    </w:p>
    <w:p>
      <w:pPr>
        <w:spacing w:line="360" w:lineRule="auto"/>
        <w:ind w:firstLine="480" w:firstLineChars="200"/>
        <w:rPr>
          <w:rFonts w:ascii="宋体" w:hAnsi="宋体" w:eastAsia="宋体" w:cs="宋体"/>
          <w:sz w:val="24"/>
          <w:szCs w:val="24"/>
        </w:rPr>
      </w:pPr>
      <w:r>
        <w:rPr>
          <w:rFonts w:hint="eastAsia" w:ascii="宋体" w:hAnsi="宋体" w:cs="宋体"/>
          <w:sz w:val="24"/>
          <w:szCs w:val="24"/>
          <w:lang w:val="en-US" w:eastAsia="zh-CN"/>
        </w:rPr>
        <w:t>2</w:t>
      </w:r>
      <w:r>
        <w:rPr>
          <w:rFonts w:hint="eastAsia" w:ascii="宋体" w:hAnsi="宋体" w:eastAsia="宋体" w:cs="宋体"/>
          <w:sz w:val="24"/>
          <w:szCs w:val="24"/>
        </w:rPr>
        <w:t>.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rFonts w:ascii="宋体" w:hAnsi="宋体" w:eastAsia="宋体" w:cs="宋体"/>
          <w:sz w:val="24"/>
          <w:szCs w:val="24"/>
        </w:rPr>
      </w:pPr>
      <w:r>
        <w:rPr>
          <w:rFonts w:hint="eastAsia" w:ascii="宋体" w:hAnsi="宋体" w:cs="宋体"/>
          <w:sz w:val="24"/>
          <w:szCs w:val="24"/>
          <w:lang w:val="en-US" w:eastAsia="zh-CN"/>
        </w:rPr>
        <w:t>3</w:t>
      </w:r>
      <w:r>
        <w:rPr>
          <w:rFonts w:hint="eastAsia" w:ascii="宋体" w:hAnsi="宋体" w:eastAsia="宋体" w:cs="宋体"/>
          <w:sz w:val="24"/>
          <w:szCs w:val="24"/>
        </w:rPr>
        <w:t>.在终验收前，提供确定的维修所需要且买方可以自行采购的外购件、外协件、电气元件及主要原材料的供货厂家明细表。</w:t>
      </w:r>
    </w:p>
    <w:p>
      <w:pPr>
        <w:spacing w:line="360" w:lineRule="auto"/>
        <w:ind w:firstLine="480" w:firstLineChars="200"/>
        <w:rPr>
          <w:rFonts w:ascii="宋体" w:hAnsi="宋体" w:eastAsia="宋体" w:cs="宋体"/>
          <w:sz w:val="24"/>
          <w:szCs w:val="24"/>
        </w:rPr>
      </w:pPr>
      <w:r>
        <w:rPr>
          <w:rFonts w:hint="eastAsia" w:ascii="宋体" w:hAnsi="宋体" w:cs="宋体"/>
          <w:sz w:val="24"/>
          <w:szCs w:val="24"/>
          <w:lang w:val="en-US" w:eastAsia="zh-CN"/>
        </w:rPr>
        <w:t>4</w:t>
      </w:r>
      <w:r>
        <w:rPr>
          <w:rFonts w:hint="eastAsia" w:ascii="宋体" w:hAnsi="宋体" w:eastAsia="宋体" w:cs="宋体"/>
          <w:sz w:val="24"/>
          <w:szCs w:val="24"/>
        </w:rPr>
        <w:t>.在终验收前，提供包括货物的备品备件、易损件和专用耗材的图纸及技术参数、技术要求等资料。</w:t>
      </w:r>
    </w:p>
    <w:p>
      <w:pPr>
        <w:spacing w:line="360" w:lineRule="auto"/>
        <w:ind w:firstLine="480" w:firstLineChars="200"/>
        <w:rPr>
          <w:rFonts w:ascii="宋体" w:hAnsi="宋体" w:eastAsia="宋体" w:cs="宋体"/>
          <w:sz w:val="24"/>
          <w:szCs w:val="24"/>
        </w:rPr>
      </w:pPr>
      <w:r>
        <w:rPr>
          <w:rFonts w:hint="eastAsia" w:ascii="宋体" w:hAnsi="宋体" w:cs="宋体"/>
          <w:sz w:val="24"/>
          <w:szCs w:val="24"/>
          <w:lang w:val="en-US" w:eastAsia="zh-CN"/>
        </w:rPr>
        <w:t>5</w:t>
      </w:r>
      <w:r>
        <w:rPr>
          <w:rFonts w:hint="eastAsia" w:ascii="宋体" w:hAnsi="宋体" w:eastAsia="宋体" w:cs="宋体"/>
          <w:sz w:val="24"/>
          <w:szCs w:val="24"/>
        </w:rPr>
        <w:t>.在终验收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cs="宋体"/>
          <w:sz w:val="24"/>
          <w:szCs w:val="24"/>
          <w:lang w:val="en-US" w:eastAsia="zh-CN"/>
        </w:rPr>
        <w:t>6</w:t>
      </w:r>
      <w:r>
        <w:rPr>
          <w:rFonts w:hint="eastAsia" w:ascii="宋体" w:hAnsi="宋体" w:eastAsia="宋体" w:cs="宋体"/>
          <w:sz w:val="24"/>
          <w:szCs w:val="24"/>
        </w:rPr>
        <w:t>.在终验收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cs="宋体"/>
          <w:sz w:val="24"/>
          <w:szCs w:val="24"/>
          <w:lang w:val="en-US" w:eastAsia="zh-CN"/>
        </w:rPr>
        <w:t>7</w:t>
      </w:r>
      <w:r>
        <w:rPr>
          <w:rFonts w:hint="eastAsia" w:ascii="宋体" w:hAnsi="宋体" w:eastAsia="宋体" w:cs="宋体"/>
          <w:sz w:val="24"/>
          <w:szCs w:val="24"/>
        </w:rPr>
        <w:t>.本条款所列要求，如招标人认为投标人提供的资料不能满足要求时，有权要求投标人免费补充或增加。</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23" w:name="_Toc169605883"/>
    </w:p>
    <w:p>
      <w:pPr>
        <w:pStyle w:val="2"/>
        <w:spacing w:line="360" w:lineRule="auto"/>
      </w:pPr>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23"/>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color w:val="000000"/>
          <w:sz w:val="24"/>
          <w:szCs w:val="24"/>
          <w:u w:val="single"/>
          <w:lang w:val="en-US" w:eastAsia="zh-CN"/>
        </w:rPr>
        <w:t>济南市章丘区世纪大道6677号济南成型厂</w:t>
      </w:r>
      <w:r>
        <w:rPr>
          <w:rFonts w:hint="eastAsia" w:ascii="宋体" w:hAnsi="宋体" w:eastAsia="宋体" w:cs="宋体"/>
          <w:sz w:val="24"/>
          <w:szCs w:val="24"/>
        </w:rPr>
        <w:t>。</w:t>
      </w:r>
    </w:p>
    <w:p>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1.自合同签定生效之日起，</w:t>
      </w:r>
      <w:r>
        <w:rPr>
          <w:rFonts w:hint="eastAsia" w:ascii="宋体" w:hAnsi="宋体" w:eastAsia="宋体" w:cs="宋体"/>
          <w:sz w:val="24"/>
          <w:szCs w:val="24"/>
          <w:u w:val="single"/>
          <w:lang w:val="en-US" w:eastAsia="zh-CN"/>
        </w:rPr>
        <w:t>3</w:t>
      </w:r>
      <w:r>
        <w:rPr>
          <w:rFonts w:hint="eastAsia" w:ascii="宋体" w:hAnsi="宋体" w:cs="宋体"/>
          <w:sz w:val="24"/>
          <w:szCs w:val="24"/>
          <w:u w:val="single"/>
          <w:lang w:val="en-US" w:eastAsia="zh-CN"/>
        </w:rPr>
        <w:t>0</w:t>
      </w:r>
      <w:r>
        <w:rPr>
          <w:rFonts w:hint="eastAsia" w:ascii="宋体" w:hAnsi="宋体" w:eastAsia="宋体" w:cs="宋体"/>
          <w:sz w:val="24"/>
          <w:szCs w:val="24"/>
          <w:highlight w:val="none"/>
        </w:rPr>
        <w:t>个日历</w:t>
      </w:r>
      <w:r>
        <w:rPr>
          <w:rFonts w:hint="eastAsia" w:ascii="宋体" w:hAnsi="宋体" w:eastAsia="宋体" w:cs="宋体"/>
          <w:sz w:val="24"/>
          <w:szCs w:val="24"/>
        </w:rPr>
        <w:t>日之内交货至供货地点</w:t>
      </w:r>
      <w:r>
        <w:rPr>
          <w:rFonts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highlight w:val="none"/>
          <w:lang w:eastAsia="zh-CN"/>
        </w:rPr>
      </w:pPr>
      <w:r>
        <w:rPr>
          <w:rFonts w:hint="eastAsia" w:ascii="宋体" w:hAnsi="宋体" w:eastAsia="宋体" w:cs="宋体"/>
          <w:sz w:val="24"/>
          <w:highlight w:val="none"/>
        </w:rPr>
        <w:t>2.接续</w:t>
      </w:r>
      <w:r>
        <w:rPr>
          <w:rFonts w:hint="eastAsia" w:ascii="宋体" w:hAnsi="宋体" w:cs="宋体"/>
          <w:sz w:val="24"/>
          <w:highlight w:val="none"/>
          <w:lang w:val="en-US" w:eastAsia="zh-CN"/>
        </w:rPr>
        <w:t>3</w:t>
      </w:r>
      <w:r>
        <w:rPr>
          <w:rFonts w:hint="eastAsia" w:ascii="宋体" w:hAnsi="宋体" w:eastAsia="宋体" w:cs="宋体"/>
          <w:sz w:val="24"/>
          <w:highlight w:val="none"/>
        </w:rPr>
        <w:t>个日历日之内完成安装调试或根据招标方要求分段实施。</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.接续</w:t>
      </w:r>
      <w:r>
        <w:rPr>
          <w:rFonts w:hint="eastAsia" w:ascii="宋体" w:hAnsi="宋体" w:cs="宋体"/>
          <w:sz w:val="24"/>
          <w:szCs w:val="24"/>
          <w:u w:val="single"/>
          <w:shd w:val="pct10" w:color="auto" w:fill="FFFFFF"/>
          <w:lang w:val="en-US" w:eastAsia="zh-CN"/>
        </w:rPr>
        <w:t>3</w:t>
      </w:r>
      <w:r>
        <w:rPr>
          <w:rFonts w:hint="eastAsia" w:ascii="宋体" w:hAnsi="宋体" w:eastAsia="宋体" w:cs="宋体"/>
          <w:sz w:val="24"/>
          <w:szCs w:val="24"/>
          <w:u w:val="single"/>
          <w:shd w:val="pct10" w:color="auto" w:fill="FFFFFF"/>
          <w:lang w:val="en-US" w:eastAsia="zh-CN"/>
        </w:rPr>
        <w:t>0</w:t>
      </w:r>
      <w:r>
        <w:rPr>
          <w:rFonts w:hint="eastAsia" w:ascii="宋体" w:hAnsi="宋体" w:eastAsia="宋体" w:cs="宋体"/>
          <w:sz w:val="24"/>
          <w:szCs w:val="24"/>
        </w:rPr>
        <w:t>个日历日之内完成终验收。</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安装调试时间或终验收时间超过规定时间的，投标人应当随标书提供详细的工期计划。</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adjustRightInd w:val="0"/>
        <w:snapToGrid w:val="0"/>
        <w:spacing w:line="420" w:lineRule="exact"/>
        <w:rPr>
          <w:rFonts w:ascii="宋体" w:hAnsi="Calibri" w:eastAsia="宋体" w:cs="Times New Roman"/>
          <w:szCs w:val="20"/>
        </w:rPr>
      </w:pPr>
    </w:p>
    <w:p>
      <w:pPr>
        <w:widowControl/>
        <w:jc w:val="left"/>
        <w:rPr>
          <w:rFonts w:ascii="宋体" w:hAnsi="Calibri" w:eastAsia="宋体" w:cs="Times New Roman"/>
          <w:szCs w:val="20"/>
        </w:rPr>
      </w:pPr>
    </w:p>
    <w:p>
      <w:pPr>
        <w:keepNext/>
        <w:keepLines/>
        <w:spacing w:line="360" w:lineRule="auto"/>
        <w:jc w:val="center"/>
        <w:outlineLvl w:val="1"/>
        <w:rPr>
          <w:rFonts w:ascii="Calibri" w:hAnsi="Calibri" w:eastAsia="宋体" w:cs="Times New Roman"/>
          <w:b/>
          <w:bCs/>
          <w:kern w:val="44"/>
          <w:sz w:val="28"/>
          <w:szCs w:val="28"/>
        </w:rPr>
      </w:pPr>
      <w:bookmarkStart w:id="24"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24"/>
    </w:p>
    <w:p>
      <w:pPr>
        <w:pStyle w:val="237"/>
        <w:spacing w:line="360" w:lineRule="auto"/>
      </w:pPr>
      <w:r>
        <w:rPr>
          <w:rFonts w:hint="eastAsia"/>
        </w:rPr>
        <w:t>一、质保期及质保要求</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ascii="宋体" w:hAnsi="宋体" w:eastAsia="宋体" w:cs="宋体"/>
          <w:sz w:val="24"/>
          <w:szCs w:val="24"/>
          <w:u w:val="single"/>
        </w:rPr>
        <w:t xml:space="preserve"> </w:t>
      </w:r>
      <w:r>
        <w:rPr>
          <w:rFonts w:hint="eastAsia" w:ascii="宋体" w:hAnsi="宋体" w:eastAsia="宋体" w:cs="宋体"/>
          <w:sz w:val="24"/>
          <w:szCs w:val="24"/>
          <w:highlight w:val="yellow"/>
          <w:u w:val="single"/>
        </w:rPr>
        <w:t>12</w:t>
      </w:r>
      <w:r>
        <w:rPr>
          <w:rFonts w:ascii="宋体" w:hAnsi="宋体" w:eastAsia="宋体" w:cs="宋体"/>
          <w:sz w:val="24"/>
          <w:szCs w:val="24"/>
          <w:highlight w:val="yellow"/>
          <w:u w:val="single"/>
        </w:rPr>
        <w:t xml:space="preserve"> </w:t>
      </w:r>
      <w:r>
        <w:rPr>
          <w:rFonts w:hint="eastAsia" w:ascii="宋体" w:hAnsi="宋体" w:eastAsia="宋体" w:cs="宋体"/>
          <w:sz w:val="24"/>
          <w:szCs w:val="24"/>
        </w:rPr>
        <w:t>个月。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pPr>
        <w:pStyle w:val="237"/>
        <w:spacing w:line="360" w:lineRule="auto"/>
        <w:rPr>
          <w:rFonts w:ascii="宋体" w:hAnsi="宋体" w:cs="宋体"/>
        </w:rPr>
      </w:pPr>
      <w:r>
        <w:rPr>
          <w:rFonts w:hint="eastAsia" w:ascii="宋体" w:hAnsi="宋体" w:cs="宋体"/>
        </w:rPr>
        <w:t>二、技术及培训服务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u w:val="single"/>
          <w:shd w:val="pct10" w:color="auto" w:fill="FFFFFF"/>
        </w:rPr>
        <w:t>3</w:t>
      </w:r>
      <w:r>
        <w:rPr>
          <w:rFonts w:hint="eastAsia" w:ascii="宋体" w:hAnsi="宋体" w:eastAsia="宋体" w:cs="宋体"/>
          <w:color w:val="000000"/>
          <w:sz w:val="24"/>
          <w:szCs w:val="24"/>
        </w:rPr>
        <w:t>个日历日。</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237"/>
        <w:spacing w:line="360" w:lineRule="auto"/>
        <w:rPr>
          <w:rFonts w:ascii="宋体" w:hAnsi="宋体" w:cs="宋体"/>
        </w:rPr>
      </w:pPr>
      <w:r>
        <w:rPr>
          <w:rFonts w:hint="eastAsia" w:ascii="宋体" w:hAnsi="宋体" w:cs="宋体"/>
        </w:rPr>
        <w:t>三、安装调试及验收服务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pPr>
        <w:pStyle w:val="237"/>
        <w:spacing w:line="360" w:lineRule="auto"/>
        <w:rPr>
          <w:rFonts w:ascii="宋体" w:hAnsi="宋体" w:cs="宋体"/>
        </w:rPr>
      </w:pPr>
      <w:r>
        <w:rPr>
          <w:rFonts w:hint="eastAsia" w:ascii="宋体" w:hAnsi="宋体" w:cs="宋体"/>
        </w:rPr>
        <w:t>四、售后服务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pPr>
        <w:pStyle w:val="237"/>
        <w:spacing w:line="360" w:lineRule="auto"/>
        <w:rPr>
          <w:rFonts w:ascii="宋体" w:hAnsi="宋体" w:cs="宋体"/>
        </w:rPr>
      </w:pPr>
      <w:r>
        <w:rPr>
          <w:rFonts w:hint="eastAsia" w:ascii="宋体" w:hAnsi="宋体" w:cs="宋体"/>
        </w:rPr>
        <w:t>五、其它服务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w:t>
      </w:r>
      <w:r>
        <w:rPr>
          <w:rFonts w:hint="eastAsia" w:ascii="宋体" w:hAnsi="宋体" w:eastAsia="宋体" w:cs="宋体"/>
          <w:color w:val="000000"/>
          <w:sz w:val="24"/>
          <w:szCs w:val="24"/>
          <w:highlight w:val="none"/>
        </w:rPr>
        <w:t>文</w:t>
      </w:r>
      <w:r>
        <w:rPr>
          <w:rFonts w:hint="eastAsia" w:ascii="宋体" w:hAnsi="宋体" w:eastAsia="宋体" w:cs="宋体"/>
          <w:color w:val="000000"/>
          <w:sz w:val="24"/>
          <w:szCs w:val="24"/>
        </w:rPr>
        <w:t>件、技术标书、合同等约定之外，卖方应免费负责必要的或强制性的货物的检验、试验、化验等直接费用。</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p>
    <w:p>
      <w:pPr>
        <w:pStyle w:val="2"/>
        <w:rPr>
          <w:rFonts w:eastAsia="宋体"/>
        </w:rPr>
      </w:pPr>
      <w:r>
        <w:rPr>
          <w:rFonts w:eastAsia="宋体"/>
        </w:rPr>
        <w:br w:type="page"/>
      </w:r>
    </w:p>
    <w:p>
      <w:pPr>
        <w:keepNext/>
        <w:keepLines/>
        <w:spacing w:line="360" w:lineRule="auto"/>
        <w:jc w:val="center"/>
        <w:outlineLvl w:val="1"/>
        <w:rPr>
          <w:rFonts w:ascii="Calibri" w:hAnsi="Calibri" w:eastAsia="宋体" w:cs="Times New Roman"/>
          <w:b/>
          <w:bCs/>
          <w:kern w:val="44"/>
          <w:sz w:val="28"/>
          <w:szCs w:val="28"/>
        </w:rPr>
      </w:pPr>
      <w:bookmarkStart w:id="25" w:name="_Toc465187646"/>
      <w:r>
        <w:rPr>
          <w:rFonts w:hint="eastAsia" w:ascii="Calibri" w:hAnsi="Calibri" w:eastAsia="宋体" w:cs="Times New Roman"/>
          <w:b/>
          <w:bCs/>
          <w:kern w:val="44"/>
          <w:sz w:val="28"/>
          <w:szCs w:val="28"/>
        </w:rPr>
        <w:t>第五章  预验收和终验收</w:t>
      </w:r>
      <w:bookmarkEnd w:id="25"/>
    </w:p>
    <w:p>
      <w:pPr>
        <w:pStyle w:val="237"/>
        <w:spacing w:line="360" w:lineRule="auto"/>
        <w:rPr>
          <w:rFonts w:ascii="宋体" w:hAnsi="宋体" w:cs="宋体"/>
        </w:rPr>
      </w:pPr>
      <w:r>
        <w:rPr>
          <w:rFonts w:hint="eastAsia" w:ascii="宋体" w:hAnsi="宋体" w:cs="宋体"/>
        </w:rPr>
        <w:t>一、验收依据和验收标准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pPr>
        <w:pStyle w:val="237"/>
        <w:spacing w:line="360" w:lineRule="auto"/>
        <w:rPr>
          <w:rFonts w:ascii="宋体" w:hAnsi="宋体" w:cs="宋体"/>
        </w:rPr>
      </w:pPr>
      <w:r>
        <w:rPr>
          <w:rFonts w:hint="eastAsia" w:ascii="宋体" w:hAnsi="宋体" w:cs="宋体"/>
        </w:rPr>
        <w:t>二、检验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pPr>
        <w:adjustRightInd w:val="0"/>
        <w:snapToGrid w:val="0"/>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r>
        <w:rPr>
          <w:rFonts w:hint="eastAsia" w:ascii="宋体" w:hAnsi="宋体" w:eastAsia="宋体" w:cs="宋体"/>
          <w:color w:val="000000"/>
          <w:sz w:val="24"/>
          <w:szCs w:val="24"/>
          <w:lang w:val="en-US" w:eastAsia="zh-CN"/>
        </w:rPr>
        <w:t xml:space="preserve"> </w:t>
      </w:r>
    </w:p>
    <w:p>
      <w:pPr>
        <w:pStyle w:val="237"/>
        <w:spacing w:line="360" w:lineRule="auto"/>
        <w:rPr>
          <w:rFonts w:ascii="宋体" w:hAnsi="宋体" w:cs="宋体"/>
        </w:rPr>
      </w:pPr>
      <w:r>
        <w:rPr>
          <w:rFonts w:hint="eastAsia" w:ascii="宋体" w:hAnsi="宋体" w:cs="宋体"/>
        </w:rPr>
        <w:t>三、验收基本条件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1.预验收一般条件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 货物的油漆质量应饱满、有光泽，无掉漆、无色差、无“桔皮”等不良现象（特殊标志除外）。</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1.4 货物标牌完整、清晰、明确。</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 货物的安全要求符合中国最新的相关法律、法规、标准和规范以及合同要求。</w:t>
      </w:r>
    </w:p>
    <w:p>
      <w:pPr>
        <w:adjustRightInd w:val="0"/>
        <w:snapToGrid w:val="0"/>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1.6空载运行，设备运行稳定、可靠、安全，无非正常变形，非正常振动，无异常声音；无漏水、漏液、漏气（风）、漏电等现象。运动的零部件动作平稳、灵活运动准确。设备部件的润滑可靠，润滑点易于到达。</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2.终验收一般条件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2.1 经过预验收而且没有出现新的质量问题，或者满足预验收条款。</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 货物安装调试完毕，并至少经过了验收要求的负荷试运行。</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2.3 货物正常运行时，噪声等环境影响因素满足国家和当地环保主管部门规定，安全措施落实、有效。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2.4 计量仪器、仪表配套合理，采用中国的法定计量单位，计量准确、灵敏可靠。保证设计指标和仪器说明书的参数的实现（提供合格证或第三方鉴定文件）。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2.5 试运行期间或之后无维修、调整等行为（特殊情况除外）。</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2.6 货物质量、技术性能等，达到签定的技术标书和合同规定的终验收标准。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3.终验收基本要求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 出现下列问题之一，视作验收失败：</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3.1.1 设备验收时，其参数无法满足招标书中的技术要求。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3.1.2 在整个验收过程中发生关键零部件损坏或重大故障；</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3.1.3 一般性故障超过</w:t>
      </w:r>
      <w:r>
        <w:rPr>
          <w:rFonts w:hint="eastAsia" w:ascii="宋体" w:hAnsi="宋体" w:eastAsia="宋体" w:cs="宋体"/>
          <w:sz w:val="24"/>
          <w:szCs w:val="24"/>
          <w:u w:val="single"/>
          <w:shd w:val="pct10" w:color="auto" w:fill="FFFFFF"/>
        </w:rPr>
        <w:t>2</w:t>
      </w:r>
      <w:r>
        <w:rPr>
          <w:rFonts w:hint="eastAsia" w:ascii="宋体" w:hAnsi="宋体" w:eastAsia="宋体" w:cs="宋体"/>
          <w:sz w:val="24"/>
          <w:szCs w:val="24"/>
        </w:rPr>
        <w:t>次；</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3.1.4 更换的零部件货值超过总货值的</w:t>
      </w:r>
      <w:r>
        <w:rPr>
          <w:rFonts w:hint="eastAsia" w:ascii="宋体" w:hAnsi="宋体" w:eastAsia="宋体" w:cs="宋体"/>
          <w:sz w:val="24"/>
          <w:szCs w:val="24"/>
          <w:u w:val="single"/>
          <w:shd w:val="pct10" w:color="auto" w:fill="FFFFFF"/>
          <w:lang w:val="en-US" w:eastAsia="zh-CN"/>
        </w:rPr>
        <w:t>10</w:t>
      </w:r>
      <w:r>
        <w:rPr>
          <w:rFonts w:hint="eastAsia" w:ascii="宋体" w:hAnsi="宋体" w:eastAsia="宋体" w:cs="宋体"/>
          <w:sz w:val="24"/>
          <w:szCs w:val="24"/>
        </w:rPr>
        <w:t>%。</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3.2 累计负载运行实际性能（或生产率）达不到合同规定；</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3.3 终验收原则上要求一次完成。若一次验收不成功，最多允许两次；如果出现第三次验收失败，重新作价或退货；</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3.4 终验收通过后买卖双方共同签署终验收报告，并移交、核对全部供货范围内物品。</w:t>
      </w:r>
    </w:p>
    <w:p>
      <w:pPr>
        <w:adjustRightInd w:val="0"/>
        <w:snapToGrid w:val="0"/>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3.5所有出现的调整，每次调整时间均不超过20分钟，所有调整时间的总和不超过总运行时间的10%。</w:t>
      </w:r>
    </w:p>
    <w:p>
      <w:pPr>
        <w:adjustRightInd w:val="0"/>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3.6双方约定：设备终验收时由于工艺原因造成设备不能连续运转，不在考核设备范畴。</w:t>
      </w:r>
    </w:p>
    <w:p>
      <w:pPr>
        <w:pStyle w:val="4"/>
        <w:rPr>
          <w:rFonts w:hint="default"/>
          <w:lang w:val="en-US" w:eastAsia="zh-CN"/>
        </w:rPr>
      </w:pPr>
    </w:p>
    <w:p>
      <w:pPr>
        <w:pStyle w:val="2"/>
        <w:spacing w:line="360" w:lineRule="auto"/>
      </w:pPr>
    </w:p>
    <w:p>
      <w:pPr>
        <w:rPr>
          <w:rFonts w:hint="eastAsia" w:ascii="Calibri" w:hAnsi="Calibri" w:eastAsia="宋体" w:cs="Times New Roman"/>
          <w:b/>
          <w:bCs/>
          <w:kern w:val="44"/>
          <w:sz w:val="28"/>
          <w:szCs w:val="28"/>
        </w:rPr>
      </w:pPr>
      <w:bookmarkStart w:id="26" w:name="_Toc465187647"/>
      <w:r>
        <w:rPr>
          <w:rFonts w:hint="eastAsia" w:ascii="Calibri" w:hAnsi="Calibri" w:eastAsia="宋体" w:cs="Times New Roman"/>
          <w:b/>
          <w:bCs/>
          <w:kern w:val="44"/>
          <w:sz w:val="28"/>
          <w:szCs w:val="28"/>
        </w:rPr>
        <w:br w:type="page"/>
      </w:r>
    </w:p>
    <w:p>
      <w:pPr>
        <w:keepNext/>
        <w:keepLines/>
        <w:spacing w:line="360" w:lineRule="auto"/>
        <w:jc w:val="center"/>
        <w:outlineLvl w:val="1"/>
        <w:rPr>
          <w:rFonts w:hint="eastAsia" w:ascii="Calibri" w:hAnsi="Calibri" w:eastAsia="宋体" w:cs="Times New Roman"/>
          <w:b/>
          <w:bCs/>
          <w:kern w:val="44"/>
          <w:sz w:val="28"/>
          <w:szCs w:val="28"/>
        </w:rPr>
      </w:pPr>
      <w:r>
        <w:rPr>
          <w:rFonts w:hint="eastAsia" w:ascii="Calibri" w:hAnsi="Calibri" w:eastAsia="宋体" w:cs="Times New Roman"/>
          <w:b/>
          <w:bCs/>
          <w:kern w:val="44"/>
          <w:sz w:val="28"/>
          <w:szCs w:val="28"/>
        </w:rPr>
        <w:t>第六章  投标技术文件一般要求</w:t>
      </w:r>
      <w:bookmarkEnd w:id="26"/>
    </w:p>
    <w:p>
      <w:pPr>
        <w:pStyle w:val="237"/>
        <w:spacing w:line="360" w:lineRule="auto"/>
        <w:rPr>
          <w:color w:val="auto"/>
        </w:rPr>
      </w:pPr>
      <w:r>
        <w:rPr>
          <w:color w:val="auto"/>
        </w:rPr>
        <w:t>一、技术文件一般内容要求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420" w:lineRule="exact"/>
        <w:ind w:firstLine="1890" w:firstLineChars="900"/>
        <w:rPr>
          <w:rFonts w:ascii="宋体" w:hAnsi="宋体" w:eastAsia="宋体" w:cs="宋体"/>
        </w:rPr>
      </w:pPr>
      <w:r>
        <w:rPr>
          <w:rFonts w:hint="eastAsia" w:ascii="宋体" w:hAnsi="宋体" w:eastAsia="宋体" w:cs="宋体"/>
        </w:rPr>
        <w:t>备品备件、易损件和专用耗材明细表             单位：元</w:t>
      </w:r>
    </w:p>
    <w:tbl>
      <w:tblPr>
        <w:tblStyle w:val="48"/>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r>
              <w:rPr>
                <w:rFonts w:hint="eastAsia" w:ascii="宋体" w:hAnsi="宋体" w:eastAsia="宋体" w:cs="宋体"/>
              </w:rPr>
              <w:t>序号</w:t>
            </w:r>
          </w:p>
        </w:tc>
        <w:tc>
          <w:tcPr>
            <w:tcW w:w="1924" w:type="dxa"/>
          </w:tcPr>
          <w:p>
            <w:pPr>
              <w:adjustRightInd w:val="0"/>
              <w:snapToGrid w:val="0"/>
              <w:spacing w:line="360" w:lineRule="exact"/>
              <w:jc w:val="center"/>
              <w:rPr>
                <w:rFonts w:ascii="宋体" w:hAnsi="宋体" w:eastAsia="宋体" w:cs="宋体"/>
              </w:rPr>
            </w:pPr>
            <w:r>
              <w:rPr>
                <w:rFonts w:hint="eastAsia" w:ascii="宋体" w:hAnsi="宋体" w:eastAsia="宋体" w:cs="宋体"/>
              </w:rPr>
              <w:t>名称</w:t>
            </w:r>
          </w:p>
        </w:tc>
        <w:tc>
          <w:tcPr>
            <w:tcW w:w="1236" w:type="dxa"/>
          </w:tcPr>
          <w:p>
            <w:pPr>
              <w:adjustRightInd w:val="0"/>
              <w:snapToGrid w:val="0"/>
              <w:spacing w:line="360" w:lineRule="exact"/>
              <w:jc w:val="center"/>
              <w:rPr>
                <w:rFonts w:ascii="宋体" w:hAnsi="宋体" w:eastAsia="宋体" w:cs="宋体"/>
              </w:rPr>
            </w:pPr>
            <w:r>
              <w:rPr>
                <w:rFonts w:hint="eastAsia" w:ascii="宋体" w:hAnsi="宋体" w:eastAsia="宋体" w:cs="宋体"/>
              </w:rPr>
              <w:t>型号规格</w:t>
            </w:r>
          </w:p>
        </w:tc>
        <w:tc>
          <w:tcPr>
            <w:tcW w:w="720" w:type="dxa"/>
          </w:tcPr>
          <w:p>
            <w:pPr>
              <w:adjustRightInd w:val="0"/>
              <w:snapToGrid w:val="0"/>
              <w:spacing w:line="360" w:lineRule="exact"/>
              <w:jc w:val="center"/>
              <w:rPr>
                <w:rFonts w:ascii="宋体" w:hAnsi="宋体" w:eastAsia="宋体" w:cs="宋体"/>
              </w:rPr>
            </w:pPr>
            <w:r>
              <w:rPr>
                <w:rFonts w:hint="eastAsia" w:ascii="宋体" w:hAnsi="宋体" w:eastAsia="宋体" w:cs="宋体"/>
              </w:rPr>
              <w:t>单位</w:t>
            </w:r>
          </w:p>
        </w:tc>
        <w:tc>
          <w:tcPr>
            <w:tcW w:w="720" w:type="dxa"/>
          </w:tcPr>
          <w:p>
            <w:pPr>
              <w:adjustRightInd w:val="0"/>
              <w:snapToGrid w:val="0"/>
              <w:spacing w:line="360" w:lineRule="exact"/>
              <w:jc w:val="center"/>
              <w:rPr>
                <w:rFonts w:ascii="宋体" w:hAnsi="宋体" w:eastAsia="宋体" w:cs="宋体"/>
              </w:rPr>
            </w:pPr>
            <w:r>
              <w:rPr>
                <w:rFonts w:hint="eastAsia" w:ascii="宋体" w:hAnsi="宋体" w:eastAsia="宋体" w:cs="宋体"/>
              </w:rPr>
              <w:t>数量</w:t>
            </w:r>
          </w:p>
        </w:tc>
        <w:tc>
          <w:tcPr>
            <w:tcW w:w="720" w:type="dxa"/>
          </w:tcPr>
          <w:p>
            <w:pPr>
              <w:adjustRightInd w:val="0"/>
              <w:snapToGrid w:val="0"/>
              <w:spacing w:line="360" w:lineRule="exact"/>
              <w:jc w:val="center"/>
              <w:rPr>
                <w:rFonts w:ascii="宋体" w:hAnsi="宋体" w:eastAsia="宋体" w:cs="宋体"/>
              </w:rPr>
            </w:pPr>
            <w:r>
              <w:rPr>
                <w:rFonts w:hint="eastAsia" w:ascii="宋体" w:hAnsi="宋体" w:eastAsia="宋体" w:cs="宋体"/>
              </w:rPr>
              <w:t>单价</w:t>
            </w:r>
          </w:p>
        </w:tc>
        <w:tc>
          <w:tcPr>
            <w:tcW w:w="720" w:type="dxa"/>
          </w:tcPr>
          <w:p>
            <w:pPr>
              <w:adjustRightInd w:val="0"/>
              <w:snapToGrid w:val="0"/>
              <w:spacing w:line="360" w:lineRule="exact"/>
              <w:jc w:val="center"/>
              <w:rPr>
                <w:rFonts w:ascii="宋体" w:hAnsi="宋体" w:eastAsia="宋体" w:cs="宋体"/>
              </w:rPr>
            </w:pPr>
            <w:r>
              <w:rPr>
                <w:rFonts w:hint="eastAsia" w:ascii="宋体" w:hAnsi="宋体" w:eastAsia="宋体" w:cs="宋体"/>
              </w:rPr>
              <w:t>总价</w:t>
            </w:r>
          </w:p>
        </w:tc>
        <w:tc>
          <w:tcPr>
            <w:tcW w:w="2235" w:type="dxa"/>
          </w:tcPr>
          <w:p>
            <w:pPr>
              <w:adjustRightInd w:val="0"/>
              <w:snapToGrid w:val="0"/>
              <w:spacing w:line="360" w:lineRule="exact"/>
              <w:jc w:val="center"/>
              <w:rPr>
                <w:rFonts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bl>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237"/>
        <w:spacing w:line="360" w:lineRule="auto"/>
        <w:rPr>
          <w:rFonts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pPr>
        <w:pStyle w:val="237"/>
        <w:spacing w:line="360" w:lineRule="auto"/>
        <w:rPr>
          <w:rFonts w:ascii="宋体" w:hAnsi="宋体" w:cs="宋体"/>
          <w:color w:val="auto"/>
        </w:rPr>
      </w:pPr>
      <w:r>
        <w:rPr>
          <w:rFonts w:hint="eastAsia" w:ascii="宋体" w:hAnsi="宋体" w:cs="宋体"/>
          <w:color w:val="auto"/>
        </w:rPr>
        <w:t>三、验收标准及内容要求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pPr>
        <w:pStyle w:val="3"/>
        <w:spacing w:before="120" w:after="120" w:line="360" w:lineRule="auto"/>
        <w:rPr>
          <w:rFonts w:ascii="宋体" w:hAnsi="宋体" w:eastAsia="宋体" w:cs="宋体"/>
          <w:b w:val="0"/>
          <w:sz w:val="24"/>
          <w:szCs w:val="24"/>
        </w:rPr>
        <w:sectPr>
          <w:footerReference r:id="rId5" w:type="first"/>
          <w:headerReference r:id="rId3" w:type="default"/>
          <w:footerReference r:id="rId4" w:type="default"/>
          <w:pgSz w:w="11906" w:h="16838"/>
          <w:pgMar w:top="1588" w:right="1418" w:bottom="1134" w:left="1418" w:header="851" w:footer="992" w:gutter="0"/>
          <w:pgNumType w:fmt="numberInDash"/>
          <w:cols w:space="720" w:num="1"/>
          <w:titlePg/>
          <w:docGrid w:linePitch="312" w:charSpace="0"/>
        </w:sectPr>
      </w:pPr>
      <w:bookmarkStart w:id="27" w:name="_Toc465187648"/>
    </w:p>
    <w:p>
      <w:pPr>
        <w:pStyle w:val="238"/>
        <w:jc w:val="center"/>
        <w:outlineLvl w:val="1"/>
        <w:rPr>
          <w:rFonts w:hint="eastAsia" w:ascii="Calibri" w:hAnsi="Calibri" w:eastAsia="宋体" w:cs="Times New Roman"/>
          <w:b/>
          <w:bCs/>
          <w:color w:val="auto"/>
          <w:kern w:val="44"/>
          <w:sz w:val="28"/>
          <w:szCs w:val="28"/>
          <w:lang w:val="en-US" w:eastAsia="zh-CN" w:bidi="ar-SA"/>
        </w:rPr>
      </w:pPr>
      <w:r>
        <w:rPr>
          <w:rFonts w:hint="eastAsia" w:ascii="Calibri" w:hAnsi="Calibri" w:eastAsia="宋体" w:cs="Times New Roman"/>
          <w:b/>
          <w:bCs/>
          <w:color w:val="auto"/>
          <w:kern w:val="44"/>
          <w:sz w:val="28"/>
          <w:szCs w:val="28"/>
          <w:lang w:val="en-US" w:eastAsia="zh-CN" w:bidi="ar-SA"/>
        </w:rPr>
        <w:t>第七章  其它要求及说明</w:t>
      </w:r>
      <w:bookmarkEnd w:id="27"/>
    </w:p>
    <w:p>
      <w:pPr>
        <w:pStyle w:val="237"/>
        <w:spacing w:line="360" w:lineRule="auto"/>
        <w:rPr>
          <w:rFonts w:ascii="宋体" w:hAnsi="宋体" w:cs="宋体"/>
          <w:color w:val="auto"/>
        </w:rPr>
      </w:pPr>
      <w:r>
        <w:rPr>
          <w:rFonts w:hint="eastAsia" w:ascii="宋体" w:hAnsi="宋体" w:cs="宋体"/>
          <w:color w:val="auto"/>
        </w:rPr>
        <w:t>一、要求</w:t>
      </w:r>
    </w:p>
    <w:p>
      <w:pPr>
        <w:pStyle w:val="27"/>
        <w:spacing w:after="0" w:line="360" w:lineRule="auto"/>
        <w:ind w:left="0" w:leftChars="0" w:firstLine="480" w:firstLineChars="200"/>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4.应附有其它与投标人、采购货物有关的荣誉证书或资料。</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pPr>
        <w:numPr>
          <w:ilvl w:val="255"/>
          <w:numId w:val="0"/>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pPr>
        <w:pStyle w:val="237"/>
        <w:spacing w:line="360" w:lineRule="auto"/>
      </w:pPr>
      <w:r>
        <w:rPr>
          <w:rFonts w:hint="eastAsia" w:ascii="宋体" w:hAnsi="宋体" w:cs="宋体"/>
          <w:color w:val="auto"/>
        </w:rPr>
        <w:t>二、其他</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pPr>
        <w:spacing w:line="360" w:lineRule="auto"/>
        <w:ind w:firstLine="480" w:firstLineChars="200"/>
        <w:rPr>
          <w:rFonts w:hint="eastAsia" w:ascii="仿宋_GB2312" w:hAnsi="仿宋_GB2312" w:eastAsia="仿宋_GB2312" w:cs="仿宋_GB2312"/>
        </w:r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p/>
    <w:p>
      <w:pPr>
        <w:pStyle w:val="235"/>
        <w:rPr>
          <w:b/>
          <w:bCs/>
        </w:rPr>
      </w:pPr>
    </w:p>
    <w:p>
      <w:pPr>
        <w:rPr>
          <w:rFonts w:hint="eastAsia" w:ascii="仿宋" w:hAnsi="仿宋" w:eastAsia="仿宋"/>
          <w:b/>
          <w:bCs/>
          <w:sz w:val="28"/>
        </w:rPr>
      </w:pPr>
      <w:r>
        <w:rPr>
          <w:rFonts w:hint="eastAsia" w:ascii="仿宋" w:hAnsi="仿宋" w:eastAsia="仿宋"/>
          <w:b/>
          <w:bCs/>
          <w:sz w:val="28"/>
        </w:rPr>
        <w:br w:type="page"/>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w:t>
      </w:r>
      <w:bookmarkStart w:id="28" w:name="_Toc212369550"/>
      <w:bookmarkStart w:id="29" w:name="_Toc639004"/>
      <w:bookmarkStart w:id="30" w:name="_Toc25811"/>
      <w:bookmarkStart w:id="31" w:name="_Toc353881012"/>
      <w:r>
        <w:rPr>
          <w:rFonts w:hint="default" w:ascii="Times New Roman" w:hAnsi="Times New Roman" w:eastAsia="宋体" w:cs="Times New Roman"/>
          <w:b/>
          <w:bCs/>
          <w:color w:val="000000"/>
          <w:sz w:val="24"/>
          <w:szCs w:val="24"/>
        </w:rPr>
        <w:t xml:space="preserve"> 投标函</w:t>
      </w:r>
      <w:bookmarkEnd w:id="28"/>
      <w:bookmarkEnd w:id="29"/>
      <w:bookmarkEnd w:id="30"/>
      <w:bookmarkEnd w:id="31"/>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致：</w:t>
      </w:r>
      <w:r>
        <w:rPr>
          <w:rFonts w:hint="eastAsia" w:ascii="Times New Roman" w:hAnsi="Times New Roman" w:eastAsia="宋体" w:cs="Times New Roman"/>
          <w:color w:val="000000"/>
          <w:sz w:val="24"/>
          <w:szCs w:val="24"/>
          <w:lang w:eastAsia="zh-CN"/>
        </w:rPr>
        <w:t>中国重汽集团济南动力有限公司</w:t>
      </w:r>
      <w:r>
        <w:rPr>
          <w:rFonts w:hint="default" w:ascii="Times New Roman" w:hAnsi="Times New Roman" w:eastAsia="宋体" w:cs="Times New Roman"/>
          <w:color w:val="000000"/>
          <w:sz w:val="24"/>
          <w:szCs w:val="24"/>
        </w:rPr>
        <w:t>：</w:t>
      </w:r>
    </w:p>
    <w:p>
      <w:pPr>
        <w:pStyle w:val="20"/>
        <w:spacing w:after="156"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根据贵方</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b/>
          <w:bCs/>
          <w:color w:val="000000"/>
          <w:sz w:val="24"/>
          <w:szCs w:val="24"/>
          <w:u w:val="single"/>
        </w:rPr>
        <w:t xml:space="preserve"> </w:t>
      </w:r>
      <w:r>
        <w:rPr>
          <w:rFonts w:hint="eastAsia" w:ascii="Times New Roman" w:hAnsi="Times New Roman" w:eastAsia="宋体" w:cs="Times New Roman"/>
          <w:b/>
          <w:bCs/>
          <w:color w:val="000000"/>
          <w:sz w:val="24"/>
          <w:szCs w:val="24"/>
          <w:u w:val="single"/>
          <w:lang w:val="en-US" w:eastAsia="zh-CN"/>
        </w:rPr>
        <w:t xml:space="preserve">                      </w:t>
      </w:r>
      <w:r>
        <w:rPr>
          <w:rFonts w:hint="default" w:ascii="Times New Roman" w:hAnsi="Times New Roman" w:eastAsia="宋体" w:cs="Times New Roman"/>
          <w:bCs/>
          <w:snapToGrid w:val="0"/>
          <w:color w:val="000000"/>
          <w:kern w:val="0"/>
          <w:sz w:val="24"/>
          <w:szCs w:val="24"/>
        </w:rPr>
        <w:t>招标公告</w:t>
      </w:r>
      <w:r>
        <w:rPr>
          <w:rFonts w:hint="default" w:ascii="Times New Roman" w:hAnsi="Times New Roman" w:eastAsia="宋体" w:cs="Times New Roman"/>
          <w:b/>
          <w:bCs/>
          <w:snapToGrid w:val="0"/>
          <w:color w:val="000000"/>
          <w:kern w:val="0"/>
          <w:sz w:val="24"/>
          <w:szCs w:val="24"/>
          <w:u w:val="single"/>
        </w:rPr>
        <w:t xml:space="preserve">              </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color w:val="000000"/>
          <w:sz w:val="24"/>
          <w:szCs w:val="24"/>
          <w:u w:val="single"/>
        </w:rPr>
        <w:t xml:space="preserve">            </w:t>
      </w:r>
      <w:r>
        <w:rPr>
          <w:rFonts w:hint="default" w:ascii="Times New Roman" w:hAnsi="Times New Roman" w:eastAsia="宋体" w:cs="Times New Roman"/>
          <w:color w:val="000000"/>
          <w:sz w:val="24"/>
          <w:szCs w:val="24"/>
        </w:rPr>
        <w:t>投标公司， 法人代表人为</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，正式授权</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 提交纸质投标文件：资质证明文件、商务文件和技术文件</w:t>
      </w:r>
      <w:r>
        <w:rPr>
          <w:rFonts w:hint="eastAsia" w:ascii="Times New Roman" w:hAnsi="Times New Roman" w:eastAsia="宋体" w:cs="Times New Roman"/>
          <w:color w:val="000000"/>
          <w:sz w:val="24"/>
          <w:szCs w:val="24"/>
          <w:lang w:val="en-US" w:eastAsia="zh-CN"/>
        </w:rPr>
        <w:t>的</w:t>
      </w:r>
      <w:r>
        <w:rPr>
          <w:rFonts w:hint="default" w:ascii="Times New Roman" w:hAnsi="Times New Roman" w:eastAsia="宋体" w:cs="Times New Roman"/>
          <w:color w:val="000000"/>
          <w:sz w:val="24"/>
          <w:szCs w:val="24"/>
        </w:rPr>
        <w:t>电子版投标文件一份（</w:t>
      </w:r>
      <w:r>
        <w:rPr>
          <w:rFonts w:hint="default" w:ascii="Times New Roman" w:hAnsi="Times New Roman" w:eastAsia="宋体" w:cs="Times New Roman"/>
          <w:bCs/>
          <w:color w:val="000000"/>
          <w:sz w:val="24"/>
          <w:szCs w:val="24"/>
        </w:rPr>
        <w:t>电子版投标文件为纸质盖章版的扫描件或加盖电子章；不盖章无效。</w:t>
      </w:r>
      <w:r>
        <w:rPr>
          <w:rFonts w:hint="default" w:ascii="Times New Roman" w:hAnsi="Times New Roman" w:eastAsia="宋体" w:cs="Times New Roman"/>
          <w:color w:val="000000"/>
          <w:sz w:val="24"/>
          <w:szCs w:val="24"/>
        </w:rPr>
        <w:t>）。</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据此函，签字代表宣布同意如下：</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2.投标人在投标之前已经与贵方进行了充分的沟通，完全理解并接受招标文件的各项规定和要求，对招标文件的合理性、合法性不再有异议。</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3.本投标有效期自开标日起</w:t>
      </w:r>
      <w:r>
        <w:rPr>
          <w:rFonts w:hint="default" w:ascii="Times New Roman" w:hAnsi="Times New Roman" w:eastAsia="宋体" w:cs="Times New Roman"/>
          <w:bCs/>
          <w:color w:val="000000"/>
          <w:sz w:val="24"/>
          <w:szCs w:val="24"/>
          <w:u w:val="single"/>
        </w:rPr>
        <w:t xml:space="preserve"> 90</w:t>
      </w:r>
      <w:r>
        <w:rPr>
          <w:rFonts w:hint="default" w:ascii="Times New Roman" w:hAnsi="Times New Roman" w:eastAsia="宋体" w:cs="Times New Roman"/>
          <w:color w:val="000000"/>
          <w:sz w:val="24"/>
          <w:szCs w:val="24"/>
        </w:rPr>
        <w:t>个日历日。</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4.如中标，本投标文件至本项目合同履行完毕止均保持有效，本投标人将按“招标文件”及政府采购法律、法规的规定履行合同责任和义务。</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5.投标人同意按照贵方要求提供与投标有关的一切数据或资料。</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6.与本投标有关的一切正式往来信函请寄：</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地址：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邮编：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电话：        传真：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投标人代表姓名：</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职务：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开户银行：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银行帐号：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w:t>
      </w:r>
      <w:r>
        <w:rPr>
          <w:rFonts w:hint="default" w:ascii="Times New Roman" w:hAnsi="Times New Roman" w:eastAsia="宋体" w:cs="Times New Roman"/>
          <w:bCs/>
          <w:color w:val="000000"/>
          <w:sz w:val="24"/>
          <w:szCs w:val="24"/>
        </w:rPr>
        <w:t>盖章）</w:t>
      </w:r>
      <w:r>
        <w:rPr>
          <w:rFonts w:hint="default" w:ascii="Times New Roman" w:hAnsi="Times New Roman" w:eastAsia="宋体" w:cs="Times New Roman"/>
          <w:color w:val="000000"/>
          <w:sz w:val="24"/>
          <w:szCs w:val="24"/>
        </w:rPr>
        <w:t xml:space="preserve">: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授权代表签字</w:t>
      </w:r>
      <w:r>
        <w:rPr>
          <w:rFonts w:hint="default" w:ascii="Times New Roman" w:hAnsi="Times New Roman" w:eastAsia="宋体" w:cs="Times New Roman"/>
          <w:bCs/>
          <w:color w:val="000000"/>
          <w:sz w:val="24"/>
          <w:szCs w:val="24"/>
        </w:rPr>
        <w:t>：</w:t>
      </w:r>
    </w:p>
    <w:p>
      <w:pPr>
        <w:spacing w:line="360" w:lineRule="auto"/>
        <w:ind w:firstLine="480" w:firstLineChars="200"/>
        <w:rPr>
          <w:rFonts w:hint="default" w:ascii="Times New Roman" w:hAnsi="Times New Roman" w:eastAsia="黑体" w:cs="Times New Roman"/>
          <w:color w:val="000000"/>
          <w:sz w:val="24"/>
          <w:szCs w:val="24"/>
        </w:rPr>
      </w:pPr>
      <w:r>
        <w:rPr>
          <w:rFonts w:hint="default" w:ascii="Times New Roman" w:hAnsi="Times New Roman" w:eastAsia="宋体" w:cs="Times New Roman"/>
          <w:color w:val="000000"/>
          <w:sz w:val="24"/>
          <w:szCs w:val="24"/>
        </w:rPr>
        <w:t>日期：     年      月      日</w:t>
      </w:r>
      <w:r>
        <w:rPr>
          <w:rFonts w:hint="default" w:ascii="Times New Roman" w:hAnsi="Times New Roman" w:eastAsia="黑体" w:cs="Times New Roman"/>
          <w:color w:val="000000"/>
          <w:sz w:val="24"/>
          <w:szCs w:val="24"/>
        </w:rPr>
        <w:br w:type="page"/>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pPr>
        <w:adjustRightInd w:val="0"/>
        <w:snapToGrid w:val="0"/>
        <w:spacing w:before="93" w:beforeLines="30" w:line="240" w:lineRule="exact"/>
        <w:jc w:val="center"/>
        <w:rPr>
          <w:rFonts w:hint="default" w:ascii="Times New Roman" w:hAnsi="Times New Roman" w:eastAsia="宋体" w:cs="Times New Roman"/>
          <w:sz w:val="24"/>
          <w:szCs w:val="20"/>
        </w:rPr>
      </w:pP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default" w:ascii="Times New Roman" w:hAnsi="Times New Roman" w:eastAsia="宋体" w:cs="Times New Roman"/>
          <w:b/>
          <w:bCs/>
          <w:color w:val="000000"/>
          <w:sz w:val="24"/>
          <w:szCs w:val="24"/>
          <w:u w:val="single"/>
        </w:rPr>
        <w:t xml:space="preserve"> </w:t>
      </w:r>
      <w:r>
        <w:rPr>
          <w:rFonts w:hint="eastAsia" w:cs="Times New Roman"/>
          <w:b/>
          <w:bCs/>
          <w:color w:val="000000"/>
          <w:sz w:val="24"/>
          <w:szCs w:val="24"/>
          <w:u w:val="single"/>
          <w:lang w:val="en-US" w:eastAsia="zh-CN"/>
        </w:rPr>
        <w:t>济南成型厂质量提升专项铸造二部辅料间防爆行车更新技改项目</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4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pPr>
        <w:spacing w:line="460" w:lineRule="exact"/>
        <w:ind w:firstLine="5520" w:firstLineChars="23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eastAsia="黑体" w:cs="Times New Roman"/>
          <w:b/>
          <w:bCs/>
          <w:color w:val="000000"/>
          <w:sz w:val="28"/>
          <w:szCs w:val="20"/>
        </w:rPr>
      </w:pPr>
    </w:p>
    <w:p>
      <w:pPr>
        <w:pStyle w:val="2"/>
        <w:rPr>
          <w:rFonts w:hint="default" w:ascii="Times New Roman" w:hAnsi="Times New Roman" w:eastAsia="黑体" w:cs="Times New Roman"/>
          <w:b/>
          <w:bCs/>
          <w:color w:val="000000"/>
          <w:sz w:val="28"/>
          <w:szCs w:val="20"/>
        </w:rPr>
      </w:pPr>
    </w:p>
    <w:p>
      <w:pPr>
        <w:rPr>
          <w:rFonts w:hint="default" w:ascii="Times New Roman" w:hAnsi="Times New Roman" w:cs="Times New Roman"/>
        </w:rPr>
        <w:sectPr>
          <w:footerReference r:id="rId8" w:type="first"/>
          <w:headerReference r:id="rId6" w:type="default"/>
          <w:footerReference r:id="rId7"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1"/>
        <w:rPr>
          <w:rFonts w:hint="default" w:ascii="Times New Roman" w:hAnsi="Times New Roman" w:eastAsia="宋体" w:cs="Times New Roman"/>
          <w:spacing w:val="-9"/>
          <w:sz w:val="24"/>
          <w:szCs w:val="24"/>
        </w:rPr>
      </w:pP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附</w:t>
      </w:r>
      <w:r>
        <w:rPr>
          <w:rFonts w:hint="default" w:ascii="Times New Roman" w:hAnsi="Times New Roman" w:eastAsia="宋体" w:cs="Times New Roman"/>
          <w:spacing w:val="-14"/>
          <w:sz w:val="24"/>
          <w:szCs w:val="24"/>
          <w14:textOutline w14:w="4356" w14:cap="sq" w14:cmpd="sng" w14:algn="ctr">
            <w14:solidFill>
              <w14:srgbClr w14:val="000000"/>
            </w14:solidFill>
            <w14:prstDash w14:val="solid"/>
            <w14:bevel/>
          </w14:textOutline>
        </w:rPr>
        <w:t>件</w:t>
      </w: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 xml:space="preserve">3 </w:t>
      </w:r>
      <w:r>
        <w:rPr>
          <w:rFonts w:hint="default" w:ascii="Times New Roman" w:hAnsi="Times New Roman" w:eastAsia="宋体" w:cs="Times New Roman"/>
          <w:spacing w:val="15"/>
          <w:position w:val="3"/>
          <w:sz w:val="24"/>
          <w:szCs w:val="24"/>
          <w14:textOutline w14:w="4356" w14:cap="sq" w14:cmpd="sng" w14:algn="ctr">
            <w14:solidFill>
              <w14:srgbClr w14:val="000000"/>
            </w14:solidFill>
            <w14:prstDash w14:val="solid"/>
            <w14:bevel/>
          </w14:textOutline>
        </w:rPr>
        <w:t>投</w:t>
      </w:r>
      <w:r>
        <w:rPr>
          <w:rFonts w:hint="default" w:ascii="Times New Roman" w:hAnsi="Times New Roman" w:eastAsia="宋体" w:cs="Times New Roman"/>
          <w:spacing w:val="8"/>
          <w:position w:val="3"/>
          <w:sz w:val="24"/>
          <w:szCs w:val="24"/>
          <w14:textOutline w14:w="4356" w14:cap="sq" w14:cmpd="sng" w14:algn="ctr">
            <w14:solidFill>
              <w14:srgbClr w14:val="000000"/>
            </w14:solidFill>
            <w14:prstDash w14:val="solid"/>
            <w14:bevel/>
          </w14:textOutline>
        </w:rPr>
        <w:t>标人基本情况及</w:t>
      </w:r>
      <w:r>
        <w:rPr>
          <w:rFonts w:hint="default" w:ascii="Times New Roman" w:hAnsi="Times New Roman" w:eastAsia="宋体" w:cs="Times New Roman"/>
          <w:spacing w:val="8"/>
          <w:sz w:val="24"/>
          <w:szCs w:val="24"/>
          <w14:textOutline w14:w="4356" w14:cap="sq" w14:cmpd="sng" w14:algn="ctr">
            <w14:solidFill>
              <w14:srgbClr w14:val="000000"/>
            </w14:solidFill>
            <w14:prstDash w14:val="solid"/>
            <w14:bevel/>
          </w14:textOutline>
        </w:rPr>
        <w:t>资产情况汇总</w:t>
      </w:r>
      <w:r>
        <w:rPr>
          <w:rFonts w:hint="default" w:ascii="Times New Roman" w:hAnsi="Times New Roman" w:eastAsia="宋体" w:cs="Times New Roman"/>
          <w:spacing w:val="7"/>
          <w:sz w:val="24"/>
          <w:szCs w:val="24"/>
          <w14:textOutline w14:w="4356" w14:cap="sq" w14:cmpd="sng" w14:algn="ctr">
            <w14:solidFill>
              <w14:srgbClr w14:val="000000"/>
            </w14:solidFill>
            <w14:prstDash w14:val="solid"/>
            <w14:bevel/>
          </w14:textOutline>
        </w:rPr>
        <w:t>表</w:t>
      </w:r>
    </w:p>
    <w:p>
      <w:pPr>
        <w:keepNext/>
        <w:keepLines/>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default" w:ascii="Times New Roman" w:hAnsi="Times New Roman" w:eastAsia="宋体" w:cs="Times New Roman"/>
          <w:b/>
          <w:bCs/>
          <w:spacing w:val="-7"/>
          <w:sz w:val="24"/>
          <w:szCs w:val="24"/>
        </w:rPr>
        <w:t>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1 </w:t>
      </w:r>
      <w:r>
        <w:rPr>
          <w:rFonts w:hint="default" w:ascii="Times New Roman" w:hAnsi="Times New Roman" w:eastAsia="宋体" w:cs="Times New Roman"/>
          <w:b/>
          <w:bCs/>
          <w:color w:val="000000"/>
          <w:sz w:val="24"/>
          <w:szCs w:val="24"/>
        </w:rPr>
        <w:t>投标人基本情况表</w:t>
      </w:r>
    </w:p>
    <w:tbl>
      <w:tblPr>
        <w:tblStyle w:val="2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231"/>
              <w:spacing w:before="114"/>
              <w:ind w:left="720"/>
              <w:rPr>
                <w:rFonts w:hint="default" w:ascii="Times New Roman" w:hAnsi="Times New Roman" w:cs="Times New Roman"/>
              </w:rPr>
            </w:pPr>
            <w:r>
              <w:rPr>
                <w:rFonts w:hint="default" w:ascii="Times New Roman" w:hAnsi="Times New Roman" w:cs="Times New Roman"/>
              </w:rPr>
              <w:t xml:space="preserve">企业名称 </w:t>
            </w:r>
          </w:p>
        </w:tc>
        <w:tc>
          <w:tcPr>
            <w:tcW w:w="4680" w:type="dxa"/>
            <w:gridSpan w:val="4"/>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231"/>
              <w:spacing w:before="114"/>
              <w:ind w:left="720"/>
              <w:rPr>
                <w:rFonts w:hint="default" w:ascii="Times New Roman" w:hAnsi="Times New Roman" w:cs="Times New Roman"/>
              </w:rPr>
            </w:pPr>
            <w:r>
              <w:rPr>
                <w:rFonts w:hint="default" w:ascii="Times New Roman" w:hAnsi="Times New Roman" w:cs="Times New Roman"/>
              </w:rPr>
              <w:t xml:space="preserve">企业地址 </w:t>
            </w:r>
          </w:p>
        </w:tc>
        <w:tc>
          <w:tcPr>
            <w:tcW w:w="4680" w:type="dxa"/>
            <w:gridSpan w:val="4"/>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231"/>
              <w:spacing w:before="111"/>
              <w:ind w:left="720"/>
              <w:rPr>
                <w:rFonts w:hint="default" w:ascii="Times New Roman" w:hAnsi="Times New Roman" w:cs="Times New Roman"/>
              </w:rPr>
            </w:pPr>
            <w:r>
              <w:rPr>
                <w:rFonts w:hint="default" w:ascii="Times New Roman" w:hAnsi="Times New Roman" w:cs="Times New Roman"/>
              </w:rPr>
              <w:t xml:space="preserve">企业性质 </w:t>
            </w:r>
          </w:p>
        </w:tc>
        <w:tc>
          <w:tcPr>
            <w:tcW w:w="4680" w:type="dxa"/>
            <w:gridSpan w:val="4"/>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pPr>
              <w:pStyle w:val="231"/>
              <w:spacing w:before="103"/>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注册时间 </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231"/>
              <w:spacing w:before="111"/>
              <w:ind w:left="509"/>
              <w:rPr>
                <w:rFonts w:hint="default" w:ascii="Times New Roman" w:hAnsi="Times New Roman" w:cs="Times New Roman"/>
                <w:highlight w:val="yellow"/>
              </w:rPr>
            </w:pPr>
            <w:r>
              <w:rPr>
                <w:rFonts w:hint="default" w:ascii="Times New Roman" w:hAnsi="Times New Roman" w:cs="Times New Roman"/>
              </w:rPr>
              <w:t xml:space="preserve">企业法人代表  </w:t>
            </w:r>
          </w:p>
        </w:tc>
        <w:tc>
          <w:tcPr>
            <w:tcW w:w="4680" w:type="dxa"/>
            <w:gridSpan w:val="4"/>
          </w:tcPr>
          <w:p>
            <w:pPr>
              <w:pStyle w:val="5"/>
              <w:keepNext w:val="0"/>
              <w:keepLines w:val="0"/>
              <w:widowControl/>
              <w:shd w:val="clear" w:color="auto" w:fill="FFFFFF"/>
              <w:spacing w:before="0" w:after="0" w:line="450" w:lineRule="atLeast"/>
              <w:rPr>
                <w:rFonts w:hint="default" w:ascii="Times New Roman" w:hAnsi="Times New Roman" w:cs="Times New Roman"/>
                <w:color w:val="000000" w:themeColor="text1"/>
                <w14:textFill>
                  <w14:solidFill>
                    <w14:schemeClr w14:val="tx1"/>
                  </w14:solidFill>
                </w14:textFill>
              </w:rPr>
            </w:pPr>
          </w:p>
        </w:tc>
        <w:tc>
          <w:tcPr>
            <w:tcW w:w="1310" w:type="dxa"/>
          </w:tcPr>
          <w:p>
            <w:pPr>
              <w:pStyle w:val="231"/>
              <w:spacing w:before="103"/>
              <w:ind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企业资质</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231"/>
              <w:spacing w:before="114"/>
              <w:ind w:left="720"/>
              <w:rPr>
                <w:rFonts w:hint="default" w:ascii="Times New Roman" w:hAnsi="Times New Roman" w:cs="Times New Roman"/>
              </w:rPr>
            </w:pPr>
            <w:r>
              <w:rPr>
                <w:rFonts w:hint="default" w:ascii="Times New Roman" w:hAnsi="Times New Roman" w:cs="Times New Roman"/>
              </w:rPr>
              <w:t xml:space="preserve">品牌区分 </w:t>
            </w:r>
          </w:p>
        </w:tc>
        <w:tc>
          <w:tcPr>
            <w:tcW w:w="7500" w:type="dxa"/>
            <w:gridSpan w:val="6"/>
          </w:tcPr>
          <w:p>
            <w:pPr>
              <w:pStyle w:val="231"/>
              <w:spacing w:before="106"/>
              <w:ind w:left="401"/>
              <w:rPr>
                <w:rFonts w:hint="default" w:ascii="Times New Roman" w:hAnsi="Times New Roman" w:cs="Times New Roman"/>
              </w:rPr>
            </w:pPr>
            <w:r>
              <w:rPr>
                <w:rFonts w:hint="default" w:ascii="Times New Roman" w:hAnsi="Times New Roman" w:cs="Times New Roman"/>
              </w:rPr>
              <w:t xml:space="preserve"> 自产 总代理 代理  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231"/>
              <w:spacing w:before="178"/>
              <w:ind w:left="720"/>
              <w:rPr>
                <w:rFonts w:hint="default" w:ascii="Times New Roman" w:hAnsi="Times New Roman" w:cs="Times New Roman"/>
              </w:rPr>
            </w:pPr>
            <w:r>
              <w:rPr>
                <w:rFonts w:hint="default" w:ascii="Times New Roman" w:hAnsi="Times New Roman" w:cs="Times New Roman"/>
              </w:rPr>
              <w:t xml:space="preserve">品牌名称 </w:t>
            </w:r>
          </w:p>
        </w:tc>
        <w:tc>
          <w:tcPr>
            <w:tcW w:w="3583" w:type="dxa"/>
            <w:gridSpan w:val="3"/>
            <w:vAlign w:val="center"/>
          </w:tcPr>
          <w:p>
            <w:pPr>
              <w:widowControl/>
              <w:rPr>
                <w:rFonts w:hint="default" w:ascii="Times New Roman" w:hAnsi="Times New Roman" w:eastAsia="仿宋_GB2312" w:cs="Times New Roman"/>
                <w:kern w:val="0"/>
                <w:szCs w:val="21"/>
                <w:lang w:bidi="ar"/>
              </w:rPr>
            </w:pPr>
          </w:p>
        </w:tc>
        <w:tc>
          <w:tcPr>
            <w:tcW w:w="1097" w:type="dxa"/>
          </w:tcPr>
          <w:p>
            <w:pPr>
              <w:pStyle w:val="231"/>
              <w:spacing w:before="15"/>
              <w:ind w:left="279"/>
              <w:rPr>
                <w:rFonts w:hint="default" w:ascii="Times New Roman" w:hAnsi="Times New Roman" w:cs="Times New Roman"/>
              </w:rPr>
            </w:pPr>
            <w:r>
              <w:rPr>
                <w:rFonts w:hint="default" w:ascii="Times New Roman" w:hAnsi="Times New Roman" w:cs="Times New Roman"/>
                <w:spacing w:val="-2"/>
              </w:rPr>
              <w:t>质量</w:t>
            </w:r>
            <w:r>
              <w:rPr>
                <w:rFonts w:hint="default" w:ascii="Times New Roman" w:hAnsi="Times New Roman" w:cs="Times New Roman"/>
              </w:rPr>
              <w:t xml:space="preserve"> </w:t>
            </w:r>
          </w:p>
          <w:p>
            <w:pPr>
              <w:pStyle w:val="231"/>
              <w:spacing w:before="30" w:line="277" w:lineRule="exact"/>
              <w:ind w:left="279"/>
              <w:rPr>
                <w:rFonts w:hint="default" w:ascii="Times New Roman" w:hAnsi="Times New Roman" w:cs="Times New Roman"/>
              </w:rPr>
            </w:pPr>
            <w:r>
              <w:rPr>
                <w:rFonts w:hint="default" w:ascii="Times New Roman" w:hAnsi="Times New Roman" w:cs="Times New Roman"/>
              </w:rPr>
              <w:t>体系</w:t>
            </w:r>
          </w:p>
        </w:tc>
        <w:tc>
          <w:tcPr>
            <w:tcW w:w="2820" w:type="dxa"/>
            <w:gridSpan w:val="2"/>
          </w:tcPr>
          <w:p>
            <w:pPr>
              <w:pStyle w:val="231"/>
              <w:spacing w:before="158"/>
              <w:jc w:val="center"/>
              <w:rPr>
                <w:rFonts w:hint="default"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231"/>
              <w:spacing w:before="149"/>
              <w:ind w:left="3345" w:right="3223"/>
              <w:jc w:val="center"/>
              <w:rPr>
                <w:rFonts w:hint="default" w:ascii="Times New Roman" w:hAnsi="Times New Roman" w:cs="Times New Roman"/>
              </w:rPr>
            </w:pPr>
            <w:r>
              <w:rPr>
                <w:rFonts w:hint="default" w:ascii="Times New Roman" w:hAnsi="Times New Roman" w:cs="Times New Roman"/>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参保职工总人</w:t>
            </w:r>
            <w:r>
              <w:rPr>
                <w:rFonts w:hint="default" w:ascii="Times New Roman" w:hAnsi="Times New Roman" w:eastAsia="宋体" w:cs="Times New Roman"/>
                <w:spacing w:val="-1"/>
                <w:szCs w:val="21"/>
              </w:rPr>
              <w:t>数</w:t>
            </w:r>
          </w:p>
        </w:tc>
        <w:tc>
          <w:tcPr>
            <w:tcW w:w="990" w:type="dxa"/>
            <w:vAlign w:val="center"/>
          </w:tcPr>
          <w:p>
            <w:pPr>
              <w:widowControl/>
              <w:textAlignment w:val="center"/>
              <w:rPr>
                <w:rFonts w:hint="default" w:ascii="Times New Roman" w:hAnsi="Times New Roman" w:eastAsia="宋体" w:cs="Times New Roman"/>
                <w:szCs w:val="21"/>
              </w:rPr>
            </w:pPr>
          </w:p>
        </w:tc>
        <w:tc>
          <w:tcPr>
            <w:tcW w:w="1530"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工程技术人</w:t>
            </w:r>
            <w:r>
              <w:rPr>
                <w:rFonts w:hint="default" w:ascii="Times New Roman" w:hAnsi="Times New Roman" w:eastAsia="宋体" w:cs="Times New Roman"/>
                <w:spacing w:val="-1"/>
                <w:szCs w:val="21"/>
              </w:rPr>
              <w:t>员</w:t>
            </w:r>
          </w:p>
        </w:tc>
        <w:tc>
          <w:tcPr>
            <w:tcW w:w="1063" w:type="dxa"/>
            <w:vAlign w:val="center"/>
          </w:tcPr>
          <w:p>
            <w:pPr>
              <w:widowControl/>
              <w:jc w:val="center"/>
              <w:textAlignment w:val="center"/>
              <w:rPr>
                <w:rFonts w:hint="default" w:ascii="Times New Roman" w:hAnsi="Times New Roman" w:eastAsia="宋体" w:cs="Times New Roman"/>
                <w:szCs w:val="21"/>
              </w:rPr>
            </w:pPr>
          </w:p>
        </w:tc>
        <w:tc>
          <w:tcPr>
            <w:tcW w:w="1097" w:type="dxa"/>
            <w:vAlign w:val="center"/>
          </w:tcPr>
          <w:p>
            <w:pPr>
              <w:widowControl/>
              <w:textAlignment w:val="center"/>
              <w:rPr>
                <w:rFonts w:hint="default" w:ascii="Times New Roman" w:hAnsi="Times New Roman" w:eastAsia="宋体" w:cs="Times New Roman"/>
                <w:szCs w:val="21"/>
              </w:rPr>
            </w:pPr>
            <w:r>
              <w:rPr>
                <w:rFonts w:hint="default" w:ascii="Times New Roman" w:hAnsi="Times New Roman" w:eastAsia="宋体" w:cs="Times New Roman"/>
                <w:spacing w:val="-3"/>
                <w:szCs w:val="21"/>
              </w:rPr>
              <w:t>生</w:t>
            </w:r>
            <w:r>
              <w:rPr>
                <w:rFonts w:hint="default" w:ascii="Times New Roman" w:hAnsi="Times New Roman" w:eastAsia="宋体" w:cs="Times New Roman"/>
                <w:spacing w:val="-2"/>
                <w:szCs w:val="21"/>
              </w:rPr>
              <w:t>产、销售人员</w:t>
            </w:r>
          </w:p>
        </w:tc>
        <w:tc>
          <w:tcPr>
            <w:tcW w:w="2820" w:type="dxa"/>
            <w:gridSpan w:val="2"/>
            <w:vAlign w:val="center"/>
          </w:tcPr>
          <w:p>
            <w:pPr>
              <w:widowControl/>
              <w:jc w:val="center"/>
              <w:textAlignment w:val="center"/>
              <w:rPr>
                <w:rFonts w:hint="default" w:ascii="Times New Roman" w:hAnsi="Times New Roman" w:eastAsia="宋体"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企业优势、关键产品特点</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企业行业水平及行业口碑</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10"/>
                <w:szCs w:val="21"/>
              </w:rPr>
              <w:t>公</w:t>
            </w:r>
            <w:r>
              <w:rPr>
                <w:rFonts w:hint="default" w:ascii="Times New Roman" w:hAnsi="Times New Roman" w:eastAsia="宋体" w:cs="Times New Roman"/>
                <w:spacing w:val="-7"/>
                <w:szCs w:val="21"/>
              </w:rPr>
              <w:t>司</w:t>
            </w:r>
            <w:r>
              <w:rPr>
                <w:rFonts w:hint="default" w:ascii="Times New Roman" w:hAnsi="Times New Roman" w:eastAsia="宋体" w:cs="Times New Roman"/>
                <w:spacing w:val="-5"/>
                <w:szCs w:val="21"/>
              </w:rPr>
              <w:t>现有主要研发、</w:t>
            </w:r>
            <w:r>
              <w:rPr>
                <w:rFonts w:hint="default" w:ascii="Times New Roman" w:hAnsi="Times New Roman" w:eastAsia="宋体" w:cs="Times New Roman"/>
                <w:szCs w:val="21"/>
              </w:rPr>
              <w:t xml:space="preserve"> </w:t>
            </w:r>
            <w:r>
              <w:rPr>
                <w:rFonts w:hint="default" w:ascii="Times New Roman" w:hAnsi="Times New Roman" w:eastAsia="宋体" w:cs="Times New Roman"/>
                <w:spacing w:val="-4"/>
                <w:szCs w:val="21"/>
              </w:rPr>
              <w:t>实</w:t>
            </w:r>
            <w:r>
              <w:rPr>
                <w:rFonts w:hint="default" w:ascii="Times New Roman" w:hAnsi="Times New Roman" w:eastAsia="宋体" w:cs="Times New Roman"/>
                <w:spacing w:val="-2"/>
                <w:szCs w:val="21"/>
              </w:rPr>
              <w:t>验、生产设备</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近三或五年企业类似业绩及履约情况</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售后服务及质量</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spacing w:val="-4"/>
                <w:szCs w:val="21"/>
              </w:rPr>
              <w:t>对本项目在设计、制造、进度、财务等方面采取的组织措施和相</w:t>
            </w:r>
            <w:r>
              <w:rPr>
                <w:rFonts w:hint="default" w:ascii="Times New Roman" w:hAnsi="Times New Roman" w:eastAsia="宋体" w:cs="Times New Roman"/>
                <w:spacing w:val="-2"/>
                <w:szCs w:val="21"/>
              </w:rPr>
              <w:t>关</w:t>
            </w:r>
            <w:r>
              <w:rPr>
                <w:rFonts w:hint="default" w:ascii="Times New Roman" w:hAnsi="Times New Roman" w:eastAsia="宋体" w:cs="Times New Roman"/>
                <w:spacing w:val="-3"/>
                <w:szCs w:val="21"/>
              </w:rPr>
              <w:t>人</w:t>
            </w:r>
            <w:r>
              <w:rPr>
                <w:rFonts w:hint="default" w:ascii="Times New Roman" w:hAnsi="Times New Roman" w:eastAsia="宋体" w:cs="Times New Roman"/>
                <w:spacing w:val="-2"/>
                <w:szCs w:val="21"/>
              </w:rPr>
              <w:t>员简介</w:t>
            </w:r>
          </w:p>
        </w:tc>
        <w:tc>
          <w:tcPr>
            <w:tcW w:w="7500" w:type="dxa"/>
            <w:gridSpan w:val="6"/>
            <w:vAlign w:val="center"/>
          </w:tcPr>
          <w:p>
            <w:pPr>
              <w:widowControl/>
              <w:jc w:val="left"/>
              <w:rPr>
                <w:rFonts w:hint="default" w:ascii="Times New Roman" w:hAnsi="Times New Roman" w:eastAsia="宋体" w:cs="Times New Roman"/>
                <w:kern w:val="0"/>
                <w:szCs w:val="21"/>
                <w:lang w:bidi="ar"/>
              </w:rPr>
            </w:pPr>
          </w:p>
        </w:tc>
      </w:tr>
    </w:tbl>
    <w:p>
      <w:pPr>
        <w:pStyle w:val="2"/>
        <w:rPr>
          <w:rFonts w:hint="default" w:ascii="Times New Roman" w:hAnsi="Times New Roman" w:eastAsia="宋体" w:cs="Times New Roman"/>
          <w:b/>
          <w:bCs/>
          <w:color w:val="000000"/>
          <w:sz w:val="24"/>
          <w:szCs w:val="24"/>
        </w:rPr>
      </w:pPr>
    </w:p>
    <w:p>
      <w:pPr>
        <w:pStyle w:val="2"/>
        <w:rPr>
          <w:rFonts w:hint="default" w:ascii="Times New Roman" w:hAnsi="Times New Roman" w:eastAsia="宋体" w:cs="Times New Roman"/>
          <w:b/>
          <w:bCs/>
          <w:color w:val="000000"/>
          <w:sz w:val="24"/>
          <w:szCs w:val="24"/>
        </w:rPr>
      </w:pPr>
    </w:p>
    <w:p>
      <w:pPr>
        <w:pStyle w:val="2"/>
        <w:rPr>
          <w:rFonts w:hint="default" w:ascii="Times New Roman" w:hAnsi="Times New Roman" w:eastAsia="宋体" w:cs="Times New Roman"/>
          <w:b/>
          <w:bCs/>
          <w:color w:val="000000"/>
          <w:sz w:val="24"/>
          <w:szCs w:val="24"/>
        </w:rPr>
      </w:pPr>
    </w:p>
    <w:p>
      <w:pPr>
        <w:pStyle w:val="2"/>
        <w:rPr>
          <w:rFonts w:hint="default" w:ascii="Times New Roman" w:hAnsi="Times New Roman" w:eastAsia="宋体" w:cs="Times New Roman"/>
          <w:b/>
          <w:bCs/>
          <w:color w:val="000000"/>
          <w:sz w:val="24"/>
          <w:szCs w:val="24"/>
        </w:rPr>
      </w:pPr>
    </w:p>
    <w:p>
      <w:pPr>
        <w:pStyle w:val="2"/>
        <w:rPr>
          <w:rFonts w:hint="default" w:ascii="Times New Roman" w:hAnsi="Times New Roman" w:eastAsia="宋体" w:cs="Times New Roman"/>
          <w:b/>
          <w:bCs/>
          <w:color w:val="000000"/>
          <w:sz w:val="24"/>
          <w:szCs w:val="24"/>
        </w:rPr>
      </w:pPr>
    </w:p>
    <w:p>
      <w:pPr>
        <w:pStyle w:val="2"/>
        <w:rPr>
          <w:rFonts w:hint="default" w:ascii="Times New Roman" w:hAnsi="Times New Roman" w:eastAsia="宋体" w:cs="Times New Roman"/>
          <w:b/>
          <w:bCs/>
          <w:color w:val="000000"/>
          <w:sz w:val="24"/>
          <w:szCs w:val="24"/>
        </w:rPr>
      </w:pPr>
    </w:p>
    <w:p>
      <w:pPr>
        <w:pStyle w:val="2"/>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b/>
          <w:bCs/>
          <w:spacing w:val="-7"/>
          <w:sz w:val="24"/>
          <w:szCs w:val="24"/>
        </w:rPr>
        <w:t xml:space="preserve"> 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2 </w:t>
      </w:r>
      <w:r>
        <w:rPr>
          <w:rFonts w:hint="default" w:ascii="Times New Roman" w:hAnsi="Times New Roman" w:eastAsia="宋体" w:cs="Times New Roman"/>
          <w:b/>
          <w:bCs/>
          <w:color w:val="000000"/>
          <w:sz w:val="24"/>
          <w:szCs w:val="24"/>
        </w:rPr>
        <w:t>资产情况汇总表</w:t>
      </w:r>
    </w:p>
    <w:tbl>
      <w:tblPr>
        <w:tblStyle w:val="48"/>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4"/>
            <w:vAlign w:val="center"/>
          </w:tcPr>
          <w:p>
            <w:pPr>
              <w:spacing w:line="440" w:lineRule="exact"/>
              <w:jc w:val="center"/>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注册资金（万元）</w:t>
            </w:r>
          </w:p>
        </w:tc>
        <w:tc>
          <w:tcPr>
            <w:tcW w:w="6767" w:type="dxa"/>
            <w:gridSpan w:val="3"/>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实收资金（万元）</w:t>
            </w:r>
          </w:p>
        </w:tc>
        <w:tc>
          <w:tcPr>
            <w:tcW w:w="6767" w:type="dxa"/>
            <w:gridSpan w:val="3"/>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年度资产情况</w:t>
            </w:r>
          </w:p>
        </w:tc>
        <w:tc>
          <w:tcPr>
            <w:tcW w:w="2406"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cs="Times New Roman"/>
                <w:color w:val="000000"/>
                <w:sz w:val="24"/>
                <w:szCs w:val="24"/>
                <w:lang w:val="en-US" w:eastAsia="zh-CN"/>
              </w:rPr>
              <w:t>3</w:t>
            </w:r>
            <w:r>
              <w:rPr>
                <w:rFonts w:hint="default" w:ascii="Times New Roman" w:hAnsi="Times New Roman" w:eastAsia="宋体" w:cs="Times New Roman"/>
                <w:color w:val="000000"/>
                <w:sz w:val="24"/>
                <w:szCs w:val="24"/>
              </w:rPr>
              <w:t>年</w:t>
            </w:r>
          </w:p>
        </w:tc>
        <w:tc>
          <w:tcPr>
            <w:tcW w:w="2291"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cs="Times New Roman"/>
                <w:color w:val="000000"/>
                <w:sz w:val="24"/>
                <w:szCs w:val="24"/>
                <w:lang w:val="en-US" w:eastAsia="zh-CN"/>
              </w:rPr>
              <w:t>4</w:t>
            </w:r>
            <w:r>
              <w:rPr>
                <w:rFonts w:hint="default" w:ascii="Times New Roman" w:hAnsi="Times New Roman" w:eastAsia="宋体" w:cs="Times New Roman"/>
                <w:color w:val="000000"/>
                <w:sz w:val="24"/>
                <w:szCs w:val="24"/>
              </w:rPr>
              <w:t>年</w:t>
            </w:r>
          </w:p>
        </w:tc>
        <w:tc>
          <w:tcPr>
            <w:tcW w:w="2070" w:type="dxa"/>
            <w:vAlign w:val="center"/>
          </w:tcPr>
          <w:p>
            <w:pPr>
              <w:spacing w:line="4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w:t>
            </w:r>
            <w:r>
              <w:rPr>
                <w:rFonts w:hint="eastAsia" w:cs="Times New Roman"/>
                <w:color w:val="000000"/>
                <w:sz w:val="24"/>
                <w:szCs w:val="24"/>
                <w:lang w:val="en-US" w:eastAsia="zh-CN"/>
              </w:rPr>
              <w:t>5</w:t>
            </w:r>
            <w:r>
              <w:rPr>
                <w:rFonts w:hint="default" w:ascii="Times New Roman" w:hAnsi="Times New Roman" w:eastAsia="宋体" w:cs="Times New Roman"/>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流动资产（万元）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非流动资产（万元）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营业收入（万元）</w:t>
            </w:r>
          </w:p>
        </w:tc>
        <w:tc>
          <w:tcPr>
            <w:tcW w:w="2406" w:type="dxa"/>
          </w:tcPr>
          <w:p>
            <w:pPr>
              <w:spacing w:line="440" w:lineRule="exact"/>
              <w:jc w:val="center"/>
              <w:rPr>
                <w:rFonts w:hint="default" w:ascii="Times New Roman" w:hAnsi="Times New Roman" w:cs="Times New Roman"/>
                <w:color w:val="000000"/>
                <w:sz w:val="24"/>
                <w:szCs w:val="24"/>
                <w:highlight w:val="yellow"/>
              </w:rPr>
            </w:pPr>
          </w:p>
        </w:tc>
        <w:tc>
          <w:tcPr>
            <w:tcW w:w="2291" w:type="dxa"/>
          </w:tcPr>
          <w:p>
            <w:pPr>
              <w:spacing w:line="440" w:lineRule="exact"/>
              <w:jc w:val="center"/>
              <w:rPr>
                <w:rFonts w:hint="default" w:ascii="Times New Roman" w:hAnsi="Times New Roman" w:cs="Times New Roman"/>
                <w:color w:val="000000"/>
                <w:sz w:val="24"/>
                <w:szCs w:val="24"/>
                <w:highlight w:val="yellow"/>
              </w:rPr>
            </w:pPr>
          </w:p>
        </w:tc>
        <w:tc>
          <w:tcPr>
            <w:tcW w:w="2070" w:type="dxa"/>
          </w:tcPr>
          <w:p>
            <w:pPr>
              <w:spacing w:line="440" w:lineRule="exact"/>
              <w:jc w:val="center"/>
              <w:rPr>
                <w:rFonts w:hint="default" w:ascii="Times New Roman" w:hAnsi="Times New Roman" w:cs="Times New Roman"/>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年底资产总值（万元）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年底负债总值（万元）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资产负债率（  %）</w:t>
            </w:r>
          </w:p>
        </w:tc>
        <w:tc>
          <w:tcPr>
            <w:tcW w:w="2406" w:type="dxa"/>
          </w:tcPr>
          <w:p>
            <w:pPr>
              <w:spacing w:line="440" w:lineRule="exact"/>
              <w:jc w:val="center"/>
              <w:rPr>
                <w:rFonts w:hint="default" w:ascii="Times New Roman" w:hAnsi="Times New Roman" w:cs="Times New Roman"/>
                <w:color w:val="000000"/>
                <w:sz w:val="24"/>
                <w:szCs w:val="24"/>
                <w:highlight w:val="yellow"/>
              </w:rPr>
            </w:pPr>
          </w:p>
        </w:tc>
        <w:tc>
          <w:tcPr>
            <w:tcW w:w="2291" w:type="dxa"/>
          </w:tcPr>
          <w:p>
            <w:pPr>
              <w:spacing w:line="440" w:lineRule="exact"/>
              <w:jc w:val="center"/>
              <w:rPr>
                <w:rFonts w:hint="default" w:ascii="Times New Roman" w:hAnsi="Times New Roman" w:cs="Times New Roman"/>
                <w:color w:val="000000"/>
                <w:sz w:val="24"/>
                <w:szCs w:val="24"/>
                <w:highlight w:val="yellow"/>
              </w:rPr>
            </w:pPr>
          </w:p>
        </w:tc>
        <w:tc>
          <w:tcPr>
            <w:tcW w:w="2070" w:type="dxa"/>
          </w:tcPr>
          <w:p>
            <w:pPr>
              <w:spacing w:line="440" w:lineRule="exact"/>
              <w:jc w:val="center"/>
              <w:rPr>
                <w:rFonts w:hint="default" w:ascii="Times New Roman" w:hAnsi="Times New Roman" w:cs="Times New Roman"/>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净利润（万元）</w:t>
            </w:r>
          </w:p>
        </w:tc>
        <w:tc>
          <w:tcPr>
            <w:tcW w:w="2406" w:type="dxa"/>
          </w:tcPr>
          <w:p>
            <w:pPr>
              <w:spacing w:line="440" w:lineRule="exact"/>
              <w:jc w:val="center"/>
              <w:rPr>
                <w:rFonts w:hint="default" w:ascii="Times New Roman" w:hAnsi="Times New Roman" w:cs="Times New Roman"/>
                <w:color w:val="000000"/>
                <w:sz w:val="24"/>
                <w:szCs w:val="24"/>
                <w:highlight w:val="yellow"/>
              </w:rPr>
            </w:pPr>
          </w:p>
        </w:tc>
        <w:tc>
          <w:tcPr>
            <w:tcW w:w="2291" w:type="dxa"/>
          </w:tcPr>
          <w:p>
            <w:pPr>
              <w:spacing w:line="440" w:lineRule="exact"/>
              <w:jc w:val="center"/>
              <w:rPr>
                <w:rFonts w:hint="default" w:ascii="Times New Roman" w:hAnsi="Times New Roman" w:cs="Times New Roman"/>
                <w:color w:val="000000"/>
                <w:sz w:val="24"/>
                <w:szCs w:val="24"/>
                <w:highlight w:val="yellow"/>
              </w:rPr>
            </w:pPr>
          </w:p>
        </w:tc>
        <w:tc>
          <w:tcPr>
            <w:tcW w:w="2070" w:type="dxa"/>
          </w:tcPr>
          <w:p>
            <w:pPr>
              <w:spacing w:line="440" w:lineRule="exact"/>
              <w:jc w:val="center"/>
              <w:rPr>
                <w:rFonts w:hint="default" w:ascii="Times New Roman" w:hAnsi="Times New Roman" w:cs="Times New Roman"/>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未分配利润（万元）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营运资金</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（本年营业收入-上年营业收入）÷上年营业收入</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bl>
    <w:p>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ind w:firstLine="240" w:firstLineChars="100"/>
        <w:rPr>
          <w:rFonts w:hint="default" w:ascii="Times New Roman" w:hAnsi="Times New Roman" w:eastAsia="宋体" w:cs="Times New Roman"/>
          <w:b/>
          <w:bCs/>
          <w:color w:val="000000"/>
          <w:sz w:val="28"/>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cs="Times New Roman"/>
        </w:rPr>
        <w:sectPr>
          <w:footerReference r:id="rId10" w:type="first"/>
          <w:footerReference r:id="rId9"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附件4 保密承诺函</w:t>
      </w:r>
    </w:p>
    <w:p>
      <w:pPr>
        <w:spacing w:line="240" w:lineRule="exact"/>
        <w:jc w:val="center"/>
        <w:rPr>
          <w:rFonts w:hint="default" w:ascii="Times New Roman" w:hAnsi="Times New Roman" w:eastAsia="宋体" w:cs="Times New Roman"/>
          <w:b/>
          <w:bCs/>
          <w:sz w:val="36"/>
          <w:szCs w:val="20"/>
        </w:rPr>
      </w:pPr>
    </w:p>
    <w:p>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cs="Times New Roman"/>
          <w:b w:val="0"/>
          <w:bCs w:val="0"/>
          <w:color w:val="000000"/>
          <w:sz w:val="24"/>
          <w:szCs w:val="24"/>
          <w:u w:val="single"/>
          <w:lang w:val="en-US" w:eastAsia="zh-CN"/>
        </w:rPr>
        <w:t>济南成型厂</w:t>
      </w:r>
      <w:r>
        <w:rPr>
          <w:rFonts w:hint="eastAsia" w:ascii="宋体" w:hAnsi="宋体" w:eastAsia="宋体" w:cs="宋体"/>
          <w:sz w:val="24"/>
          <w:highlight w:val="none"/>
          <w:u w:val="single"/>
        </w:rPr>
        <w:t>质量提升专项</w:t>
      </w:r>
      <w:r>
        <w:rPr>
          <w:rFonts w:hint="eastAsia" w:ascii="宋体" w:hAnsi="宋体" w:eastAsia="宋体" w:cs="宋体"/>
          <w:sz w:val="24"/>
          <w:szCs w:val="24"/>
          <w:u w:val="single"/>
          <w:lang w:val="en-US" w:eastAsia="zh-CN"/>
        </w:rPr>
        <w:t>铸造二部辅料间防爆行车更新</w:t>
      </w:r>
      <w:r>
        <w:rPr>
          <w:rFonts w:hint="eastAsia" w:ascii="宋体" w:hAnsi="宋体" w:cs="宋体"/>
          <w:sz w:val="24"/>
          <w:szCs w:val="24"/>
          <w:u w:val="single"/>
          <w:lang w:val="en-US" w:eastAsia="zh-CN"/>
        </w:rPr>
        <w:t>技改</w:t>
      </w:r>
      <w:r>
        <w:rPr>
          <w:rFonts w:hint="eastAsia" w:cs="Times New Roman"/>
          <w:b w:val="0"/>
          <w:bCs w:val="0"/>
          <w:color w:val="000000"/>
          <w:sz w:val="24"/>
          <w:szCs w:val="24"/>
          <w:u w:val="single"/>
          <w:lang w:val="en-US" w:eastAsia="zh-CN"/>
        </w:rPr>
        <w:t>项目</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highlight w:val="yellow"/>
          <w:u w:val="single"/>
        </w:rPr>
        <w:t>投标单位名称</w:t>
      </w:r>
      <w:r>
        <w:rPr>
          <w:rFonts w:hint="default" w:ascii="Times New Roman" w:hAnsi="Times New Roman" w:eastAsia="宋体" w:cs="Times New Roman"/>
          <w:sz w:val="24"/>
          <w:szCs w:val="20"/>
        </w:rPr>
        <w:t>）对招标人的商业秘密作如下承诺：</w:t>
      </w:r>
    </w:p>
    <w:p>
      <w:pPr>
        <w:spacing w:line="360" w:lineRule="auto"/>
        <w:ind w:left="479" w:leftChars="228"/>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pPr>
        <w:rPr>
          <w:rFonts w:hint="default" w:ascii="Times New Roman" w:hAnsi="Times New Roman" w:eastAsia="宋体" w:cs="Times New Roman"/>
          <w:b/>
          <w:bCs/>
          <w:color w:val="000000"/>
          <w:sz w:val="28"/>
          <w:szCs w:val="20"/>
        </w:rPr>
      </w:pPr>
    </w:p>
    <w:p>
      <w:pPr>
        <w:rPr>
          <w:rFonts w:hint="default" w:ascii="Times New Roman" w:hAnsi="Times New Roman" w:cs="Times New Roman"/>
        </w:rPr>
        <w:sectPr>
          <w:footerReference r:id="rId12" w:type="first"/>
          <w:footerReference r:id="rId11"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附件5 技术规格偏离表</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cs="Times New Roman"/>
          <w:b w:val="0"/>
          <w:bCs w:val="0"/>
          <w:color w:val="000000"/>
          <w:sz w:val="24"/>
          <w:szCs w:val="24"/>
          <w:u w:val="single"/>
          <w:lang w:val="en-US" w:eastAsia="zh-CN"/>
        </w:rPr>
        <w:t>济南成型厂</w:t>
      </w:r>
      <w:r>
        <w:rPr>
          <w:rFonts w:hint="eastAsia" w:ascii="宋体" w:hAnsi="宋体" w:eastAsia="宋体" w:cs="宋体"/>
          <w:sz w:val="24"/>
          <w:highlight w:val="none"/>
          <w:u w:val="single"/>
        </w:rPr>
        <w:t>质量提升专项</w:t>
      </w:r>
      <w:r>
        <w:rPr>
          <w:rFonts w:hint="eastAsia" w:ascii="宋体" w:hAnsi="宋体" w:eastAsia="宋体" w:cs="宋体"/>
          <w:sz w:val="24"/>
          <w:szCs w:val="24"/>
          <w:u w:val="single"/>
          <w:lang w:val="en-US" w:eastAsia="zh-CN"/>
        </w:rPr>
        <w:t>铸造二部辅料间防爆行车更新</w:t>
      </w:r>
      <w:r>
        <w:rPr>
          <w:rFonts w:hint="eastAsia" w:ascii="宋体" w:hAnsi="宋体" w:cs="宋体"/>
          <w:sz w:val="24"/>
          <w:szCs w:val="24"/>
          <w:u w:val="single"/>
          <w:lang w:val="en-US" w:eastAsia="zh-CN"/>
        </w:rPr>
        <w:t>技改</w:t>
      </w:r>
      <w:r>
        <w:rPr>
          <w:rFonts w:hint="eastAsia" w:cs="Times New Roman"/>
          <w:b w:val="0"/>
          <w:bCs w:val="0"/>
          <w:color w:val="000000"/>
          <w:sz w:val="24"/>
          <w:szCs w:val="24"/>
          <w:u w:val="single"/>
          <w:lang w:val="en-US" w:eastAsia="zh-CN"/>
        </w:rPr>
        <w:t>项目</w:t>
      </w:r>
      <w:r>
        <w:rPr>
          <w:rFonts w:hint="default" w:ascii="Times New Roman" w:hAnsi="Times New Roman" w:eastAsia="宋体" w:cs="Times New Roman"/>
          <w:color w:val="000000"/>
          <w:sz w:val="24"/>
          <w:szCs w:val="24"/>
        </w:rPr>
        <w:t xml:space="preserve"> </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序号</w:t>
            </w:r>
          </w:p>
        </w:tc>
        <w:tc>
          <w:tcPr>
            <w:tcW w:w="3449"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招标要求</w:t>
            </w:r>
          </w:p>
        </w:tc>
        <w:tc>
          <w:tcPr>
            <w:tcW w:w="2414"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08"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bl>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pStyle w:val="2"/>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附件6 202</w:t>
      </w:r>
      <w:r>
        <w:rPr>
          <w:rFonts w:hint="eastAsia" w:cs="Times New Roman"/>
          <w:b/>
          <w:bCs/>
          <w:color w:val="000000"/>
          <w:sz w:val="24"/>
          <w:szCs w:val="24"/>
          <w:lang w:val="en-US" w:eastAsia="zh-CN"/>
        </w:rPr>
        <w:t>3</w:t>
      </w:r>
      <w:r>
        <w:rPr>
          <w:rFonts w:hint="default" w:ascii="Times New Roman" w:hAnsi="Times New Roman" w:eastAsia="宋体" w:cs="Times New Roman"/>
          <w:b/>
          <w:bCs/>
          <w:color w:val="000000"/>
          <w:sz w:val="24"/>
          <w:szCs w:val="24"/>
        </w:rPr>
        <w:t>年1月1日以来同类项目业绩一览表</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cs="Times New Roman"/>
          <w:b w:val="0"/>
          <w:bCs w:val="0"/>
          <w:color w:val="000000"/>
          <w:sz w:val="24"/>
          <w:szCs w:val="24"/>
          <w:u w:val="single"/>
          <w:lang w:val="en-US" w:eastAsia="zh-CN"/>
        </w:rPr>
        <w:t>济南成型厂</w:t>
      </w:r>
      <w:r>
        <w:rPr>
          <w:rFonts w:hint="eastAsia" w:ascii="宋体" w:hAnsi="宋体" w:eastAsia="宋体" w:cs="宋体"/>
          <w:sz w:val="24"/>
          <w:highlight w:val="none"/>
          <w:u w:val="single"/>
        </w:rPr>
        <w:t>质量提升专项</w:t>
      </w:r>
      <w:r>
        <w:rPr>
          <w:rFonts w:hint="eastAsia" w:ascii="宋体" w:hAnsi="宋体" w:eastAsia="宋体" w:cs="宋体"/>
          <w:sz w:val="24"/>
          <w:szCs w:val="24"/>
          <w:u w:val="single"/>
          <w:lang w:val="en-US" w:eastAsia="zh-CN"/>
        </w:rPr>
        <w:t>铸造二部辅料间防爆行车更新</w:t>
      </w:r>
      <w:r>
        <w:rPr>
          <w:rFonts w:hint="eastAsia" w:ascii="宋体" w:hAnsi="宋体" w:cs="宋体"/>
          <w:sz w:val="24"/>
          <w:szCs w:val="24"/>
          <w:u w:val="single"/>
          <w:lang w:val="en-US" w:eastAsia="zh-CN"/>
        </w:rPr>
        <w:t>技改</w:t>
      </w:r>
      <w:r>
        <w:rPr>
          <w:rFonts w:hint="eastAsia" w:cs="Times New Roman"/>
          <w:b w:val="0"/>
          <w:bCs w:val="0"/>
          <w:color w:val="000000"/>
          <w:sz w:val="24"/>
          <w:szCs w:val="24"/>
          <w:u w:val="single"/>
          <w:lang w:val="en-US" w:eastAsia="zh-CN"/>
        </w:rPr>
        <w:t>项目</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2082"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采购单位</w:t>
            </w:r>
          </w:p>
        </w:tc>
        <w:tc>
          <w:tcPr>
            <w:tcW w:w="1355"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项目名称</w:t>
            </w:r>
          </w:p>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（万元）</w:t>
            </w:r>
          </w:p>
        </w:tc>
        <w:tc>
          <w:tcPr>
            <w:tcW w:w="826" w:type="dxa"/>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数量</w:t>
            </w:r>
          </w:p>
        </w:tc>
        <w:tc>
          <w:tcPr>
            <w:tcW w:w="1320" w:type="dxa"/>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合同金额</w:t>
            </w:r>
          </w:p>
        </w:tc>
        <w:tc>
          <w:tcPr>
            <w:tcW w:w="1023" w:type="dxa"/>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合同签订时间</w:t>
            </w:r>
          </w:p>
        </w:tc>
        <w:tc>
          <w:tcPr>
            <w:tcW w:w="1590"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联系人及</w:t>
            </w:r>
          </w:p>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hint="default" w:ascii="Times New Roman" w:hAnsi="Times New Roman" w:eastAsia="宋体" w:cs="Times New Roman"/>
                <w:b/>
                <w:szCs w:val="20"/>
              </w:rPr>
            </w:pPr>
            <w:r>
              <w:rPr>
                <w:rFonts w:hint="default" w:ascii="Times New Roman" w:hAnsi="Times New Roman" w:eastAsia="宋体" w:cs="Times New Roman"/>
                <w:b/>
                <w:szCs w:val="20"/>
              </w:rPr>
              <w:t>202</w:t>
            </w:r>
            <w:r>
              <w:rPr>
                <w:rFonts w:hint="eastAsia" w:cs="Times New Roman"/>
                <w:b/>
                <w:szCs w:val="20"/>
                <w:lang w:val="en-US" w:eastAsia="zh-CN"/>
              </w:rPr>
              <w:t>3</w:t>
            </w:r>
            <w:r>
              <w:rPr>
                <w:rFonts w:hint="default" w:ascii="Times New Roman" w:hAnsi="Times New Roman" w:eastAsia="宋体" w:cs="Times New Roman"/>
                <w:b/>
                <w:szCs w:val="20"/>
              </w:rPr>
              <w:t>年1月1日至今所有业绩合同总额汇总（必填）</w:t>
            </w: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bl>
    <w:p>
      <w:pPr>
        <w:spacing w:line="240" w:lineRule="atLeas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注：</w:t>
      </w:r>
      <w:r>
        <w:rPr>
          <w:rFonts w:hint="default" w:ascii="Times New Roman" w:hAnsi="Times New Roman" w:eastAsia="宋体" w:cs="Times New Roman"/>
          <w:kern w:val="0"/>
          <w:sz w:val="24"/>
          <w:szCs w:val="20"/>
        </w:rPr>
        <w:t>提供202</w:t>
      </w:r>
      <w:r>
        <w:rPr>
          <w:rFonts w:hint="eastAsia" w:ascii="Times New Roman" w:hAnsi="Times New Roman" w:eastAsia="宋体" w:cs="Times New Roman"/>
          <w:kern w:val="0"/>
          <w:sz w:val="24"/>
          <w:szCs w:val="20"/>
          <w:lang w:val="en-US" w:eastAsia="zh-CN"/>
        </w:rPr>
        <w:t>2</w:t>
      </w:r>
      <w:r>
        <w:rPr>
          <w:rFonts w:hint="default" w:ascii="Times New Roman" w:hAnsi="Times New Roman" w:eastAsia="宋体" w:cs="Times New Roman"/>
          <w:kern w:val="0"/>
          <w:sz w:val="24"/>
          <w:szCs w:val="20"/>
        </w:rPr>
        <w:t>年1月1日以来同类产品的制造销售业绩（用户名单、联系方式）</w:t>
      </w:r>
      <w:r>
        <w:rPr>
          <w:rFonts w:hint="default" w:ascii="Times New Roman" w:hAnsi="Times New Roman" w:eastAsia="宋体" w:cs="Times New Roman"/>
          <w:sz w:val="24"/>
          <w:szCs w:val="20"/>
        </w:rPr>
        <w:t>，并附合同复印件。</w:t>
      </w:r>
      <w:r>
        <w:rPr>
          <w:rFonts w:hint="default" w:ascii="Times New Roman" w:hAnsi="Times New Roman" w:eastAsia="宋体" w:cs="Times New Roman"/>
          <w:kern w:val="0"/>
          <w:sz w:val="24"/>
          <w:szCs w:val="20"/>
        </w:rPr>
        <w:t>该同类项目业绩一览表</w:t>
      </w:r>
      <w:r>
        <w:rPr>
          <w:rFonts w:hint="default" w:ascii="Times New Roman" w:hAnsi="Times New Roman" w:eastAsia="宋体" w:cs="Times New Roman"/>
          <w:b/>
          <w:bCs/>
          <w:kern w:val="0"/>
          <w:sz w:val="24"/>
          <w:szCs w:val="20"/>
        </w:rPr>
        <w:t>必须如实填写，应全尽全</w:t>
      </w:r>
      <w:r>
        <w:rPr>
          <w:rFonts w:hint="default" w:ascii="Times New Roman" w:hAnsi="Times New Roman" w:eastAsia="宋体" w:cs="Times New Roman"/>
          <w:kern w:val="0"/>
          <w:sz w:val="24"/>
          <w:szCs w:val="20"/>
        </w:rPr>
        <w:t>；一览表最终的所有业绩</w:t>
      </w:r>
      <w:r>
        <w:rPr>
          <w:rFonts w:hint="default" w:ascii="Times New Roman" w:hAnsi="Times New Roman" w:eastAsia="宋体" w:cs="Times New Roman"/>
          <w:b/>
          <w:bCs/>
          <w:kern w:val="0"/>
          <w:sz w:val="24"/>
          <w:szCs w:val="20"/>
        </w:rPr>
        <w:t>合同总额汇总必填</w:t>
      </w:r>
      <w:r>
        <w:rPr>
          <w:rFonts w:hint="default" w:ascii="Times New Roman" w:hAnsi="Times New Roman" w:eastAsia="宋体" w:cs="Times New Roman"/>
          <w:kern w:val="0"/>
          <w:sz w:val="24"/>
          <w:szCs w:val="20"/>
        </w:rPr>
        <w:t>，此项很重要，数据将影响现场评标专家组对投标单位的业绩考评。若未提供相应业绩证明，根据技术标评分规则，将影响现场评标专家组对投标单位业绩判定打分</w:t>
      </w:r>
      <w:r>
        <w:rPr>
          <w:rFonts w:hint="default" w:ascii="Times New Roman" w:hAnsi="Times New Roman" w:eastAsia="宋体" w:cs="Times New Roman"/>
          <w:sz w:val="24"/>
          <w:szCs w:val="20"/>
        </w:rPr>
        <w:t>。</w:t>
      </w:r>
    </w:p>
    <w:p>
      <w:pPr>
        <w:tabs>
          <w:tab w:val="left" w:pos="1578"/>
          <w:tab w:val="left" w:pos="10083"/>
        </w:tabs>
        <w:spacing w:line="500" w:lineRule="exact"/>
        <w:rPr>
          <w:rFonts w:hint="default" w:ascii="Times New Roman" w:hAnsi="Times New Roman" w:eastAsia="宋体" w:cs="Times New Roman"/>
          <w:sz w:val="24"/>
          <w:szCs w:val="20"/>
        </w:rPr>
      </w:pP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eastAsia="宋体" w:cs="Times New Roman"/>
          <w:sz w:val="24"/>
          <w:szCs w:val="20"/>
        </w:rPr>
      </w:pPr>
      <w:r>
        <w:rPr>
          <w:rFonts w:hint="default" w:ascii="Times New Roman" w:hAnsi="Times New Roman" w:eastAsia="宋体" w:cs="Times New Roman"/>
          <w:sz w:val="24"/>
          <w:szCs w:val="20"/>
        </w:rPr>
        <w:br w:type="page"/>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附件7 设备质量承诺函</w:t>
      </w:r>
    </w:p>
    <w:p>
      <w:pPr>
        <w:spacing w:line="240" w:lineRule="exact"/>
        <w:rPr>
          <w:rFonts w:hint="default" w:ascii="Times New Roman" w:hAnsi="Times New Roman" w:eastAsia="宋体" w:cs="Times New Roman"/>
          <w:szCs w:val="20"/>
        </w:rPr>
      </w:pPr>
      <w:r>
        <w:rPr>
          <w:rFonts w:hint="default" w:ascii="Times New Roman" w:hAnsi="Times New Roman" w:eastAsia="宋体" w:cs="Times New Roman"/>
          <w:szCs w:val="20"/>
        </w:rPr>
        <w:t xml:space="preserve">                                               </w:t>
      </w:r>
    </w:p>
    <w:p>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 xml:space="preserve">项目名称: </w:t>
      </w:r>
      <w:r>
        <w:rPr>
          <w:rFonts w:hint="default" w:ascii="Times New Roman" w:hAnsi="Times New Roman" w:eastAsia="宋体" w:cs="Times New Roman"/>
          <w:b w:val="0"/>
          <w:bCs w:val="0"/>
          <w:sz w:val="24"/>
          <w:szCs w:val="20"/>
          <w:u w:val="single"/>
        </w:rPr>
        <w:t xml:space="preserve"> </w:t>
      </w:r>
      <w:r>
        <w:rPr>
          <w:rFonts w:hint="eastAsia" w:cs="Times New Roman"/>
          <w:b w:val="0"/>
          <w:bCs w:val="0"/>
          <w:color w:val="000000"/>
          <w:sz w:val="24"/>
          <w:szCs w:val="24"/>
          <w:u w:val="single"/>
          <w:lang w:val="en-US" w:eastAsia="zh-CN"/>
        </w:rPr>
        <w:t>济南成型厂</w:t>
      </w:r>
      <w:r>
        <w:rPr>
          <w:rFonts w:hint="eastAsia" w:ascii="宋体" w:hAnsi="宋体" w:eastAsia="宋体" w:cs="宋体"/>
          <w:sz w:val="24"/>
          <w:highlight w:val="none"/>
          <w:u w:val="single"/>
        </w:rPr>
        <w:t>质量提升专项</w:t>
      </w:r>
      <w:r>
        <w:rPr>
          <w:rFonts w:hint="eastAsia" w:ascii="宋体" w:hAnsi="宋体" w:eastAsia="宋体" w:cs="宋体"/>
          <w:sz w:val="24"/>
          <w:szCs w:val="24"/>
          <w:u w:val="single"/>
          <w:lang w:val="en-US" w:eastAsia="zh-CN"/>
        </w:rPr>
        <w:t>铸造二部辅料间防爆行车更新</w:t>
      </w:r>
      <w:r>
        <w:rPr>
          <w:rFonts w:hint="eastAsia" w:ascii="宋体" w:hAnsi="宋体" w:cs="宋体"/>
          <w:sz w:val="24"/>
          <w:szCs w:val="24"/>
          <w:u w:val="single"/>
          <w:lang w:val="en-US" w:eastAsia="zh-CN"/>
        </w:rPr>
        <w:t>技改</w:t>
      </w:r>
      <w:r>
        <w:rPr>
          <w:rFonts w:hint="eastAsia" w:cs="Times New Roman"/>
          <w:b w:val="0"/>
          <w:bCs w:val="0"/>
          <w:color w:val="000000"/>
          <w:sz w:val="24"/>
          <w:szCs w:val="24"/>
          <w:u w:val="single"/>
          <w:lang w:val="en-US" w:eastAsia="zh-CN"/>
        </w:rPr>
        <w:t>项目</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pPr>
        <w:spacing w:line="36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我代表(投标单位名称)为保证中标产品的质量特作如下承诺：</w:t>
      </w: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eastAsia="宋体" w:cs="Times New Roman"/>
          <w:b/>
          <w:bCs/>
          <w:color w:val="000000"/>
          <w:sz w:val="28"/>
          <w:szCs w:val="20"/>
        </w:rPr>
      </w:pPr>
    </w:p>
    <w:p>
      <w:pPr>
        <w:rPr>
          <w:rFonts w:hint="default" w:ascii="Times New Roman" w:hAnsi="Times New Roman" w:cs="Times New Roman"/>
        </w:rPr>
        <w:sectPr>
          <w:footerReference r:id="rId14" w:type="first"/>
          <w:footerReference r:id="rId13"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项目名称：</w:t>
      </w:r>
      <w:r>
        <w:rPr>
          <w:rFonts w:hint="eastAsia" w:cs="Times New Roman"/>
          <w:b w:val="0"/>
          <w:bCs w:val="0"/>
          <w:color w:val="000000"/>
          <w:sz w:val="24"/>
          <w:szCs w:val="24"/>
          <w:u w:val="single"/>
          <w:lang w:val="en-US" w:eastAsia="zh-CN"/>
        </w:rPr>
        <w:t>济南成型厂</w:t>
      </w:r>
      <w:r>
        <w:rPr>
          <w:rFonts w:hint="eastAsia" w:ascii="宋体" w:hAnsi="宋体" w:eastAsia="宋体" w:cs="宋体"/>
          <w:sz w:val="24"/>
          <w:highlight w:val="none"/>
          <w:u w:val="single"/>
        </w:rPr>
        <w:t>质量提升专项</w:t>
      </w:r>
      <w:r>
        <w:rPr>
          <w:rFonts w:hint="eastAsia" w:ascii="宋体" w:hAnsi="宋体" w:eastAsia="宋体" w:cs="宋体"/>
          <w:sz w:val="24"/>
          <w:szCs w:val="24"/>
          <w:u w:val="single"/>
          <w:lang w:val="en-US" w:eastAsia="zh-CN"/>
        </w:rPr>
        <w:t>铸造二部辅料间防爆行车更新</w:t>
      </w:r>
      <w:r>
        <w:rPr>
          <w:rFonts w:hint="eastAsia" w:ascii="宋体" w:hAnsi="宋体" w:cs="宋体"/>
          <w:sz w:val="24"/>
          <w:szCs w:val="24"/>
          <w:u w:val="single"/>
          <w:lang w:val="en-US" w:eastAsia="zh-CN"/>
        </w:rPr>
        <w:t>技改</w:t>
      </w:r>
      <w:r>
        <w:rPr>
          <w:rFonts w:hint="eastAsia" w:cs="Times New Roman"/>
          <w:b w:val="0"/>
          <w:bCs w:val="0"/>
          <w:color w:val="000000"/>
          <w:sz w:val="24"/>
          <w:szCs w:val="24"/>
          <w:u w:val="single"/>
          <w:lang w:val="en-US" w:eastAsia="zh-CN"/>
        </w:rPr>
        <w:t>项目</w:t>
      </w:r>
      <w:r>
        <w:rPr>
          <w:rFonts w:ascii="宋体" w:hAnsi="宋体" w:eastAsia="宋体" w:cs="Times New Roman"/>
          <w:color w:val="000000"/>
          <w:sz w:val="24"/>
          <w:szCs w:val="24"/>
          <w:highlight w:val="none"/>
        </w:rPr>
        <w:t xml:space="preserve">  </w:t>
      </w:r>
      <w:r>
        <w:rPr>
          <w:rFonts w:ascii="宋体" w:hAnsi="宋体" w:eastAsia="宋体" w:cs="Times New Roman"/>
          <w:color w:val="000000"/>
          <w:sz w:val="24"/>
          <w:szCs w:val="24"/>
        </w:rPr>
        <w:t xml:space="preserve">                                                </w:t>
      </w:r>
    </w:p>
    <w:tbl>
      <w:tblPr>
        <w:tblStyle w:val="4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eastAsia" w:ascii="Times New Roman" w:hAnsi="Times New Roman" w:eastAsia="宋体" w:cs="Times New Roman"/>
                <w:b/>
                <w:szCs w:val="20"/>
                <w:lang w:eastAsia="zh-CN"/>
              </w:rPr>
            </w:pPr>
            <w:r>
              <w:rPr>
                <w:rFonts w:hint="eastAsia" w:ascii="Times New Roman" w:hAnsi="Times New Roman" w:eastAsia="宋体" w:cs="Times New Roman"/>
                <w:b/>
                <w:szCs w:val="20"/>
                <w:lang w:eastAsia="zh-CN"/>
              </w:rPr>
              <w:t>济南成型厂质量提升专项铸造二部辅料间防爆行车更新技改项目</w:t>
            </w:r>
          </w:p>
        </w:tc>
        <w:tc>
          <w:tcPr>
            <w:tcW w:w="848" w:type="dxa"/>
            <w:vAlign w:val="center"/>
          </w:tcPr>
          <w:p>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2270" w:type="dxa"/>
            <w:vAlign w:val="center"/>
          </w:tcPr>
          <w:p>
            <w:pPr>
              <w:jc w:val="center"/>
              <w:rPr>
                <w:rFonts w:ascii="等线" w:hAnsi="等线" w:eastAsia="等线" w:cs="Times New Roman"/>
                <w:b/>
                <w:szCs w:val="20"/>
              </w:rPr>
            </w:pPr>
            <w:r>
              <w:rPr>
                <w:rFonts w:hint="eastAsia" w:ascii="等线" w:hAnsi="等线" w:eastAsia="等线" w:cs="Times New Roman"/>
                <w:b/>
                <w:szCs w:val="20"/>
              </w:rPr>
              <w:t>不含税价：</w:t>
            </w:r>
          </w:p>
          <w:p>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numPr>
          <w:ilvl w:val="0"/>
          <w:numId w:val="11"/>
        </w:numPr>
        <w:spacing w:line="520" w:lineRule="exact"/>
        <w:rPr>
          <w:rFonts w:hint="eastAsia" w:ascii="宋体" w:hAnsi="宋体" w:eastAsia="宋体" w:cs="Times New Roman"/>
          <w:b/>
          <w:bCs/>
          <w:szCs w:val="21"/>
        </w:rPr>
      </w:pPr>
      <w:r>
        <w:rPr>
          <w:rFonts w:hint="eastAsia" w:ascii="宋体" w:hAnsi="宋体" w:eastAsia="宋体" w:cs="Times New Roman"/>
          <w:b/>
          <w:bCs/>
          <w:szCs w:val="21"/>
        </w:rPr>
        <w:t>此表中的报价必须与相应的报价明细表中的报价一致。</w:t>
      </w:r>
    </w:p>
    <w:p>
      <w:pPr>
        <w:numPr>
          <w:ilvl w:val="0"/>
          <w:numId w:val="11"/>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rPr>
        <w:t>需写明含税价、不含税价格、税率。</w:t>
      </w:r>
    </w:p>
    <w:p>
      <w:pPr>
        <w:numPr>
          <w:ilvl w:val="0"/>
          <w:numId w:val="11"/>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投标总价大写为必填项，如发生大小写不一致，以大写为准。</w:t>
      </w:r>
    </w:p>
    <w:p>
      <w:pPr>
        <w:numPr>
          <w:ilvl w:val="0"/>
          <w:numId w:val="11"/>
        </w:num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投标总价包括全部（全新）产品价、表面处理费用、运杂费（包括现场卸车费）、设计、制造、安装、调试（含现场调试）、包装运输费、验收、技术及售后服务费、技术资料费、备品备件费等所有费用的总和。</w:t>
      </w:r>
    </w:p>
    <w:p>
      <w:pPr>
        <w:pStyle w:val="2"/>
        <w:rPr>
          <w:rFonts w:hAnsi="宋体" w:eastAsia="宋体" w:cs="Times New Roman"/>
          <w:b/>
          <w:bCs/>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pStyle w:val="2"/>
        <w:rPr>
          <w:rFonts w:hint="eastAsia" w:ascii="宋体" w:hAnsi="宋体" w:eastAsia="宋体" w:cs="Times New Roman"/>
          <w:sz w:val="24"/>
          <w:szCs w:val="20"/>
        </w:rPr>
        <w:sectPr>
          <w:pgSz w:w="11906" w:h="16838"/>
          <w:pgMar w:top="1588" w:right="1418" w:bottom="1134" w:left="1418" w:header="851" w:footer="992" w:gutter="0"/>
          <w:cols w:space="720" w:num="1"/>
          <w:titlePg/>
          <w:docGrid w:type="lines" w:linePitch="312" w:charSpace="0"/>
        </w:sectPr>
      </w:pPr>
    </w:p>
    <w:p>
      <w:pPr>
        <w:pStyle w:val="5"/>
        <w:spacing w:after="0" w:line="240" w:lineRule="auto"/>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2"/>
        <w:jc w:val="center"/>
        <w:rPr>
          <w:rFonts w:hint="eastAsia" w:ascii="宋体" w:hAnsi="宋体" w:eastAsia="宋体" w:cs="Times New Roman"/>
          <w:sz w:val="24"/>
          <w:szCs w:val="20"/>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tbl>
      <w:tblPr>
        <w:tblStyle w:val="48"/>
        <w:tblW w:w="53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401"/>
        <w:gridCol w:w="1443"/>
        <w:gridCol w:w="823"/>
        <w:gridCol w:w="811"/>
        <w:gridCol w:w="1488"/>
        <w:gridCol w:w="1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486" w:type="pct"/>
            <w:vAlign w:val="center"/>
          </w:tcPr>
          <w:p>
            <w:pPr>
              <w:pStyle w:val="20"/>
              <w:bidi w:val="0"/>
              <w:jc w:val="center"/>
              <w:rPr>
                <w:rFonts w:hint="eastAsia"/>
                <w:highlight w:val="none"/>
              </w:rPr>
            </w:pPr>
            <w:r>
              <w:rPr>
                <w:rFonts w:hint="eastAsia"/>
                <w:highlight w:val="none"/>
              </w:rPr>
              <w:t>序号</w:t>
            </w:r>
          </w:p>
        </w:tc>
        <w:tc>
          <w:tcPr>
            <w:tcW w:w="1217" w:type="pct"/>
            <w:vAlign w:val="center"/>
          </w:tcPr>
          <w:p>
            <w:pPr>
              <w:pStyle w:val="20"/>
              <w:bidi w:val="0"/>
              <w:jc w:val="center"/>
              <w:rPr>
                <w:rFonts w:hint="eastAsia"/>
                <w:highlight w:val="none"/>
              </w:rPr>
            </w:pPr>
            <w:r>
              <w:rPr>
                <w:rFonts w:hint="eastAsia"/>
                <w:highlight w:val="none"/>
              </w:rPr>
              <w:t>名称</w:t>
            </w:r>
          </w:p>
        </w:tc>
        <w:tc>
          <w:tcPr>
            <w:tcW w:w="731" w:type="pct"/>
            <w:vAlign w:val="center"/>
          </w:tcPr>
          <w:p>
            <w:pPr>
              <w:pStyle w:val="20"/>
              <w:bidi w:val="0"/>
              <w:jc w:val="center"/>
              <w:rPr>
                <w:rFonts w:hint="default"/>
                <w:highlight w:val="none"/>
                <w:lang w:val="en-US" w:eastAsia="zh-CN"/>
              </w:rPr>
            </w:pPr>
            <w:r>
              <w:rPr>
                <w:rFonts w:hint="eastAsia"/>
                <w:highlight w:val="none"/>
                <w:lang w:val="en-US" w:eastAsia="zh-CN"/>
              </w:rPr>
              <w:t>未税单价（元）</w:t>
            </w:r>
          </w:p>
        </w:tc>
        <w:tc>
          <w:tcPr>
            <w:tcW w:w="417" w:type="pct"/>
            <w:vAlign w:val="center"/>
          </w:tcPr>
          <w:p>
            <w:pPr>
              <w:pStyle w:val="20"/>
              <w:bidi w:val="0"/>
              <w:jc w:val="center"/>
              <w:rPr>
                <w:rFonts w:hint="eastAsia"/>
                <w:highlight w:val="none"/>
              </w:rPr>
            </w:pPr>
            <w:r>
              <w:rPr>
                <w:rFonts w:hint="eastAsia"/>
                <w:highlight w:val="none"/>
              </w:rPr>
              <w:t>单位</w:t>
            </w:r>
          </w:p>
        </w:tc>
        <w:tc>
          <w:tcPr>
            <w:tcW w:w="411" w:type="pct"/>
            <w:vAlign w:val="center"/>
          </w:tcPr>
          <w:p>
            <w:pPr>
              <w:pStyle w:val="20"/>
              <w:bidi w:val="0"/>
              <w:jc w:val="center"/>
              <w:rPr>
                <w:rFonts w:hint="eastAsia"/>
                <w:highlight w:val="none"/>
              </w:rPr>
            </w:pPr>
            <w:r>
              <w:rPr>
                <w:rFonts w:hint="eastAsia"/>
                <w:highlight w:val="none"/>
              </w:rPr>
              <w:t>数量</w:t>
            </w:r>
          </w:p>
        </w:tc>
        <w:tc>
          <w:tcPr>
            <w:tcW w:w="754" w:type="pct"/>
            <w:vAlign w:val="center"/>
          </w:tcPr>
          <w:p>
            <w:pPr>
              <w:pStyle w:val="20"/>
              <w:bidi w:val="0"/>
              <w:jc w:val="center"/>
              <w:rPr>
                <w:rFonts w:hint="eastAsia"/>
                <w:highlight w:val="none"/>
              </w:rPr>
            </w:pPr>
            <w:r>
              <w:rPr>
                <w:rFonts w:hint="eastAsia"/>
                <w:highlight w:val="none"/>
                <w:lang w:val="en-US" w:eastAsia="zh-CN"/>
              </w:rPr>
              <w:t>未税总价（元）</w:t>
            </w:r>
          </w:p>
        </w:tc>
        <w:tc>
          <w:tcPr>
            <w:tcW w:w="981" w:type="pct"/>
            <w:vAlign w:val="center"/>
          </w:tcPr>
          <w:p>
            <w:pPr>
              <w:pStyle w:val="20"/>
              <w:bidi w:val="0"/>
              <w:jc w:val="center"/>
              <w:rPr>
                <w:rFonts w:hint="eastAsia"/>
                <w:highlight w:val="none"/>
              </w:rPr>
            </w:pPr>
            <w:r>
              <w:rPr>
                <w:rFonts w:hint="eastAsia"/>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投标方认为必须配备的其他内容</w:t>
            </w: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35" w:type="pct"/>
            <w:gridSpan w:val="3"/>
            <w:vAlign w:val="center"/>
          </w:tcPr>
          <w:p>
            <w:pPr>
              <w:widowControl/>
              <w:spacing w:line="0" w:lineRule="atLeast"/>
              <w:jc w:val="center"/>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未税合计</w:t>
            </w:r>
          </w:p>
        </w:tc>
        <w:tc>
          <w:tcPr>
            <w:tcW w:w="2564" w:type="pct"/>
            <w:gridSpan w:val="4"/>
            <w:tcBorders>
              <w:top w:val="single" w:color="auto" w:sz="4" w:space="0"/>
            </w:tcBorders>
            <w:vAlign w:val="center"/>
          </w:tcPr>
          <w:p>
            <w:pPr>
              <w:spacing w:line="360" w:lineRule="exact"/>
              <w:jc w:val="center"/>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435" w:type="pct"/>
            <w:gridSpan w:val="3"/>
            <w:vAlign w:val="center"/>
          </w:tcPr>
          <w:p>
            <w:pPr>
              <w:widowControl/>
              <w:spacing w:line="0" w:lineRule="atLeast"/>
              <w:jc w:val="center"/>
              <w:textAlignment w:val="cente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含税合计（税率</w:t>
            </w:r>
            <w:r>
              <w:rPr>
                <w:rFonts w:hint="eastAsia" w:asciiTheme="minorEastAsia" w:hAnsiTheme="minorEastAsia" w:eastAsiaTheme="minorEastAsia" w:cstheme="minorEastAsia"/>
                <w:sz w:val="24"/>
                <w:szCs w:val="24"/>
                <w:highlight w:val="none"/>
                <w:u w:val="single"/>
                <w:lang w:val="en-US" w:eastAsia="zh-CN"/>
              </w:rPr>
              <w:t xml:space="preserve">  </w:t>
            </w:r>
            <w:r>
              <w:rPr>
                <w:rFonts w:hint="eastAsia" w:asciiTheme="minorEastAsia" w:hAnsiTheme="minorEastAsia" w:eastAsiaTheme="minorEastAsia" w:cstheme="minorEastAsia"/>
                <w:sz w:val="24"/>
                <w:szCs w:val="24"/>
                <w:highlight w:val="none"/>
                <w:lang w:val="en-US" w:eastAsia="zh-CN"/>
              </w:rPr>
              <w:t>%）</w:t>
            </w:r>
          </w:p>
        </w:tc>
        <w:tc>
          <w:tcPr>
            <w:tcW w:w="2564" w:type="pct"/>
            <w:gridSpan w:val="4"/>
            <w:tcBorders>
              <w:top w:val="single" w:color="auto" w:sz="4" w:space="0"/>
            </w:tcBorders>
            <w:vAlign w:val="center"/>
          </w:tcPr>
          <w:p>
            <w:pPr>
              <w:spacing w:line="360" w:lineRule="exact"/>
              <w:jc w:val="center"/>
              <w:rPr>
                <w:rFonts w:hint="eastAsia" w:asciiTheme="minorEastAsia" w:hAnsiTheme="minorEastAsia" w:eastAsiaTheme="minorEastAsia" w:cstheme="minorEastAsia"/>
                <w:sz w:val="24"/>
                <w:szCs w:val="24"/>
                <w:highlight w:val="none"/>
              </w:rPr>
            </w:pPr>
          </w:p>
        </w:tc>
      </w:tr>
    </w:tbl>
    <w:p>
      <w:pPr>
        <w:spacing w:before="58" w:line="219" w:lineRule="auto"/>
        <w:ind w:left="8"/>
        <w:rPr>
          <w:rFonts w:ascii="宋体" w:hAnsi="宋体" w:eastAsia="宋体" w:cs="宋体"/>
          <w:spacing w:val="-8"/>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1.以上是各单体设备分项报价应包括的内容， 但不限于此，表中“总价合计”构成主机价格的一部分。</w:t>
      </w:r>
    </w:p>
    <w:p>
      <w:pPr>
        <w:spacing w:before="58" w:line="219" w:lineRule="auto"/>
        <w:ind w:left="8"/>
        <w:rPr>
          <w:rFonts w:ascii="宋体" w:hAnsi="宋体" w:eastAsia="宋体" w:cs="宋体"/>
          <w:spacing w:val="-8"/>
          <w:szCs w:val="21"/>
        </w:rPr>
      </w:pPr>
      <w:r>
        <w:rPr>
          <w:rFonts w:ascii="宋体" w:hAnsi="宋体" w:eastAsia="宋体" w:cs="宋体"/>
          <w:spacing w:val="-8"/>
          <w:szCs w:val="21"/>
        </w:rPr>
        <w:t>2.如果按单价计算的结果与总价不一致，以单价为准修正总价。</w:t>
      </w:r>
    </w:p>
    <w:p>
      <w:pPr>
        <w:spacing w:before="58" w:line="219" w:lineRule="auto"/>
        <w:ind w:left="8"/>
        <w:rPr>
          <w:rFonts w:ascii="宋体" w:hAnsi="宋体" w:eastAsia="宋体" w:cs="宋体"/>
          <w:spacing w:val="-8"/>
          <w:szCs w:val="21"/>
        </w:rPr>
      </w:pPr>
      <w:r>
        <w:rPr>
          <w:rFonts w:ascii="宋体" w:hAnsi="宋体" w:eastAsia="宋体" w:cs="宋体"/>
          <w:spacing w:val="-8"/>
          <w:szCs w:val="21"/>
        </w:rPr>
        <w:t>3.此分项报价，仅是为了方便招标人对投标文件进行分析比较，不作为限制订立合同的条件。</w:t>
      </w:r>
    </w:p>
    <w:p>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4.如上表中的有关费用投标人免费提供，请注明“免费”字样。</w:t>
      </w:r>
    </w:p>
    <w:p>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5.该明细表所有信息均为必填项，不得删减，价格部分不得合并，可细化可增加。</w:t>
      </w:r>
    </w:p>
    <w:p>
      <w:pPr>
        <w:spacing w:before="58" w:line="219" w:lineRule="auto"/>
        <w:ind w:left="8"/>
        <w:rPr>
          <w:rFonts w:hint="eastAsia" w:ascii="宋体" w:hAnsi="宋体" w:eastAsia="宋体" w:cs="宋体"/>
          <w:spacing w:val="-8"/>
          <w:szCs w:val="21"/>
        </w:rPr>
      </w:pPr>
      <w:r>
        <w:rPr>
          <w:rFonts w:hint="eastAsia" w:ascii="宋体" w:hAnsi="宋体" w:eastAsia="宋体" w:cs="宋体"/>
          <w:spacing w:val="-8"/>
          <w:szCs w:val="21"/>
        </w:rPr>
        <w:t>6.因填写不规范造成废标及终止招标的，责任由投标人自负。</w:t>
      </w:r>
    </w:p>
    <w:p>
      <w:pPr>
        <w:pStyle w:val="2"/>
        <w:rPr>
          <w:rFonts w:hint="eastAsia" w:ascii="宋体" w:hAnsi="宋体" w:eastAsia="宋体" w:cs="宋体"/>
          <w:spacing w:val="-6"/>
          <w:szCs w:val="21"/>
        </w:rPr>
      </w:pPr>
    </w:p>
    <w:p>
      <w:pPr>
        <w:pStyle w:val="2"/>
        <w:rPr>
          <w:rFonts w:hint="eastAsia" w:ascii="宋体" w:hAnsi="宋体" w:eastAsia="宋体" w:cs="宋体"/>
          <w:spacing w:val="-6"/>
          <w:szCs w:val="21"/>
        </w:rPr>
      </w:pPr>
    </w:p>
    <w:p>
      <w:pPr>
        <w:pStyle w:val="2"/>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spacing w:val="-4"/>
          <w:sz w:val="24"/>
          <w:szCs w:val="24"/>
        </w:rPr>
        <w:t xml:space="preserve">投标人(章)：         </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4"/>
          <w:sz w:val="24"/>
          <w:szCs w:val="24"/>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3"/>
          <w:sz w:val="24"/>
          <w:szCs w:val="24"/>
          <w:lang w:val="en-US" w:eastAsia="zh-CN"/>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w:t>
      </w:r>
      <w:r>
        <w:rPr>
          <w:rFonts w:hint="eastAsia" w:ascii="宋体" w:hAnsi="宋体" w:eastAsia="宋体" w:cs="宋体"/>
          <w:spacing w:val="-2"/>
          <w:sz w:val="24"/>
          <w:szCs w:val="24"/>
          <w:lang w:val="en-US" w:eastAsia="zh-CN"/>
        </w:rPr>
        <w:t>月   日</w:t>
      </w:r>
      <w:r>
        <w:rPr>
          <w:rFonts w:hint="eastAsia" w:ascii="宋体" w:hAnsi="宋体" w:eastAsia="宋体" w:cs="宋体"/>
          <w:spacing w:val="-2"/>
          <w:sz w:val="24"/>
          <w:szCs w:val="24"/>
        </w:rPr>
        <w:t xml:space="preserve"> </w:t>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附件10 商务条款偏离表</w:t>
      </w:r>
    </w:p>
    <w:p>
      <w:pPr>
        <w:rPr>
          <w:rFonts w:hint="default" w:ascii="Times New Roman" w:hAnsi="Times New Roman" w:eastAsia="宋体" w:cs="Times New Roman"/>
          <w:szCs w:val="20"/>
        </w:rPr>
      </w:pPr>
    </w:p>
    <w:tbl>
      <w:tblPr>
        <w:tblStyle w:val="4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p>
        </w:tc>
      </w:tr>
    </w:tbl>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注：为避免歧义，无偏离也应要提报该表，并注明“无”字。如无该表则即使在其它部分已反映，将也被视为“无偏离”。</w:t>
      </w:r>
    </w:p>
    <w:p>
      <w:pPr>
        <w:rPr>
          <w:rFonts w:hint="default" w:ascii="Times New Roman" w:hAnsi="Times New Roman" w:eastAsia="宋体" w:cs="Times New Roman"/>
          <w:szCs w:val="20"/>
        </w:rPr>
      </w:pPr>
    </w:p>
    <w:p>
      <w:pPr>
        <w:rPr>
          <w:rFonts w:hint="default" w:ascii="Times New Roman" w:hAnsi="Times New Roman" w:eastAsia="宋体" w:cs="Times New Roman"/>
          <w:b/>
          <w:bCs/>
          <w:color w:val="000000"/>
          <w:sz w:val="28"/>
          <w:szCs w:val="20"/>
        </w:rPr>
      </w:pPr>
    </w:p>
    <w:p>
      <w:pPr>
        <w:rPr>
          <w:rFonts w:hint="default" w:ascii="Times New Roman" w:hAnsi="Times New Roman" w:cs="Times New Roman"/>
        </w:rPr>
        <w:sectPr>
          <w:headerReference r:id="rId15" w:type="default"/>
          <w:footerReference r:id="rId16"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spacing w:before="110" w:line="227" w:lineRule="auto"/>
        <w:ind w:left="29"/>
        <w:outlineLvl w:val="1"/>
        <w:rPr>
          <w:rFonts w:hint="default" w:ascii="Times New Roman" w:hAnsi="Times New Roman" w:eastAsia="宋体" w:cs="Times New Roman"/>
          <w:sz w:val="24"/>
          <w:szCs w:val="24"/>
        </w:rPr>
      </w:pPr>
      <w:r>
        <w:rPr>
          <w:rFonts w:hint="default" w:ascii="Times New Roman" w:hAnsi="Times New Roman" w:eastAsia="宋体" w:cs="Times New Roman"/>
          <w:b/>
          <w:bCs/>
          <w:color w:val="000000"/>
          <w:sz w:val="24"/>
          <w:szCs w:val="24"/>
        </w:rPr>
        <w:t>附件11 投标人承诺</w:t>
      </w:r>
    </w:p>
    <w:p>
      <w:pPr>
        <w:spacing w:line="272" w:lineRule="auto"/>
        <w:rPr>
          <w:rFonts w:hint="default" w:ascii="Times New Roman" w:hAnsi="Times New Roman" w:cs="Times New Roman"/>
        </w:rPr>
      </w:pPr>
    </w:p>
    <w:p>
      <w:pPr>
        <w:spacing w:before="75" w:line="228" w:lineRule="auto"/>
        <w:ind w:left="134"/>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项</w:t>
      </w:r>
      <w:r>
        <w:rPr>
          <w:rFonts w:hint="default" w:ascii="Times New Roman" w:hAnsi="Times New Roman" w:eastAsia="宋体" w:cs="Times New Roman"/>
          <w:spacing w:val="-9"/>
          <w:sz w:val="24"/>
          <w:szCs w:val="24"/>
        </w:rPr>
        <w:t>目</w:t>
      </w:r>
      <w:r>
        <w:rPr>
          <w:rFonts w:hint="default" w:ascii="Times New Roman" w:hAnsi="Times New Roman" w:eastAsia="宋体" w:cs="Times New Roman"/>
          <w:spacing w:val="-5"/>
          <w:sz w:val="24"/>
          <w:szCs w:val="24"/>
        </w:rPr>
        <w:t>名称：</w:t>
      </w:r>
      <w:r>
        <w:rPr>
          <w:rFonts w:hint="default" w:ascii="Times New Roman" w:hAnsi="Times New Roman" w:eastAsia="宋体" w:cs="Times New Roman"/>
          <w:spacing w:val="-5"/>
          <w:sz w:val="24"/>
          <w:szCs w:val="24"/>
          <w:u w:val="single"/>
        </w:rPr>
        <w:t xml:space="preserve"> </w:t>
      </w:r>
      <w:r>
        <w:rPr>
          <w:rFonts w:hint="eastAsia" w:cs="Times New Roman"/>
          <w:b w:val="0"/>
          <w:bCs w:val="0"/>
          <w:color w:val="000000"/>
          <w:sz w:val="24"/>
          <w:szCs w:val="24"/>
          <w:u w:val="single"/>
          <w:lang w:val="en-US" w:eastAsia="zh-CN"/>
        </w:rPr>
        <w:t>济南成型厂</w:t>
      </w:r>
      <w:r>
        <w:rPr>
          <w:rFonts w:hint="eastAsia" w:ascii="宋体" w:hAnsi="宋体" w:eastAsia="宋体" w:cs="宋体"/>
          <w:sz w:val="24"/>
          <w:highlight w:val="none"/>
          <w:u w:val="single"/>
        </w:rPr>
        <w:t>质量提升专项</w:t>
      </w:r>
      <w:r>
        <w:rPr>
          <w:rFonts w:hint="eastAsia" w:ascii="宋体" w:hAnsi="宋体" w:eastAsia="宋体" w:cs="宋体"/>
          <w:sz w:val="24"/>
          <w:szCs w:val="24"/>
          <w:u w:val="single"/>
          <w:lang w:val="en-US" w:eastAsia="zh-CN"/>
        </w:rPr>
        <w:t>铸造二部辅料间防爆行车更新</w:t>
      </w:r>
      <w:r>
        <w:rPr>
          <w:rFonts w:hint="eastAsia" w:ascii="宋体" w:hAnsi="宋体" w:cs="宋体"/>
          <w:sz w:val="24"/>
          <w:szCs w:val="24"/>
          <w:u w:val="single"/>
          <w:lang w:val="en-US" w:eastAsia="zh-CN"/>
        </w:rPr>
        <w:t>技改</w:t>
      </w:r>
      <w:r>
        <w:rPr>
          <w:rFonts w:hint="eastAsia" w:cs="Times New Roman"/>
          <w:b w:val="0"/>
          <w:bCs w:val="0"/>
          <w:color w:val="000000"/>
          <w:sz w:val="24"/>
          <w:szCs w:val="24"/>
          <w:u w:val="single"/>
          <w:lang w:val="en-US" w:eastAsia="zh-CN"/>
        </w:rPr>
        <w:t>项目</w:t>
      </w:r>
      <w:r>
        <w:rPr>
          <w:rFonts w:hint="default" w:ascii="Times New Roman" w:hAnsi="Times New Roman" w:eastAsia="宋体" w:cs="Times New Roman"/>
          <w:b w:val="0"/>
          <w:bCs w:val="0"/>
          <w:spacing w:val="-5"/>
          <w:sz w:val="24"/>
          <w:szCs w:val="24"/>
          <w:u w:val="single"/>
        </w:rPr>
        <w:t xml:space="preserve">  </w:t>
      </w:r>
    </w:p>
    <w:p>
      <w:pPr>
        <w:spacing w:before="306" w:line="227" w:lineRule="auto"/>
        <w:ind w:left="205"/>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 xml:space="preserve">日期： </w:t>
      </w:r>
      <w:r>
        <w:rPr>
          <w:rFonts w:hint="default" w:ascii="Times New Roman" w:hAnsi="Times New Roman" w:eastAsia="宋体" w:cs="Times New Roman"/>
          <w:spacing w:val="-2"/>
          <w:sz w:val="24"/>
          <w:szCs w:val="24"/>
        </w:rPr>
        <w:t xml:space="preserve">   年   月   日</w:t>
      </w:r>
    </w:p>
    <w:p>
      <w:pPr>
        <w:rPr>
          <w:rFonts w:hint="default" w:ascii="Times New Roman" w:hAnsi="Times New Roman" w:cs="Times New Roman"/>
        </w:rPr>
      </w:pPr>
    </w:p>
    <w:p>
      <w:pPr>
        <w:spacing w:line="109" w:lineRule="exact"/>
        <w:rPr>
          <w:rFonts w:hint="default" w:ascii="Times New Roman" w:hAnsi="Times New Roman" w:cs="Times New Roman"/>
        </w:rPr>
      </w:pPr>
    </w:p>
    <w:tbl>
      <w:tblPr>
        <w:tblStyle w:val="2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投</w:t>
            </w:r>
            <w:r>
              <w:rPr>
                <w:rFonts w:hint="default" w:ascii="Times New Roman" w:hAnsi="Times New Roman" w:eastAsia="宋体" w:cs="Times New Roman"/>
                <w:spacing w:val="3"/>
                <w:sz w:val="24"/>
                <w:szCs w:val="24"/>
              </w:rPr>
              <w:t>标人承诺：</w:t>
            </w:r>
          </w:p>
          <w:p>
            <w:pPr>
              <w:spacing w:before="48" w:line="391" w:lineRule="auto"/>
              <w:ind w:left="125" w:right="115" w:firstLine="491"/>
              <w:rPr>
                <w:rFonts w:hint="default" w:ascii="Times New Roman" w:hAnsi="Times New Roman" w:eastAsia="宋体" w:cs="Times New Roman"/>
                <w:sz w:val="23"/>
                <w:szCs w:val="23"/>
              </w:rPr>
            </w:pPr>
            <w:r>
              <w:rPr>
                <w:rFonts w:hint="default" w:ascii="Times New Roman" w:hAnsi="Times New Roman" w:eastAsia="宋体" w:cs="Times New Roman"/>
                <w:spacing w:val="38"/>
                <w:sz w:val="24"/>
                <w:szCs w:val="24"/>
              </w:rPr>
              <w:t>我</w:t>
            </w:r>
            <w:r>
              <w:rPr>
                <w:rFonts w:hint="default" w:ascii="Times New Roman" w:hAnsi="Times New Roman" w:eastAsia="宋体" w:cs="Times New Roman"/>
                <w:spacing w:val="21"/>
                <w:sz w:val="24"/>
                <w:szCs w:val="24"/>
              </w:rPr>
              <w:t>公司承诺遵守贵公司由于招标人公司政策变化引起的随时终止项目的要求并</w:t>
            </w:r>
            <w:r>
              <w:rPr>
                <w:rFonts w:hint="default" w:ascii="Times New Roman" w:hAnsi="Times New Roman" w:eastAsia="宋体" w:cs="Times New Roman"/>
                <w:spacing w:val="12"/>
                <w:sz w:val="24"/>
                <w:szCs w:val="24"/>
              </w:rPr>
              <w:t>承</w:t>
            </w:r>
            <w:r>
              <w:rPr>
                <w:rFonts w:hint="default" w:ascii="Times New Roman" w:hAnsi="Times New Roman" w:eastAsia="宋体" w:cs="Times New Roman"/>
                <w:spacing w:val="6"/>
                <w:sz w:val="24"/>
                <w:szCs w:val="24"/>
              </w:rPr>
              <w:t>担由此带来的一切损失</w:t>
            </w:r>
            <w:r>
              <w:rPr>
                <w:rFonts w:hint="default" w:ascii="Times New Roman" w:hAnsi="Times New Roman" w:eastAsia="宋体" w:cs="Times New Roman"/>
                <w:spacing w:val="6"/>
                <w:sz w:val="23"/>
                <w:szCs w:val="23"/>
              </w:rPr>
              <w:t>。</w:t>
            </w:r>
          </w:p>
        </w:tc>
      </w:tr>
    </w:tbl>
    <w:p>
      <w:pPr>
        <w:keepNext/>
        <w:keepLines/>
        <w:rPr>
          <w:rFonts w:hint="default" w:ascii="Times New Roman" w:hAnsi="Times New Roman" w:eastAsia="宋体" w:cs="Times New Roman"/>
          <w:b/>
          <w:bCs/>
          <w:color w:val="000000"/>
          <w:sz w:val="24"/>
          <w:szCs w:val="24"/>
        </w:rPr>
      </w:pPr>
    </w:p>
    <w:p>
      <w:pPr>
        <w:spacing w:before="75" w:line="227" w:lineRule="auto"/>
        <w:ind w:left="135"/>
        <w:rPr>
          <w:rFonts w:hint="default" w:ascii="Times New Roman" w:hAnsi="Times New Roman" w:eastAsia="宋体" w:cs="Times New Roman"/>
          <w:spacing w:val="-2"/>
          <w:sz w:val="24"/>
          <w:szCs w:val="24"/>
        </w:rPr>
      </w:pPr>
    </w:p>
    <w:p>
      <w:pPr>
        <w:spacing w:before="75" w:line="227" w:lineRule="auto"/>
        <w:ind w:left="135"/>
        <w:rPr>
          <w:rFonts w:hint="default" w:ascii="Times New Roman" w:hAnsi="Times New Roman" w:eastAsia="宋体" w:cs="Times New Roman"/>
          <w:spacing w:val="-2"/>
          <w:sz w:val="24"/>
          <w:szCs w:val="24"/>
        </w:rPr>
      </w:pPr>
    </w:p>
    <w:p>
      <w:pPr>
        <w:spacing w:before="75" w:line="227" w:lineRule="auto"/>
        <w:ind w:left="135"/>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投标人名称 (盖章)：                法定代表人或授权代表(签字</w:t>
      </w:r>
      <w:r>
        <w:rPr>
          <w:rFonts w:hint="default" w:ascii="Times New Roman" w:hAnsi="Times New Roman" w:eastAsia="宋体" w:cs="Times New Roman"/>
          <w:sz w:val="24"/>
          <w:szCs w:val="24"/>
        </w:rPr>
        <w:t>)：</w:t>
      </w:r>
    </w:p>
    <w:p>
      <w:pPr>
        <w:rPr>
          <w:rFonts w:hint="default" w:ascii="Times New Roman" w:hAnsi="Times New Roman" w:cs="Times New Roman"/>
        </w:rPr>
        <w:sectPr>
          <w:footerReference r:id="rId17" w:type="default"/>
          <w:pgSz w:w="11906" w:h="16839"/>
          <w:pgMar w:top="1431" w:right="1417" w:bottom="1179" w:left="1304" w:header="850" w:footer="992" w:gutter="0"/>
          <w:pgBorders>
            <w:top w:val="none" w:sz="0" w:space="0"/>
            <w:left w:val="none" w:sz="0" w:space="0"/>
            <w:bottom w:val="none" w:sz="0" w:space="0"/>
            <w:right w:val="none" w:sz="0" w:space="0"/>
          </w:pgBorders>
          <w:cols w:space="720" w:num="1"/>
        </w:sect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附件12 服务承诺函</w:t>
      </w:r>
    </w:p>
    <w:p>
      <w:pPr>
        <w:spacing w:line="240" w:lineRule="exact"/>
        <w:jc w:val="center"/>
        <w:rPr>
          <w:rFonts w:hint="default" w:ascii="Times New Roman" w:hAnsi="Times New Roman" w:eastAsia="宋体" w:cs="Times New Roman"/>
          <w:b/>
          <w:bCs/>
          <w:sz w:val="36"/>
          <w:szCs w:val="20"/>
        </w:rPr>
      </w:pPr>
    </w:p>
    <w:p>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cs="Times New Roman"/>
          <w:b w:val="0"/>
          <w:bCs w:val="0"/>
          <w:color w:val="000000"/>
          <w:sz w:val="24"/>
          <w:szCs w:val="24"/>
          <w:u w:val="single"/>
          <w:lang w:val="en-US" w:eastAsia="zh-CN"/>
        </w:rPr>
        <w:t>济南成型厂</w:t>
      </w:r>
      <w:r>
        <w:rPr>
          <w:rFonts w:hint="eastAsia" w:ascii="宋体" w:hAnsi="宋体" w:eastAsia="宋体" w:cs="宋体"/>
          <w:sz w:val="24"/>
          <w:highlight w:val="none"/>
          <w:u w:val="single"/>
        </w:rPr>
        <w:t>质量提升专项</w:t>
      </w:r>
      <w:r>
        <w:rPr>
          <w:rFonts w:hint="eastAsia" w:ascii="宋体" w:hAnsi="宋体" w:eastAsia="宋体" w:cs="宋体"/>
          <w:sz w:val="24"/>
          <w:szCs w:val="24"/>
          <w:u w:val="single"/>
          <w:lang w:val="en-US" w:eastAsia="zh-CN"/>
        </w:rPr>
        <w:t>铸造二部辅料间防爆行车更新</w:t>
      </w:r>
      <w:r>
        <w:rPr>
          <w:rFonts w:hint="eastAsia" w:ascii="宋体" w:hAnsi="宋体" w:cs="宋体"/>
          <w:sz w:val="24"/>
          <w:szCs w:val="24"/>
          <w:u w:val="single"/>
          <w:lang w:val="en-US" w:eastAsia="zh-CN"/>
        </w:rPr>
        <w:t>技改</w:t>
      </w:r>
      <w:r>
        <w:rPr>
          <w:rFonts w:hint="eastAsia" w:cs="Times New Roman"/>
          <w:b w:val="0"/>
          <w:bCs w:val="0"/>
          <w:color w:val="000000"/>
          <w:sz w:val="24"/>
          <w:szCs w:val="24"/>
          <w:u w:val="single"/>
          <w:lang w:val="en-US" w:eastAsia="zh-CN"/>
        </w:rPr>
        <w:t>项目</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我代表（投标单位名称）对中标合同产品的服务作如下承诺：</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pPr>
        <w:rPr>
          <w:rFonts w:hint="default" w:ascii="Times New Roman" w:hAnsi="Times New Roman" w:eastAsia="宋体" w:cs="Times New Roman"/>
          <w:b/>
          <w:bCs/>
          <w:color w:val="000000"/>
          <w:sz w:val="28"/>
          <w:szCs w:val="20"/>
        </w:rPr>
      </w:pPr>
    </w:p>
    <w:p>
      <w:pPr>
        <w:pStyle w:val="2"/>
        <w:rPr>
          <w:rFonts w:hint="default" w:ascii="Times New Roman" w:hAnsi="Times New Roman" w:eastAsia="宋体" w:cs="Times New Roman"/>
          <w:b/>
          <w:bCs/>
          <w:color w:val="000000"/>
          <w:sz w:val="28"/>
          <w:szCs w:val="20"/>
        </w:rPr>
      </w:pPr>
    </w:p>
    <w:p>
      <w:pPr>
        <w:rPr>
          <w:rFonts w:hint="default" w:ascii="Times New Roman" w:hAnsi="Times New Roman" w:eastAsia="宋体" w:cs="Times New Roman"/>
          <w:b/>
          <w:bCs/>
          <w:color w:val="000000"/>
          <w:sz w:val="28"/>
          <w:szCs w:val="20"/>
        </w:rPr>
      </w:pPr>
    </w:p>
    <w:p>
      <w:pPr>
        <w:outlineLvl w:val="1"/>
        <w:rPr>
          <w:rFonts w:hint="default" w:ascii="Times New Roman" w:hAnsi="Times New Roman" w:eastAsia="宋体" w:cs="Times New Roman"/>
          <w:szCs w:val="20"/>
        </w:rPr>
      </w:pPr>
      <w:r>
        <w:rPr>
          <w:rFonts w:hint="default" w:ascii="Times New Roman" w:hAnsi="Times New Roman" w:eastAsia="宋体" w:cs="Times New Roman"/>
          <w:szCs w:val="20"/>
        </w:rPr>
        <w:br w:type="page"/>
      </w:r>
      <w:r>
        <w:rPr>
          <w:rFonts w:hint="default"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封面格式：</w:t>
      </w:r>
    </w:p>
    <w:tbl>
      <w:tblPr>
        <w:tblStyle w:val="4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hint="default" w:ascii="Times New Roman" w:hAnsi="Times New Roman" w:eastAsia="宋体" w:cs="Times New Roman"/>
                <w:b/>
                <w:szCs w:val="20"/>
              </w:rPr>
            </w:pPr>
          </w:p>
          <w:p>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技术/资质/商务文件</w:t>
            </w:r>
          </w:p>
          <w:p>
            <w:pPr>
              <w:rPr>
                <w:rFonts w:hint="default" w:ascii="Times New Roman" w:hAnsi="Times New Roman" w:eastAsia="等线" w:cs="Times New Roman"/>
                <w:b/>
                <w:sz w:val="30"/>
                <w:szCs w:val="30"/>
              </w:rPr>
            </w:pPr>
          </w:p>
          <w:p>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w:t>
            </w:r>
            <w:r>
              <w:rPr>
                <w:rFonts w:hint="default" w:ascii="Times New Roman" w:hAnsi="Times New Roman" w:eastAsia="等线" w:cs="Times New Roman"/>
                <w:b/>
                <w:sz w:val="30"/>
                <w:szCs w:val="30"/>
              </w:rPr>
              <w:t>1</w:t>
            </w:r>
            <w:r>
              <w:rPr>
                <w:rFonts w:hint="default" w:ascii="Times New Roman" w:hAnsi="Times New Roman" w:eastAsia="宋体" w:cs="Times New Roman"/>
                <w:b/>
                <w:sz w:val="30"/>
                <w:szCs w:val="30"/>
              </w:rPr>
              <w:t>正本）</w:t>
            </w:r>
          </w:p>
          <w:p>
            <w:pPr>
              <w:jc w:val="center"/>
              <w:rPr>
                <w:rFonts w:hint="default" w:ascii="Times New Roman" w:hAnsi="Times New Roman" w:eastAsia="宋体" w:cs="Times New Roman"/>
                <w:b/>
                <w:szCs w:val="20"/>
              </w:rPr>
            </w:pPr>
          </w:p>
          <w:p>
            <w:pPr>
              <w:jc w:val="center"/>
              <w:rPr>
                <w:rFonts w:hint="default" w:ascii="Times New Roman" w:hAnsi="Times New Roman" w:eastAsia="宋体" w:cs="Times New Roman"/>
                <w:b/>
                <w:szCs w:val="20"/>
              </w:rPr>
            </w:pPr>
          </w:p>
          <w:p>
            <w:pPr>
              <w:jc w:val="center"/>
              <w:rPr>
                <w:rFonts w:hint="eastAsia" w:ascii="Times New Roman" w:hAnsi="Times New Roman" w:eastAsia="宋体" w:cs="Times New Roman"/>
                <w:b/>
                <w:szCs w:val="20"/>
                <w:lang w:eastAsia="zh-CN"/>
              </w:rPr>
            </w:pPr>
            <w:r>
              <w:rPr>
                <w:rFonts w:hint="default" w:ascii="Times New Roman" w:hAnsi="Times New Roman" w:eastAsia="宋体" w:cs="Times New Roman"/>
                <w:b/>
                <w:szCs w:val="20"/>
              </w:rPr>
              <w:t>项目名称：济南成型厂质量提升专项铸造二部辅料间防爆行车更新技改项目</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投标人名称（公章）：</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地址：</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授权代表电话：</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传真：</w:t>
            </w:r>
          </w:p>
          <w:p>
            <w:pPr>
              <w:jc w:val="center"/>
              <w:rPr>
                <w:rFonts w:hint="default" w:ascii="Times New Roman" w:hAnsi="Times New Roman" w:eastAsia="宋体" w:cs="Times New Roman"/>
                <w:b/>
                <w:szCs w:val="20"/>
              </w:rPr>
            </w:pPr>
          </w:p>
          <w:p>
            <w:pPr>
              <w:jc w:val="center"/>
              <w:rPr>
                <w:rFonts w:hint="default" w:ascii="Times New Roman" w:hAnsi="Times New Roman" w:eastAsia="宋体" w:cs="Times New Roman"/>
                <w:b/>
                <w:szCs w:val="20"/>
              </w:rPr>
            </w:pPr>
          </w:p>
        </w:tc>
      </w:tr>
    </w:tbl>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pPr>
        <w:rPr>
          <w:rFonts w:hint="default" w:ascii="Times New Roman" w:hAnsi="Times New Roman" w:cs="Times New Roman"/>
          <w:sz w:val="20"/>
          <w:szCs w:val="20"/>
        </w:rPr>
      </w:pPr>
      <w:r>
        <w:rPr>
          <w:rFonts w:hint="default" w:ascii="Times New Roman" w:hAnsi="Times New Roman" w:eastAsia="宋体" w:cs="Times New Roman"/>
          <w:color w:val="000000"/>
          <w:sz w:val="24"/>
          <w:szCs w:val="24"/>
        </w:rPr>
        <w:br w:type="page"/>
      </w:r>
    </w:p>
    <w:p>
      <w:pPr>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附件14技术标评分标准</w:t>
      </w:r>
    </w:p>
    <w:tbl>
      <w:tblPr>
        <w:tblStyle w:val="4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546"/>
        <w:gridCol w:w="548"/>
        <w:gridCol w:w="2516"/>
        <w:gridCol w:w="526"/>
        <w:gridCol w:w="4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351" w:type="pct"/>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评价类型</w:t>
            </w:r>
          </w:p>
        </w:tc>
        <w:tc>
          <w:tcPr>
            <w:tcW w:w="294" w:type="pct"/>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评审内容</w:t>
            </w:r>
          </w:p>
        </w:tc>
        <w:tc>
          <w:tcPr>
            <w:tcW w:w="295" w:type="pct"/>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序号</w:t>
            </w:r>
          </w:p>
        </w:tc>
        <w:tc>
          <w:tcPr>
            <w:tcW w:w="1355" w:type="pct"/>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内</w:t>
            </w:r>
            <w:r>
              <w:rPr>
                <w:rFonts w:ascii="宋体" w:hAnsi="宋体" w:cs="Times New Roman"/>
                <w:b/>
                <w:sz w:val="18"/>
                <w:szCs w:val="18"/>
                <w:highlight w:val="none"/>
              </w:rPr>
              <w:t xml:space="preserve">   </w:t>
            </w:r>
            <w:r>
              <w:rPr>
                <w:rFonts w:hint="eastAsia" w:ascii="宋体" w:hAnsi="宋体" w:cs="Times New Roman"/>
                <w:b/>
                <w:sz w:val="18"/>
                <w:szCs w:val="18"/>
                <w:highlight w:val="none"/>
              </w:rPr>
              <w:t>容</w:t>
            </w:r>
          </w:p>
        </w:tc>
        <w:tc>
          <w:tcPr>
            <w:tcW w:w="283" w:type="pct"/>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标准分</w:t>
            </w:r>
          </w:p>
        </w:tc>
        <w:tc>
          <w:tcPr>
            <w:tcW w:w="2419" w:type="pct"/>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1" w:type="pct"/>
            <w:vMerge w:val="restart"/>
            <w:vAlign w:val="center"/>
          </w:tcPr>
          <w:p>
            <w:pPr>
              <w:tabs>
                <w:tab w:val="left" w:pos="13965"/>
              </w:tabs>
              <w:jc w:val="center"/>
              <w:rPr>
                <w:rFonts w:ascii="宋体" w:hAnsi="宋体" w:eastAsia="等线" w:cs="Times New Roman"/>
                <w:b/>
                <w:bCs/>
                <w:sz w:val="18"/>
                <w:szCs w:val="18"/>
                <w:highlight w:val="none"/>
              </w:rPr>
            </w:pPr>
            <w:r>
              <w:rPr>
                <w:rFonts w:hint="eastAsia" w:ascii="宋体" w:hAnsi="宋体" w:cs="Times New Roman"/>
                <w:b/>
                <w:bCs/>
                <w:sz w:val="18"/>
                <w:szCs w:val="18"/>
                <w:highlight w:val="none"/>
              </w:rPr>
              <w:t>技术标</w:t>
            </w:r>
          </w:p>
          <w:p>
            <w:pPr>
              <w:tabs>
                <w:tab w:val="left" w:pos="13965"/>
              </w:tabs>
              <w:rPr>
                <w:rFonts w:ascii="宋体" w:hAnsi="宋体" w:cs="Times New Roman"/>
                <w:sz w:val="18"/>
                <w:szCs w:val="18"/>
                <w:highlight w:val="none"/>
              </w:rPr>
            </w:pPr>
            <w:r>
              <w:rPr>
                <w:rFonts w:ascii="宋体" w:hAnsi="宋体" w:cs="Times New Roman"/>
                <w:sz w:val="18"/>
                <w:szCs w:val="18"/>
                <w:highlight w:val="none"/>
              </w:rPr>
              <w:t>100</w:t>
            </w:r>
            <w:r>
              <w:rPr>
                <w:rFonts w:hint="eastAsia" w:ascii="宋体" w:hAnsi="宋体" w:cs="Times New Roman"/>
                <w:sz w:val="18"/>
                <w:szCs w:val="18"/>
                <w:highlight w:val="none"/>
              </w:rPr>
              <w:t>分</w:t>
            </w:r>
          </w:p>
        </w:tc>
        <w:tc>
          <w:tcPr>
            <w:tcW w:w="294" w:type="pct"/>
            <w:vAlign w:val="center"/>
          </w:tcPr>
          <w:p>
            <w:pPr>
              <w:tabs>
                <w:tab w:val="left" w:pos="13965"/>
              </w:tabs>
              <w:jc w:val="center"/>
              <w:rPr>
                <w:rFonts w:ascii="宋体" w:hAnsi="宋体" w:cs="Times New Roman"/>
                <w:sz w:val="18"/>
                <w:szCs w:val="18"/>
                <w:highlight w:val="none"/>
              </w:rPr>
            </w:pPr>
            <w:r>
              <w:rPr>
                <w:rFonts w:hint="eastAsia" w:ascii="宋体" w:hAnsi="宋体" w:cs="Times New Roman"/>
                <w:sz w:val="18"/>
                <w:szCs w:val="18"/>
                <w:highlight w:val="none"/>
              </w:rPr>
              <w:t>业绩</w:t>
            </w:r>
          </w:p>
        </w:tc>
        <w:tc>
          <w:tcPr>
            <w:tcW w:w="295" w:type="pct"/>
            <w:vAlign w:val="center"/>
          </w:tcPr>
          <w:p>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w:t>
            </w:r>
          </w:p>
        </w:tc>
        <w:tc>
          <w:tcPr>
            <w:tcW w:w="1355" w:type="pct"/>
            <w:vAlign w:val="center"/>
          </w:tcPr>
          <w:p>
            <w:pPr>
              <w:rPr>
                <w:rFonts w:ascii="宋体" w:hAnsi="宋体" w:cs="Times New Roman"/>
                <w:sz w:val="18"/>
                <w:szCs w:val="18"/>
                <w:highlight w:val="none"/>
              </w:rPr>
            </w:pPr>
            <w:r>
              <w:rPr>
                <w:rFonts w:hint="eastAsia" w:ascii="宋体" w:hAnsi="宋体" w:cs="Times New Roman"/>
                <w:sz w:val="18"/>
                <w:szCs w:val="18"/>
                <w:highlight w:val="none"/>
              </w:rPr>
              <w:t>设备制造商同类型项目业绩</w:t>
            </w:r>
          </w:p>
        </w:tc>
        <w:tc>
          <w:tcPr>
            <w:tcW w:w="283" w:type="pct"/>
            <w:vAlign w:val="center"/>
          </w:tcPr>
          <w:p>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10</w:t>
            </w:r>
          </w:p>
        </w:tc>
        <w:tc>
          <w:tcPr>
            <w:tcW w:w="2419"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10</w:t>
            </w:r>
            <w:r>
              <w:rPr>
                <w:rFonts w:hint="eastAsia" w:ascii="宋体" w:hAnsi="宋体" w:cs="Times New Roman"/>
                <w:bCs/>
                <w:sz w:val="18"/>
                <w:szCs w:val="18"/>
                <w:highlight w:val="none"/>
              </w:rPr>
              <w:t>分（时间以签订日期为准）。</w:t>
            </w:r>
          </w:p>
          <w:p>
            <w:pPr>
              <w:rPr>
                <w:rFonts w:ascii="宋体" w:hAnsi="宋体"/>
                <w:sz w:val="18"/>
                <w:szCs w:val="18"/>
                <w:highlight w:val="none"/>
              </w:rPr>
            </w:pPr>
            <w:r>
              <w:rPr>
                <w:rFonts w:hint="eastAsia" w:ascii="宋体" w:hAnsi="宋体" w:cs="Times New Roman"/>
                <w:bCs/>
                <w:sz w:val="18"/>
                <w:szCs w:val="18"/>
                <w:highlight w:val="none"/>
              </w:rPr>
              <w:t>投标人在20</w:t>
            </w:r>
            <w:r>
              <w:rPr>
                <w:rFonts w:ascii="宋体" w:hAnsi="宋体" w:cs="Times New Roman"/>
                <w:bCs/>
                <w:sz w:val="18"/>
                <w:szCs w:val="18"/>
                <w:highlight w:val="none"/>
              </w:rPr>
              <w:t>2</w:t>
            </w:r>
            <w:r>
              <w:rPr>
                <w:rFonts w:hint="eastAsia" w:ascii="宋体" w:hAnsi="宋体" w:cs="Times New Roman"/>
                <w:bCs/>
                <w:sz w:val="18"/>
                <w:szCs w:val="18"/>
                <w:highlight w:val="none"/>
                <w:lang w:val="en-US" w:eastAsia="zh-CN"/>
              </w:rPr>
              <w:t>3</w:t>
            </w:r>
            <w:r>
              <w:rPr>
                <w:rFonts w:hint="eastAsia" w:ascii="宋体" w:hAnsi="宋体" w:cs="Times New Roman"/>
                <w:bCs/>
                <w:sz w:val="18"/>
                <w:szCs w:val="18"/>
                <w:highlight w:val="none"/>
              </w:rPr>
              <w:t>年1月1日以来在中国与本标同类规格产品的业绩，以合同复印件加盖公章为准（须有客户联系方式及联系人以供招标人核实确认）。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351" w:type="pct"/>
            <w:vMerge w:val="continue"/>
            <w:vAlign w:val="center"/>
          </w:tcPr>
          <w:p>
            <w:pPr>
              <w:jc w:val="center"/>
              <w:rPr>
                <w:rFonts w:ascii="宋体" w:hAnsi="宋体" w:cs="Times New Roman"/>
                <w:sz w:val="18"/>
                <w:szCs w:val="18"/>
                <w:highlight w:val="none"/>
              </w:rPr>
            </w:pPr>
          </w:p>
        </w:tc>
        <w:tc>
          <w:tcPr>
            <w:tcW w:w="294" w:type="pct"/>
            <w:vMerge w:val="restar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产品技术</w:t>
            </w:r>
          </w:p>
        </w:tc>
        <w:tc>
          <w:tcPr>
            <w:tcW w:w="295"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2</w:t>
            </w:r>
          </w:p>
        </w:tc>
        <w:tc>
          <w:tcPr>
            <w:tcW w:w="1355"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设备制造商装备制造能力、生产设备、加工工艺、完善程度</w:t>
            </w:r>
          </w:p>
        </w:tc>
        <w:tc>
          <w:tcPr>
            <w:tcW w:w="283"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15</w:t>
            </w:r>
          </w:p>
        </w:tc>
        <w:tc>
          <w:tcPr>
            <w:tcW w:w="2419" w:type="pct"/>
            <w:vAlign w:val="center"/>
          </w:tcPr>
          <w:p>
            <w:pPr>
              <w:rPr>
                <w:rFonts w:ascii="宋体" w:hAnsi="宋体" w:cs="Times New Roman"/>
                <w:sz w:val="18"/>
                <w:szCs w:val="18"/>
                <w:highlight w:val="none"/>
              </w:rPr>
            </w:pPr>
            <w:r>
              <w:rPr>
                <w:rFonts w:hint="eastAsia" w:ascii="宋体" w:hAnsi="宋体" w:cs="Times New Roman"/>
                <w:bCs/>
                <w:sz w:val="18"/>
                <w:szCs w:val="18"/>
                <w:highlight w:val="none"/>
              </w:rPr>
              <w:t>由评标委员会成员独立进行客观、公正的评价，按照优、良、一般进行赋分，最高1</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2" w:hRule="atLeast"/>
          <w:jc w:val="center"/>
        </w:trPr>
        <w:tc>
          <w:tcPr>
            <w:tcW w:w="351" w:type="pct"/>
            <w:vMerge w:val="continue"/>
            <w:vAlign w:val="center"/>
          </w:tcPr>
          <w:p>
            <w:pPr>
              <w:jc w:val="center"/>
              <w:rPr>
                <w:rFonts w:ascii="宋体" w:hAnsi="宋体" w:cs="Times New Roman"/>
                <w:sz w:val="18"/>
                <w:szCs w:val="18"/>
                <w:highlight w:val="none"/>
              </w:rPr>
            </w:pPr>
          </w:p>
        </w:tc>
        <w:tc>
          <w:tcPr>
            <w:tcW w:w="294" w:type="pct"/>
            <w:vMerge w:val="continue"/>
            <w:vAlign w:val="center"/>
          </w:tcPr>
          <w:p>
            <w:pPr>
              <w:jc w:val="center"/>
              <w:rPr>
                <w:rFonts w:ascii="宋体" w:hAnsi="宋体" w:cs="Times New Roman"/>
                <w:sz w:val="18"/>
                <w:szCs w:val="18"/>
                <w:highlight w:val="none"/>
              </w:rPr>
            </w:pPr>
          </w:p>
        </w:tc>
        <w:tc>
          <w:tcPr>
            <w:tcW w:w="295" w:type="pc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3</w:t>
            </w:r>
          </w:p>
        </w:tc>
        <w:tc>
          <w:tcPr>
            <w:tcW w:w="1355"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产品方案技术先进、各系统完善、性能可靠，设备主要核心部件，具备自身技术优势</w:t>
            </w:r>
          </w:p>
        </w:tc>
        <w:tc>
          <w:tcPr>
            <w:tcW w:w="283"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40</w:t>
            </w:r>
          </w:p>
        </w:tc>
        <w:tc>
          <w:tcPr>
            <w:tcW w:w="2419" w:type="pct"/>
            <w:vAlign w:val="center"/>
          </w:tcPr>
          <w:p>
            <w:pPr>
              <w:rPr>
                <w:rFonts w:ascii="宋体" w:hAnsi="宋体" w:cs="Times New Roman"/>
                <w:bCs/>
                <w:sz w:val="18"/>
                <w:szCs w:val="18"/>
                <w:highlight w:val="none"/>
              </w:rPr>
            </w:pPr>
            <w:r>
              <w:rPr>
                <w:rFonts w:hint="eastAsia" w:ascii="宋体" w:hAnsi="宋体" w:cs="Times New Roman"/>
                <w:sz w:val="18"/>
                <w:szCs w:val="18"/>
                <w:highlight w:val="none"/>
              </w:rPr>
              <w:t>以下各项由评标委员会成员独立进行客观、公正的评价打分。</w:t>
            </w:r>
          </w:p>
          <w:p>
            <w:pPr>
              <w:rPr>
                <w:rFonts w:ascii="宋体" w:hAnsi="宋体" w:cs="Times New Roman"/>
                <w:sz w:val="18"/>
                <w:szCs w:val="18"/>
                <w:highlight w:val="none"/>
              </w:rPr>
            </w:pPr>
            <w:r>
              <w:rPr>
                <w:rFonts w:hint="eastAsia" w:ascii="宋体" w:hAnsi="宋体" w:cs="Times New Roman"/>
                <w:bCs/>
                <w:sz w:val="18"/>
                <w:szCs w:val="18"/>
                <w:highlight w:val="none"/>
              </w:rPr>
              <w:t>投标文件中技术方案、软硬件配置、处理工艺、设施明细、技术参数、综合性能、控制方案等的先进性、符合性、适用性进行分析比较、评议、综合打分，按照优、良、一般进行赋分，最高40分。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351" w:type="pct"/>
            <w:vMerge w:val="continue"/>
            <w:vAlign w:val="center"/>
          </w:tcPr>
          <w:p>
            <w:pPr>
              <w:jc w:val="center"/>
              <w:rPr>
                <w:rFonts w:ascii="宋体" w:hAnsi="宋体" w:cs="Times New Roman"/>
                <w:sz w:val="18"/>
                <w:szCs w:val="18"/>
                <w:highlight w:val="none"/>
              </w:rPr>
            </w:pPr>
          </w:p>
        </w:tc>
        <w:tc>
          <w:tcPr>
            <w:tcW w:w="294" w:type="pc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答疑</w:t>
            </w:r>
          </w:p>
        </w:tc>
        <w:tc>
          <w:tcPr>
            <w:tcW w:w="295" w:type="pc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4</w:t>
            </w:r>
          </w:p>
        </w:tc>
        <w:tc>
          <w:tcPr>
            <w:tcW w:w="1355"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现场答疑</w:t>
            </w:r>
          </w:p>
        </w:tc>
        <w:tc>
          <w:tcPr>
            <w:tcW w:w="283"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5</w:t>
            </w:r>
          </w:p>
        </w:tc>
        <w:tc>
          <w:tcPr>
            <w:tcW w:w="2419" w:type="pct"/>
            <w:vAlign w:val="center"/>
          </w:tcPr>
          <w:p>
            <w:pPr>
              <w:rPr>
                <w:rFonts w:ascii="宋体" w:hAnsi="宋体" w:cs="Times New Roman"/>
                <w:bCs/>
                <w:sz w:val="18"/>
                <w:szCs w:val="18"/>
                <w:highlight w:val="none"/>
              </w:rPr>
            </w:pPr>
            <w:r>
              <w:rPr>
                <w:rFonts w:hint="eastAsia" w:ascii="宋体" w:hAnsi="宋体" w:cs="Times New Roman"/>
                <w:sz w:val="18"/>
                <w:szCs w:val="18"/>
                <w:highlight w:val="none"/>
              </w:rPr>
              <w:t>投标人代表对方案、技术优势的讲解，以及就该项目难点回答评标专家现场提问，打分0-5分。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1" w:type="pct"/>
            <w:vMerge w:val="continue"/>
            <w:vAlign w:val="center"/>
          </w:tcPr>
          <w:p>
            <w:pPr>
              <w:jc w:val="center"/>
              <w:rPr>
                <w:rFonts w:ascii="宋体" w:hAnsi="宋体" w:cs="Times New Roman"/>
                <w:sz w:val="18"/>
                <w:szCs w:val="18"/>
                <w:highlight w:val="none"/>
              </w:rPr>
            </w:pPr>
          </w:p>
        </w:tc>
        <w:tc>
          <w:tcPr>
            <w:tcW w:w="294" w:type="pc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技术偏离</w:t>
            </w:r>
          </w:p>
        </w:tc>
        <w:tc>
          <w:tcPr>
            <w:tcW w:w="295"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5</w:t>
            </w:r>
          </w:p>
        </w:tc>
        <w:tc>
          <w:tcPr>
            <w:tcW w:w="1355" w:type="pct"/>
            <w:vAlign w:val="center"/>
          </w:tcPr>
          <w:p>
            <w:pPr>
              <w:rPr>
                <w:rFonts w:ascii="宋体" w:hAnsi="宋体" w:cs="Times New Roman"/>
                <w:sz w:val="18"/>
                <w:szCs w:val="18"/>
                <w:highlight w:val="none"/>
              </w:rPr>
            </w:pPr>
            <w:r>
              <w:rPr>
                <w:rFonts w:hint="eastAsia" w:ascii="宋体" w:hAnsi="宋体" w:cs="Times New Roman"/>
                <w:bCs/>
                <w:sz w:val="18"/>
                <w:szCs w:val="18"/>
                <w:highlight w:val="none"/>
              </w:rPr>
              <w:t>技术偏离</w:t>
            </w:r>
          </w:p>
        </w:tc>
        <w:tc>
          <w:tcPr>
            <w:tcW w:w="283"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15</w:t>
            </w:r>
          </w:p>
        </w:tc>
        <w:tc>
          <w:tcPr>
            <w:tcW w:w="2419" w:type="pct"/>
            <w:vAlign w:val="center"/>
          </w:tcPr>
          <w:p>
            <w:pPr>
              <w:jc w:val="left"/>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由评标委员会成员独立进行客观、公正的评价，根据各投标单位的核心产品的配置参数、技术偏离情况，在满足我司技术基本要求的前提下偏离，无偏离得满分</w:t>
            </w:r>
            <w:r>
              <w:rPr>
                <w:rFonts w:ascii="宋体" w:hAnsi="宋体" w:cs="Times New Roman"/>
                <w:bCs/>
                <w:sz w:val="18"/>
                <w:szCs w:val="18"/>
                <w:highlight w:val="none"/>
              </w:rPr>
              <w:t>15</w:t>
            </w:r>
            <w:r>
              <w:rPr>
                <w:rFonts w:hint="eastAsia" w:ascii="宋体" w:hAnsi="宋体" w:cs="Times New Roman"/>
                <w:bCs/>
                <w:sz w:val="18"/>
                <w:szCs w:val="18"/>
                <w:highlight w:val="none"/>
              </w:rPr>
              <w:t>分，较大偏离每一项扣</w:t>
            </w:r>
            <w:r>
              <w:rPr>
                <w:rFonts w:ascii="宋体" w:hAnsi="宋体" w:cs="Times New Roman"/>
                <w:bCs/>
                <w:sz w:val="18"/>
                <w:szCs w:val="18"/>
                <w:highlight w:val="none"/>
              </w:rPr>
              <w:t>3</w:t>
            </w:r>
            <w:r>
              <w:rPr>
                <w:rFonts w:hint="eastAsia" w:ascii="宋体" w:hAnsi="宋体" w:cs="Times New Roman"/>
                <w:bCs/>
                <w:sz w:val="18"/>
                <w:szCs w:val="18"/>
                <w:highlight w:val="none"/>
              </w:rPr>
              <w:t>分，一般偏离每一项扣</w:t>
            </w:r>
            <w:r>
              <w:rPr>
                <w:rFonts w:ascii="宋体" w:hAnsi="宋体" w:cs="Times New Roman"/>
                <w:bCs/>
                <w:sz w:val="18"/>
                <w:szCs w:val="18"/>
                <w:highlight w:val="none"/>
              </w:rPr>
              <w:t>2</w:t>
            </w:r>
            <w:r>
              <w:rPr>
                <w:rFonts w:hint="eastAsia" w:ascii="宋体" w:hAnsi="宋体" w:cs="Times New Roman"/>
                <w:bCs/>
                <w:sz w:val="18"/>
                <w:szCs w:val="18"/>
                <w:highlight w:val="none"/>
              </w:rPr>
              <w:t>分，最低得分</w:t>
            </w:r>
            <w:r>
              <w:rPr>
                <w:rFonts w:ascii="宋体" w:hAnsi="宋体" w:cs="Times New Roman"/>
                <w:bCs/>
                <w:sz w:val="18"/>
                <w:szCs w:val="18"/>
                <w:highlight w:val="none"/>
              </w:rPr>
              <w:t>0</w:t>
            </w:r>
            <w:r>
              <w:rPr>
                <w:rFonts w:hint="eastAsia" w:ascii="宋体" w:hAnsi="宋体" w:cs="Times New Roman"/>
                <w:bCs/>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1" w:type="pct"/>
            <w:vMerge w:val="continue"/>
            <w:vAlign w:val="center"/>
          </w:tcPr>
          <w:p>
            <w:pPr>
              <w:jc w:val="center"/>
              <w:rPr>
                <w:rFonts w:ascii="宋体" w:hAnsi="宋体" w:cs="Times New Roman"/>
                <w:sz w:val="18"/>
                <w:szCs w:val="18"/>
                <w:highlight w:val="none"/>
              </w:rPr>
            </w:pPr>
          </w:p>
        </w:tc>
        <w:tc>
          <w:tcPr>
            <w:tcW w:w="294" w:type="pct"/>
            <w:vMerge w:val="restar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售后服务</w:t>
            </w:r>
          </w:p>
        </w:tc>
        <w:tc>
          <w:tcPr>
            <w:tcW w:w="295"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6</w:t>
            </w:r>
          </w:p>
        </w:tc>
        <w:tc>
          <w:tcPr>
            <w:tcW w:w="1355" w:type="pct"/>
            <w:vAlign w:val="center"/>
          </w:tcPr>
          <w:p>
            <w:pPr>
              <w:rPr>
                <w:rFonts w:ascii="宋体" w:hAnsi="宋体" w:cs="Times New Roman"/>
                <w:sz w:val="18"/>
                <w:szCs w:val="18"/>
                <w:highlight w:val="none"/>
              </w:rPr>
            </w:pPr>
            <w:r>
              <w:rPr>
                <w:rFonts w:hint="eastAsia" w:ascii="宋体" w:hAnsi="宋体" w:cs="Times New Roman"/>
                <w:sz w:val="18"/>
                <w:szCs w:val="18"/>
                <w:highlight w:val="none"/>
              </w:rPr>
              <w:t>技术培训方案：对采购方人员的技术培训方案安排科学、合理、可行</w:t>
            </w:r>
          </w:p>
        </w:tc>
        <w:tc>
          <w:tcPr>
            <w:tcW w:w="283"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5</w:t>
            </w:r>
          </w:p>
        </w:tc>
        <w:tc>
          <w:tcPr>
            <w:tcW w:w="2419"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1" w:type="pct"/>
            <w:vMerge w:val="continue"/>
            <w:vAlign w:val="center"/>
          </w:tcPr>
          <w:p>
            <w:pPr>
              <w:jc w:val="center"/>
              <w:rPr>
                <w:rFonts w:ascii="宋体" w:hAnsi="宋体" w:cs="Times New Roman"/>
                <w:sz w:val="18"/>
                <w:szCs w:val="18"/>
                <w:highlight w:val="none"/>
              </w:rPr>
            </w:pPr>
          </w:p>
        </w:tc>
        <w:tc>
          <w:tcPr>
            <w:tcW w:w="294" w:type="pct"/>
            <w:vMerge w:val="continue"/>
            <w:vAlign w:val="center"/>
          </w:tcPr>
          <w:p>
            <w:pPr>
              <w:jc w:val="center"/>
              <w:rPr>
                <w:rFonts w:ascii="宋体" w:hAnsi="宋体" w:cs="Times New Roman"/>
                <w:sz w:val="18"/>
                <w:szCs w:val="18"/>
                <w:highlight w:val="none"/>
              </w:rPr>
            </w:pPr>
          </w:p>
        </w:tc>
        <w:tc>
          <w:tcPr>
            <w:tcW w:w="295"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7</w:t>
            </w:r>
          </w:p>
        </w:tc>
        <w:tc>
          <w:tcPr>
            <w:tcW w:w="1355" w:type="pct"/>
            <w:vAlign w:val="center"/>
          </w:tcPr>
          <w:p>
            <w:pPr>
              <w:rPr>
                <w:rFonts w:ascii="宋体" w:hAnsi="宋体" w:cs="Times New Roman"/>
                <w:sz w:val="18"/>
                <w:szCs w:val="18"/>
                <w:highlight w:val="none"/>
              </w:rPr>
            </w:pPr>
            <w:r>
              <w:rPr>
                <w:rFonts w:hint="eastAsia" w:ascii="宋体" w:hAnsi="宋体" w:cs="Times New Roman"/>
                <w:bCs/>
                <w:sz w:val="18"/>
                <w:szCs w:val="18"/>
                <w:highlight w:val="none"/>
              </w:rPr>
              <w:t>投标人在中国有常驻的专业技术力量的维保机构并具有实施本项目维保的专业技术人员：</w:t>
            </w:r>
          </w:p>
        </w:tc>
        <w:tc>
          <w:tcPr>
            <w:tcW w:w="283" w:type="pct"/>
            <w:vAlign w:val="center"/>
          </w:tcPr>
          <w:p>
            <w:pPr>
              <w:jc w:val="center"/>
              <w:rPr>
                <w:rFonts w:ascii="宋体" w:hAnsi="宋体" w:cs="Times New Roman"/>
                <w:sz w:val="18"/>
                <w:szCs w:val="18"/>
                <w:highlight w:val="none"/>
              </w:rPr>
            </w:pPr>
            <w:r>
              <w:rPr>
                <w:rFonts w:ascii="宋体" w:hAnsi="宋体" w:cs="Times New Roman"/>
                <w:bCs/>
                <w:sz w:val="18"/>
                <w:szCs w:val="18"/>
                <w:highlight w:val="none"/>
              </w:rPr>
              <w:t>5</w:t>
            </w:r>
          </w:p>
        </w:tc>
        <w:tc>
          <w:tcPr>
            <w:tcW w:w="2419"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351" w:type="pct"/>
            <w:vMerge w:val="continue"/>
            <w:vAlign w:val="center"/>
          </w:tcPr>
          <w:p>
            <w:pPr>
              <w:jc w:val="center"/>
              <w:rPr>
                <w:rFonts w:ascii="宋体" w:hAnsi="宋体" w:cs="Times New Roman"/>
                <w:sz w:val="18"/>
                <w:szCs w:val="18"/>
                <w:highlight w:val="none"/>
              </w:rPr>
            </w:pPr>
          </w:p>
        </w:tc>
        <w:tc>
          <w:tcPr>
            <w:tcW w:w="294" w:type="pct"/>
            <w:vMerge w:val="continue"/>
            <w:vAlign w:val="center"/>
          </w:tcPr>
          <w:p>
            <w:pPr>
              <w:jc w:val="center"/>
              <w:rPr>
                <w:rFonts w:ascii="宋体" w:hAnsi="宋体" w:cs="Times New Roman"/>
                <w:sz w:val="18"/>
                <w:szCs w:val="18"/>
                <w:highlight w:val="none"/>
              </w:rPr>
            </w:pPr>
          </w:p>
        </w:tc>
        <w:tc>
          <w:tcPr>
            <w:tcW w:w="295"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8</w:t>
            </w:r>
          </w:p>
        </w:tc>
        <w:tc>
          <w:tcPr>
            <w:tcW w:w="1355" w:type="pct"/>
            <w:vAlign w:val="center"/>
          </w:tcPr>
          <w:p>
            <w:pPr>
              <w:rPr>
                <w:rFonts w:ascii="宋体" w:hAnsi="宋体" w:cs="Times New Roman"/>
                <w:sz w:val="18"/>
                <w:szCs w:val="18"/>
                <w:highlight w:val="none"/>
              </w:rPr>
            </w:pPr>
            <w:r>
              <w:rPr>
                <w:rFonts w:hint="eastAsia" w:ascii="宋体" w:hAnsi="宋体" w:cs="Times New Roman"/>
                <w:sz w:val="18"/>
                <w:szCs w:val="18"/>
                <w:highlight w:val="none"/>
              </w:rPr>
              <w:t>售后服务及时周到，有相应的服务承诺和具体的保证措施</w:t>
            </w:r>
          </w:p>
        </w:tc>
        <w:tc>
          <w:tcPr>
            <w:tcW w:w="283" w:type="pc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5</w:t>
            </w:r>
          </w:p>
        </w:tc>
        <w:tc>
          <w:tcPr>
            <w:tcW w:w="2419"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bl>
    <w:p>
      <w:pPr>
        <w:rPr>
          <w:rFonts w:ascii="宋体" w:hAnsi="宋体" w:eastAsia="宋体" w:cs="Times New Roman"/>
          <w:b/>
          <w:bCs/>
          <w:sz w:val="24"/>
          <w:highlight w:val="none"/>
        </w:rPr>
      </w:pPr>
      <w:bookmarkStart w:id="32" w:name="_GoBack"/>
      <w:bookmarkEnd w:id="32"/>
    </w:p>
    <w:p>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pPr>
        <w:pStyle w:val="2"/>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5"/>
                    <a:stretch>
                      <a:fillRect/>
                    </a:stretch>
                  </pic:blipFill>
                  <pic:spPr>
                    <a:xfrm>
                      <a:off x="0" y="0"/>
                      <a:ext cx="5758815" cy="27647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26" cstate="print"/>
                    <a:srcRect/>
                    <a:stretch>
                      <a:fillRect/>
                    </a:stretch>
                  </pic:blipFill>
                  <pic:spPr>
                    <a:xfrm>
                      <a:off x="0" y="0"/>
                      <a:ext cx="5760085" cy="2933065"/>
                    </a:xfrm>
                    <a:prstGeom prst="rect">
                      <a:avLst/>
                    </a:prstGeom>
                  </pic:spPr>
                </pic:pic>
              </a:graphicData>
            </a:graphic>
          </wp:inline>
        </w:drawing>
      </w:r>
    </w:p>
    <w:p>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pPr>
        <w:spacing w:line="360" w:lineRule="auto"/>
        <w:rPr>
          <w:rFonts w:ascii="宋体" w:hAnsi="宋体" w:eastAsia="宋体" w:cs="宋体"/>
          <w:sz w:val="24"/>
          <w:szCs w:val="28"/>
        </w:rPr>
      </w:pPr>
    </w:p>
    <w:p>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27" cstate="print"/>
                    <a:srcRect/>
                    <a:stretch>
                      <a:fillRect/>
                    </a:stretch>
                  </pic:blipFill>
                  <pic:spPr>
                    <a:xfrm>
                      <a:off x="0" y="0"/>
                      <a:ext cx="5760085" cy="276669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8" cstate="print"/>
                    <a:srcRect/>
                    <a:stretch>
                      <a:fillRect/>
                    </a:stretch>
                  </pic:blipFill>
                  <pic:spPr>
                    <a:xfrm>
                      <a:off x="0" y="0"/>
                      <a:ext cx="5760085" cy="28695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9" cstate="print"/>
                    <a:srcRect/>
                    <a:stretch>
                      <a:fillRect/>
                    </a:stretch>
                  </pic:blipFill>
                  <pic:spPr>
                    <a:xfrm>
                      <a:off x="0" y="0"/>
                      <a:ext cx="5760085" cy="2853055"/>
                    </a:xfrm>
                    <a:prstGeom prst="rect">
                      <a:avLst/>
                    </a:prstGeom>
                  </pic:spPr>
                </pic:pic>
              </a:graphicData>
            </a:graphic>
          </wp:inline>
        </w:drawing>
      </w:r>
    </w:p>
    <w:p>
      <w:pPr>
        <w:numPr>
          <w:ilvl w:val="0"/>
          <w:numId w:val="12"/>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0"/>
                    <a:stretch>
                      <a:fillRect/>
                    </a:stretch>
                  </pic:blipFill>
                  <pic:spPr>
                    <a:xfrm>
                      <a:off x="0" y="0"/>
                      <a:ext cx="5758180" cy="3058795"/>
                    </a:xfrm>
                    <a:prstGeom prst="rect">
                      <a:avLst/>
                    </a:prstGeom>
                    <a:noFill/>
                    <a:ln>
                      <a:noFill/>
                    </a:ln>
                  </pic:spPr>
                </pic:pic>
              </a:graphicData>
            </a:graphic>
          </wp:inline>
        </w:drawing>
      </w:r>
    </w:p>
    <w:p>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31" cstate="print"/>
                    <a:srcRect/>
                    <a:stretch>
                      <a:fillRect/>
                    </a:stretch>
                  </pic:blipFill>
                  <pic:spPr>
                    <a:xfrm>
                      <a:off x="0" y="0"/>
                      <a:ext cx="5760085" cy="28098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pPr>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pPr>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pPr>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工艺设备 / 工艺设备</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工艺研究院</w:t>
      </w:r>
      <w:r>
        <w:rPr>
          <w:rFonts w:hint="eastAsia" w:ascii="宋体" w:hAnsi="宋体" w:eastAsia="宋体" w:cs="宋体"/>
          <w:b/>
          <w:bCs/>
          <w:color w:val="000000"/>
          <w:sz w:val="24"/>
          <w:szCs w:val="28"/>
          <w:highlight w:val="none"/>
        </w:rPr>
        <w:t>”。</w:t>
      </w:r>
    </w:p>
    <w:p>
      <w:pPr>
        <w:keepNext w:val="0"/>
        <w:keepLines w:val="0"/>
        <w:pageBreakBefore w:val="0"/>
        <w:widowControl w:val="0"/>
        <w:numPr>
          <w:ilvl w:val="0"/>
          <w:numId w:val="14"/>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pPr>
        <w:outlineLvl w:val="9"/>
        <w:rPr>
          <w:rFonts w:hint="default"/>
          <w:lang w:val="en-US" w:eastAsia="zh-CN"/>
        </w:rPr>
        <w:sectPr>
          <w:headerReference r:id="rId19" w:type="first"/>
          <w:footerReference r:id="rId21" w:type="first"/>
          <w:headerReference r:id="rId18" w:type="default"/>
          <w:footerReference r:id="rId20"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2"/>
                    <a:stretch>
                      <a:fillRect/>
                    </a:stretch>
                  </pic:blipFill>
                  <pic:spPr>
                    <a:xfrm>
                      <a:off x="0" y="0"/>
                      <a:ext cx="5486400" cy="2661285"/>
                    </a:xfrm>
                    <a:prstGeom prst="rect">
                      <a:avLst/>
                    </a:prstGeom>
                    <a:noFill/>
                    <a:ln>
                      <a:noFill/>
                    </a:ln>
                  </pic:spPr>
                </pic:pic>
              </a:graphicData>
            </a:graphic>
          </wp:inline>
        </w:drawing>
      </w:r>
    </w:p>
    <w:p>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4"/>
          <w:rFonts w:hint="eastAsia" w:ascii="宋体" w:hAnsi="宋体" w:eastAsia="宋体" w:cs="宋体"/>
          <w:sz w:val="24"/>
          <w:szCs w:val="24"/>
        </w:rPr>
        <w:t>http</w:t>
      </w:r>
      <w:r>
        <w:rPr>
          <w:rStyle w:val="54"/>
          <w:rFonts w:hint="eastAsia" w:ascii="宋体" w:hAnsi="宋体" w:eastAsia="宋体" w:cs="宋体"/>
          <w:sz w:val="24"/>
          <w:szCs w:val="24"/>
          <w:lang w:val="en-US" w:eastAsia="zh-CN"/>
        </w:rPr>
        <w:t>s</w:t>
      </w:r>
      <w:r>
        <w:rPr>
          <w:rStyle w:val="54"/>
          <w:rFonts w:hint="eastAsia" w:ascii="宋体" w:hAnsi="宋体" w:eastAsia="宋体" w:cs="宋体"/>
          <w:sz w:val="24"/>
          <w:szCs w:val="24"/>
        </w:rPr>
        <w:t>://ecaitong.sinotruk.com:8012/</w:t>
      </w:r>
      <w:r>
        <w:rPr>
          <w:rStyle w:val="54"/>
          <w:rFonts w:hint="eastAsia" w:ascii="宋体" w:hAnsi="宋体" w:eastAsia="宋体" w:cs="宋体"/>
          <w:sz w:val="24"/>
          <w:szCs w:val="24"/>
        </w:rPr>
        <w:fldChar w:fldCharType="end"/>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33" cstate="print"/>
                    <a:srcRect/>
                    <a:stretch>
                      <a:fillRect/>
                    </a:stretch>
                  </pic:blipFill>
                  <pic:spPr>
                    <a:xfrm>
                      <a:off x="0" y="0"/>
                      <a:ext cx="5760085" cy="2269490"/>
                    </a:xfrm>
                    <a:prstGeom prst="rect">
                      <a:avLst/>
                    </a:prstGeom>
                  </pic:spPr>
                </pic:pic>
              </a:graphicData>
            </a:graphic>
          </wp:inline>
        </w:drawing>
      </w:r>
    </w:p>
    <w:p>
      <w:pPr>
        <w:pStyle w:val="2"/>
      </w:pPr>
    </w:p>
    <w:p>
      <w:pPr>
        <w:pStyle w:val="2"/>
      </w:pPr>
      <w:r>
        <w:rPr>
          <w:rFonts w:hint="eastAsia" w:cs="Times New Roman"/>
          <w:b/>
          <w:bCs/>
          <w:highlight w:val="none"/>
          <w:lang w:val="en-US" w:eastAsia="zh-CN"/>
        </w:rPr>
        <w:t>2、应标页面否为代理商请如实选择，若为代理商应标，请在应标后联系商务联系人</w:t>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4" cstate="print"/>
                    <a:srcRect/>
                    <a:stretch>
                      <a:fillRect/>
                    </a:stretch>
                  </pic:blipFill>
                  <pic:spPr>
                    <a:xfrm>
                      <a:off x="0" y="0"/>
                      <a:ext cx="5760085" cy="2125345"/>
                    </a:xfrm>
                    <a:prstGeom prst="rect">
                      <a:avLst/>
                    </a:prstGeom>
                  </pic:spPr>
                </pic:pic>
              </a:graphicData>
            </a:graphic>
          </wp:inline>
        </w:drawing>
      </w:r>
    </w:p>
    <w:p>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2"/>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5" cstate="print"/>
                    <a:srcRect/>
                    <a:stretch>
                      <a:fillRect/>
                    </a:stretch>
                  </pic:blipFill>
                  <pic:spPr>
                    <a:xfrm>
                      <a:off x="0" y="0"/>
                      <a:ext cx="5490210" cy="266890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6" cstate="print"/>
                    <a:srcRect/>
                    <a:stretch>
                      <a:fillRect/>
                    </a:stretch>
                  </pic:blipFill>
                  <pic:spPr>
                    <a:xfrm>
                      <a:off x="0" y="0"/>
                      <a:ext cx="5490210" cy="199262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7" cstate="print"/>
                    <a:srcRect/>
                    <a:stretch>
                      <a:fillRect/>
                    </a:stretch>
                  </pic:blipFill>
                  <pic:spPr>
                    <a:xfrm>
                      <a:off x="0" y="0"/>
                      <a:ext cx="5490210" cy="254444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8" cstate="print"/>
                    <a:srcRect/>
                    <a:stretch>
                      <a:fillRect/>
                    </a:stretch>
                  </pic:blipFill>
                  <pic:spPr>
                    <a:xfrm>
                      <a:off x="0" y="0"/>
                      <a:ext cx="5760085" cy="1956435"/>
                    </a:xfrm>
                    <a:prstGeom prst="rect">
                      <a:avLst/>
                    </a:prstGeom>
                  </pic:spPr>
                </pic:pic>
              </a:graphicData>
            </a:graphic>
          </wp:inline>
        </w:drawing>
      </w:r>
    </w:p>
    <w:p>
      <w:pPr>
        <w:pStyle w:val="2"/>
        <w:rPr>
          <w:rFonts w:hAnsi="宋体" w:eastAsia="宋体" w:cs="Times New Roman"/>
          <w:b/>
          <w:color w:val="000000"/>
          <w:sz w:val="24"/>
          <w:szCs w:val="24"/>
        </w:rPr>
      </w:pPr>
    </w:p>
    <w:p>
      <w:pPr>
        <w:pStyle w:val="2"/>
        <w:rPr>
          <w:rFonts w:hAnsi="宋体" w:eastAsia="宋体" w:cs="Times New Roman"/>
          <w:b/>
          <w:color w:val="000000"/>
          <w:sz w:val="24"/>
          <w:szCs w:val="24"/>
        </w:rPr>
      </w:pPr>
    </w:p>
    <w:p>
      <w:pPr>
        <w:rPr>
          <w:rFonts w:hint="default" w:ascii="宋体" w:hAnsi="宋体" w:eastAsia="宋体" w:cs="宋体"/>
          <w:sz w:val="24"/>
          <w:szCs w:val="24"/>
          <w:lang w:val="en-US"/>
        </w:rPr>
      </w:pPr>
    </w:p>
    <w:p>
      <w:pPr>
        <w:pStyle w:val="223"/>
        <w:ind w:left="0" w:leftChars="0" w:right="960" w:firstLine="0" w:firstLineChars="0"/>
        <w:jc w:val="both"/>
        <w:rPr>
          <w:rFonts w:hint="eastAsia" w:asciiTheme="minorEastAsia" w:hAnsiTheme="minorEastAsia" w:eastAsiaTheme="minorEastAsia" w:cstheme="minorEastAsia"/>
        </w:rPr>
      </w:pPr>
    </w:p>
    <w:sectPr>
      <w:headerReference r:id="rId22" w:type="default"/>
      <w:footerReference r:id="rId23"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
    <w:altName w:val="等线"/>
    <w:panose1 w:val="00000000000000000000"/>
    <w:charset w:val="86"/>
    <w:family w:val="auto"/>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Tms Rmn">
    <w:altName w:val="Segoe Print"/>
    <w:panose1 w:val="02020603040505020304"/>
    <w:charset w:val="00"/>
    <w:family w:val="roman"/>
    <w:pitch w:val="default"/>
    <w:sig w:usb0="00000000" w:usb1="00000000" w:usb2="00000000" w:usb3="00000000" w:csb0="00000001" w:csb1="0000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PMingLiU-ExtB">
    <w:panose1 w:val="02020500000000000000"/>
    <w:charset w:val="88"/>
    <w:family w:val="auto"/>
    <w:pitch w:val="default"/>
    <w:sig w:usb0="8000002F" w:usb1="02000008" w:usb2="00000000" w:usb3="00000000" w:csb0="00100001" w:csb1="00000000"/>
  </w:font>
  <w:font w:name="Malgun Gothic">
    <w:panose1 w:val="020B0503020000020004"/>
    <w:charset w:val="81"/>
    <w:family w:val="auto"/>
    <w:pitch w:val="default"/>
    <w:sig w:usb0="9000002F" w:usb1="29D77CFB" w:usb2="00000012" w:usb3="00000000" w:csb0="0008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9"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Ik7QtAgAAWAQAAA4AAABkcnMvZTJvRG9jLnhtbK1UzY7TMBC+I/EO&#10;lu80aRGrUj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2JSRhToplCx08/vp9+&#10;Ppx+fSPj/G1UqLV+hsB7i9DQvTMdoodzj8NIvKucil9QIvBD3+NFX9EFwuOl6WQ6zeHi8A0b4GeP&#10;163z4b0wikSjoA4NTLqyw8aHPnQIidm0WTdSpiZKTdqCXr1+k6cLFw/ApUaOSKIvNlqh23ZnZltT&#10;HkHMmX44vOXrBsk3zIc75jANKBjvJdxiqaRBEnO2KKmN+/qv8xiPJsFLSYvpKqjGY6JEftBoHgDD&#10;YLjB2A6G3qsbg3FFP1BLMnHBBTmYlTPqCx7RMuaAi2mOTAUNg3kT+gnHI+RiuUxBGDfLwkbfWx6h&#10;o3jeLvcBAiZdoyi9EmetMHCpM+fHESf6z32Kevwh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OIk7Q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J8tctAgAAVwQAAA4AAABkcnMvZTJvRG9jLnhtbK1UzY7TMBC+I/EO&#10;lu80bdEuVdV0VbYqQqrYlQri7DpOE8l/st0m5QHgDThx4c5z9Tn47DQtWjjsgYvz2TP+xvPNTGZ3&#10;rZLkIJyvjc7paDCkRGhuilrvcvrp4+rVhBIfmC6YNFrk9Cg8vZu/fDFr7FSMTWVkIRwBifbTxua0&#10;CsFOs8zzSijmB8YKDWNpnGIBW7fLCscasCuZjYfD26wxrrDOcOE9TpedkZ4Z3XMITVnWXCwN3yuh&#10;Q8fqhGQBKfmqtp7O02vLUvDwUJZeBCJzikxDWhEEeBvXbD5j051jtqr5+QnsOU94kpNitUbQC9WS&#10;BUb2rv6LStXcGW/KMOBGZV0iSRFkMRo+0WZTMStSLpDa24vo/v/R8g+HR0fqIqdvbijRTKHip+/f&#10;Tj9+nX5+JeMkUGP9FH4bC8/QvjUt2iYKF889DmPebelU/CIjAjvkPV7kFW0gPF6ajCeTIUwctn4D&#10;nux63Tof3gmjSAQ5dahfkpUd1j50rr1LjKbNqpYy1VBq0uT09vXNMF24WEAuNWJcHxtRaLftOYOt&#10;KY5IzJmuN7zlqxrB18yHR+bQDHgwxiU8YCmlQRBzRpRUxn3513n0R41gpaRBc+VUY5Yoke81agfC&#10;0APXg20P9F7dG3TrCGNoeYK44ILsYemM+owZWsQYMDHNESmnoYf3oWtwzCAXi0VyQrdZFtZ6Y3mk&#10;juJ5u9gHCJh0jaJ0Spy1Qr+lypxnIzb0n/vkdf0f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wJ8tctAgAAVw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5"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U8bYvAgAAWAQAAA4AAABkcnMvZTJvRG9jLnhtbK1US27bMBDdF+gd&#10;CO5ryS6SG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mhhLNFCp+/vH9&#10;/PPx/OsbGY+vokK19TMEbi1CQ/PONOib4dzjMBJvCqfiF5QI/ND3dNFXNIHweGk6mU5TuDh8wwb4&#10;ydN163x4L4wi0cioQwFbXdlx40MXOoTEbNqsKynbIkpN6oxev71K2wsXD8ClRo5IontstEKza3pm&#10;O5OfQMyZrjm85esKyTfMhwfm0A14MOYl3GMppEES01uUlMZ9/dd5jEeR4KWkRndlVGOYKJEfNIoH&#10;wDAYbjB2g6EP6s6gXceYQ8tbExdckINZOKO+YIiWMQdcTHNkymgYzLvQdTiGkIvlsg1Cu1kWNnpr&#10;eYSO4nm7PAQI2OoaRemU6LVCw7WV6YcjdvSf+zbq6Ye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1dTxti8CAABYBAAADgAAAAAAAAABACAAAAAfAQAAZHJzL2Uyb0RvYy54bWxQSwUGAAAA&#10;AAYABgBZAQAAwAU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- 17 -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- 17 -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4VEuAgAAWAQAAA4AAABkcnMvZTJvRG9jLnhtbK1UzY7aMBC+V+o7&#10;WL6XABUrhAgruoiqEuqutK16No5DIvlPtiGhD9C+QU+99N7n4jn2s0Og2vawh16cz57xN55vZjK/&#10;bZUkB+F8bXROR4MhJUJzU9R6l9PPn9ZvppT4wHTBpNEip0fh6e3i9at5Y2dibCojC+EISLSfNTan&#10;VQh2lmWeV0IxPzBWaBhL4xQL2LpdVjjWgF3JbDwc3mSNcYV1hgvvcbrqjPTM6F5CaMqy5mJl+F4J&#10;HTpWJyQLSMlXtfV0kV5bloKH+7L0IhCZU2Qa0oogwNu4Zos5m+0cs1XNz09gL3nCs5wUqzWCXqhW&#10;LDCyd/VfVKrmznhThgE3KusSSYogi9HwmTaPFbMi5QKpvb2I7v8fLf94eHCkLnI6mVCimULFTz++&#10;n37+Pv36RkbDpFBj/QyOjxauoX1nWvRNVC6eexzGxNvSqfhFSgR26Hu86CvaQHi8NB1Pp6AkHLZ+&#10;A57set06H94Lo0gEOXUoYNKVHTY+dK69S4ymzbqWMhVRatLk9ObtZJguXCwglxoxro+NKLTb9pzB&#10;1hRHJOZM1xze8nWN4BvmwwNz6AY8GPMS7rGU0iCIOSNKKuO+/us8+qNIsFLSoLtyqjFMlMgPGsUD&#10;YeiB68G2B3qv7gzadYQ5tDxBXHBB9rB0Rn3BEC1jDJiY5oiU09DDu9B1OIaQi+UyOaHdLAsb/Wh5&#10;pI7iebvcBwiYdI2idEqctULDpcqchyN29J/75HX9ISy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bC+FRLgIAAFgEAAAOAAAAAAAAAAEAIAAAAB8BAABkcnMvZTJvRG9jLnhtbFBLBQYAAAAA&#10;BgAGAFkBAAC/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iCokuAgAAWA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x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tIgqJLgIAAFgEAAAOAAAAAAAAAAEAIAAAAB8BAABkcnMvZTJvRG9jLnhtbFBLBQYAAAAA&#10;BgAGAFkBAAC/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TWguAgAAWA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J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0P01oLgIAAFgEAAAOAAAAAAAAAAEAIAAAAB8BAABkcnMvZTJvRG9jLnhtbFBLBQYAAAAA&#10;BgAGAFkBAAC/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xhuQtAgAAWAQAAA4AAABkcnMvZTJvRG9jLnhtbK1UzY7TMBC+I/EO&#10;lu80aVesqqrpqmxVhFSxKy2Is+s4TST/yXablAeAN+DEhTvP1efYz07TRQuHPXBxxp7xN/N9M878&#10;plOSHITzjdEFHY9ySoTmpmz0rqCfP63fTCnxgemSSaNFQY/C05vF61fz1s7ExNRGlsIRgGg/a21B&#10;6xDsLMs8r4VifmSs0HBWxikWsHW7rHSsBbqS2STPr7PWuNI6w4X3OF31TnpGdC8BNFXVcLEyfK+E&#10;Dj2qE5IFUPJ1Yz1dpGqrSvBwV1VeBCILCqYhrUgCexvXbDFns51jtm74uQT2khKecVKs0Uh6gVqx&#10;wMjeNX9BqYY7400VRtyorCeSFAGLcf5Mm4eaWZG4QGpvL6L7/wfLPx7uHWnKgl6PKdFMoeOnH99P&#10;P3+ffn0j4/wqKtRaP0Pgg0Vo6N6ZDnMznHscRuJd5VT8ghKBH/oeL/qKLhAeL00n02kOF4dv2AA/&#10;e7punQ/vhVEkGgV1aGDSlR02PvShQ0jMps26kTI1UWrSgsXV2zxduHgALjVyRBJ9sdEK3bY7M9ua&#10;8ghizvTD4S1fN0i+YT7cM4dpQMF4L+EOSyUNkpizRUlt3Nd/ncd4NAleSlpMV0E1HhMl8oNG8wAY&#10;BsMNxnYw9F7dGowr+oFakokLLsjBrJxRX/CIljEHXExzZCpoGMzb0E84HiEXy2UKwrhZFjb6wfII&#10;HcXzdrkPEDDpGkXplThrhYFLnTk/jjjRf+5T1NMPYfE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DxhuQ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4"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1CvktAgAAWA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kQzhYqffnw/&#10;/Xw4/fpGxvmbqFBr/QyB9xahoXtnOvTNcO5xGIl3lVPxC0oEfuh7vOgrukB4vDSdTKc5XBy+YQP8&#10;7PG6dT68F0aRaBTUoYBJV3bY+NCHDiExmzbrRspURKlJG1m8zdOFiwfgUiNHJNE/Nlqh23ZnZltT&#10;HkHMmb45vOXrBsk3zIc75tANeDDmJdxiqaRBEnO2KKmN+/qv8xiPIsFLSYvuKqjGMFEiP2gUD4Bh&#10;MNxgbAdD79WNQbuOMYeWJxMXXJCDWTmjvmCIljEHXExzZCpoGMyb0Hc4hpCL5TIFod0sCxt9b3mE&#10;juJ5u9wHCJh0jaL0Spy1QsOlypyHI3b0n/sU9fhD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L1Cvk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5"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sZAgtAgAAWA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b2ZUqKZQsUvP75f&#10;fv6+/PpGxuk0KlRbP0fgziI0NO9Mg74Zzj0OI/GmcCp+QYnAD33PV31FEwiPl2aT2SyFi8M3bICf&#10;PF23zof3wigSjYw6FLDVlZ22PnShQ0jMps2mkrItotSkBou307S9cPUAXGrkiCS6x0YrNPumZ7Y3&#10;+RnEnOmaw1u+qZB8y3x4YA7dgAdjXsI9lkIaJDG9RUlp3Nd/ncd4FAleSmp0V0Y1hokS+UGjeAAM&#10;g+EGYz8Y+qjuDNp1jDm0vDVxwQU5mIUz6guGaBVzwMU0R6aMhsG8C12HYwi5WK3aILSbZWGrd5ZH&#10;6Ciet6tjgICtrlGUToleKzRcW5l+OGJH/7lvo55+CM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VsZAg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8"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mSxAItAgAAWA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xvk0KtRaP0PgvUVo6N6ZDn0znHscRuJd5VT8ghKBH/oeL/qKLhAeL00n02kOF4dv2AA/&#10;e7xunQ/vhVEkGgV1KGDSlR02PvShQ0jMps26kTIVUWrSgsXrN3m6cPEAXGrkiCT6x0YrdNvuzGxr&#10;yiOIOdM3h7d83SD5hvlwxxy6AQ/GvIRbLJU0SGLOFiW1cV//dR7jUSR4KWnRXQXVGCZK5AeN4gEw&#10;DIYbjO1g6L26MWjXMebQ8mTiggtyMCtn1BcM0TLmgItpjkwFDYN5E/oOxxBysVymILSbZWGj7y2P&#10;0FE8b5f7AAGTrlGUXomzVmi4VJnzcMSO/nOfoh5/C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mSxAI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p>
    <w:pPr>
      <w:pStyle w:val="3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1B3AF5"/>
    <w:multiLevelType w:val="singleLevel"/>
    <w:tmpl w:val="891B3AF5"/>
    <w:lvl w:ilvl="0" w:tentative="0">
      <w:start w:val="1"/>
      <w:numFmt w:val="decimal"/>
      <w:lvlText w:val="%1."/>
      <w:lvlJc w:val="left"/>
      <w:pPr>
        <w:tabs>
          <w:tab w:val="left" w:pos="312"/>
        </w:tabs>
      </w:pPr>
    </w:lvl>
  </w:abstractNum>
  <w:abstractNum w:abstractNumId="1">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2">
    <w:nsid w:val="F54BF83F"/>
    <w:multiLevelType w:val="singleLevel"/>
    <w:tmpl w:val="F54BF83F"/>
    <w:lvl w:ilvl="0" w:tentative="0">
      <w:start w:val="1"/>
      <w:numFmt w:val="decimal"/>
      <w:suff w:val="space"/>
      <w:lvlText w:val="%1."/>
      <w:lvlJc w:val="left"/>
      <w:pPr>
        <w:ind w:left="0" w:firstLine="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46931FF"/>
    <w:multiLevelType w:val="singleLevel"/>
    <w:tmpl w:val="046931FF"/>
    <w:lvl w:ilvl="0" w:tentative="0">
      <w:start w:val="1"/>
      <w:numFmt w:val="chineseCounting"/>
      <w:suff w:val="nothing"/>
      <w:lvlText w:val="%1、"/>
      <w:lvlJc w:val="left"/>
      <w:pPr>
        <w:ind w:left="0" w:firstLine="420"/>
      </w:pPr>
      <w:rPr>
        <w:rFonts w:hint="eastAsia"/>
      </w:rPr>
    </w:lvl>
  </w:abstractNum>
  <w:abstractNum w:abstractNumId="5">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6">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AF0723E"/>
    <w:multiLevelType w:val="singleLevel"/>
    <w:tmpl w:val="4AF0723E"/>
    <w:lvl w:ilvl="0" w:tentative="0">
      <w:start w:val="2"/>
      <w:numFmt w:val="chineseCounting"/>
      <w:suff w:val="nothing"/>
      <w:lvlText w:val="%1、"/>
      <w:lvlJc w:val="left"/>
      <w:rPr>
        <w:rFonts w:hint="eastAsia"/>
      </w:rPr>
    </w:lvl>
  </w:abstractNum>
  <w:abstractNum w:abstractNumId="9">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0">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1">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7A612DE2"/>
    <w:multiLevelType w:val="singleLevel"/>
    <w:tmpl w:val="7A612DE2"/>
    <w:lvl w:ilvl="0" w:tentative="0">
      <w:start w:val="2"/>
      <w:numFmt w:val="decimal"/>
      <w:lvlText w:val="%1."/>
      <w:lvlJc w:val="left"/>
      <w:pPr>
        <w:tabs>
          <w:tab w:val="left" w:pos="312"/>
        </w:tabs>
      </w:pPr>
    </w:lvl>
  </w:abstractNum>
  <w:num w:numId="1">
    <w:abstractNumId w:val="9"/>
  </w:num>
  <w:num w:numId="2">
    <w:abstractNumId w:val="5"/>
  </w:num>
  <w:num w:numId="3">
    <w:abstractNumId w:val="10"/>
  </w:num>
  <w:num w:numId="4">
    <w:abstractNumId w:val="1"/>
  </w:num>
  <w:num w:numId="5">
    <w:abstractNumId w:val="12"/>
  </w:num>
  <w:num w:numId="6">
    <w:abstractNumId w:val="7"/>
  </w:num>
  <w:num w:numId="7">
    <w:abstractNumId w:val="6"/>
  </w:num>
  <w:num w:numId="8">
    <w:abstractNumId w:val="11"/>
  </w:num>
  <w:num w:numId="9">
    <w:abstractNumId w:val="13"/>
  </w:num>
  <w:num w:numId="10">
    <w:abstractNumId w:val="4"/>
  </w:num>
  <w:num w:numId="11">
    <w:abstractNumId w:val="0"/>
  </w:num>
  <w:num w:numId="12">
    <w:abstractNumId w:val="3"/>
  </w:num>
  <w:num w:numId="13">
    <w:abstractNumId w:val="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5BC2"/>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14A4B87"/>
    <w:rsid w:val="01F52FF1"/>
    <w:rsid w:val="0271589A"/>
    <w:rsid w:val="02A824AD"/>
    <w:rsid w:val="02E74D14"/>
    <w:rsid w:val="02FC5AB3"/>
    <w:rsid w:val="031C2AD4"/>
    <w:rsid w:val="035E6B0B"/>
    <w:rsid w:val="03CD1C55"/>
    <w:rsid w:val="03F51722"/>
    <w:rsid w:val="04B15209"/>
    <w:rsid w:val="04D70225"/>
    <w:rsid w:val="05160EF2"/>
    <w:rsid w:val="07086751"/>
    <w:rsid w:val="085E6E00"/>
    <w:rsid w:val="09E069A9"/>
    <w:rsid w:val="0AD876A7"/>
    <w:rsid w:val="0BEB0202"/>
    <w:rsid w:val="0C22513B"/>
    <w:rsid w:val="0D326CC2"/>
    <w:rsid w:val="0D4A5F0F"/>
    <w:rsid w:val="0E3B77DA"/>
    <w:rsid w:val="0EA03360"/>
    <w:rsid w:val="0F5B6CC7"/>
    <w:rsid w:val="0FFE195E"/>
    <w:rsid w:val="1273066F"/>
    <w:rsid w:val="1378147A"/>
    <w:rsid w:val="13901C58"/>
    <w:rsid w:val="14CD4184"/>
    <w:rsid w:val="17051824"/>
    <w:rsid w:val="1868332D"/>
    <w:rsid w:val="18A05A26"/>
    <w:rsid w:val="19355040"/>
    <w:rsid w:val="1C766D20"/>
    <w:rsid w:val="1D0A3B6C"/>
    <w:rsid w:val="1DA82577"/>
    <w:rsid w:val="1DD15E62"/>
    <w:rsid w:val="1E1170AC"/>
    <w:rsid w:val="1FB6553C"/>
    <w:rsid w:val="20B31CE5"/>
    <w:rsid w:val="21453C2A"/>
    <w:rsid w:val="216677C8"/>
    <w:rsid w:val="21AD42F3"/>
    <w:rsid w:val="2273785F"/>
    <w:rsid w:val="22A44CDF"/>
    <w:rsid w:val="23C056A6"/>
    <w:rsid w:val="24000969"/>
    <w:rsid w:val="25F969F8"/>
    <w:rsid w:val="26132BD3"/>
    <w:rsid w:val="26E47A81"/>
    <w:rsid w:val="29954E1E"/>
    <w:rsid w:val="29C928E7"/>
    <w:rsid w:val="2A794B1C"/>
    <w:rsid w:val="2A7C02EC"/>
    <w:rsid w:val="2A8F7CD5"/>
    <w:rsid w:val="2AA35E8D"/>
    <w:rsid w:val="2ABC137C"/>
    <w:rsid w:val="2B3F4DD2"/>
    <w:rsid w:val="2B477C1E"/>
    <w:rsid w:val="2B9654FA"/>
    <w:rsid w:val="2C096479"/>
    <w:rsid w:val="2CFE49D8"/>
    <w:rsid w:val="2D8F6E8D"/>
    <w:rsid w:val="2DB54478"/>
    <w:rsid w:val="2E7345D1"/>
    <w:rsid w:val="304E7F5C"/>
    <w:rsid w:val="30E94E0D"/>
    <w:rsid w:val="332B21BB"/>
    <w:rsid w:val="33E93B9F"/>
    <w:rsid w:val="353F5A8C"/>
    <w:rsid w:val="357240D1"/>
    <w:rsid w:val="36DE1355"/>
    <w:rsid w:val="36E22E88"/>
    <w:rsid w:val="3862196A"/>
    <w:rsid w:val="38767A34"/>
    <w:rsid w:val="393D26BB"/>
    <w:rsid w:val="3A5B7C10"/>
    <w:rsid w:val="3AC54CA3"/>
    <w:rsid w:val="3B1F2605"/>
    <w:rsid w:val="3D64796E"/>
    <w:rsid w:val="3D654681"/>
    <w:rsid w:val="3D9C2881"/>
    <w:rsid w:val="3E384DE6"/>
    <w:rsid w:val="3E516500"/>
    <w:rsid w:val="3E5D1AD7"/>
    <w:rsid w:val="3E602DD4"/>
    <w:rsid w:val="3EF074BC"/>
    <w:rsid w:val="3F4A7C0C"/>
    <w:rsid w:val="3F801B0E"/>
    <w:rsid w:val="3FC9475C"/>
    <w:rsid w:val="4073010F"/>
    <w:rsid w:val="413C1020"/>
    <w:rsid w:val="41A55A6F"/>
    <w:rsid w:val="429D2840"/>
    <w:rsid w:val="42EC3C65"/>
    <w:rsid w:val="436A373C"/>
    <w:rsid w:val="450914F5"/>
    <w:rsid w:val="46EE20F4"/>
    <w:rsid w:val="48A82A9E"/>
    <w:rsid w:val="48EE2DDA"/>
    <w:rsid w:val="49A04C0B"/>
    <w:rsid w:val="49DF11B1"/>
    <w:rsid w:val="4A082E0A"/>
    <w:rsid w:val="4A7909BF"/>
    <w:rsid w:val="4AC268B8"/>
    <w:rsid w:val="4CB46925"/>
    <w:rsid w:val="4CC51E60"/>
    <w:rsid w:val="4CD949FD"/>
    <w:rsid w:val="4CDD5E7C"/>
    <w:rsid w:val="4F4A4FC8"/>
    <w:rsid w:val="508341B3"/>
    <w:rsid w:val="50D63321"/>
    <w:rsid w:val="51654692"/>
    <w:rsid w:val="52173BDE"/>
    <w:rsid w:val="5252155F"/>
    <w:rsid w:val="525C3F11"/>
    <w:rsid w:val="52AB7D96"/>
    <w:rsid w:val="539F1369"/>
    <w:rsid w:val="53EF1D03"/>
    <w:rsid w:val="542839C5"/>
    <w:rsid w:val="548B076F"/>
    <w:rsid w:val="54D7260C"/>
    <w:rsid w:val="55176E8F"/>
    <w:rsid w:val="55B17EA6"/>
    <w:rsid w:val="55F81978"/>
    <w:rsid w:val="567E0278"/>
    <w:rsid w:val="57E02431"/>
    <w:rsid w:val="58055C15"/>
    <w:rsid w:val="58AE4B70"/>
    <w:rsid w:val="596942D5"/>
    <w:rsid w:val="5A842C2A"/>
    <w:rsid w:val="5BAF4E87"/>
    <w:rsid w:val="5BEA5669"/>
    <w:rsid w:val="5E2C0A11"/>
    <w:rsid w:val="5F377063"/>
    <w:rsid w:val="5F863EBA"/>
    <w:rsid w:val="5F892770"/>
    <w:rsid w:val="5FF411EE"/>
    <w:rsid w:val="602C50F1"/>
    <w:rsid w:val="604069F6"/>
    <w:rsid w:val="61A37EC2"/>
    <w:rsid w:val="62E50A5D"/>
    <w:rsid w:val="62EE51EA"/>
    <w:rsid w:val="633A3E82"/>
    <w:rsid w:val="643D185D"/>
    <w:rsid w:val="65E3187B"/>
    <w:rsid w:val="673F2C72"/>
    <w:rsid w:val="682D3710"/>
    <w:rsid w:val="684F0CF6"/>
    <w:rsid w:val="688D47A2"/>
    <w:rsid w:val="68C06BDA"/>
    <w:rsid w:val="69F8009E"/>
    <w:rsid w:val="6AB76068"/>
    <w:rsid w:val="6AC768E1"/>
    <w:rsid w:val="6C9132F0"/>
    <w:rsid w:val="6CA600C4"/>
    <w:rsid w:val="6D364707"/>
    <w:rsid w:val="6D3978A6"/>
    <w:rsid w:val="6D5B701C"/>
    <w:rsid w:val="6D5E04BB"/>
    <w:rsid w:val="6E423C99"/>
    <w:rsid w:val="6EE25A7B"/>
    <w:rsid w:val="701B08E6"/>
    <w:rsid w:val="709A6050"/>
    <w:rsid w:val="70CB0589"/>
    <w:rsid w:val="71467BE4"/>
    <w:rsid w:val="71865B23"/>
    <w:rsid w:val="72276117"/>
    <w:rsid w:val="72385286"/>
    <w:rsid w:val="726A16B0"/>
    <w:rsid w:val="734D2DC8"/>
    <w:rsid w:val="736A2597"/>
    <w:rsid w:val="73E6120B"/>
    <w:rsid w:val="745464E2"/>
    <w:rsid w:val="74995770"/>
    <w:rsid w:val="74B95405"/>
    <w:rsid w:val="74D472B5"/>
    <w:rsid w:val="75CD3E17"/>
    <w:rsid w:val="76B455F0"/>
    <w:rsid w:val="76C375E1"/>
    <w:rsid w:val="76C9322B"/>
    <w:rsid w:val="7771624F"/>
    <w:rsid w:val="77BF424C"/>
    <w:rsid w:val="790C526F"/>
    <w:rsid w:val="7A8F4EBB"/>
    <w:rsid w:val="7B7D68D6"/>
    <w:rsid w:val="7B802C44"/>
    <w:rsid w:val="7CFC35DA"/>
    <w:rsid w:val="7D035D55"/>
    <w:rsid w:val="7D580FFF"/>
    <w:rsid w:val="7DD759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1"/>
    <w:qFormat/>
    <w:uiPriority w:val="0"/>
    <w:pPr>
      <w:keepNext/>
      <w:keepLines/>
      <w:spacing w:before="340" w:after="330" w:line="576" w:lineRule="auto"/>
      <w:outlineLvl w:val="0"/>
    </w:pPr>
    <w:rPr>
      <w:b/>
      <w:kern w:val="44"/>
      <w:sz w:val="44"/>
      <w:lang w:val="zh-CN"/>
    </w:rPr>
  </w:style>
  <w:style w:type="paragraph" w:styleId="4">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5">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6">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7">
    <w:name w:val="heading 5"/>
    <w:basedOn w:val="1"/>
    <w:next w:val="8"/>
    <w:link w:val="66"/>
    <w:qFormat/>
    <w:uiPriority w:val="0"/>
    <w:pPr>
      <w:keepNext/>
      <w:keepLines/>
      <w:spacing w:before="280" w:after="290" w:line="372" w:lineRule="auto"/>
      <w:outlineLvl w:val="4"/>
    </w:pPr>
    <w:rPr>
      <w:b/>
      <w:sz w:val="28"/>
      <w:lang w:val="zh-CN"/>
    </w:rPr>
  </w:style>
  <w:style w:type="paragraph" w:styleId="9">
    <w:name w:val="heading 6"/>
    <w:basedOn w:val="1"/>
    <w:next w:val="8"/>
    <w:link w:val="67"/>
    <w:qFormat/>
    <w:uiPriority w:val="0"/>
    <w:pPr>
      <w:keepNext/>
      <w:keepLines/>
      <w:spacing w:before="240" w:after="64" w:line="317" w:lineRule="auto"/>
      <w:outlineLvl w:val="5"/>
    </w:pPr>
    <w:rPr>
      <w:rFonts w:ascii="Arial" w:hAnsi="Arial" w:eastAsia="黑体"/>
      <w:b/>
      <w:sz w:val="24"/>
      <w:lang w:val="zh-CN"/>
    </w:rPr>
  </w:style>
  <w:style w:type="paragraph" w:styleId="10">
    <w:name w:val="heading 7"/>
    <w:basedOn w:val="1"/>
    <w:next w:val="8"/>
    <w:link w:val="68"/>
    <w:qFormat/>
    <w:uiPriority w:val="0"/>
    <w:pPr>
      <w:keepNext/>
      <w:keepLines/>
      <w:spacing w:before="240" w:after="64" w:line="317" w:lineRule="auto"/>
      <w:outlineLvl w:val="6"/>
    </w:pPr>
    <w:rPr>
      <w:b/>
      <w:sz w:val="24"/>
      <w:lang w:val="zh-CN"/>
    </w:rPr>
  </w:style>
  <w:style w:type="paragraph" w:styleId="11">
    <w:name w:val="heading 8"/>
    <w:basedOn w:val="1"/>
    <w:next w:val="8"/>
    <w:link w:val="69"/>
    <w:qFormat/>
    <w:uiPriority w:val="0"/>
    <w:pPr>
      <w:keepNext/>
      <w:keepLines/>
      <w:spacing w:before="240" w:after="64" w:line="317" w:lineRule="auto"/>
      <w:outlineLvl w:val="7"/>
    </w:pPr>
    <w:rPr>
      <w:rFonts w:ascii="Arial" w:hAnsi="Arial" w:eastAsia="黑体"/>
      <w:sz w:val="24"/>
      <w:lang w:val="zh-CN"/>
    </w:rPr>
  </w:style>
  <w:style w:type="paragraph" w:styleId="12">
    <w:name w:val="heading 9"/>
    <w:basedOn w:val="1"/>
    <w:next w:val="8"/>
    <w:link w:val="70"/>
    <w:qFormat/>
    <w:uiPriority w:val="0"/>
    <w:pPr>
      <w:keepNext/>
      <w:keepLines/>
      <w:spacing w:before="240" w:after="64" w:line="317" w:lineRule="auto"/>
      <w:outlineLvl w:val="8"/>
    </w:pPr>
    <w:rPr>
      <w:rFonts w:ascii="Arial" w:hAnsi="Arial" w:eastAsia="黑体"/>
      <w:lang w:val="zh-CN"/>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88"/>
    <w:qFormat/>
    <w:uiPriority w:val="99"/>
    <w:pPr>
      <w:overflowPunct w:val="0"/>
      <w:spacing w:line="360" w:lineRule="auto"/>
    </w:pPr>
    <w:rPr>
      <w:rFonts w:ascii="宋体" w:hAnsi="Courier New" w:eastAsia="仿宋_GB2312"/>
      <w:sz w:val="24"/>
      <w:lang w:val="zh-CN"/>
    </w:rPr>
  </w:style>
  <w:style w:type="paragraph" w:styleId="8">
    <w:name w:val="Normal Indent"/>
    <w:basedOn w:val="1"/>
    <w:link w:val="64"/>
    <w:qFormat/>
    <w:uiPriority w:val="0"/>
    <w:pPr>
      <w:ind w:firstLine="420"/>
    </w:pPr>
    <w:rPr>
      <w:kern w:val="0"/>
      <w:sz w:val="20"/>
    </w:rPr>
  </w:style>
  <w:style w:type="paragraph" w:styleId="13">
    <w:name w:val="toc 7"/>
    <w:basedOn w:val="1"/>
    <w:next w:val="1"/>
    <w:qFormat/>
    <w:uiPriority w:val="0"/>
    <w:pPr>
      <w:ind w:left="2520" w:leftChars="1200"/>
    </w:pPr>
  </w:style>
  <w:style w:type="paragraph" w:styleId="14">
    <w:name w:val="Note Heading"/>
    <w:basedOn w:val="1"/>
    <w:next w:val="1"/>
    <w:link w:val="115"/>
    <w:qFormat/>
    <w:uiPriority w:val="0"/>
    <w:pPr>
      <w:adjustRightInd w:val="0"/>
      <w:snapToGrid w:val="0"/>
      <w:jc w:val="center"/>
    </w:pPr>
    <w:rPr>
      <w:lang w:val="zh-CN" w:eastAsia="zh-TW"/>
    </w:rPr>
  </w:style>
  <w:style w:type="paragraph" w:styleId="15">
    <w:name w:val="caption"/>
    <w:basedOn w:val="1"/>
    <w:next w:val="1"/>
    <w:qFormat/>
    <w:uiPriority w:val="0"/>
    <w:rPr>
      <w:rFonts w:ascii="Cambria" w:hAnsi="Cambria" w:eastAsia="黑体"/>
    </w:rPr>
  </w:style>
  <w:style w:type="paragraph" w:styleId="16">
    <w:name w:val="Document Map"/>
    <w:basedOn w:val="1"/>
    <w:link w:val="111"/>
    <w:qFormat/>
    <w:uiPriority w:val="0"/>
    <w:pPr>
      <w:shd w:val="clear" w:color="auto" w:fill="000080"/>
    </w:pPr>
    <w:rPr>
      <w:kern w:val="0"/>
      <w:sz w:val="20"/>
    </w:rPr>
  </w:style>
  <w:style w:type="paragraph" w:styleId="17">
    <w:name w:val="toa heading"/>
    <w:basedOn w:val="1"/>
    <w:next w:val="1"/>
    <w:qFormat/>
    <w:uiPriority w:val="0"/>
    <w:pPr>
      <w:adjustRightInd w:val="0"/>
      <w:spacing w:before="120" w:line="312" w:lineRule="atLeast"/>
      <w:textAlignment w:val="baseline"/>
    </w:pPr>
    <w:rPr>
      <w:rFonts w:ascii="Arial" w:hAnsi="Arial"/>
      <w:sz w:val="24"/>
    </w:rPr>
  </w:style>
  <w:style w:type="paragraph" w:styleId="18">
    <w:name w:val="annotation text"/>
    <w:basedOn w:val="1"/>
    <w:link w:val="105"/>
    <w:qFormat/>
    <w:uiPriority w:val="0"/>
    <w:pPr>
      <w:adjustRightInd w:val="0"/>
      <w:spacing w:line="360" w:lineRule="atLeast"/>
      <w:textAlignment w:val="baseline"/>
    </w:pPr>
    <w:rPr>
      <w:kern w:val="0"/>
      <w:sz w:val="24"/>
      <w:lang w:val="zh-CN"/>
    </w:rPr>
  </w:style>
  <w:style w:type="paragraph" w:styleId="19">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0">
    <w:name w:val="Body Text"/>
    <w:basedOn w:val="1"/>
    <w:link w:val="77"/>
    <w:qFormat/>
    <w:uiPriority w:val="99"/>
    <w:rPr>
      <w:sz w:val="24"/>
    </w:rPr>
  </w:style>
  <w:style w:type="paragraph" w:styleId="21">
    <w:name w:val="Body Text Indent"/>
    <w:basedOn w:val="1"/>
    <w:link w:val="110"/>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toc 8"/>
    <w:basedOn w:val="1"/>
    <w:next w:val="1"/>
    <w:qFormat/>
    <w:uiPriority w:val="0"/>
    <w:pPr>
      <w:ind w:left="2940" w:leftChars="1400"/>
    </w:pPr>
  </w:style>
  <w:style w:type="paragraph" w:styleId="26">
    <w:name w:val="Date"/>
    <w:basedOn w:val="1"/>
    <w:next w:val="1"/>
    <w:link w:val="126"/>
    <w:qFormat/>
    <w:uiPriority w:val="99"/>
    <w:rPr>
      <w:kern w:val="0"/>
      <w:sz w:val="24"/>
    </w:rPr>
  </w:style>
  <w:style w:type="paragraph" w:styleId="27">
    <w:name w:val="Body Text Indent 2"/>
    <w:basedOn w:val="1"/>
    <w:link w:val="76"/>
    <w:qFormat/>
    <w:uiPriority w:val="0"/>
    <w:pPr>
      <w:spacing w:before="60" w:after="60"/>
      <w:ind w:left="720" w:hanging="720"/>
    </w:pPr>
    <w:rPr>
      <w:color w:val="000000"/>
      <w:kern w:val="0"/>
      <w:sz w:val="24"/>
    </w:rPr>
  </w:style>
  <w:style w:type="paragraph" w:styleId="28">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29">
    <w:name w:val="Balloon Text"/>
    <w:basedOn w:val="1"/>
    <w:link w:val="107"/>
    <w:qFormat/>
    <w:uiPriority w:val="0"/>
    <w:rPr>
      <w:sz w:val="18"/>
      <w:szCs w:val="18"/>
      <w:lang w:val="zh-CN"/>
    </w:rPr>
  </w:style>
  <w:style w:type="paragraph" w:styleId="30">
    <w:name w:val="footer"/>
    <w:basedOn w:val="1"/>
    <w:link w:val="175"/>
    <w:qFormat/>
    <w:uiPriority w:val="99"/>
    <w:pPr>
      <w:tabs>
        <w:tab w:val="center" w:pos="4153"/>
        <w:tab w:val="right" w:pos="8306"/>
      </w:tabs>
      <w:snapToGrid w:val="0"/>
    </w:pPr>
    <w:rPr>
      <w:sz w:val="18"/>
      <w:lang w:val="zh-CN"/>
    </w:rPr>
  </w:style>
  <w:style w:type="paragraph" w:styleId="31">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2">
    <w:name w:val="toc 1"/>
    <w:basedOn w:val="1"/>
    <w:next w:val="1"/>
    <w:qFormat/>
    <w:uiPriority w:val="39"/>
  </w:style>
  <w:style w:type="paragraph" w:styleId="33">
    <w:name w:val="toc 4"/>
    <w:basedOn w:val="1"/>
    <w:next w:val="1"/>
    <w:qFormat/>
    <w:uiPriority w:val="0"/>
    <w:pPr>
      <w:ind w:left="1260" w:leftChars="600"/>
    </w:pPr>
  </w:style>
  <w:style w:type="paragraph" w:styleId="34">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5">
    <w:name w:val="footnote text"/>
    <w:basedOn w:val="1"/>
    <w:link w:val="129"/>
    <w:qFormat/>
    <w:uiPriority w:val="0"/>
    <w:pPr>
      <w:snapToGrid w:val="0"/>
    </w:pPr>
    <w:rPr>
      <w:sz w:val="18"/>
      <w:szCs w:val="18"/>
      <w:lang w:val="zh-CN"/>
    </w:rPr>
  </w:style>
  <w:style w:type="paragraph" w:styleId="36">
    <w:name w:val="toc 6"/>
    <w:basedOn w:val="1"/>
    <w:next w:val="1"/>
    <w:qFormat/>
    <w:uiPriority w:val="0"/>
    <w:pPr>
      <w:ind w:left="2100" w:leftChars="1000"/>
    </w:pPr>
  </w:style>
  <w:style w:type="paragraph" w:styleId="37">
    <w:name w:val="Body Text Indent 3"/>
    <w:basedOn w:val="1"/>
    <w:link w:val="83"/>
    <w:qFormat/>
    <w:uiPriority w:val="0"/>
    <w:pPr>
      <w:ind w:firstLine="720"/>
    </w:pPr>
    <w:rPr>
      <w:kern w:val="0"/>
      <w:sz w:val="24"/>
    </w:rPr>
  </w:style>
  <w:style w:type="paragraph" w:styleId="38">
    <w:name w:val="table of figures"/>
    <w:basedOn w:val="1"/>
    <w:next w:val="1"/>
    <w:qFormat/>
    <w:uiPriority w:val="0"/>
    <w:pPr>
      <w:ind w:left="440" w:hanging="440"/>
    </w:pPr>
    <w:rPr>
      <w:rFonts w:ascii="Arial" w:hAnsi="Arial"/>
      <w:sz w:val="22"/>
      <w:lang w:val="en-GB" w:eastAsia="en-US"/>
    </w:rPr>
  </w:style>
  <w:style w:type="paragraph" w:styleId="39">
    <w:name w:val="toc 2"/>
    <w:basedOn w:val="1"/>
    <w:next w:val="1"/>
    <w:qFormat/>
    <w:uiPriority w:val="39"/>
    <w:pPr>
      <w:ind w:left="420" w:leftChars="200"/>
    </w:pPr>
  </w:style>
  <w:style w:type="paragraph" w:styleId="40">
    <w:name w:val="toc 9"/>
    <w:basedOn w:val="1"/>
    <w:next w:val="1"/>
    <w:qFormat/>
    <w:uiPriority w:val="0"/>
    <w:pPr>
      <w:ind w:left="3360" w:leftChars="1600"/>
    </w:pPr>
  </w:style>
  <w:style w:type="paragraph" w:styleId="41">
    <w:name w:val="Body Text 2"/>
    <w:basedOn w:val="1"/>
    <w:link w:val="100"/>
    <w:qFormat/>
    <w:uiPriority w:val="0"/>
    <w:pPr>
      <w:spacing w:before="60" w:after="60"/>
    </w:pPr>
    <w:rPr>
      <w:color w:val="0000FF"/>
      <w:kern w:val="0"/>
      <w:sz w:val="24"/>
    </w:rPr>
  </w:style>
  <w:style w:type="paragraph" w:styleId="42">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3">
    <w:name w:val="Normal (Web)"/>
    <w:basedOn w:val="1"/>
    <w:qFormat/>
    <w:uiPriority w:val="99"/>
    <w:rPr>
      <w:rFonts w:ascii="宋体" w:hAnsi="宋体" w:cs="宋体"/>
      <w:sz w:val="24"/>
      <w:szCs w:val="24"/>
    </w:rPr>
  </w:style>
  <w:style w:type="paragraph" w:styleId="44">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5">
    <w:name w:val="annotation subject"/>
    <w:basedOn w:val="18"/>
    <w:next w:val="18"/>
    <w:link w:val="120"/>
    <w:qFormat/>
    <w:uiPriority w:val="0"/>
    <w:pPr>
      <w:adjustRightInd/>
      <w:spacing w:line="240" w:lineRule="auto"/>
      <w:textAlignment w:val="auto"/>
    </w:pPr>
  </w:style>
  <w:style w:type="paragraph" w:styleId="46">
    <w:name w:val="Body Text First Indent"/>
    <w:basedOn w:val="20"/>
    <w:link w:val="121"/>
    <w:qFormat/>
    <w:uiPriority w:val="0"/>
    <w:pPr>
      <w:spacing w:after="120"/>
      <w:ind w:firstLine="420" w:firstLineChars="100"/>
    </w:pPr>
    <w:rPr>
      <w:rFonts w:ascii="宋体" w:hAnsi="宋体"/>
      <w:color w:val="000000"/>
      <w:lang w:val="zh-CN"/>
    </w:rPr>
  </w:style>
  <w:style w:type="paragraph" w:styleId="47">
    <w:name w:val="Body Text First Indent 2"/>
    <w:basedOn w:val="21"/>
    <w:link w:val="109"/>
    <w:qFormat/>
    <w:uiPriority w:val="0"/>
    <w:pPr>
      <w:spacing w:after="120"/>
      <w:ind w:left="420" w:leftChars="200" w:firstLine="420" w:firstLineChars="200"/>
    </w:pPr>
    <w:rPr>
      <w:kern w:val="2"/>
      <w:sz w:val="21"/>
    </w:rPr>
  </w:style>
  <w:style w:type="table" w:styleId="49">
    <w:name w:val="Table Grid"/>
    <w:basedOn w:val="4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Emphasis"/>
    <w:qFormat/>
    <w:uiPriority w:val="0"/>
    <w:rPr>
      <w:i/>
      <w:iCs/>
    </w:rPr>
  </w:style>
  <w:style w:type="character" w:styleId="54">
    <w:name w:val="Hyperlink"/>
    <w:basedOn w:val="50"/>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3"/>
    <w:qFormat/>
    <w:uiPriority w:val="0"/>
    <w:rPr>
      <w:b/>
      <w:kern w:val="44"/>
      <w:sz w:val="44"/>
      <w:lang w:val="zh-CN" w:eastAsia="zh-CN"/>
    </w:rPr>
  </w:style>
  <w:style w:type="character" w:customStyle="1" w:styleId="62">
    <w:name w:val="标题 2 字符"/>
    <w:link w:val="4"/>
    <w:qFormat/>
    <w:uiPriority w:val="0"/>
    <w:rPr>
      <w:rFonts w:ascii="Arial" w:hAnsi="Arial" w:eastAsia="黑体"/>
      <w:b/>
      <w:sz w:val="32"/>
      <w:lang w:val="zh-CN" w:eastAsia="zh-CN"/>
    </w:rPr>
  </w:style>
  <w:style w:type="character" w:customStyle="1" w:styleId="63">
    <w:name w:val="标题 3 字符"/>
    <w:link w:val="5"/>
    <w:qFormat/>
    <w:uiPriority w:val="0"/>
    <w:rPr>
      <w:b/>
      <w:sz w:val="32"/>
      <w:lang w:val="zh-CN" w:eastAsia="zh-CN"/>
    </w:rPr>
  </w:style>
  <w:style w:type="character" w:customStyle="1" w:styleId="64">
    <w:name w:val="正文缩进 字符"/>
    <w:link w:val="8"/>
    <w:qFormat/>
    <w:uiPriority w:val="0"/>
    <w:rPr>
      <w:rFonts w:eastAsia="宋体"/>
      <w:lang w:val="en-US" w:eastAsia="zh-CN" w:bidi="ar-SA"/>
    </w:rPr>
  </w:style>
  <w:style w:type="character" w:customStyle="1" w:styleId="65">
    <w:name w:val="标题 4 字符"/>
    <w:link w:val="6"/>
    <w:qFormat/>
    <w:uiPriority w:val="0"/>
    <w:rPr>
      <w:rFonts w:ascii="Arial" w:hAnsi="Arial" w:eastAsia="黑体"/>
      <w:b/>
      <w:kern w:val="2"/>
      <w:sz w:val="28"/>
      <w:lang w:val="zh-CN" w:eastAsia="zh-CN"/>
    </w:rPr>
  </w:style>
  <w:style w:type="character" w:customStyle="1" w:styleId="66">
    <w:name w:val="标题 5 字符"/>
    <w:link w:val="7"/>
    <w:qFormat/>
    <w:uiPriority w:val="0"/>
    <w:rPr>
      <w:b/>
      <w:kern w:val="2"/>
      <w:sz w:val="28"/>
      <w:lang w:val="zh-CN" w:eastAsia="zh-CN"/>
    </w:rPr>
  </w:style>
  <w:style w:type="character" w:customStyle="1" w:styleId="67">
    <w:name w:val="标题 6 字符"/>
    <w:link w:val="9"/>
    <w:qFormat/>
    <w:uiPriority w:val="0"/>
    <w:rPr>
      <w:rFonts w:ascii="Arial" w:hAnsi="Arial" w:eastAsia="黑体"/>
      <w:b/>
      <w:kern w:val="2"/>
      <w:sz w:val="24"/>
      <w:lang w:val="zh-CN" w:eastAsia="zh-CN"/>
    </w:rPr>
  </w:style>
  <w:style w:type="character" w:customStyle="1" w:styleId="68">
    <w:name w:val="标题 7 字符"/>
    <w:link w:val="10"/>
    <w:qFormat/>
    <w:uiPriority w:val="0"/>
    <w:rPr>
      <w:b/>
      <w:kern w:val="2"/>
      <w:sz w:val="24"/>
      <w:lang w:val="zh-CN" w:eastAsia="zh-CN"/>
    </w:rPr>
  </w:style>
  <w:style w:type="character" w:customStyle="1" w:styleId="69">
    <w:name w:val="标题 8 字符"/>
    <w:link w:val="11"/>
    <w:qFormat/>
    <w:uiPriority w:val="0"/>
    <w:rPr>
      <w:rFonts w:ascii="Arial" w:hAnsi="Arial" w:eastAsia="黑体"/>
      <w:kern w:val="2"/>
      <w:sz w:val="24"/>
      <w:lang w:val="zh-CN" w:eastAsia="zh-CN"/>
    </w:rPr>
  </w:style>
  <w:style w:type="character" w:customStyle="1" w:styleId="70">
    <w:name w:val="标题 9 字符"/>
    <w:link w:val="12"/>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7"/>
    <w:qFormat/>
    <w:uiPriority w:val="0"/>
    <w:rPr>
      <w:rFonts w:eastAsia="宋体"/>
      <w:color w:val="000000"/>
      <w:sz w:val="24"/>
      <w:lang w:val="en-US" w:eastAsia="zh-CN" w:bidi="ar-SA"/>
    </w:rPr>
  </w:style>
  <w:style w:type="character" w:customStyle="1" w:styleId="77">
    <w:name w:val="正文文本 字符"/>
    <w:link w:val="20"/>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9"/>
    <w:qFormat/>
    <w:uiPriority w:val="0"/>
    <w:rPr>
      <w:rFonts w:ascii="Arial" w:hAnsi="Arial"/>
      <w:color w:val="FF0000"/>
      <w:spacing w:val="-3"/>
      <w:sz w:val="22"/>
      <w:lang w:val="en-GB" w:eastAsia="en-US" w:bidi="ar-SA"/>
    </w:rPr>
  </w:style>
  <w:style w:type="character" w:customStyle="1" w:styleId="83">
    <w:name w:val="正文文本缩进 3 字符"/>
    <w:link w:val="37"/>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0"/>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4"/>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4"/>
    <w:qFormat/>
    <w:uiPriority w:val="0"/>
    <w:rPr>
      <w:rFonts w:ascii="Cambria" w:hAnsi="Cambria"/>
      <w:b/>
      <w:bCs/>
      <w:kern w:val="28"/>
      <w:sz w:val="32"/>
      <w:szCs w:val="32"/>
      <w:lang w:val="en-US" w:eastAsia="zh-CN"/>
    </w:rPr>
  </w:style>
  <w:style w:type="character" w:customStyle="1" w:styleId="100">
    <w:name w:val="正文文本 2 字符"/>
    <w:link w:val="41"/>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8"/>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29"/>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7"/>
    <w:qFormat/>
    <w:uiPriority w:val="0"/>
    <w:rPr>
      <w:rFonts w:eastAsia="宋体"/>
      <w:kern w:val="2"/>
      <w:sz w:val="21"/>
      <w:szCs w:val="24"/>
      <w:lang w:val="en-US" w:eastAsia="zh-CN" w:bidi="ar-SA"/>
    </w:rPr>
  </w:style>
  <w:style w:type="character" w:customStyle="1" w:styleId="110">
    <w:name w:val="正文文本缩进 字符"/>
    <w:link w:val="21"/>
    <w:qFormat/>
    <w:uiPriority w:val="0"/>
    <w:rPr>
      <w:rFonts w:eastAsia="宋体"/>
      <w:sz w:val="28"/>
      <w:szCs w:val="24"/>
      <w:lang w:val="en-US" w:eastAsia="zh-CN" w:bidi="ar-SA"/>
    </w:rPr>
  </w:style>
  <w:style w:type="character" w:customStyle="1" w:styleId="111">
    <w:name w:val="文档结构图 字符"/>
    <w:link w:val="16"/>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4"/>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5"/>
    <w:qFormat/>
    <w:uiPriority w:val="0"/>
    <w:rPr>
      <w:sz w:val="24"/>
    </w:rPr>
  </w:style>
  <w:style w:type="character" w:customStyle="1" w:styleId="121">
    <w:name w:val="正文首行缩进 字符"/>
    <w:link w:val="46"/>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6"/>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5"/>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2"/>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20"/>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57"/>
    <w:next w:val="57"/>
    <w:qFormat/>
    <w:uiPriority w:val="0"/>
    <w:pPr>
      <w:spacing w:after="120"/>
    </w:pPr>
    <w:rPr>
      <w:color w:val="auto"/>
    </w:rPr>
  </w:style>
  <w:style w:type="paragraph" w:customStyle="1" w:styleId="145">
    <w:name w:val="样式 正文首行缩进 + 首行缩进:  2 字符1 Char Char"/>
    <w:basedOn w:val="46"/>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57"/>
    <w:next w:val="57"/>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6"/>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1"/>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3"/>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3"/>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57"/>
    <w:next w:val="57"/>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0"/>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4"/>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57"/>
    <w:next w:val="57"/>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4"/>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8"/>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8"/>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20"/>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0"/>
    <w:qFormat/>
    <w:uiPriority w:val="99"/>
    <w:rPr>
      <w:rFonts w:ascii="Times New Roman" w:hAnsi="Times New Roman" w:cs="Times New Roman"/>
      <w:color w:val="000000"/>
      <w:sz w:val="24"/>
      <w:szCs w:val="24"/>
      <w:u w:val="none"/>
    </w:rPr>
  </w:style>
  <w:style w:type="character" w:customStyle="1" w:styleId="226">
    <w:name w:val="font61"/>
    <w:basedOn w:val="50"/>
    <w:qFormat/>
    <w:uiPriority w:val="99"/>
    <w:rPr>
      <w:rFonts w:ascii="宋体" w:hAnsi="宋体" w:eastAsia="宋体" w:cs="宋体"/>
      <w:color w:val="000000"/>
      <w:sz w:val="24"/>
      <w:szCs w:val="24"/>
      <w:u w:val="none"/>
    </w:rPr>
  </w:style>
  <w:style w:type="character" w:customStyle="1" w:styleId="227">
    <w:name w:val="font31"/>
    <w:basedOn w:val="50"/>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
    <w:qFormat/>
    <w:uiPriority w:val="2"/>
    <w:pPr>
      <w:numPr>
        <w:ilvl w:val="0"/>
        <w:numId w:val="1"/>
      </w:numPr>
      <w:spacing w:line="360" w:lineRule="auto"/>
      <w:outlineLvl w:val="2"/>
    </w:pPr>
    <w:rPr>
      <w:b/>
    </w:rPr>
  </w:style>
  <w:style w:type="paragraph" w:customStyle="1" w:styleId="229">
    <w:name w:val="标书正文格式"/>
    <w:basedOn w:val="2"/>
    <w:qFormat/>
    <w:uiPriority w:val="0"/>
    <w:pPr>
      <w:spacing w:line="360" w:lineRule="auto"/>
      <w:ind w:firstLine="200" w:firstLineChars="200"/>
    </w:pPr>
    <w:rPr>
      <w:rFonts w:hAnsi="宋体"/>
      <w:color w:val="000000"/>
      <w:sz w:val="24"/>
      <w:szCs w:val="24"/>
    </w:rPr>
  </w:style>
  <w:style w:type="paragraph" w:customStyle="1" w:styleId="230">
    <w:name w:val="（4）级标题"/>
    <w:basedOn w:val="2"/>
    <w:qFormat/>
    <w:uiPriority w:val="8"/>
    <w:pPr>
      <w:numPr>
        <w:ilvl w:val="0"/>
        <w:numId w:val="2"/>
      </w:numPr>
      <w:spacing w:line="360" w:lineRule="auto"/>
      <w:outlineLvl w:val="4"/>
    </w:pPr>
  </w:style>
  <w:style w:type="paragraph" w:customStyle="1" w:styleId="231">
    <w:name w:val="Table Paragraph"/>
    <w:basedOn w:val="1"/>
    <w:qFormat/>
    <w:uiPriority w:val="1"/>
    <w:rPr>
      <w:rFonts w:ascii="宋体" w:hAnsi="宋体" w:eastAsia="宋体" w:cs="宋体"/>
    </w:rPr>
  </w:style>
  <w:style w:type="table" w:customStyle="1" w:styleId="232">
    <w:name w:val="Table Normal"/>
    <w:qFormat/>
    <w:uiPriority w:val="0"/>
    <w:tblPr>
      <w:tblCellMar>
        <w:top w:w="0" w:type="dxa"/>
        <w:left w:w="0" w:type="dxa"/>
        <w:bottom w:w="0" w:type="dxa"/>
        <w:right w:w="0" w:type="dxa"/>
      </w:tblCellMar>
    </w:tblPr>
  </w:style>
  <w:style w:type="paragraph" w:customStyle="1" w:styleId="233">
    <w:name w:val="HR正文表格"/>
    <w:basedOn w:val="1"/>
    <w:qFormat/>
    <w:uiPriority w:val="0"/>
    <w:pPr>
      <w:spacing w:beforeLines="25" w:afterLines="25" w:line="300" w:lineRule="auto"/>
    </w:pPr>
    <w:rPr>
      <w:szCs w:val="24"/>
    </w:rPr>
  </w:style>
  <w:style w:type="paragraph" w:customStyle="1" w:styleId="234">
    <w:name w:val="一级标题"/>
    <w:basedOn w:val="2"/>
    <w:qFormat/>
    <w:uiPriority w:val="1"/>
    <w:pPr>
      <w:numPr>
        <w:ilvl w:val="0"/>
        <w:numId w:val="3"/>
      </w:numPr>
      <w:spacing w:line="360" w:lineRule="auto"/>
      <w:ind w:left="420"/>
      <w:outlineLvl w:val="1"/>
    </w:pPr>
    <w:rPr>
      <w:rFonts w:ascii="黑体" w:eastAsia="黑体"/>
      <w:b/>
      <w:bCs/>
      <w:sz w:val="28"/>
    </w:rPr>
  </w:style>
  <w:style w:type="paragraph" w:customStyle="1" w:styleId="235">
    <w:name w:val="标书正文"/>
    <w:basedOn w:val="2"/>
    <w:qFormat/>
    <w:uiPriority w:val="9"/>
    <w:pPr>
      <w:spacing w:line="360" w:lineRule="auto"/>
      <w:jc w:val="left"/>
    </w:pPr>
  </w:style>
  <w:style w:type="paragraph" w:customStyle="1" w:styleId="236">
    <w:name w:val="标书二级标题"/>
    <w:basedOn w:val="4"/>
    <w:qFormat/>
    <w:uiPriority w:val="0"/>
    <w:pPr>
      <w:spacing w:line="240" w:lineRule="auto"/>
      <w:jc w:val="left"/>
    </w:pPr>
    <w:rPr>
      <w:rFonts w:ascii="宋体" w:hAnsi="宋体" w:eastAsia="黑体"/>
      <w:b w:val="0"/>
      <w:sz w:val="28"/>
      <w:szCs w:val="30"/>
    </w:rPr>
  </w:style>
  <w:style w:type="paragraph" w:customStyle="1" w:styleId="237">
    <w:name w:val="标书三级标题"/>
    <w:basedOn w:val="5"/>
    <w:next w:val="229"/>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238">
    <w:name w:val="标书一级标题"/>
    <w:basedOn w:val="3"/>
    <w:qFormat/>
    <w:uiPriority w:val="0"/>
    <w:rPr>
      <w:rFonts w:eastAsia="黑体"/>
      <w:b w:val="0"/>
      <w:color w:val="000000"/>
      <w:sz w:val="3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14.png"/><Relationship Id="rId37" Type="http://schemas.openxmlformats.org/officeDocument/2006/relationships/image" Target="media/image13.png"/><Relationship Id="rId36"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image" Target="media/image10.png"/><Relationship Id="rId33" Type="http://schemas.openxmlformats.org/officeDocument/2006/relationships/image" Target="media/image9.png"/><Relationship Id="rId32" Type="http://schemas.openxmlformats.org/officeDocument/2006/relationships/image" Target="media/image8.png"/><Relationship Id="rId31" Type="http://schemas.openxmlformats.org/officeDocument/2006/relationships/image" Target="media/image7.png"/><Relationship Id="rId30" Type="http://schemas.openxmlformats.org/officeDocument/2006/relationships/image" Target="media/image6.png"/><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5.xml"/><Relationship Id="rId22" Type="http://schemas.openxmlformats.org/officeDocument/2006/relationships/header" Target="header6.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header" Target="header4.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header" Target="header3.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54</Pages>
  <Words>10350</Words>
  <Characters>10714</Characters>
  <Lines>52</Lines>
  <Paragraphs>14</Paragraphs>
  <TotalTime>5</TotalTime>
  <ScaleCrop>false</ScaleCrop>
  <LinksUpToDate>false</LinksUpToDate>
  <CharactersWithSpaces>12919</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李帅</cp:lastModifiedBy>
  <cp:lastPrinted>2020-01-08T06:44:00Z</cp:lastPrinted>
  <dcterms:modified xsi:type="dcterms:W3CDTF">2026-04-24T09:52:45Z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eyJoZGlkIjoiZjNkYWUwNjI4NDQ2Y2RjZmYwMTMyNWIwZGVlYjZkNzMiLCJ1c2VySWQiOiIzNjc3NzYwOTgifQ==</vt:lpwstr>
  </property>
</Properties>
</file>