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w:t>
      </w:r>
      <w:r>
        <w:rPr>
          <w:rFonts w:hint="eastAsia" w:ascii="Calibri" w:hAnsi="宋体" w:eastAsia="宋体" w:cs="Times New Roman"/>
          <w:b/>
          <w:bCs/>
          <w:color w:val="000000"/>
          <w:spacing w:val="-8"/>
          <w:kern w:val="2"/>
          <w:sz w:val="48"/>
          <w:szCs w:val="44"/>
          <w:lang w:val="en-US" w:eastAsia="zh-CN" w:bidi="ar-SA"/>
        </w:rPr>
        <w:t>新增模具预热炉及积放式锻件冷却线</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中国重汽集团6300T、3150T热模锻生产线复产项目-新增模具预热炉及积放式锻件冷却线</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52045514"/>
      <w:bookmarkEnd w:id="6"/>
      <w:bookmarkStart w:id="7" w:name="_Toc179632530"/>
      <w:bookmarkEnd w:id="7"/>
      <w:bookmarkStart w:id="8" w:name="_Toc144974482"/>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w:t>
      </w:r>
      <w:r>
        <w:rPr>
          <w:rFonts w:hint="eastAsia" w:asciiTheme="minorEastAsia" w:hAnsiTheme="minorEastAsia" w:eastAsiaTheme="minorEastAsia" w:cstheme="minorEastAsia"/>
          <w:sz w:val="24"/>
          <w:szCs w:val="24"/>
          <w:highlight w:val="none"/>
          <w:u w:val="single"/>
          <w:lang w:val="en-US" w:eastAsia="zh-CN"/>
        </w:rPr>
        <w:t>新增模具预热炉及积放式锻件冷却线</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bookmarkStart w:id="28" w:name="_GoBack"/>
      <w:r>
        <w:rPr>
          <w:rFonts w:hint="eastAsia" w:asciiTheme="minorEastAsia" w:hAnsiTheme="minorEastAsia" w:eastAsiaTheme="minorEastAsia" w:cstheme="minorEastAsia"/>
          <w:kern w:val="0"/>
          <w:sz w:val="24"/>
          <w:szCs w:val="24"/>
          <w:highlight w:val="none"/>
          <w:u w:val="single"/>
          <w:lang w:val="en-US" w:eastAsia="zh-CN" w:bidi="en-US"/>
        </w:rPr>
        <w:t>ZBGL2026030259</w:t>
      </w:r>
      <w:r>
        <w:rPr>
          <w:rFonts w:hint="eastAsia" w:asciiTheme="minorEastAsia" w:hAnsiTheme="minorEastAsia" w:eastAsiaTheme="minorEastAsia" w:cstheme="minorEastAsia"/>
          <w:kern w:val="0"/>
          <w:sz w:val="24"/>
          <w:szCs w:val="24"/>
          <w:highlight w:val="none"/>
          <w:u w:val="single"/>
          <w:lang w:val="en-US" w:eastAsia="zh-CN" w:bidi="en-US"/>
        </w:rPr>
        <w:t>；</w:t>
      </w:r>
      <w:bookmarkEnd w:id="28"/>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w:t>
      </w:r>
      <w:r>
        <w:rPr>
          <w:rFonts w:hint="eastAsia" w:asciiTheme="minorEastAsia" w:hAnsiTheme="minorEastAsia" w:eastAsiaTheme="minorEastAsia" w:cstheme="minorEastAsia"/>
          <w:sz w:val="24"/>
          <w:szCs w:val="24"/>
          <w:highlight w:val="none"/>
          <w:u w:val="single"/>
          <w:lang w:val="en-US" w:eastAsia="zh-CN"/>
        </w:rPr>
        <w:t>新增模具预热炉及积放式锻件冷却线</w:t>
      </w:r>
      <w:r>
        <w:rPr>
          <w:rFonts w:hint="eastAsia" w:asciiTheme="minorEastAsia" w:hAnsiTheme="minorEastAsia" w:eastAsiaTheme="minorEastAsia" w:cstheme="minorEastAsia"/>
          <w:kern w:val="0"/>
          <w:sz w:val="24"/>
          <w:szCs w:val="24"/>
          <w:highlight w:val="none"/>
          <w:u w:val="single"/>
          <w:lang w:val="en-US" w:eastAsia="zh-CN" w:bidi="en-US"/>
        </w:rPr>
        <w:t>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应标报名截止时间：2026年3月25日17：00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20"/>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4</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20"/>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20"/>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20"/>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项目预算：含税75.53万元。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31</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7"/>
      <w:bookmarkStart w:id="15" w:name="OLE_LINK25"/>
      <w:bookmarkStart w:id="16" w:name="OLE_LINK29"/>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pStyle w:val="24"/>
        <w:jc w:val="left"/>
        <w:rPr>
          <w:rFonts w:hint="eastAsia" w:ascii="宋体" w:hAnsi="宋体" w:eastAsia="宋体" w:cs="宋体"/>
          <w:color w:val="000000"/>
          <w:kern w:val="2"/>
          <w:sz w:val="24"/>
          <w:szCs w:val="22"/>
          <w:highlight w:val="none"/>
          <w:lang w:val="en-US" w:eastAsia="zh-CN" w:bidi="ar-SA"/>
        </w:rPr>
      </w:pPr>
      <w:r>
        <w:rPr>
          <w:rFonts w:hint="eastAsia" w:ascii="宋体" w:hAnsi="宋体" w:eastAsia="宋体" w:cs="宋体"/>
          <w:sz w:val="24"/>
          <w:highlight w:val="none"/>
        </w:rPr>
        <w:t>一、项目名称：</w:t>
      </w:r>
      <w:r>
        <w:rPr>
          <w:rFonts w:hint="eastAsia" w:ascii="宋体" w:hAnsi="宋体" w:eastAsia="宋体" w:cs="宋体"/>
          <w:color w:val="000000"/>
          <w:kern w:val="2"/>
          <w:sz w:val="24"/>
          <w:szCs w:val="22"/>
          <w:highlight w:val="none"/>
          <w:lang w:val="en-US" w:eastAsia="zh-CN" w:bidi="ar-SA"/>
        </w:rPr>
        <w:t>6300T、3150T热模锻生产线搬迁复产</w:t>
      </w:r>
      <w:r>
        <w:rPr>
          <w:rFonts w:hint="eastAsia" w:hAnsi="宋体" w:eastAsia="宋体" w:cs="宋体"/>
          <w:color w:val="000000"/>
          <w:kern w:val="2"/>
          <w:sz w:val="24"/>
          <w:szCs w:val="22"/>
          <w:highlight w:val="none"/>
          <w:lang w:val="en-US" w:eastAsia="zh-CN" w:bidi="ar-SA"/>
        </w:rPr>
        <w:t>—</w:t>
      </w:r>
      <w:r>
        <w:rPr>
          <w:rFonts w:hint="eastAsia" w:ascii="宋体" w:hAnsi="宋体" w:eastAsia="宋体" w:cs="宋体"/>
          <w:color w:val="000000"/>
          <w:kern w:val="2"/>
          <w:sz w:val="24"/>
          <w:szCs w:val="22"/>
          <w:highlight w:val="none"/>
          <w:lang w:val="en-US" w:eastAsia="zh-CN" w:bidi="ar-SA"/>
        </w:rPr>
        <w:t>—新增模具预热炉及积放式锻件冷却线项目。</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sz w:val="24"/>
          <w:highlight w:val="none"/>
          <w:u w:val="single"/>
          <w:shd w:val="clear" w:color="auto" w:fill="auto"/>
          <w:lang w:val="en-US" w:eastAsia="zh-CN"/>
        </w:rPr>
        <w:t>模具预热炉及积放式锻件冷却线</w:t>
      </w:r>
      <w:r>
        <w:rPr>
          <w:rFonts w:hint="eastAsia" w:ascii="宋体" w:hAnsi="宋体" w:eastAsia="宋体" w:cs="宋体"/>
          <w:sz w:val="24"/>
          <w:highlight w:val="none"/>
        </w:rPr>
        <w:t>（详见下表）</w:t>
      </w:r>
    </w:p>
    <w:p>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clear" w:color="auto" w:fill="auto"/>
          <w:lang w:val="en-US" w:eastAsia="zh-CN"/>
        </w:rPr>
        <w:t>各1套</w:t>
      </w:r>
      <w:r>
        <w:rPr>
          <w:rFonts w:hint="eastAsia" w:ascii="宋体" w:hAnsi="宋体" w:eastAsia="宋体" w:cs="宋体"/>
          <w:sz w:val="24"/>
          <w:highlight w:val="none"/>
        </w:rPr>
        <w:t>（详见下表）</w:t>
      </w:r>
    </w:p>
    <w:p>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4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pPr>
              <w:widowControl/>
              <w:jc w:val="center"/>
              <w:textAlignment w:val="center"/>
              <w:rPr>
                <w:rFonts w:hint="default" w:ascii="宋体" w:hAnsi="宋体" w:eastAsia="宋体" w:cs="宋体"/>
                <w:sz w:val="24"/>
                <w:highlight w:val="none"/>
                <w:lang w:val="en-US" w:eastAsia="zh-CN"/>
              </w:rPr>
            </w:pPr>
            <w:r>
              <w:rPr>
                <w:rFonts w:hint="eastAsia" w:ascii="宋体" w:hAnsi="宋体" w:eastAsia="宋体" w:cs="宋体"/>
                <w:color w:val="000000"/>
                <w:kern w:val="0"/>
                <w:sz w:val="22"/>
                <w:szCs w:val="22"/>
                <w:highlight w:val="none"/>
                <w:lang w:val="en-US" w:eastAsia="zh-CN" w:bidi="ar"/>
              </w:rPr>
              <w:t>模具预热炉</w:t>
            </w:r>
          </w:p>
        </w:tc>
        <w:tc>
          <w:tcPr>
            <w:tcW w:w="3089" w:type="dxa"/>
            <w:vAlign w:val="center"/>
          </w:tcPr>
          <w:p>
            <w:pPr>
              <w:widowControl/>
              <w:jc w:val="left"/>
              <w:textAlignment w:val="center"/>
              <w:rPr>
                <w:rFonts w:hint="eastAsia"/>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2</w:t>
            </w:r>
          </w:p>
        </w:tc>
        <w:tc>
          <w:tcPr>
            <w:tcW w:w="2472" w:type="dxa"/>
            <w:vAlign w:val="center"/>
          </w:tcPr>
          <w:p>
            <w:pPr>
              <w:widowControl/>
              <w:jc w:val="center"/>
              <w:textAlignment w:val="center"/>
              <w:rPr>
                <w:rFonts w:hint="default" w:ascii="宋体" w:hAnsi="宋体" w:eastAsia="宋体" w:cs="宋体"/>
                <w:sz w:val="24"/>
                <w:highlight w:val="none"/>
                <w:lang w:val="en-US" w:eastAsia="zh-CN"/>
              </w:rPr>
            </w:pPr>
            <w:r>
              <w:rPr>
                <w:rFonts w:hint="eastAsia" w:ascii="宋体" w:hAnsi="宋体" w:eastAsia="宋体" w:cs="宋体"/>
                <w:color w:val="000000"/>
                <w:kern w:val="0"/>
                <w:sz w:val="22"/>
                <w:szCs w:val="22"/>
                <w:highlight w:val="none"/>
                <w:lang w:val="en-US" w:eastAsia="zh-CN" w:bidi="ar"/>
              </w:rPr>
              <w:t>积放式锻件冷却线</w:t>
            </w:r>
          </w:p>
        </w:tc>
        <w:tc>
          <w:tcPr>
            <w:tcW w:w="3089" w:type="dxa"/>
            <w:vAlign w:val="center"/>
          </w:tcPr>
          <w:p>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bl>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pPr>
        <w:pStyle w:val="24"/>
        <w:rPr>
          <w:rFonts w:hAnsi="宋体" w:eastAsia="宋体" w:cs="宋体"/>
          <w:bCs/>
          <w:sz w:val="24"/>
          <w:highlight w:val="none"/>
        </w:r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szCs w:val="21"/>
                <w:highlight w:val="none"/>
              </w:rPr>
            </w:pPr>
            <w:r>
              <w:rPr>
                <w:kern w:val="0"/>
                <w:szCs w:val="21"/>
                <w:highlight w:val="none"/>
              </w:rPr>
              <w:t>序号</w:t>
            </w:r>
          </w:p>
        </w:tc>
        <w:tc>
          <w:tcPr>
            <w:tcW w:w="2835" w:type="dxa"/>
            <w:shd w:val="clear" w:color="auto" w:fill="auto"/>
          </w:tcPr>
          <w:p>
            <w:pPr>
              <w:spacing w:line="420" w:lineRule="exact"/>
              <w:jc w:val="center"/>
              <w:rPr>
                <w:szCs w:val="21"/>
                <w:highlight w:val="none"/>
              </w:rPr>
            </w:pPr>
            <w:r>
              <w:rPr>
                <w:kern w:val="0"/>
                <w:szCs w:val="21"/>
                <w:highlight w:val="none"/>
              </w:rPr>
              <w:t>器件名称</w:t>
            </w:r>
          </w:p>
        </w:tc>
        <w:tc>
          <w:tcPr>
            <w:tcW w:w="3266" w:type="dxa"/>
            <w:shd w:val="clear" w:color="auto" w:fill="auto"/>
          </w:tcPr>
          <w:p>
            <w:pPr>
              <w:spacing w:line="420" w:lineRule="exact"/>
              <w:jc w:val="center"/>
              <w:rPr>
                <w:szCs w:val="21"/>
                <w:highlight w:val="none"/>
              </w:rPr>
            </w:pPr>
            <w:r>
              <w:rPr>
                <w:kern w:val="0"/>
                <w:szCs w:val="21"/>
                <w:highlight w:val="none"/>
              </w:rPr>
              <w:t>品牌</w:t>
            </w:r>
          </w:p>
        </w:tc>
        <w:tc>
          <w:tcPr>
            <w:tcW w:w="1971" w:type="dxa"/>
            <w:shd w:val="clear" w:color="auto" w:fill="auto"/>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1</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2</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3</w:t>
            </w:r>
          </w:p>
        </w:tc>
        <w:tc>
          <w:tcPr>
            <w:tcW w:w="2835"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4</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shd w:val="clear" w:color="auto" w:fill="auto"/>
            <w:vAlign w:val="top"/>
          </w:tcPr>
          <w:p>
            <w:pPr>
              <w:spacing w:line="420" w:lineRule="exact"/>
              <w:jc w:val="center"/>
              <w:rPr>
                <w:szCs w:val="21"/>
                <w:highlight w:val="none"/>
              </w:rPr>
            </w:pPr>
            <w:r>
              <w:rPr>
                <w:szCs w:val="21"/>
                <w:highlight w:val="none"/>
              </w:rPr>
              <w:t>5</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pPr>
              <w:spacing w:line="420" w:lineRule="exact"/>
              <w:jc w:val="center"/>
              <w:rPr>
                <w:kern w:val="0"/>
                <w:szCs w:val="21"/>
                <w:highlight w:val="none"/>
              </w:rPr>
            </w:pPr>
          </w:p>
        </w:tc>
      </w:tr>
    </w:tbl>
    <w:p>
      <w:pPr>
        <w:pStyle w:val="24"/>
        <w:rPr>
          <w:rFonts w:hAnsi="宋体" w:eastAsia="宋体" w:cs="宋体"/>
          <w:bCs/>
          <w:sz w:val="24"/>
          <w:highlight w:val="none"/>
        </w:rPr>
      </w:pPr>
    </w:p>
    <w:p>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pPr>
        <w:ind w:firstLine="482" w:firstLineChars="200"/>
        <w:outlineLvl w:val="2"/>
        <w:rPr>
          <w:sz w:val="28"/>
          <w:szCs w:val="36"/>
          <w:highlight w:val="none"/>
        </w:rPr>
      </w:pPr>
      <w:r>
        <w:rPr>
          <w:rFonts w:hint="eastAsia" w:ascii="宋体" w:hAnsi="宋体" w:eastAsia="宋体" w:cs="宋体"/>
          <w:b/>
          <w:sz w:val="24"/>
          <w:highlight w:val="none"/>
        </w:rPr>
        <w:t>一、特别提示</w:t>
      </w:r>
    </w:p>
    <w:p>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7.程序图纸要求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outlineLvl w:val="4"/>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pPr>
        <w:rPr>
          <w:rFonts w:hint="eastAsia" w:eastAsia="宋体" w:cs="宋体"/>
          <w:b/>
          <w:sz w:val="24"/>
          <w:highlight w:val="none"/>
        </w:rPr>
      </w:pPr>
      <w:r>
        <w:rPr>
          <w:rFonts w:hint="eastAsia" w:eastAsia="宋体" w:cs="宋体"/>
          <w:b/>
          <w:sz w:val="24"/>
          <w:highlight w:val="none"/>
        </w:rPr>
        <w:br w:type="page"/>
      </w:r>
    </w:p>
    <w:p>
      <w:pPr>
        <w:ind w:firstLine="482" w:firstLineChars="200"/>
        <w:outlineLvl w:val="2"/>
        <w:rPr>
          <w:rFonts w:eastAsia="宋体" w:cs="宋体"/>
          <w:b/>
          <w:sz w:val="24"/>
          <w:highlight w:val="none"/>
        </w:rPr>
      </w:pPr>
      <w:r>
        <w:rPr>
          <w:rFonts w:hint="eastAsia" w:eastAsia="宋体" w:cs="宋体"/>
          <w:b/>
          <w:sz w:val="24"/>
          <w:highlight w:val="none"/>
        </w:rPr>
        <w:t>三、技术要求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1.模具预热炉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 整体要求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yellow"/>
          <w:lang w:val="en-US" w:eastAsia="zh-CN"/>
        </w:rPr>
      </w:pPr>
      <w:r>
        <w:rPr>
          <w:rFonts w:hint="eastAsia" w:ascii="宋体" w:hAnsi="宋体" w:eastAsia="宋体" w:cs="宋体"/>
          <w:sz w:val="24"/>
          <w:highlight w:val="none"/>
          <w:lang w:val="en-US" w:eastAsia="zh-CN"/>
        </w:rPr>
        <w:t>（1）设备可实现以下模箱（安装模具状态）的预热，预热炉内部尺寸应满足相应的尺寸规格，装料架应满足模箱的承重要求。</w:t>
      </w:r>
    </w:p>
    <w:tbl>
      <w:tblPr>
        <w:tblStyle w:val="48"/>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02"/>
        <w:gridCol w:w="2015"/>
        <w:gridCol w:w="2036"/>
        <w:gridCol w:w="1393"/>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c>
          <w:tcPr>
            <w:tcW w:w="2714"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轨道承重要求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6300T</w:t>
            </w:r>
            <w:r>
              <w:rPr>
                <w:rFonts w:hint="eastAsia" w:ascii="宋体" w:hAnsi="宋体" w:eastAsia="宋体" w:cs="宋体"/>
                <w:color w:val="000000"/>
                <w:sz w:val="24"/>
                <w:szCs w:val="24"/>
              </w:rPr>
              <w:t>主机</w:t>
            </w:r>
            <w:r>
              <w:rPr>
                <w:rFonts w:hint="eastAsia" w:ascii="宋体" w:hAnsi="宋体" w:cs="宋体"/>
                <w:color w:val="000000"/>
                <w:sz w:val="24"/>
                <w:szCs w:val="24"/>
                <w:lang w:val="en-US" w:eastAsia="zh-CN"/>
              </w:rPr>
              <w:t>模箱</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2050</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1870</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1615</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40</w:t>
            </w:r>
          </w:p>
        </w:tc>
        <w:tc>
          <w:tcPr>
            <w:tcW w:w="2714" w:type="dxa"/>
            <w:vMerge w:val="restart"/>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装料架额定承重≥45t，确保长期承载无变形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lang w:eastAsia="zh-CN"/>
              </w:rPr>
            </w:pPr>
            <w:r>
              <w:rPr>
                <w:rFonts w:hint="eastAsia" w:ascii="宋体" w:hAnsi="宋体" w:cs="宋体"/>
                <w:color w:val="000000"/>
                <w:sz w:val="24"/>
                <w:szCs w:val="24"/>
                <w:lang w:val="en-US" w:eastAsia="zh-CN"/>
              </w:rPr>
              <w:t>2</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cs="宋体"/>
                <w:color w:val="000000"/>
                <w:sz w:val="24"/>
                <w:szCs w:val="24"/>
                <w:lang w:val="en-US" w:eastAsia="zh-CN"/>
              </w:rPr>
              <w:t>3150T主机</w:t>
            </w:r>
            <w:r>
              <w:rPr>
                <w:rFonts w:hint="eastAsia" w:ascii="宋体" w:hAnsi="宋体" w:eastAsia="宋体" w:cs="宋体"/>
                <w:color w:val="000000"/>
                <w:sz w:val="24"/>
                <w:szCs w:val="24"/>
              </w:rPr>
              <w:t>模箱</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1500</w:t>
            </w: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00*</w:t>
            </w:r>
            <w:r>
              <w:rPr>
                <w:rFonts w:hint="eastAsia" w:ascii="宋体" w:hAnsi="宋体" w:cs="宋体"/>
                <w:color w:val="000000"/>
                <w:sz w:val="24"/>
                <w:szCs w:val="24"/>
                <w:lang w:val="en-US" w:eastAsia="zh-CN"/>
              </w:rPr>
              <w:t>1040</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15</w:t>
            </w:r>
          </w:p>
        </w:tc>
        <w:tc>
          <w:tcPr>
            <w:tcW w:w="2714" w:type="dxa"/>
            <w:vMerge w:val="continue"/>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cs="宋体"/>
                <w:color w:val="00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（2）炉体内部有效空间需单边预留≥100mm的余量（围绕模箱最大尺寸），确保热循环顺畅。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sz w:val="24"/>
          <w:highlight w:val="none"/>
          <w:lang w:val="en-US" w:eastAsia="zh-CN"/>
        </w:rPr>
        <w:t>（3）预热炉采用壳体移动的方式，炉体移动始末端位置应设置</w:t>
      </w:r>
      <w:r>
        <w:rPr>
          <w:rFonts w:ascii="宋体" w:hAnsi="宋体" w:eastAsia="宋体" w:cs="宋体"/>
          <w:sz w:val="24"/>
          <w:szCs w:val="24"/>
        </w:rPr>
        <w:t>行程限位开关（机械</w:t>
      </w:r>
      <w:r>
        <w:rPr>
          <w:rFonts w:hint="eastAsia" w:ascii="宋体" w:hAnsi="宋体" w:eastAsia="宋体" w:cs="宋体"/>
          <w:sz w:val="24"/>
          <w:szCs w:val="24"/>
          <w:lang w:val="en-US" w:eastAsia="zh-CN"/>
        </w:rPr>
        <w:t>带缓冲装置</w:t>
      </w:r>
      <w:r>
        <w:rPr>
          <w:rFonts w:ascii="宋体" w:hAnsi="宋体" w:eastAsia="宋体" w:cs="宋体"/>
          <w:sz w:val="24"/>
          <w:szCs w:val="24"/>
        </w:rPr>
        <w:t>+电气双重限位）</w:t>
      </w:r>
      <w:r>
        <w:rPr>
          <w:rFonts w:hint="eastAsia" w:ascii="宋体" w:hAnsi="宋体" w:eastAsia="宋体" w:cs="宋体"/>
          <w:sz w:val="24"/>
          <w:szCs w:val="24"/>
          <w:lang w:eastAsia="zh-CN"/>
        </w:rPr>
        <w:t>，</w:t>
      </w:r>
      <w:r>
        <w:rPr>
          <w:rFonts w:hint="eastAsia" w:ascii="宋体" w:hAnsi="宋体" w:eastAsia="宋体" w:cs="宋体"/>
          <w:sz w:val="24"/>
          <w:highlight w:val="none"/>
          <w:lang w:val="en-US" w:eastAsia="zh-CN"/>
        </w:rPr>
        <w:t>移动完成后的水平距离应能满足模箱的吊装方便，轨</w:t>
      </w:r>
      <w:r>
        <w:rPr>
          <w:rFonts w:hint="eastAsia" w:ascii="宋体" w:hAnsi="宋体" w:eastAsia="宋体" w:cs="宋体"/>
          <w:color w:val="000000" w:themeColor="text1"/>
          <w:sz w:val="24"/>
          <w:highlight w:val="none"/>
          <w:lang w:val="en-US" w:eastAsia="zh-CN"/>
          <w14:textFill>
            <w14:solidFill>
              <w14:schemeClr w14:val="tx1"/>
            </w14:solidFill>
          </w14:textFill>
        </w:rPr>
        <w:t>道表面平整度误差≤1mm/m，轨道间距与模箱轮距适配精度±2mm。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预热炉移动方式选用滑线供电，具体为安全滑触线（刚体滑线），型号选用HXTS-500A，采用三相四线制（铜制滑线），零线与火线的直径要求一直，同时线路应做好防护，适配设备移动距离及加热功率（不低于90kw）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 技术性能参数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（1）加热方式：采用电加热，配置高效电热元件，元件布局均匀，确保炉内热量循环无死角。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（2）额定温度：≥300℃，正常工作温度范围90℃-150℃（预热温度区间），控温执行器件采用可控硅控制，支持连续可调。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（3）模箱预热：模具预热时间≤24小时，模具预热温度：90℃-150℃，保证模箱透热均匀。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（4）炉温均匀性：在炉体顶部安装耐高温轴流风机，风机采用变频控制，可根据炉内温度自动调节风速，实现炉体内部热循环，炉体内部温度均匀性±5℃。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温度监测：在炉体四角及顶部各增设1个辅助温度传感器，共5个监测点，传感器不能影响模箱进出。所有传感器数据实时传输至西门子PLC（型号为S7-1200），通过PLC内部程序对5个监测点数据进行平均值计算，以此作为温控依据，避免单一传感器故障导致温控失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温控逻辑：配备数显温控仪表及触摸屏，支持温度设定、实时显示。当PLC检测到炉内平均温度低于设定值5℃时，自动启动电热管进行加热；当温度高于设定值5℃时，关闭电热管并启动轴流风机加强散热；当温度在设定值±5℃范围内时，仅维持少量电热管工作及低风速风机运行，实现节能运行。同时，在系统上实时显示5个监测点的历史数据（可存储1年），方便操作人员追溯温度变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安全要求：设置超高温报警装置，当炉内温度超过额定加热温度（≥300℃）时，报警器立即发出声光报警，同时PLC自动切断所有电热管电源，防止设备损坏及安全事故发生。炉门与设备主电源之间设置机械联锁装置，当炉门未完全关闭时，设备无法启动加热；若加热过程中炉门被意外打开，PLC立即切断电热管电源并停止风机运行，同时在触摸屏上显示“炉门未关”故障提示，保障操作人员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 结构与材料要求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（1）金属结构件：焊接工艺符合GB985（手工电弧焊）、GB986（气体保护焊）相关规定，重要焊缝需进行无损检测（如超声波检测），焊缝质量等级≥Ⅱ级，不得出现烧穿、裂纹、未熔合、气孔、夹渣等缺陷。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（2）主要铸件：设备关键铸件（如炉体框架、承重部件）不得有夹层、折叠、裂纹、结疤、砂眼等缺陷，铸件表面需进行除锈、防锈处理。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（3）炉体保温：炉壁采用双层结构，内层为耐高温隔热材料（耐温≥400℃），外层为冷轧钢板；保温层厚度≥150mm，保证炉体外壳温度＜60℃，符合</w:t>
      </w:r>
      <w:r>
        <w:rPr>
          <w:rFonts w:ascii="宋体" w:hAnsi="宋体" w:eastAsia="宋体" w:cs="宋体"/>
          <w:sz w:val="24"/>
          <w:szCs w:val="24"/>
          <w:highlight w:val="none"/>
        </w:rPr>
        <w:t>GB 50264-2013 《工业设备及管道绝热工程设计规范》</w:t>
      </w:r>
      <w:r>
        <w:rPr>
          <w:rFonts w:hint="eastAsia" w:ascii="宋体" w:hAnsi="宋体" w:eastAsia="宋体" w:cs="宋体"/>
          <w:sz w:val="24"/>
          <w:highlight w:val="none"/>
          <w:lang w:val="en-US" w:eastAsia="zh-CN"/>
        </w:rPr>
        <w:t>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（4）密封性能：炉门与炉体贴合处采用耐高温密封件，密封严密，无明显漏风现象，无明显压力泄漏。</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积放式悬挂冷却线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2.1 旧线拆除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（1）拆除现场原有旧悬挂冷却线体及附属设备，清理场地后新建积放式悬挂冷却线。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（2）供方需提前到甲方现场勘查，确认旧线拆除方案、新线安装空间、能源接口位置等，确保设计方案与现场条件匹配。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（3）旧线拆除产生的废弃物需按要求分类存放，存放地点遵从甲方要求，场地清理后需达到新线安装施工条件。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 生产工艺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（1）机器人挂件（甲方设备）→冷却室控制冷却→自然冷却→摘卸工件（人工）。悬链挂件、速冷段、缓冷段及摘卸位置具有积放功能，能够满足机器人挂件、温度控制及人工卸件的需求。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（2）链节悬挂挂钩的位置设置合理，能够满足生产节拍15S/件的要求。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（3）锻件挂线温度≥900℃，速冷结束时锻件温度≤710℃（速冷时间小于90秒），出冷却室时温度≤600℃，人工摘件温度≤450℃。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（4）锻件最大外形尺寸370*140*50(长×宽×厚)，锻件重量约4kg。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（5）参考冷却曲线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drawing>
          <wp:inline distT="0" distB="0" distL="114300" distR="114300">
            <wp:extent cx="5756275" cy="3249295"/>
            <wp:effectExtent l="0" t="0" r="158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756275" cy="3249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2.3 悬挂输送系统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牵引链要求：采用积放式悬挂输送结构，参考总长度≥50m（其中挂件段2—5m、速冷段2—5m、缓冷段10m、自然冷却段25m、摘卸段5m），轨道采用工字钢（型号I20a），悬挂输送链采用模锻可拆链，材质40Mn,链体表面淬火处理，硬度</w:t>
      </w:r>
      <w:r>
        <w:rPr>
          <w:rFonts w:hint="default" w:ascii="宋体" w:hAnsi="宋体" w:eastAsia="宋体" w:cs="宋体"/>
          <w:sz w:val="24"/>
          <w:highlight w:val="none"/>
          <w:lang w:val="en-US" w:eastAsia="zh-CN"/>
        </w:rPr>
        <w:t>≥</w:t>
      </w:r>
      <w:r>
        <w:rPr>
          <w:rFonts w:hint="eastAsia" w:ascii="宋体" w:hAnsi="宋体" w:eastAsia="宋体" w:cs="宋体"/>
          <w:sz w:val="24"/>
          <w:highlight w:val="none"/>
          <w:lang w:val="en-US" w:eastAsia="zh-CN"/>
        </w:rPr>
        <w:t>HRC40。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（2）牵引链驱动：采用变频电机+减速机，牵引链运行速度：1-5m/min（可调）配备电磁制动器，制动响应时间≤0.3s，保证牵引链在断电或紧急情况下快速停机。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（3）悬挂小车：悬挂小车满足15S/件的生产节拍要求，生产过程所用小车的数量不少于100个，备用小车数量不少于25个。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（4）挂件积放功能：在机器人挂件位置设置积放轨道，在积放轨道位置安装光电传感器，当传感器检测到挂件位置等待时，夹具将挂具固定，方便机器人进行挂件，挂件完成后接收机器人信号后自动放行。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highlight w:val="none"/>
          <w:lang w:val="en-US" w:eastAsia="zh-CN"/>
        </w:rPr>
      </w:pPr>
      <w:r>
        <w:rPr>
          <w:rFonts w:hint="eastAsia" w:ascii="宋体" w:hAnsi="宋体" w:eastAsia="宋体" w:cs="宋体"/>
          <w:b w:val="0"/>
          <w:bCs w:val="0"/>
          <w:kern w:val="2"/>
          <w:sz w:val="24"/>
          <w:szCs w:val="22"/>
          <w:highlight w:val="none"/>
          <w:lang w:val="en-US" w:eastAsia="zh-CN" w:bidi="ar-SA"/>
        </w:rPr>
        <w:t>（5）速冷段积放功能：在冷却室速冷段结束时，实现积放功能。</w:t>
      </w:r>
      <w:r>
        <w:rPr>
          <w:rFonts w:hint="eastAsia" w:ascii="宋体" w:hAnsi="宋体" w:eastAsia="宋体" w:cs="宋体"/>
          <w:sz w:val="24"/>
          <w:highlight w:val="none"/>
          <w:lang w:val="en-US" w:eastAsia="zh-CN"/>
        </w:rPr>
        <w:t>速冷段出料口位置设置温度监测，当检测锻件温度＞710℃时，自动积车；当检测锻件温度≤710℃时，自动放行。同时在速冷段结束位置应能实现时间控制功能，当积车时间达到到预定值时自动放行，可实现温度和时间双重控制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（6）缓冷段积放功能：在冷却室缓冷段结束时，实现积放功能。</w:t>
      </w:r>
      <w:r>
        <w:rPr>
          <w:rFonts w:hint="eastAsia" w:ascii="宋体" w:hAnsi="宋体" w:eastAsia="宋体" w:cs="宋体"/>
          <w:sz w:val="24"/>
          <w:highlight w:val="none"/>
          <w:lang w:val="en-US" w:eastAsia="zh-CN"/>
        </w:rPr>
        <w:t>缓冷段出料口位置设置温度监测，当检测锻件温度＞600℃时，自动积车；当检测锻件温度≤600℃时，自动放行。同时在缓冷段结束位置应能实现时间控制功能，当积车时间达到到预定值时自动放行，可实现温度和时间双重控制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（7）摘件积放功能：</w:t>
      </w:r>
      <w:r>
        <w:rPr>
          <w:rFonts w:hint="eastAsia" w:ascii="宋体" w:hAnsi="宋体" w:eastAsia="宋体" w:cs="宋体"/>
          <w:b w:val="0"/>
          <w:bCs w:val="0"/>
          <w:kern w:val="2"/>
          <w:sz w:val="24"/>
          <w:szCs w:val="22"/>
          <w:highlight w:val="none"/>
          <w:lang w:val="en-US" w:eastAsia="zh-CN" w:bidi="ar-SA"/>
        </w:rPr>
        <w:t>在人工摘卸位置设置1段积放轨道，在积放轨道出入口分别安装光电传感器，当传感器检测到摘卸位置有锻件等待时，进入积放轨道，实现积放功能。</w:t>
      </w:r>
      <w:r>
        <w:rPr>
          <w:rFonts w:hint="eastAsia" w:ascii="宋体" w:hAnsi="宋体" w:eastAsia="宋体" w:cs="宋体"/>
          <w:sz w:val="24"/>
          <w:highlight w:val="none"/>
          <w:lang w:val="en-US" w:eastAsia="zh-CN"/>
        </w:rPr>
        <w:t>摘件位置设置人工操作按钮，摘件完成后人工放行。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（8）挂具要求：挂具由供方负责设计制造，挂具的结构及强度应满足上述两种产品（斯太尔连杆体、MC系列连杆）的悬挂，挂具与锻件接触位置采用耐热钢材料制造。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2.4 冷却室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（1）冷却室概述：由供方负责设计制做，冷却室分为速冷段、缓冷段，速冷段与缓冷段设置物理隔离，避免相互干涉，相关尺寸供方可到甲方现场测量设计。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（2）冷却室保温：在冷却室内壁铺设保温层，保温层采用硅酸铝纤维棉（厚度≥150mm，减少热量散失及环境温度的影响。保证炉体外壳温度＜60℃，符合</w:t>
      </w:r>
      <w:r>
        <w:rPr>
          <w:rFonts w:ascii="宋体" w:hAnsi="宋体" w:eastAsia="宋体" w:cs="宋体"/>
          <w:color w:val="000000" w:themeColor="text1"/>
          <w:sz w:val="24"/>
          <w:szCs w:val="24"/>
          <w:highlight w:val="none"/>
          <w14:textFill>
            <w14:solidFill>
              <w14:schemeClr w14:val="tx1"/>
            </w14:solidFill>
          </w14:textFill>
        </w:rPr>
        <w:t>GB 50264-2013 《工业设备及管道绝热工程设计规范》</w:t>
      </w:r>
      <w:r>
        <w:rPr>
          <w:rFonts w:hint="eastAsia" w:ascii="宋体" w:hAnsi="宋体" w:eastAsia="宋体" w:cs="宋体"/>
          <w:color w:val="000000" w:themeColor="text1"/>
          <w:sz w:val="24"/>
          <w:highlight w:val="none"/>
          <w:lang w:val="en-US" w:eastAsia="zh-CN"/>
          <w14:textFill>
            <w14:solidFill>
              <w14:schemeClr w14:val="tx1"/>
            </w14:solidFill>
          </w14:textFill>
        </w:rPr>
        <w:t>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冷却方式：采用强制风冷方式，在冷却室两侧壁均匀布置14台轴流风机（变频控制），冷却总风量＞80000m³/h。风机出风口安装导流罩，导流罩与锻件保持相对距离，确保冷风直接吹向锻件表面。冷却室外设置排风管道，排风管道有阀门控制，排风管道与排风机（两台）连接，单台排风机风量＞40000m³/h（可变频控制）。</w:t>
      </w:r>
      <w:r>
        <w:rPr>
          <w:rFonts w:ascii="宋体" w:hAnsi="宋体" w:eastAsia="宋体" w:cs="宋体"/>
          <w:color w:val="000000" w:themeColor="text1"/>
          <w:sz w:val="24"/>
          <w:szCs w:val="24"/>
          <w:highlight w:val="none"/>
          <w14:textFill>
            <w14:solidFill>
              <w14:schemeClr w14:val="tx1"/>
            </w14:solidFill>
          </w14:textFill>
        </w:rPr>
        <w:t>排风管道末</w:t>
      </w:r>
      <w:r>
        <w:rPr>
          <w:rFonts w:hint="eastAsia" w:ascii="宋体" w:hAnsi="宋体" w:eastAsia="宋体" w:cs="宋体"/>
          <w:color w:val="000000" w:themeColor="text1"/>
          <w:sz w:val="24"/>
          <w:highlight w:val="none"/>
          <w:lang w:val="en-US" w:eastAsia="zh-CN"/>
          <w14:textFill>
            <w14:solidFill>
              <w14:schemeClr w14:val="tx1"/>
            </w14:solidFill>
          </w14:textFill>
        </w:rPr>
        <w:t>端采用侧向下排风、严禁垂直直排，符合工业通</w:t>
      </w:r>
      <w:r>
        <w:rPr>
          <w:rFonts w:ascii="宋体" w:hAnsi="宋体" w:eastAsia="宋体" w:cs="宋体"/>
          <w:color w:val="000000" w:themeColor="text1"/>
          <w:sz w:val="24"/>
          <w:szCs w:val="24"/>
          <w:highlight w:val="none"/>
          <w14:textFill>
            <w14:solidFill>
              <w14:schemeClr w14:val="tx1"/>
            </w14:solidFill>
          </w14:textFill>
        </w:rPr>
        <w:t>风与环保排放的基本设计原则。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（4）速冷段：在速冷段顶部设置集风槽，集风槽与室外排风管道连接，将吸收热量后的热风排出室外，避免热量在冷却室内积聚，保证速冷段冷却效率，使锻件在90秒内从900℃降至710℃以下。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缓冷段：安装电加热系统，加热温度≥400℃，配置60根1kW电加热管，总功率60kW，加热管均匀布置，满足升温及保温需求。从室温25℃升至额定温度400℃的时间≤1.5h；正常生产中，当加热区温度偏离设定值±10℃时，自动启停加热系统，确保温度稳定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2.5 温度测量及监控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（1）温度测量：冷却线挂线位置、冷却室进口位置、速冷段结束位置、缓冷段结束位置（即冷却室出口）、卸件位置均设置红外测温仪（测量范围0至1000℃，精度±1%，双通道）。红外测温仪选用</w:t>
      </w:r>
      <w:r>
        <w:rPr>
          <w:rFonts w:ascii="宋体" w:hAnsi="宋体" w:eastAsia="宋体" w:cs="宋体"/>
          <w:color w:val="000000" w:themeColor="text1"/>
          <w:sz w:val="24"/>
          <w:szCs w:val="24"/>
          <w:highlight w:val="none"/>
          <w14:textFill>
            <w14:solidFill>
              <w14:schemeClr w14:val="tx1"/>
            </w14:solidFill>
          </w14:textFill>
        </w:rPr>
        <w:t>福禄克</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欧普士</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雷泰</w:t>
      </w:r>
      <w:r>
        <w:rPr>
          <w:rFonts w:hint="eastAsia" w:ascii="宋体" w:hAnsi="宋体" w:eastAsia="宋体" w:cs="宋体"/>
          <w:color w:val="000000" w:themeColor="text1"/>
          <w:sz w:val="24"/>
          <w:szCs w:val="24"/>
          <w:highlight w:val="none"/>
          <w:lang w:val="en-US" w:eastAsia="zh-CN"/>
          <w14:textFill>
            <w14:solidFill>
              <w14:schemeClr w14:val="tx1"/>
            </w14:solidFill>
          </w14:textFill>
        </w:rPr>
        <w:t>等国际一线品牌，确保</w:t>
      </w:r>
      <w:r>
        <w:rPr>
          <w:rFonts w:ascii="宋体" w:hAnsi="宋体" w:eastAsia="宋体" w:cs="宋体"/>
          <w:color w:val="000000" w:themeColor="text1"/>
          <w:sz w:val="24"/>
          <w:szCs w:val="24"/>
          <w:highlight w:val="none"/>
          <w14:textFill>
            <w14:solidFill>
              <w14:schemeClr w14:val="tx1"/>
            </w14:solidFill>
          </w14:textFill>
        </w:rPr>
        <w:t>高精度、高稳定，适合连续生产</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缓冷段测量环境温度，热电偶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（2）测温仪采用支架固定，确保测温仪镜头正对锻件中心位置，测量距离≤1m，减少测量误差，测温数据收集到控制端并保存。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（3）温度监控：所有红外测温仪通过通讯接口与 PLC（型号为S7-1200）连接，</w:t>
      </w:r>
      <w:r>
        <w:rPr>
          <w:rFonts w:hint="default"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搭配 12 英寸西门子 KTP1200 彩色触摸屏，实现参数设定、实时监控、报警提示等功能</w:t>
      </w: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，PLC将实时测温数据传输至自动化主线上位机。上位机安装组态软件，对测温数据进行实时显示、及存储（存储周期为1秒/条，存储容量可满足1年数据存储需求），方便工程师将数据导出。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2.6 </w:t>
      </w:r>
      <w:r>
        <w:rPr>
          <w:rFonts w:hint="default" w:ascii="宋体" w:hAnsi="宋体" w:eastAsia="宋体" w:cs="宋体"/>
          <w:color w:val="000000" w:themeColor="text1"/>
          <w:sz w:val="24"/>
          <w:highlight w:val="none"/>
          <w:lang w:val="en-US" w:eastAsia="zh-CN"/>
          <w14:textFill>
            <w14:solidFill>
              <w14:schemeClr w14:val="tx1"/>
            </w14:solidFill>
          </w14:textFill>
        </w:rPr>
        <w:t>数据收集</w:t>
      </w:r>
      <w:r>
        <w:rPr>
          <w:rFonts w:hint="eastAsia" w:ascii="宋体" w:hAnsi="宋体" w:eastAsia="宋体" w:cs="宋体"/>
          <w:color w:val="000000" w:themeColor="text1"/>
          <w:sz w:val="24"/>
          <w:highlight w:val="none"/>
          <w:lang w:val="en-US" w:eastAsia="zh-CN"/>
          <w14:textFill>
            <w14:solidFill>
              <w14:schemeClr w14:val="tx1"/>
            </w14:solidFill>
          </w14:textFill>
        </w:rPr>
        <w:t>及控制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default" w:ascii="宋体" w:hAnsi="宋体" w:eastAsia="宋体" w:cs="宋体"/>
          <w:color w:val="000000" w:themeColor="text1"/>
          <w:sz w:val="24"/>
          <w:highlight w:val="none"/>
          <w:lang w:val="en-US" w:eastAsia="zh-CN"/>
          <w14:textFill>
            <w14:solidFill>
              <w14:schemeClr w14:val="tx1"/>
            </w14:solidFill>
          </w14:textFill>
        </w:rPr>
        <w:t>实时数据采集：牵引链</w:t>
      </w:r>
      <w:r>
        <w:rPr>
          <w:rFonts w:hint="eastAsia" w:ascii="宋体" w:hAnsi="宋体" w:eastAsia="宋体" w:cs="宋体"/>
          <w:color w:val="000000" w:themeColor="text1"/>
          <w:sz w:val="24"/>
          <w:highlight w:val="none"/>
          <w:lang w:val="en-US" w:eastAsia="zh-CN"/>
          <w14:textFill>
            <w14:solidFill>
              <w14:schemeClr w14:val="tx1"/>
            </w14:solidFill>
          </w14:textFill>
        </w:rPr>
        <w:t>电机频率</w:t>
      </w:r>
      <w:r>
        <w:rPr>
          <w:rFonts w:hint="default" w:ascii="宋体" w:hAnsi="宋体" w:eastAsia="宋体" w:cs="宋体"/>
          <w:color w:val="000000" w:themeColor="text1"/>
          <w:sz w:val="24"/>
          <w:highlight w:val="none"/>
          <w:lang w:val="en-US" w:eastAsia="zh-CN"/>
          <w14:textFill>
            <w14:solidFill>
              <w14:schemeClr w14:val="tx1"/>
            </w14:solidFill>
          </w14:textFill>
        </w:rPr>
        <w:t>、风机频率、加热</w:t>
      </w:r>
      <w:r>
        <w:rPr>
          <w:rFonts w:hint="eastAsia" w:ascii="宋体" w:hAnsi="宋体" w:eastAsia="宋体" w:cs="宋体"/>
          <w:color w:val="000000" w:themeColor="text1"/>
          <w:sz w:val="24"/>
          <w:highlight w:val="none"/>
          <w:lang w:val="en-US" w:eastAsia="zh-CN"/>
          <w14:textFill>
            <w14:solidFill>
              <w14:schemeClr w14:val="tx1"/>
            </w14:solidFill>
          </w14:textFill>
        </w:rPr>
        <w:t>温度数据、测量温度</w:t>
      </w:r>
      <w:r>
        <w:rPr>
          <w:rFonts w:hint="default" w:ascii="宋体" w:hAnsi="宋体" w:eastAsia="宋体" w:cs="宋体"/>
          <w:color w:val="000000" w:themeColor="text1"/>
          <w:sz w:val="24"/>
          <w:highlight w:val="none"/>
          <w:lang w:val="en-US" w:eastAsia="zh-CN"/>
          <w14:textFill>
            <w14:solidFill>
              <w14:schemeClr w14:val="tx1"/>
            </w14:solidFill>
          </w14:textFill>
        </w:rPr>
        <w:t>等设备参数通过PLC内部寄存器采集，同步上传数据</w:t>
      </w:r>
      <w:r>
        <w:rPr>
          <w:rFonts w:hint="eastAsia" w:ascii="宋体" w:hAnsi="宋体" w:eastAsia="宋体" w:cs="宋体"/>
          <w:color w:val="000000" w:themeColor="text1"/>
          <w:sz w:val="24"/>
          <w:highlight w:val="none"/>
          <w:lang w:val="en-US" w:eastAsia="zh-CN"/>
          <w14:textFill>
            <w14:solidFill>
              <w14:schemeClr w14:val="tx1"/>
            </w14:solidFill>
          </w14:textFill>
        </w:rPr>
        <w:t>至自动化主线上位机</w:t>
      </w:r>
      <w:r>
        <w:rPr>
          <w:rFonts w:hint="default" w:ascii="宋体" w:hAnsi="宋体" w:eastAsia="宋体" w:cs="宋体"/>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r>
        <w:rPr>
          <w:rFonts w:hint="default" w:ascii="宋体" w:hAnsi="宋体" w:eastAsia="宋体" w:cs="宋体"/>
          <w:sz w:val="24"/>
          <w:highlight w:val="none"/>
          <w:lang w:val="en-US" w:eastAsia="zh-CN"/>
        </w:rPr>
        <w:t>异常报警与追溯：当测温点温度超出设定阈值（如挂线温度＜900℃）或设备参数异常（如风机停转、加热过载）时，系统触发“触摸屏弹窗+声光报警”（报警声级≥85dB），同时在数据服务器记录报警信息（含时间、异常参数、报警类型），便于后期追溯分析。</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补充要求</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3.1</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3.2 设备机身、气动管路、液压管路管路等颜色要求详见下表，漆面均匀无气泡、龟裂和其它缺陷,设备旋转零部件，如电机等需有旋转标识。</w:t>
      </w:r>
    </w:p>
    <w:p>
      <w:pPr>
        <w:pStyle w:val="2"/>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3"/>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pPr>
        <w:pStyle w:val="2"/>
        <w:ind w:firstLine="643" w:firstLineChars="200"/>
        <w:outlineLvl w:val="9"/>
        <w:rPr>
          <w:rFonts w:hint="eastAsia"/>
          <w:lang w:val="en-US" w:eastAsia="zh-CN"/>
        </w:rPr>
      </w:pPr>
    </w:p>
    <w:p>
      <w:pPr>
        <w:rPr>
          <w:rFonts w:hint="default"/>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4"/>
                    <a:stretch>
                      <a:fillRect/>
                    </a:stretch>
                  </pic:blipFill>
                  <pic:spPr>
                    <a:xfrm>
                      <a:off x="0" y="0"/>
                      <a:ext cx="5575935" cy="5828030"/>
                    </a:xfrm>
                    <a:prstGeom prst="rect">
                      <a:avLst/>
                    </a:prstGeom>
                    <a:noFill/>
                    <a:ln>
                      <a:noFill/>
                    </a:ln>
                  </pic:spPr>
                </pic:pic>
              </a:graphicData>
            </a:graphic>
          </wp:inline>
        </w:drawing>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3.3</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3.4</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3.5</w:t>
      </w:r>
      <w:r>
        <w:rPr>
          <w:rFonts w:hint="eastAsia" w:ascii="宋体" w:hAnsi="宋体" w:eastAsia="宋体" w:cs="宋体"/>
          <w:b w:val="0"/>
          <w:bCs w:val="0"/>
          <w:kern w:val="2"/>
          <w:sz w:val="24"/>
          <w:szCs w:val="22"/>
          <w:highlight w:val="none"/>
          <w:lang w:val="en-US" w:eastAsia="zh-CN" w:bidi="ar-SA"/>
        </w:rPr>
        <w:t xml:space="preserve"> 有过电流保护装置，</w:t>
      </w:r>
      <w:r>
        <w:rPr>
          <w:rFonts w:hint="eastAsia" w:ascii="宋体" w:hAnsi="宋体" w:cs="宋体"/>
          <w:b w:val="0"/>
          <w:bCs w:val="0"/>
          <w:kern w:val="2"/>
          <w:sz w:val="24"/>
          <w:szCs w:val="22"/>
          <w:highlight w:val="none"/>
          <w:lang w:val="en-US" w:eastAsia="zh-CN" w:bidi="ar-SA"/>
        </w:rPr>
        <w:t>当设备故障时</w:t>
      </w:r>
      <w:r>
        <w:rPr>
          <w:rFonts w:hint="eastAsia" w:ascii="宋体" w:hAnsi="宋体" w:eastAsia="宋体" w:cs="宋体"/>
          <w:b w:val="0"/>
          <w:bCs w:val="0"/>
          <w:kern w:val="2"/>
          <w:sz w:val="24"/>
          <w:szCs w:val="22"/>
          <w:highlight w:val="none"/>
          <w:lang w:val="en-US" w:eastAsia="zh-CN" w:bidi="ar-SA"/>
        </w:rPr>
        <w:t>，有自动停机保护，不会损坏电机。</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3.6</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pPr>
        <w:pStyle w:val="2"/>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3.7</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3.8</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3.9</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pPr>
        <w:pStyle w:val="2"/>
        <w:ind w:firstLine="480" w:firstLineChars="200"/>
        <w:outlineLvl w:val="5"/>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3.10</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3.11</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3.12</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3.13</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3.14</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3.15</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3.16</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3.17</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3.18</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3.19</w:t>
      </w:r>
      <w:r>
        <w:rPr>
          <w:rFonts w:hint="eastAsia" w:ascii="宋体" w:hAnsi="宋体" w:eastAsia="宋体" w:cs="宋体"/>
          <w:b w:val="0"/>
          <w:bCs w:val="0"/>
          <w:kern w:val="2"/>
          <w:sz w:val="24"/>
          <w:szCs w:val="22"/>
          <w:highlight w:val="none"/>
          <w:lang w:val="en-US" w:eastAsia="zh-CN" w:bidi="ar-SA"/>
        </w:rPr>
        <w:t xml:space="preserve"> 程序图纸要求</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pPr>
        <w:pStyle w:val="2"/>
        <w:ind w:firstLine="480" w:firstLineChars="200"/>
        <w:outlineLvl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0</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w:t>
      </w:r>
      <w:r>
        <w:rPr>
          <w:rFonts w:hint="eastAsia" w:ascii="宋体" w:hAnsi="宋体" w:cs="宋体"/>
          <w:b w:val="0"/>
          <w:bCs w:val="0"/>
          <w:kern w:val="2"/>
          <w:sz w:val="24"/>
          <w:szCs w:val="22"/>
          <w:highlight w:val="none"/>
          <w:lang w:val="en-US" w:eastAsia="zh-CN" w:bidi="ar-SA"/>
        </w:rPr>
        <w:t>设备运行</w:t>
      </w:r>
      <w:r>
        <w:rPr>
          <w:rFonts w:hint="eastAsia" w:ascii="宋体" w:hAnsi="宋体" w:eastAsia="宋体" w:cs="宋体"/>
          <w:b w:val="0"/>
          <w:bCs w:val="0"/>
          <w:kern w:val="2"/>
          <w:sz w:val="24"/>
          <w:szCs w:val="22"/>
          <w:highlight w:val="none"/>
          <w:lang w:val="en-US" w:eastAsia="zh-CN" w:bidi="ar-SA"/>
        </w:rPr>
        <w:t>过程中遇到断电，</w:t>
      </w:r>
      <w:r>
        <w:rPr>
          <w:rFonts w:hint="eastAsia" w:ascii="宋体" w:hAnsi="宋体" w:cs="宋体"/>
          <w:b w:val="0"/>
          <w:bCs w:val="0"/>
          <w:kern w:val="2"/>
          <w:sz w:val="24"/>
          <w:szCs w:val="22"/>
          <w:highlight w:val="none"/>
          <w:lang w:val="en-US" w:eastAsia="zh-CN" w:bidi="ar-SA"/>
        </w:rPr>
        <w:t>设备</w:t>
      </w:r>
      <w:r>
        <w:rPr>
          <w:rFonts w:hint="eastAsia" w:ascii="宋体" w:hAnsi="宋体" w:eastAsia="宋体" w:cs="宋体"/>
          <w:b w:val="0"/>
          <w:bCs w:val="0"/>
          <w:kern w:val="2"/>
          <w:sz w:val="24"/>
          <w:szCs w:val="22"/>
          <w:highlight w:val="none"/>
          <w:lang w:val="en-US" w:eastAsia="zh-CN" w:bidi="ar-SA"/>
        </w:rPr>
        <w:t>会自动锁紧，停止运转，不会出现倒转现象</w:t>
      </w:r>
      <w:r>
        <w:rPr>
          <w:rFonts w:hint="eastAsia" w:ascii="宋体" w:hAnsi="宋体" w:cs="宋体"/>
          <w:b w:val="0"/>
          <w:bCs w:val="0"/>
          <w:kern w:val="2"/>
          <w:sz w:val="24"/>
          <w:szCs w:val="22"/>
          <w:highlight w:val="none"/>
          <w:lang w:val="en-US" w:eastAsia="zh-CN" w:bidi="ar-SA"/>
        </w:rPr>
        <w:t>，</w:t>
      </w:r>
      <w:r>
        <w:rPr>
          <w:rFonts w:hint="eastAsia" w:ascii="宋体" w:hAnsi="宋体" w:eastAsia="宋体" w:cs="宋体"/>
          <w:b w:val="0"/>
          <w:bCs w:val="0"/>
          <w:kern w:val="2"/>
          <w:sz w:val="24"/>
          <w:szCs w:val="22"/>
          <w:highlight w:val="none"/>
          <w:lang w:val="en-US" w:eastAsia="zh-CN" w:bidi="ar-SA"/>
        </w:rPr>
        <w:t>安全可靠。</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3.21</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p>
    <w:p>
      <w:pPr>
        <w:pStyle w:val="2"/>
        <w:ind w:firstLine="480" w:firstLineChars="200"/>
        <w:rPr>
          <w:rFonts w:hint="eastAsia" w:ascii="宋体" w:hAnsi="宋体" w:eastAsia="宋体" w:cs="宋体"/>
          <w:b w:val="0"/>
          <w:bCs w:val="0"/>
          <w:strike/>
          <w:dstrike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 xml:space="preserve">3.22  </w:t>
      </w:r>
      <w:r>
        <w:rPr>
          <w:rFonts w:hint="eastAsia" w:ascii="宋体" w:hAnsi="宋体" w:cs="宋体"/>
          <w:b w:val="0"/>
          <w:bCs w:val="0"/>
          <w:kern w:val="2"/>
          <w:sz w:val="24"/>
          <w:szCs w:val="22"/>
          <w:highlight w:val="none"/>
          <w:lang w:val="en-GB" w:eastAsia="zh-CN" w:bidi="ar-SA"/>
        </w:rPr>
        <w:t>凡是可能发生人或机器损伤、</w:t>
      </w:r>
      <w:r>
        <w:rPr>
          <w:rFonts w:hint="eastAsia" w:ascii="宋体" w:hAnsi="宋体" w:cs="宋体"/>
          <w:b w:val="0"/>
          <w:bCs w:val="0"/>
          <w:kern w:val="2"/>
          <w:sz w:val="24"/>
          <w:szCs w:val="22"/>
          <w:highlight w:val="none"/>
          <w:lang w:val="en-US" w:eastAsia="zh-CN" w:bidi="ar-SA"/>
        </w:rPr>
        <w:t>机械旋转部位</w:t>
      </w:r>
      <w:r>
        <w:rPr>
          <w:rFonts w:hint="eastAsia" w:ascii="宋体" w:hAnsi="宋体" w:cs="宋体"/>
          <w:b w:val="0"/>
          <w:bCs w:val="0"/>
          <w:kern w:val="2"/>
          <w:sz w:val="24"/>
          <w:szCs w:val="22"/>
          <w:highlight w:val="none"/>
          <w:lang w:val="en-GB" w:eastAsia="zh-CN" w:bidi="ar-SA"/>
        </w:rPr>
        <w:t>的地方均设置防护栏、围栏、安全网等设施；</w:t>
      </w:r>
      <w:r>
        <w:rPr>
          <w:rFonts w:hint="eastAsia" w:ascii="宋体" w:hAnsi="宋体" w:cs="宋体"/>
          <w:b w:val="0"/>
          <w:bCs w:val="0"/>
          <w:kern w:val="2"/>
          <w:sz w:val="24"/>
          <w:szCs w:val="22"/>
          <w:highlight w:val="none"/>
          <w:lang w:val="en-US" w:eastAsia="zh-CN" w:bidi="ar-SA"/>
        </w:rPr>
        <w:t>悬链</w:t>
      </w:r>
      <w:r>
        <w:rPr>
          <w:rFonts w:hint="eastAsia" w:ascii="宋体" w:hAnsi="宋体" w:cs="宋体"/>
          <w:b w:val="0"/>
          <w:bCs w:val="0"/>
          <w:kern w:val="2"/>
          <w:sz w:val="24"/>
          <w:szCs w:val="22"/>
          <w:highlight w:val="none"/>
          <w:lang w:val="en-GB" w:eastAsia="zh-CN" w:bidi="ar-SA"/>
        </w:rPr>
        <w:t>工作区域进行安全隔离（</w:t>
      </w:r>
      <w:r>
        <w:rPr>
          <w:rFonts w:hint="eastAsia" w:ascii="宋体" w:hAnsi="宋体" w:cs="宋体"/>
          <w:b w:val="0"/>
          <w:bCs w:val="0"/>
          <w:kern w:val="2"/>
          <w:sz w:val="24"/>
          <w:szCs w:val="22"/>
          <w:highlight w:val="none"/>
          <w:lang w:val="en-US" w:eastAsia="zh-CN" w:bidi="ar-SA"/>
        </w:rPr>
        <w:t>摘件位置积放段空出，方便人工卸件</w:t>
      </w:r>
      <w:r>
        <w:rPr>
          <w:rFonts w:hint="eastAsia" w:ascii="宋体" w:hAnsi="宋体" w:cs="宋体"/>
          <w:b w:val="0"/>
          <w:bCs w:val="0"/>
          <w:kern w:val="2"/>
          <w:sz w:val="24"/>
          <w:szCs w:val="22"/>
          <w:highlight w:val="none"/>
          <w:lang w:val="en-GB" w:eastAsia="zh-CN" w:bidi="ar-SA"/>
        </w:rPr>
        <w:t>），配有成套安全护栏，防护栏高度要求2.0米。在规范、方便的位置设置安全门</w:t>
      </w:r>
      <w:r>
        <w:rPr>
          <w:rFonts w:hint="eastAsia" w:ascii="宋体" w:hAnsi="宋体" w:cs="宋体"/>
          <w:b w:val="0"/>
          <w:bCs w:val="0"/>
          <w:kern w:val="2"/>
          <w:sz w:val="24"/>
          <w:szCs w:val="22"/>
          <w:highlight w:val="none"/>
          <w:lang w:val="en-US" w:eastAsia="zh-CN" w:bidi="ar-SA"/>
        </w:rPr>
        <w:t>并</w:t>
      </w:r>
      <w:r>
        <w:rPr>
          <w:rFonts w:hint="eastAsia" w:ascii="宋体" w:hAnsi="宋体" w:cs="宋体"/>
          <w:b w:val="0"/>
          <w:bCs w:val="0"/>
          <w:kern w:val="2"/>
          <w:sz w:val="24"/>
          <w:szCs w:val="22"/>
          <w:highlight w:val="none"/>
          <w:lang w:val="en-GB" w:eastAsia="zh-CN" w:bidi="ar-SA"/>
        </w:rPr>
        <w:t>配备有安全门锁，安全门通过安全锁与系统连锁，当安全门被非正常打开时相应系统立即停止运行并报警，安全门锁带有电磁锁功能，品牌：欧姆龙、安士能、基恩士、施迈赛、皮尔兹等。</w:t>
      </w:r>
      <w:r>
        <w:rPr>
          <w:rFonts w:hint="eastAsia" w:ascii="宋体" w:hAnsi="宋体" w:eastAsia="宋体" w:cs="宋体"/>
          <w:b w:val="0"/>
          <w:bCs w:val="0"/>
          <w:kern w:val="2"/>
          <w:sz w:val="24"/>
          <w:szCs w:val="22"/>
          <w:highlight w:val="red"/>
          <w:lang w:val="en-US" w:eastAsia="zh-CN" w:bidi="ar-SA"/>
        </w:rPr>
        <w:br w:type="textWrapping"/>
      </w:r>
      <w:r>
        <w:rPr>
          <w:rFonts w:hint="eastAsia" w:ascii="宋体" w:hAnsi="宋体" w:eastAsia="宋体" w:cs="宋体"/>
          <w:b/>
          <w:bCs/>
          <w:kern w:val="2"/>
          <w:sz w:val="24"/>
          <w:szCs w:val="22"/>
          <w:highlight w:val="none"/>
          <w:lang w:val="en-US" w:eastAsia="zh-CN" w:bidi="ar-SA"/>
        </w:rPr>
        <w:t>设备基础：</w:t>
      </w:r>
      <w:r>
        <w:rPr>
          <w:rFonts w:hint="eastAsia" w:ascii="宋体" w:hAnsi="宋体" w:eastAsia="宋体" w:cs="宋体"/>
          <w:b/>
          <w:bCs/>
          <w:kern w:val="2"/>
          <w:sz w:val="24"/>
          <w:szCs w:val="22"/>
          <w:highlight w:val="none"/>
          <w:lang w:val="en-US" w:eastAsia="zh-CN" w:bidi="ar-SA"/>
        </w:rPr>
        <w:br w:type="textWrapping"/>
      </w:r>
      <w:r>
        <w:rPr>
          <w:rFonts w:hint="eastAsia" w:ascii="宋体" w:hAnsi="宋体" w:eastAsia="宋体" w:cs="宋体"/>
          <w:b w:val="0"/>
          <w:bCs w:val="0"/>
          <w:strike w:val="0"/>
          <w:dstrike w:val="0"/>
          <w:kern w:val="2"/>
          <w:sz w:val="24"/>
          <w:szCs w:val="22"/>
          <w:highlight w:val="none"/>
          <w:lang w:val="en-US" w:eastAsia="zh-CN" w:bidi="ar-SA"/>
        </w:rPr>
        <w:t xml:space="preserve">   </w:t>
      </w:r>
      <w:r>
        <w:rPr>
          <w:rFonts w:hint="eastAsia" w:ascii="宋体" w:hAnsi="宋体" w:cs="宋体"/>
          <w:b w:val="0"/>
          <w:bCs w:val="0"/>
          <w:strike w:val="0"/>
          <w:dstrike w:val="0"/>
          <w:kern w:val="2"/>
          <w:sz w:val="24"/>
          <w:szCs w:val="22"/>
          <w:highlight w:val="none"/>
          <w:lang w:val="en-US" w:eastAsia="zh-CN" w:bidi="ar-SA"/>
        </w:rPr>
        <w:t xml:space="preserve"> 3.23</w:t>
      </w:r>
      <w:r>
        <w:rPr>
          <w:rFonts w:hint="eastAsia" w:ascii="宋体" w:hAnsi="宋体" w:eastAsia="宋体" w:cs="宋体"/>
          <w:b w:val="0"/>
          <w:bCs w:val="0"/>
          <w:strike w:val="0"/>
          <w:dstrike w:val="0"/>
          <w:kern w:val="2"/>
          <w:sz w:val="24"/>
          <w:szCs w:val="22"/>
          <w:highlight w:val="none"/>
          <w:lang w:val="en-US" w:eastAsia="zh-CN" w:bidi="ar-SA"/>
        </w:rPr>
        <w:t xml:space="preserve">  设备安装基础</w:t>
      </w:r>
      <w:r>
        <w:rPr>
          <w:rFonts w:hint="eastAsia" w:ascii="宋体" w:hAnsi="宋体" w:cs="宋体"/>
          <w:b w:val="0"/>
          <w:bCs w:val="0"/>
          <w:strike w:val="0"/>
          <w:dstrike w:val="0"/>
          <w:kern w:val="2"/>
          <w:sz w:val="24"/>
          <w:szCs w:val="22"/>
          <w:highlight w:val="none"/>
          <w:lang w:val="en-US" w:eastAsia="zh-CN" w:bidi="ar-SA"/>
        </w:rPr>
        <w:t>由投标方提出要求，甲方负责制做。</w:t>
      </w:r>
    </w:p>
    <w:p>
      <w:pPr>
        <w:rPr>
          <w:rFonts w:hint="default"/>
          <w:strike/>
          <w:dstrike w:val="0"/>
          <w:lang w:val="en-US" w:eastAsia="zh-CN"/>
        </w:rPr>
      </w:pPr>
    </w:p>
    <w:p>
      <w:pPr>
        <w:ind w:firstLine="482" w:firstLineChars="200"/>
        <w:outlineLvl w:val="2"/>
        <w:rPr>
          <w:sz w:val="28"/>
          <w:szCs w:val="36"/>
          <w:highlight w:val="none"/>
        </w:rPr>
      </w:pPr>
      <w:r>
        <w:rPr>
          <w:rFonts w:hint="eastAsia" w:ascii="宋体" w:hAnsi="宋体" w:eastAsia="宋体" w:cs="宋体"/>
          <w:b/>
          <w:bCs/>
          <w:sz w:val="24"/>
          <w:highlight w:val="none"/>
        </w:rPr>
        <w:t>四、执行标准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48"/>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913"/>
        <w:gridCol w:w="259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jc w:val="center"/>
              <w:rPr>
                <w:sz w:val="24"/>
                <w:szCs w:val="32"/>
                <w:highlight w:val="none"/>
              </w:rPr>
            </w:pPr>
            <w:r>
              <w:rPr>
                <w:rFonts w:hint="eastAsia"/>
                <w:sz w:val="24"/>
                <w:szCs w:val="32"/>
                <w:highlight w:val="none"/>
              </w:rPr>
              <w:t>序号</w:t>
            </w:r>
          </w:p>
        </w:tc>
        <w:tc>
          <w:tcPr>
            <w:tcW w:w="3913" w:type="dxa"/>
            <w:shd w:val="clear" w:color="auto" w:fill="auto"/>
            <w:vAlign w:val="center"/>
          </w:tcPr>
          <w:p>
            <w:pPr>
              <w:jc w:val="center"/>
              <w:rPr>
                <w:sz w:val="24"/>
                <w:szCs w:val="32"/>
                <w:highlight w:val="none"/>
              </w:rPr>
            </w:pPr>
            <w:r>
              <w:rPr>
                <w:rFonts w:hint="eastAsia"/>
                <w:sz w:val="24"/>
                <w:szCs w:val="32"/>
                <w:highlight w:val="none"/>
              </w:rPr>
              <w:t>标准名称</w:t>
            </w:r>
          </w:p>
        </w:tc>
        <w:tc>
          <w:tcPr>
            <w:tcW w:w="2598" w:type="dxa"/>
            <w:shd w:val="clear" w:color="auto" w:fill="auto"/>
            <w:vAlign w:val="center"/>
          </w:tcPr>
          <w:p>
            <w:pPr>
              <w:jc w:val="center"/>
              <w:rPr>
                <w:sz w:val="24"/>
                <w:szCs w:val="32"/>
                <w:highlight w:val="none"/>
              </w:rPr>
            </w:pPr>
            <w:r>
              <w:rPr>
                <w:rFonts w:hint="eastAsia"/>
                <w:sz w:val="24"/>
                <w:szCs w:val="32"/>
                <w:highlight w:val="none"/>
              </w:rPr>
              <w:t>标准编号</w:t>
            </w:r>
          </w:p>
        </w:tc>
        <w:tc>
          <w:tcPr>
            <w:tcW w:w="1088" w:type="dxa"/>
            <w:shd w:val="clear" w:color="auto" w:fill="auto"/>
            <w:vAlign w:val="center"/>
          </w:tcPr>
          <w:p>
            <w:pPr>
              <w:jc w:val="center"/>
              <w:rPr>
                <w:sz w:val="24"/>
                <w:szCs w:val="32"/>
                <w:highlight w:val="none"/>
              </w:rPr>
            </w:pPr>
            <w:r>
              <w:rPr>
                <w:rFonts w:hint="eastAsia"/>
                <w:sz w:val="24"/>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szCs w:val="24"/>
              </w:rPr>
              <w:t>机械安全防护装置固定式和活动式防护装置的设计与制造一般要求</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szCs w:val="24"/>
              </w:rPr>
              <w:t>GB/T 8196-2018</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highlight w:val="none"/>
              </w:rPr>
              <w:t>GB/T 41108</w:t>
            </w:r>
            <w:r>
              <w:rPr>
                <w:rFonts w:hint="eastAsia" w:ascii="宋体" w:hAnsi="宋体" w:eastAsia="宋体" w:cs="宋体"/>
                <w:sz w:val="24"/>
                <w:highlight w:val="none"/>
                <w:lang w:val="en-US" w:eastAsia="zh-CN"/>
              </w:rPr>
              <w:t>-2021</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913"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ascii="宋体" w:hAnsi="宋体" w:eastAsia="宋体" w:cs="宋体"/>
                <w:sz w:val="24"/>
                <w:szCs w:val="24"/>
              </w:rPr>
              <w:t>安全色和安全标志</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szCs w:val="24"/>
              </w:rPr>
              <w:t>GB 289</w:t>
            </w:r>
            <w:r>
              <w:rPr>
                <w:rFonts w:hint="eastAsia" w:ascii="宋体" w:hAnsi="宋体" w:eastAsia="宋体" w:cs="宋体"/>
                <w:sz w:val="24"/>
                <w:szCs w:val="24"/>
                <w:lang w:val="en-US" w:eastAsia="zh-CN"/>
              </w:rPr>
              <w:t>4</w:t>
            </w:r>
            <w:r>
              <w:rPr>
                <w:rFonts w:ascii="宋体" w:hAnsi="宋体" w:eastAsia="宋体" w:cs="宋体"/>
                <w:sz w:val="24"/>
                <w:szCs w:val="24"/>
              </w:rPr>
              <w:t>-20</w:t>
            </w:r>
            <w:r>
              <w:rPr>
                <w:rFonts w:hint="eastAsia" w:ascii="宋体" w:hAnsi="宋体" w:eastAsia="宋体" w:cs="宋体"/>
                <w:sz w:val="24"/>
                <w:szCs w:val="24"/>
                <w:lang w:val="en-US" w:eastAsia="zh-CN"/>
              </w:rPr>
              <w:t>25</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highlight w:val="none"/>
              </w:rPr>
              <w:t>GB/T 708-2</w:t>
            </w:r>
            <w:r>
              <w:rPr>
                <w:rFonts w:hint="eastAsia" w:ascii="宋体" w:hAnsi="宋体" w:eastAsia="宋体" w:cs="宋体"/>
                <w:sz w:val="24"/>
                <w:highlight w:val="none"/>
                <w:lang w:val="en-US" w:eastAsia="zh-CN"/>
              </w:rPr>
              <w:t>019</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98"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ascii="宋体" w:hAnsi="宋体" w:eastAsia="宋体" w:cs="宋体"/>
                <w:sz w:val="24"/>
                <w:szCs w:val="24"/>
              </w:rPr>
              <w:t>GB/T 32322</w:t>
            </w:r>
            <w:r>
              <w:rPr>
                <w:rFonts w:hint="eastAsia" w:ascii="宋体" w:hAnsi="宋体" w:eastAsia="宋体" w:cs="宋体"/>
                <w:sz w:val="24"/>
                <w:highlight w:val="none"/>
              </w:rPr>
              <w:t>-201</w:t>
            </w:r>
            <w:r>
              <w:rPr>
                <w:rFonts w:hint="eastAsia" w:ascii="宋体" w:hAnsi="宋体" w:eastAsia="宋体" w:cs="宋体"/>
                <w:sz w:val="24"/>
                <w:highlight w:val="none"/>
                <w:lang w:val="en-US" w:eastAsia="zh-CN"/>
              </w:rPr>
              <w:t>5</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98"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rPr>
              <w:t>G</w:t>
            </w:r>
            <w:r>
              <w:rPr>
                <w:rFonts w:ascii="宋体" w:hAnsi="宋体" w:eastAsia="宋体" w:cs="宋体"/>
                <w:sz w:val="24"/>
                <w:szCs w:val="24"/>
              </w:rPr>
              <w:t>B/T 16943</w:t>
            </w:r>
            <w:r>
              <w:rPr>
                <w:rFonts w:hint="eastAsia" w:ascii="宋体" w:hAnsi="宋体" w:eastAsia="宋体" w:cs="宋体"/>
                <w:sz w:val="24"/>
                <w:highlight w:val="none"/>
              </w:rPr>
              <w:t>-201</w:t>
            </w:r>
            <w:r>
              <w:rPr>
                <w:rFonts w:hint="eastAsia" w:ascii="宋体" w:hAnsi="宋体" w:eastAsia="宋体" w:cs="宋体"/>
                <w:sz w:val="24"/>
                <w:highlight w:val="none"/>
                <w:lang w:val="en-US" w:eastAsia="zh-CN"/>
              </w:rPr>
              <w:t>9</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GB/T5226</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2019</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GB50054-</w:t>
            </w:r>
            <w:r>
              <w:rPr>
                <w:rFonts w:hint="eastAsia" w:ascii="宋体" w:hAnsi="宋体" w:eastAsia="宋体" w:cs="宋体"/>
                <w:sz w:val="24"/>
                <w:highlight w:val="none"/>
                <w:lang w:val="en-US" w:eastAsia="zh-CN"/>
              </w:rPr>
              <w:t>2011</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w:t>
            </w:r>
          </w:p>
        </w:tc>
        <w:tc>
          <w:tcPr>
            <w:tcW w:w="3913"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工业企业厂界环境噪声排放标准</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 12348</w:t>
            </w:r>
            <w:r>
              <w:rPr>
                <w:rFonts w:hint="eastAsia" w:ascii="宋体" w:hAnsi="宋体" w:eastAsia="宋体" w:cs="宋体"/>
                <w:sz w:val="24"/>
                <w:highlight w:val="none"/>
                <w:lang w:val="en-US" w:eastAsia="zh-CN"/>
              </w:rPr>
              <w:t>-2008</w:t>
            </w:r>
          </w:p>
        </w:tc>
        <w:tc>
          <w:tcPr>
            <w:tcW w:w="1088" w:type="dxa"/>
            <w:shd w:val="clear" w:color="auto" w:fill="auto"/>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12</w:t>
            </w:r>
          </w:p>
        </w:tc>
        <w:tc>
          <w:tcPr>
            <w:tcW w:w="3913"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设备及管道绝热技术通则</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GB/T 4272-2024</w:t>
            </w:r>
          </w:p>
        </w:tc>
        <w:tc>
          <w:tcPr>
            <w:tcW w:w="1088" w:type="dxa"/>
            <w:shd w:val="clear" w:color="auto" w:fill="auto"/>
          </w:tcPr>
          <w:p>
            <w:pPr>
              <w:spacing w:line="360" w:lineRule="auto"/>
              <w:jc w:val="center"/>
              <w:rPr>
                <w:rFonts w:hint="default"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13</w:t>
            </w:r>
          </w:p>
        </w:tc>
        <w:tc>
          <w:tcPr>
            <w:tcW w:w="3913" w:type="dxa"/>
            <w:shd w:val="clear" w:color="auto" w:fill="auto"/>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工业炉及相关工艺设备 安全第1部分:通用要求</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GB/T 37752.1-2019</w:t>
            </w:r>
          </w:p>
        </w:tc>
        <w:tc>
          <w:tcPr>
            <w:tcW w:w="1088" w:type="dxa"/>
            <w:shd w:val="clear" w:color="auto" w:fill="auto"/>
            <w:vAlign w:val="center"/>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14</w:t>
            </w:r>
          </w:p>
        </w:tc>
        <w:tc>
          <w:tcPr>
            <w:tcW w:w="3913" w:type="dxa"/>
            <w:shd w:val="clear" w:color="auto" w:fill="auto"/>
            <w:vAlign w:val="center"/>
          </w:tcPr>
          <w:p>
            <w:pPr>
              <w:spacing w:line="360" w:lineRule="auto"/>
              <w:jc w:val="center"/>
              <w:rPr>
                <w:rFonts w:hint="eastAsia" w:ascii="宋体" w:hAnsi="宋体" w:eastAsia="宋体" w:cs="宋体"/>
                <w:sz w:val="24"/>
                <w:highlight w:val="none"/>
                <w:lang w:val="en-US" w:eastAsia="zh-CN"/>
              </w:rPr>
            </w:pPr>
            <w:r>
              <w:rPr>
                <w:rFonts w:ascii="宋体" w:hAnsi="宋体" w:eastAsia="宋体" w:cs="宋体"/>
                <w:sz w:val="24"/>
                <w:szCs w:val="24"/>
                <w:highlight w:val="none"/>
              </w:rPr>
              <w:t>工业设备及管道绝热工程设计规范</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ascii="宋体" w:hAnsi="宋体" w:eastAsia="宋体" w:cs="宋体"/>
                <w:sz w:val="24"/>
                <w:szCs w:val="24"/>
                <w:highlight w:val="none"/>
              </w:rPr>
              <w:t>GB 50264-2013</w:t>
            </w:r>
          </w:p>
        </w:tc>
        <w:tc>
          <w:tcPr>
            <w:tcW w:w="1088" w:type="dxa"/>
            <w:shd w:val="clear" w:color="auto" w:fill="auto"/>
            <w:vAlign w:val="center"/>
          </w:tcPr>
          <w:p>
            <w:pPr>
              <w:spacing w:line="360" w:lineRule="auto"/>
              <w:jc w:val="center"/>
              <w:rPr>
                <w:rFonts w:hint="default"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15</w:t>
            </w:r>
          </w:p>
        </w:tc>
        <w:tc>
          <w:tcPr>
            <w:tcW w:w="3913"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积放式悬挂输送机技术条件</w:t>
            </w:r>
          </w:p>
        </w:tc>
        <w:tc>
          <w:tcPr>
            <w:tcW w:w="2598"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JB/T 5321-2008</w:t>
            </w:r>
          </w:p>
        </w:tc>
        <w:tc>
          <w:tcPr>
            <w:tcW w:w="1088" w:type="dxa"/>
            <w:shd w:val="clear" w:color="auto" w:fill="auto"/>
            <w:vAlign w:val="center"/>
          </w:tcPr>
          <w:p>
            <w:pPr>
              <w:spacing w:line="360" w:lineRule="auto"/>
              <w:jc w:val="center"/>
              <w:rPr>
                <w:rFonts w:hint="eastAsia"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16</w:t>
            </w:r>
          </w:p>
        </w:tc>
        <w:tc>
          <w:tcPr>
            <w:tcW w:w="3913"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悬挂连续式热处理生产线</w:t>
            </w:r>
          </w:p>
        </w:tc>
        <w:tc>
          <w:tcPr>
            <w:tcW w:w="2598"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JB/T 12086-2014</w:t>
            </w:r>
          </w:p>
        </w:tc>
        <w:tc>
          <w:tcPr>
            <w:tcW w:w="1088" w:type="dxa"/>
            <w:shd w:val="clear" w:color="auto" w:fill="auto"/>
            <w:vAlign w:val="center"/>
          </w:tcPr>
          <w:p>
            <w:pPr>
              <w:spacing w:line="360" w:lineRule="auto"/>
              <w:jc w:val="center"/>
              <w:rPr>
                <w:rFonts w:hint="eastAsia" w:ascii="宋体" w:hAnsi="宋体" w:eastAsia="宋体" w:cs="宋体"/>
                <w:sz w:val="24"/>
                <w:highlight w:val="none"/>
                <w:lang w:val="en-US" w:eastAsia="zh-CN"/>
              </w:rPr>
            </w:pPr>
          </w:p>
        </w:tc>
      </w:tr>
    </w:tbl>
    <w:p>
      <w:pPr>
        <w:rPr>
          <w:rFonts w:hint="eastAsia" w:ascii="Calibri" w:hAnsi="Calibri" w:eastAsia="宋体" w:cs="Times New Roman"/>
          <w:b/>
          <w:bCs/>
          <w:kern w:val="44"/>
          <w:sz w:val="28"/>
          <w:szCs w:val="28"/>
          <w:highlight w:val="none"/>
        </w:rPr>
      </w:pPr>
    </w:p>
    <w:p>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48"/>
        <w:tblW w:w="10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17"/>
        <w:gridCol w:w="3777"/>
        <w:gridCol w:w="744"/>
        <w:gridCol w:w="1124"/>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377" w:type="dxa"/>
            <w:gridSpan w:val="6"/>
            <w:vAlign w:val="center"/>
          </w:tcPr>
          <w:p>
            <w:pPr>
              <w:spacing w:line="360" w:lineRule="auto"/>
              <w:jc w:val="center"/>
              <w:textAlignment w:val="center"/>
              <w:rPr>
                <w:rFonts w:hint="default" w:ascii="宋体" w:hAnsi="宋体" w:eastAsia="宋体" w:cs="宋体"/>
                <w:sz w:val="24"/>
                <w:highlight w:val="none"/>
                <w:lang w:val="en-US" w:eastAsia="zh-CN"/>
              </w:rPr>
            </w:pPr>
            <w:r>
              <w:rPr>
                <w:rFonts w:hint="eastAsia" w:ascii="宋体" w:hAnsi="宋体" w:eastAsia="宋体" w:cs="宋体"/>
                <w:b/>
                <w:bCs/>
                <w:sz w:val="24"/>
                <w:highlight w:val="none"/>
                <w:lang w:val="en-US" w:eastAsia="zh-CN"/>
              </w:rPr>
              <w:t>模具预热炉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1917"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3777" w:type="dxa"/>
            <w:vAlign w:val="center"/>
          </w:tcPr>
          <w:p>
            <w:pPr>
              <w:spacing w:line="360" w:lineRule="auto"/>
              <w:jc w:val="center"/>
              <w:textAlignment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内容</w:t>
            </w:r>
          </w:p>
        </w:tc>
        <w:tc>
          <w:tcPr>
            <w:tcW w:w="744"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24"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068"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壳体</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型钢及钢板制做</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炉衬</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硅酸铝纤维毯，厚150mm</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内衬板</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不锈钢板折弯</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装料架</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采用400#工字钢焊接</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5</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加热及测温系统</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热电偶、电加热管</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6</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循环系统</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轴流式水冷风机、风叶、水冷系统</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7</w:t>
            </w:r>
          </w:p>
        </w:tc>
        <w:tc>
          <w:tcPr>
            <w:tcW w:w="1917"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电控系统</w:t>
            </w:r>
          </w:p>
        </w:tc>
        <w:tc>
          <w:tcPr>
            <w:tcW w:w="3777" w:type="dxa"/>
            <w:shd w:val="clear" w:color="auto" w:fill="auto"/>
            <w:vAlign w:val="center"/>
          </w:tcPr>
          <w:p>
            <w:pPr>
              <w:spacing w:line="360" w:lineRule="auto"/>
              <w:jc w:val="center"/>
              <w:rPr>
                <w:rFonts w:hint="eastAsia" w:ascii="Arial" w:hAnsi="Arial" w:eastAsia="宋体" w:cs="Times New Roman"/>
                <w:b/>
                <w:bCs/>
                <w:kern w:val="2"/>
                <w:sz w:val="24"/>
                <w:szCs w:val="32"/>
                <w:highlight w:val="none"/>
                <w:lang w:val="en-US" w:eastAsia="zh-CN" w:bidi="ar-SA"/>
              </w:rPr>
            </w:pPr>
            <w:r>
              <w:rPr>
                <w:rFonts w:hint="eastAsia" w:ascii="宋体" w:hAnsi="宋体" w:eastAsia="宋体"/>
                <w:highlight w:val="none"/>
                <w:lang w:val="en-US" w:eastAsia="zh-CN"/>
              </w:rPr>
              <w:t>电控柜、PLC、补偿导线等</w:t>
            </w:r>
          </w:p>
        </w:tc>
        <w:tc>
          <w:tcPr>
            <w:tcW w:w="744"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cstheme="minorBidi"/>
                <w:kern w:val="2"/>
                <w:sz w:val="21"/>
                <w:szCs w:val="22"/>
                <w:highlight w:val="none"/>
                <w:lang w:val="en-US" w:eastAsia="zh-CN" w:bidi="ar-SA"/>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轨道</w:t>
            </w:r>
          </w:p>
        </w:tc>
        <w:tc>
          <w:tcPr>
            <w:tcW w:w="3777" w:type="dxa"/>
            <w:vAlign w:val="center"/>
          </w:tcPr>
          <w:p>
            <w:pPr>
              <w:pStyle w:val="2"/>
              <w:jc w:val="center"/>
              <w:rPr>
                <w:rFonts w:hint="eastAsia" w:ascii="宋体" w:hAnsi="宋体" w:eastAsia="宋体" w:cstheme="minorBidi"/>
                <w:b w:val="0"/>
                <w:bCs w:val="0"/>
                <w:kern w:val="2"/>
                <w:sz w:val="21"/>
                <w:szCs w:val="22"/>
                <w:highlight w:val="none"/>
                <w:lang w:val="en-US" w:eastAsia="zh-CN" w:bidi="ar-SA"/>
              </w:rPr>
            </w:pPr>
            <w:r>
              <w:rPr>
                <w:rFonts w:hint="eastAsia" w:ascii="宋体" w:hAnsi="宋体" w:eastAsia="宋体" w:cstheme="minorBidi"/>
                <w:b w:val="0"/>
                <w:bCs w:val="0"/>
                <w:kern w:val="2"/>
                <w:sz w:val="21"/>
                <w:szCs w:val="22"/>
                <w:highlight w:val="none"/>
                <w:lang w:val="en-US" w:eastAsia="zh-CN" w:bidi="ar-SA"/>
              </w:rPr>
              <w:t>钢轨本体、行走轮组</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移动系统</w:t>
            </w:r>
          </w:p>
        </w:tc>
        <w:tc>
          <w:tcPr>
            <w:tcW w:w="3777" w:type="dxa"/>
            <w:vAlign w:val="center"/>
          </w:tcPr>
          <w:p>
            <w:pPr>
              <w:pStyle w:val="2"/>
              <w:jc w:val="center"/>
              <w:rPr>
                <w:rFonts w:hint="eastAsia"/>
                <w:highlight w:val="none"/>
                <w:lang w:val="en-US" w:eastAsia="zh-CN"/>
              </w:rPr>
            </w:pPr>
            <w:r>
              <w:rPr>
                <w:rFonts w:hint="eastAsia" w:ascii="宋体" w:hAnsi="宋体" w:eastAsia="宋体" w:cstheme="minorBidi"/>
                <w:b w:val="0"/>
                <w:bCs w:val="0"/>
                <w:kern w:val="2"/>
                <w:sz w:val="21"/>
                <w:szCs w:val="22"/>
                <w:highlight w:val="none"/>
                <w:lang w:val="en-US" w:eastAsia="zh-CN" w:bidi="ar-SA"/>
              </w:rPr>
              <w:t>滑线、导向与限位装置、传动系统</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377"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4"/>
                <w:szCs w:val="6"/>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77" w:type="dxa"/>
            <w:gridSpan w:val="6"/>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cs="宋体"/>
                <w:b/>
                <w:bCs/>
                <w:sz w:val="24"/>
                <w:highlight w:val="none"/>
                <w:lang w:val="en-US" w:eastAsia="zh-CN"/>
              </w:rPr>
              <w:t>积放式悬挂冷却线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序号</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名称</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内容</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单位</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数量</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1</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冷却室壳体</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含基础外壳、保温炉衬、内衬板等</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2</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悬链系统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输送链条、耐磨滑块卡扣、主动链轮、从动链轮、涨紧机构、挂载小车、立柱、导轨、挂具等。</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3</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冷却系统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排风机、轴流电机</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4</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积放系统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分别设置在挂线及摘卸件位置</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2</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5</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加热及温控系统</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红外温控仪、热电偶、电加热管</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0" w:type="auto"/>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6</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润滑系统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集中润换泵、润滑管路等</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0" w:type="auto"/>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0" w:type="auto"/>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7</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电控系统</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电控柜、PLC、显示屏、补偿导线、上位机等</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0" w:type="auto"/>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bl>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（一）一般界定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（二）供货范围边界界定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20" w:name="_Toc169605883"/>
    </w:p>
    <w:p>
      <w:pPr>
        <w:keepNext/>
        <w:keepLines/>
        <w:spacing w:line="360" w:lineRule="auto"/>
        <w:jc w:val="center"/>
        <w:outlineLvl w:val="4"/>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20"/>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w:t>
      </w:r>
      <w:r>
        <w:rPr>
          <w:rFonts w:hint="eastAsia" w:ascii="宋体" w:hAnsi="宋体" w:eastAsia="宋体" w:cs="宋体"/>
          <w:color w:val="000000"/>
          <w:sz w:val="24"/>
          <w:highlight w:val="none"/>
          <w:u w:val="single"/>
          <w:lang w:val="en-US" w:eastAsia="zh-CN"/>
        </w:rPr>
        <w:t>市中区党家庄机锻车间</w:t>
      </w:r>
      <w:r>
        <w:rPr>
          <w:rFonts w:hint="eastAsia" w:ascii="宋体" w:hAnsi="宋体" w:eastAsia="宋体" w:cs="宋体"/>
          <w:sz w:val="24"/>
          <w:highlight w:val="none"/>
        </w:rPr>
        <w:t>。</w:t>
      </w:r>
    </w:p>
    <w:p>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1.自合同签定生效之日起，</w:t>
      </w:r>
      <w:r>
        <w:rPr>
          <w:rFonts w:hint="eastAsia" w:ascii="宋体" w:hAnsi="宋体" w:eastAsia="宋体" w:cs="宋体"/>
          <w:sz w:val="24"/>
          <w:highlight w:val="none"/>
          <w:u w:val="single"/>
          <w:lang w:val="en-US" w:eastAsia="zh-CN"/>
        </w:rPr>
        <w:t>60</w:t>
      </w:r>
      <w:r>
        <w:rPr>
          <w:rFonts w:hint="eastAsia" w:ascii="宋体" w:hAnsi="宋体" w:eastAsia="宋体" w:cs="宋体"/>
          <w:sz w:val="24"/>
          <w:highlight w:val="none"/>
        </w:rPr>
        <w:t>个日历日之内交货至供货地点</w:t>
      </w:r>
      <w:r>
        <w:rPr>
          <w:rFonts w:ascii="宋体" w:hAnsi="宋体" w:eastAsia="宋体" w:cs="宋体"/>
          <w:sz w:val="24"/>
          <w:highlight w:val="none"/>
        </w:rPr>
        <w:t>。</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2.接续</w:t>
      </w:r>
      <w:r>
        <w:rPr>
          <w:rFonts w:hint="eastAsia" w:ascii="宋体" w:hAnsi="宋体" w:eastAsia="宋体" w:cs="宋体"/>
          <w:sz w:val="24"/>
          <w:highlight w:val="none"/>
          <w:u w:val="single"/>
          <w:shd w:val="pct10" w:color="auto" w:fill="FFFFFF"/>
          <w:lang w:val="en-US" w:eastAsia="zh-CN"/>
        </w:rPr>
        <w:t>1</w:t>
      </w:r>
      <w:r>
        <w:rPr>
          <w:rFonts w:hint="eastAsia" w:ascii="宋体" w:hAnsi="宋体" w:eastAsia="宋体" w:cs="宋体"/>
          <w:sz w:val="24"/>
          <w:highlight w:val="none"/>
          <w:u w:val="single"/>
          <w:shd w:val="pct10" w:color="auto" w:fill="FFFFFF"/>
        </w:rPr>
        <w:t>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3.接续</w:t>
      </w:r>
      <w:r>
        <w:rPr>
          <w:rFonts w:hint="eastAsia" w:ascii="宋体" w:hAnsi="宋体" w:eastAsia="宋体" w:cs="宋体"/>
          <w:sz w:val="24"/>
          <w:highlight w:val="none"/>
          <w:u w:val="single"/>
          <w:shd w:val="pct10" w:color="auto" w:fill="FFFFFF"/>
        </w:rPr>
        <w:t>30</w:t>
      </w:r>
      <w:r>
        <w:rPr>
          <w:rFonts w:hint="eastAsia" w:ascii="宋体" w:hAnsi="宋体" w:eastAsia="宋体" w:cs="宋体"/>
          <w:sz w:val="24"/>
          <w:highlight w:val="none"/>
        </w:rPr>
        <w:t>个日历日之内完成终验收。</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1"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21"/>
    </w:p>
    <w:p>
      <w:pPr>
        <w:pStyle w:val="237"/>
        <w:spacing w:line="360" w:lineRule="auto"/>
        <w:rPr>
          <w:highlight w:val="none"/>
        </w:rPr>
      </w:pPr>
      <w:r>
        <w:rPr>
          <w:rFonts w:hint="eastAsia"/>
          <w:highlight w:val="none"/>
        </w:rPr>
        <w:t>一、质保期及质保要求</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pPr>
        <w:pStyle w:val="237"/>
        <w:spacing w:line="360" w:lineRule="auto"/>
        <w:rPr>
          <w:rFonts w:ascii="宋体" w:hAnsi="宋体" w:cs="宋体"/>
          <w:highlight w:val="none"/>
        </w:rPr>
      </w:pPr>
      <w:r>
        <w:rPr>
          <w:rFonts w:hint="eastAsia" w:ascii="宋体" w:hAnsi="宋体" w:cs="宋体"/>
          <w:highlight w:val="none"/>
        </w:rPr>
        <w:t>二、技术及培训服务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highlight w:val="none"/>
        </w:rPr>
      </w:pPr>
      <w:r>
        <w:rPr>
          <w:rFonts w:hint="eastAsia" w:ascii="宋体" w:hAnsi="宋体" w:cs="宋体"/>
          <w:highlight w:val="none"/>
        </w:rPr>
        <w:t>三、安装调试及验收服务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pPr>
        <w:pStyle w:val="237"/>
        <w:spacing w:line="360" w:lineRule="auto"/>
        <w:rPr>
          <w:rFonts w:ascii="宋体" w:hAnsi="宋体" w:cs="宋体"/>
          <w:highlight w:val="none"/>
        </w:rPr>
      </w:pPr>
      <w:r>
        <w:rPr>
          <w:rFonts w:hint="eastAsia" w:ascii="宋体" w:hAnsi="宋体" w:cs="宋体"/>
          <w:highlight w:val="none"/>
        </w:rPr>
        <w:t>四、售后服务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pPr>
        <w:pStyle w:val="237"/>
        <w:spacing w:line="360" w:lineRule="auto"/>
        <w:rPr>
          <w:rFonts w:ascii="宋体" w:hAnsi="宋体" w:cs="宋体"/>
          <w:highlight w:val="none"/>
        </w:rPr>
      </w:pPr>
      <w:r>
        <w:rPr>
          <w:rFonts w:hint="eastAsia" w:ascii="宋体" w:hAnsi="宋体" w:cs="宋体"/>
          <w:highlight w:val="none"/>
        </w:rPr>
        <w:t>五、其它服务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pPr>
        <w:pStyle w:val="24"/>
        <w:rPr>
          <w:rFonts w:eastAsia="宋体"/>
          <w:highlight w:val="none"/>
        </w:rPr>
      </w:pPr>
      <w:r>
        <w:rPr>
          <w:rFonts w:eastAsia="宋体"/>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2" w:name="_Toc465187646"/>
      <w:r>
        <w:rPr>
          <w:rFonts w:hint="eastAsia" w:ascii="Calibri" w:hAnsi="Calibri" w:eastAsia="宋体" w:cs="Times New Roman"/>
          <w:b/>
          <w:bCs/>
          <w:kern w:val="44"/>
          <w:sz w:val="28"/>
          <w:szCs w:val="28"/>
          <w:highlight w:val="none"/>
        </w:rPr>
        <w:t>第五章  预验收和终验收</w:t>
      </w:r>
      <w:bookmarkEnd w:id="22"/>
    </w:p>
    <w:p>
      <w:pPr>
        <w:pStyle w:val="237"/>
        <w:spacing w:line="360" w:lineRule="auto"/>
        <w:rPr>
          <w:rFonts w:ascii="宋体" w:hAnsi="宋体" w:cs="宋体"/>
          <w:highlight w:val="none"/>
        </w:rPr>
      </w:pPr>
      <w:r>
        <w:rPr>
          <w:rFonts w:hint="eastAsia" w:ascii="宋体" w:hAnsi="宋体" w:cs="宋体"/>
          <w:highlight w:val="none"/>
        </w:rPr>
        <w:t>一、验收依据和验收标准</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highlight w:val="none"/>
        </w:rPr>
      </w:pPr>
      <w:r>
        <w:rPr>
          <w:rFonts w:hint="eastAsia" w:ascii="宋体" w:hAnsi="宋体" w:cs="宋体"/>
          <w:highlight w:val="none"/>
        </w:rPr>
        <w:t>二、检验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pPr>
        <w:adjustRightInd w:val="0"/>
        <w:snapToGrid w:val="0"/>
        <w:spacing w:line="360" w:lineRule="auto"/>
        <w:ind w:firstLine="480" w:firstLineChars="200"/>
        <w:outlineLvl w:val="4"/>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2.终验收一般条件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3.终验收基本要求</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spacing w:line="360" w:lineRule="auto"/>
        <w:outlineLvl w:val="1"/>
        <w:rPr>
          <w:rFonts w:eastAsia="宋体"/>
          <w:b/>
          <w:bCs w:val="0"/>
          <w:iCs/>
          <w:color w:val="auto"/>
          <w:sz w:val="28"/>
          <w:highlight w:val="none"/>
        </w:rPr>
      </w:pPr>
      <w:bookmarkStart w:id="23" w:name="_Toc465187647"/>
      <w:r>
        <w:rPr>
          <w:rFonts w:eastAsia="宋体"/>
          <w:b/>
          <w:bCs w:val="0"/>
          <w:iCs/>
          <w:color w:val="auto"/>
          <w:sz w:val="28"/>
          <w:highlight w:val="none"/>
        </w:rPr>
        <w:t>第六章  投标技术文件一般要求</w:t>
      </w:r>
      <w:bookmarkEnd w:id="23"/>
    </w:p>
    <w:p>
      <w:pPr>
        <w:pStyle w:val="237"/>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bl>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pPr>
        <w:pStyle w:val="23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pPr>
        <w:pStyle w:val="237"/>
        <w:spacing w:line="360" w:lineRule="auto"/>
        <w:rPr>
          <w:rFonts w:ascii="宋体" w:hAnsi="宋体" w:cs="宋体"/>
          <w:color w:val="auto"/>
          <w:highlight w:val="none"/>
        </w:rPr>
      </w:pPr>
      <w:r>
        <w:rPr>
          <w:rFonts w:hint="eastAsia" w:ascii="宋体" w:hAnsi="宋体" w:cs="宋体"/>
          <w:color w:val="auto"/>
          <w:highlight w:val="none"/>
        </w:rPr>
        <w:t>一、要求</w:t>
      </w:r>
    </w:p>
    <w:p>
      <w:pPr>
        <w:pStyle w:val="27"/>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pPr>
        <w:spacing w:line="360" w:lineRule="auto"/>
        <w:ind w:firstLine="477" w:firstLineChars="199"/>
        <w:outlineLvl w:val="3"/>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rPr>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sz w:val="24"/>
          <w:highlight w:val="none"/>
        </w:rPr>
      </w:pPr>
    </w:p>
    <w:p/>
    <w:p/>
    <w:p>
      <w:pPr>
        <w:pStyle w:val="235"/>
        <w:rPr>
          <w:b/>
          <w:bCs/>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4" w:name="_Toc353881012"/>
      <w:bookmarkStart w:id="25" w:name="_Toc212369550"/>
      <w:bookmarkStart w:id="26" w:name="_Toc25811"/>
      <w:bookmarkStart w:id="27" w:name="_Toc639004"/>
      <w:r>
        <w:rPr>
          <w:rFonts w:hint="default" w:ascii="Times New Roman" w:hAnsi="Times New Roman" w:eastAsia="宋体" w:cs="Times New Roman"/>
          <w:b/>
          <w:bCs/>
          <w:color w:val="000000"/>
          <w:sz w:val="24"/>
          <w:szCs w:val="24"/>
        </w:rPr>
        <w:t xml:space="preserve"> 投标函</w:t>
      </w:r>
      <w:bookmarkEnd w:id="24"/>
      <w:bookmarkEnd w:id="25"/>
      <w:bookmarkEnd w:id="26"/>
      <w:bookmarkEnd w:id="27"/>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6300T、3150T热模锻生产线复产项目-新增模具预热炉及积放式锻件冷却线</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6300T、3150T热模锻生产线复产项目-新增模具预热炉及积放式锻件冷却线</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20"/>
              <w:bidi w:val="0"/>
              <w:jc w:val="center"/>
              <w:rPr>
                <w:rFonts w:hint="eastAsia"/>
                <w:highlight w:val="none"/>
              </w:rPr>
            </w:pPr>
            <w:r>
              <w:rPr>
                <w:rFonts w:hint="eastAsia"/>
                <w:highlight w:val="none"/>
              </w:rPr>
              <w:t>序号</w:t>
            </w:r>
          </w:p>
        </w:tc>
        <w:tc>
          <w:tcPr>
            <w:tcW w:w="1217" w:type="pct"/>
            <w:vAlign w:val="center"/>
          </w:tcPr>
          <w:p>
            <w:pPr>
              <w:pStyle w:val="20"/>
              <w:bidi w:val="0"/>
              <w:jc w:val="center"/>
              <w:rPr>
                <w:rFonts w:hint="eastAsia"/>
                <w:highlight w:val="none"/>
              </w:rPr>
            </w:pPr>
            <w:r>
              <w:rPr>
                <w:rFonts w:hint="eastAsia"/>
                <w:highlight w:val="none"/>
              </w:rPr>
              <w:t>名称</w:t>
            </w:r>
          </w:p>
        </w:tc>
        <w:tc>
          <w:tcPr>
            <w:tcW w:w="731" w:type="pct"/>
            <w:vAlign w:val="center"/>
          </w:tcPr>
          <w:p>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20"/>
              <w:bidi w:val="0"/>
              <w:jc w:val="center"/>
              <w:rPr>
                <w:rFonts w:hint="eastAsia"/>
                <w:highlight w:val="none"/>
              </w:rPr>
            </w:pPr>
            <w:r>
              <w:rPr>
                <w:rFonts w:hint="eastAsia"/>
                <w:highlight w:val="none"/>
              </w:rPr>
              <w:t>单位</w:t>
            </w:r>
          </w:p>
        </w:tc>
        <w:tc>
          <w:tcPr>
            <w:tcW w:w="411" w:type="pct"/>
            <w:vAlign w:val="center"/>
          </w:tcPr>
          <w:p>
            <w:pPr>
              <w:pStyle w:val="20"/>
              <w:bidi w:val="0"/>
              <w:jc w:val="center"/>
              <w:rPr>
                <w:rFonts w:hint="eastAsia"/>
                <w:highlight w:val="none"/>
              </w:rPr>
            </w:pPr>
            <w:r>
              <w:rPr>
                <w:rFonts w:hint="eastAsia"/>
                <w:highlight w:val="none"/>
              </w:rPr>
              <w:t>数量</w:t>
            </w:r>
          </w:p>
        </w:tc>
        <w:tc>
          <w:tcPr>
            <w:tcW w:w="754" w:type="pct"/>
            <w:vAlign w:val="center"/>
          </w:tcPr>
          <w:p>
            <w:pPr>
              <w:pStyle w:val="20"/>
              <w:bidi w:val="0"/>
              <w:jc w:val="center"/>
              <w:rPr>
                <w:rFonts w:hint="eastAsia"/>
                <w:highlight w:val="none"/>
              </w:rPr>
            </w:pPr>
            <w:r>
              <w:rPr>
                <w:rFonts w:hint="eastAsia"/>
                <w:highlight w:val="none"/>
                <w:lang w:val="en-US" w:eastAsia="zh-CN"/>
              </w:rPr>
              <w:t>未税总价（元）</w:t>
            </w:r>
          </w:p>
        </w:tc>
        <w:tc>
          <w:tcPr>
            <w:tcW w:w="981" w:type="pct"/>
            <w:vAlign w:val="center"/>
          </w:tcPr>
          <w:p>
            <w:pPr>
              <w:pStyle w:val="20"/>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6300T、3150T热模锻生产线复产项目-新增模具预热炉及积放式锻件冷却线</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E2745594"/>
    <w:multiLevelType w:val="singleLevel"/>
    <w:tmpl w:val="E2745594"/>
    <w:lvl w:ilvl="0" w:tentative="0">
      <w:start w:val="2"/>
      <w:numFmt w:val="decimal"/>
      <w:lvlText w:val="%1."/>
      <w:lvlJc w:val="left"/>
      <w:pPr>
        <w:tabs>
          <w:tab w:val="left" w:pos="312"/>
        </w:tabs>
      </w:p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5"/>
  </w:num>
  <w:num w:numId="3">
    <w:abstractNumId w:val="10"/>
  </w:num>
  <w:num w:numId="4">
    <w:abstractNumId w:val="1"/>
  </w:num>
  <w:num w:numId="5">
    <w:abstractNumId w:val="12"/>
  </w:num>
  <w:num w:numId="6">
    <w:abstractNumId w:val="7"/>
  </w:num>
  <w:num w:numId="7">
    <w:abstractNumId w:val="6"/>
  </w:num>
  <w:num w:numId="8">
    <w:abstractNumId w:val="11"/>
  </w:num>
  <w:num w:numId="9">
    <w:abstractNumId w:val="2"/>
  </w:num>
  <w:num w:numId="10">
    <w:abstractNumId w:val="0"/>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8E23979"/>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7345D1"/>
    <w:rsid w:val="2E876652"/>
    <w:rsid w:val="353F5A8C"/>
    <w:rsid w:val="36DE1355"/>
    <w:rsid w:val="36E22E88"/>
    <w:rsid w:val="374E6C06"/>
    <w:rsid w:val="393D26BB"/>
    <w:rsid w:val="3A5B7C10"/>
    <w:rsid w:val="3D9C2881"/>
    <w:rsid w:val="3E516500"/>
    <w:rsid w:val="3F801B0E"/>
    <w:rsid w:val="4073010F"/>
    <w:rsid w:val="413C1020"/>
    <w:rsid w:val="41A55A6F"/>
    <w:rsid w:val="429D2840"/>
    <w:rsid w:val="44EF290E"/>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E51EA"/>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751498"/>
    <w:rsid w:val="73E6120B"/>
    <w:rsid w:val="74995770"/>
    <w:rsid w:val="74D472B5"/>
    <w:rsid w:val="75CD3E17"/>
    <w:rsid w:val="7771624F"/>
    <w:rsid w:val="790C526F"/>
    <w:rsid w:val="7A8F4EBB"/>
    <w:rsid w:val="7B5D73F5"/>
    <w:rsid w:val="7B7D68D6"/>
    <w:rsid w:val="7B802C44"/>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5</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2026-03-17T03:01:28Z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