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5310"/>
      <w:bookmarkStart w:id="1" w:name="_Toc10987"/>
    </w:p>
    <w:p>
      <w:pPr>
        <w:pStyle w:val="24"/>
        <w:rPr>
          <w:rFonts w:hint="eastAsia"/>
        </w:rPr>
      </w:pPr>
    </w:p>
    <w:p>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中国重汽集团济南成型厂6300T、3150T热模锻生产线复产项目-</w:t>
      </w:r>
      <w:r>
        <w:rPr>
          <w:rFonts w:hint="eastAsia" w:ascii="Calibri" w:hAnsi="宋体" w:eastAsia="宋体" w:cs="Times New Roman"/>
          <w:b/>
          <w:bCs/>
          <w:color w:val="000000"/>
          <w:spacing w:val="-8"/>
          <w:kern w:val="2"/>
          <w:sz w:val="48"/>
          <w:szCs w:val="44"/>
          <w:lang w:val="en-US" w:eastAsia="zh-CN" w:bidi="ar-SA"/>
        </w:rPr>
        <w:t>新增</w:t>
      </w:r>
      <w:r>
        <w:rPr>
          <w:rFonts w:hint="eastAsia" w:ascii="Calibri" w:hAnsi="宋体" w:cs="Times New Roman"/>
          <w:b/>
          <w:bCs/>
          <w:color w:val="000000"/>
          <w:spacing w:val="-8"/>
          <w:kern w:val="2"/>
          <w:sz w:val="48"/>
          <w:szCs w:val="44"/>
          <w:lang w:val="en-US" w:eastAsia="zh-CN" w:bidi="ar-SA"/>
        </w:rPr>
        <w:t>换模台车</w:t>
      </w:r>
    </w:p>
    <w:p>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2026</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3</w:t>
      </w:r>
      <w:r>
        <w:rPr>
          <w:rFonts w:hint="eastAsia" w:asciiTheme="minorEastAsia" w:hAnsiTheme="minorEastAsia" w:eastAsiaTheme="minorEastAsia" w:cstheme="minorEastAsia"/>
          <w:sz w:val="30"/>
          <w:szCs w:val="30"/>
        </w:rPr>
        <w:t>月</w:t>
      </w:r>
    </w:p>
    <w:p>
      <w:pPr>
        <w:ind w:firstLine="420"/>
        <w:rPr>
          <w:rFonts w:hint="eastAsia" w:asciiTheme="minorEastAsia" w:hAnsiTheme="minorEastAsia" w:eastAsiaTheme="minorEastAsia" w:cstheme="minorEastAsia"/>
        </w:rPr>
      </w:pPr>
    </w:p>
    <w:p>
      <w:pPr>
        <w:ind w:firstLine="420"/>
        <w:rPr>
          <w:rFonts w:hint="eastAsia" w:asciiTheme="minorEastAsia" w:hAnsiTheme="minorEastAsia" w:eastAsiaTheme="minorEastAsia" w:cstheme="minorEastAsia"/>
        </w:rPr>
      </w:pPr>
    </w:p>
    <w:bookmarkEnd w:id="0"/>
    <w:bookmarkEnd w:id="1"/>
    <w:p>
      <w:pPr>
        <w:widowControl/>
        <w:ind w:firstLine="420"/>
        <w:jc w:val="left"/>
        <w:rPr>
          <w:rFonts w:hint="eastAsia" w:asciiTheme="minorEastAsia" w:hAnsiTheme="minorEastAsia" w:eastAsiaTheme="minorEastAsia" w:cstheme="minorEastAsia"/>
          <w:b/>
          <w:kern w:val="0"/>
          <w:sz w:val="32"/>
          <w:szCs w:val="32"/>
          <w:lang w:val="zh-CN"/>
        </w:rPr>
      </w:pPr>
      <w:bookmarkStart w:id="2" w:name="_Toc131406235"/>
      <w:bookmarkStart w:id="3" w:name="_Toc23462"/>
      <w:bookmarkStart w:id="4" w:name="_Toc16518"/>
      <w:r>
        <w:rPr>
          <w:rFonts w:hint="eastAsia" w:asciiTheme="minorEastAsia" w:hAnsiTheme="minorEastAsia" w:eastAsiaTheme="minorEastAsia" w:cstheme="minorEastAsia"/>
          <w:szCs w:val="32"/>
        </w:rPr>
        <w:br w:type="page"/>
      </w:r>
    </w:p>
    <w:p>
      <w:pPr>
        <w:pStyle w:val="2"/>
        <w:snapToGrid w:val="0"/>
        <w:spacing w:before="0" w:after="0" w:line="360" w:lineRule="auto"/>
        <w:ind w:firstLine="643"/>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szCs w:val="32"/>
        </w:rPr>
        <w:t>招标公告</w:t>
      </w:r>
      <w:bookmarkEnd w:id="2"/>
      <w:bookmarkEnd w:id="3"/>
      <w:bookmarkEnd w:id="4"/>
    </w:p>
    <w:p>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中国重汽集团6300T、3150T热模锻生产线复产项目-新增换模台车</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52042290"/>
      <w:bookmarkEnd w:id="5"/>
      <w:bookmarkStart w:id="6" w:name="_Toc179632530"/>
      <w:bookmarkEnd w:id="6"/>
      <w:bookmarkStart w:id="7" w:name="_Toc152045514"/>
      <w:bookmarkEnd w:id="7"/>
      <w:bookmarkStart w:id="8" w:name="_Toc285809451"/>
      <w:bookmarkEnd w:id="8"/>
      <w:bookmarkStart w:id="9" w:name="_Toc144974482"/>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6300T、3150T热模锻生产线复产项目-</w:t>
      </w:r>
      <w:r>
        <w:rPr>
          <w:rFonts w:hint="eastAsia" w:asciiTheme="minorEastAsia" w:hAnsiTheme="minorEastAsia" w:eastAsiaTheme="minorEastAsia" w:cstheme="minorEastAsia"/>
          <w:sz w:val="24"/>
          <w:szCs w:val="24"/>
          <w:highlight w:val="none"/>
          <w:u w:val="single"/>
          <w:lang w:val="en-US" w:eastAsia="zh-CN"/>
        </w:rPr>
        <w:t>新增换模台车</w:t>
      </w:r>
      <w:r>
        <w:rPr>
          <w:rFonts w:hint="eastAsia" w:asciiTheme="minorEastAsia" w:hAnsiTheme="minorEastAsia" w:eastAsiaTheme="minorEastAsia" w:cstheme="minorEastAsia"/>
          <w:kern w:val="0"/>
          <w:sz w:val="24"/>
          <w:szCs w:val="24"/>
          <w:highlight w:val="none"/>
          <w:u w:val="single"/>
          <w:lang w:val="en-US" w:eastAsia="zh-CN" w:bidi="en-US"/>
        </w:rPr>
        <w:t xml:space="preserve">  </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ZBGL2026030260；</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宋体" w:hAnsi="宋体" w:eastAsia="宋体" w:cs="宋体"/>
          <w:color w:val="000000"/>
          <w:sz w:val="24"/>
          <w:szCs w:val="24"/>
          <w:u w:val="single"/>
        </w:rPr>
        <w:t>济南成型厂党家庄机锻车间</w:t>
      </w:r>
      <w:r>
        <w:rPr>
          <w:rFonts w:hint="eastAsia" w:asciiTheme="minorEastAsia" w:hAnsiTheme="minorEastAsia" w:eastAsiaTheme="minorEastAsia" w:cstheme="minorEastAsia"/>
          <w:kern w:val="0"/>
          <w:sz w:val="24"/>
          <w:szCs w:val="24"/>
          <w:highlight w:val="none"/>
          <w:u w:val="single"/>
          <w:lang w:bidi="en-US"/>
        </w:rPr>
        <w:t>；</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u w:val="single"/>
          <w:lang w:val="en-US" w:eastAsia="zh-CN" w:bidi="en-US"/>
        </w:rPr>
        <w:t>济南成型厂6300T、3150T 热模锻生产线复产技改项目</w:t>
      </w:r>
      <w:r>
        <w:rPr>
          <w:rFonts w:hint="eastAsia" w:asciiTheme="minorEastAsia" w:hAnsiTheme="minorEastAsia" w:eastAsiaTheme="minorEastAsia" w:cstheme="minorEastAsia"/>
          <w:sz w:val="24"/>
          <w:szCs w:val="24"/>
          <w:highlight w:val="none"/>
          <w:u w:val="single"/>
          <w:lang w:val="en-US" w:eastAsia="zh-CN"/>
        </w:rPr>
        <w:t>新增换模台车</w:t>
      </w:r>
      <w:r>
        <w:rPr>
          <w:rFonts w:hint="eastAsia" w:asciiTheme="minorEastAsia" w:hAnsiTheme="minorEastAsia" w:eastAsiaTheme="minorEastAsia" w:cstheme="minorEastAsia"/>
          <w:kern w:val="0"/>
          <w:sz w:val="24"/>
          <w:szCs w:val="24"/>
          <w:highlight w:val="none"/>
          <w:u w:val="single"/>
          <w:lang w:val="en-US" w:eastAsia="zh-CN" w:bidi="en-US"/>
        </w:rPr>
        <w:t>。</w:t>
      </w:r>
      <w:r>
        <w:rPr>
          <w:rFonts w:hint="eastAsia" w:ascii="宋体" w:hAnsi="宋体"/>
          <w:b w:val="0"/>
          <w:bCs w:val="0"/>
          <w:color w:val="000000"/>
          <w:sz w:val="24"/>
          <w:szCs w:val="24"/>
          <w:lang w:val="en-US" w:eastAsia="zh-CN" w:bidi="zh-CN"/>
        </w:rPr>
        <w:t>技术要求详见“招标文件”</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1.拟投标人必须是在中华人民共和国境内注册的独立法人机构，具有独立承担民事责任能力；注册资金不少于</w:t>
      </w:r>
      <w:r>
        <w:rPr>
          <w:rFonts w:hint="eastAsia" w:hAnsi="宋体" w:cs="宋体"/>
          <w:color w:val="000000"/>
          <w:sz w:val="24"/>
          <w:szCs w:val="24"/>
          <w:highlight w:val="none"/>
          <w:lang w:val="en-US" w:eastAsia="zh-CN"/>
        </w:rPr>
        <w:t>3</w:t>
      </w:r>
      <w:bookmarkStart w:id="32" w:name="_GoBack"/>
      <w:bookmarkEnd w:id="32"/>
      <w:r>
        <w:rPr>
          <w:rFonts w:hint="eastAsia" w:hAnsi="宋体" w:eastAsia="宋体" w:cs="宋体"/>
          <w:color w:val="000000"/>
          <w:sz w:val="24"/>
          <w:szCs w:val="24"/>
          <w:highlight w:val="none"/>
          <w:lang w:val="en-US" w:eastAsia="zh-CN"/>
        </w:rPr>
        <w:t>0</w:t>
      </w:r>
      <w:r>
        <w:rPr>
          <w:rFonts w:hint="eastAsia" w:hAnsi="宋体" w:eastAsia="宋体" w:cs="宋体"/>
          <w:color w:val="000000"/>
          <w:sz w:val="24"/>
          <w:szCs w:val="24"/>
          <w:highlight w:val="none"/>
        </w:rPr>
        <w:t>0万人民币(或等值其他货币);公司成立三年以上(以营业执照成立日期到开标当日满三年为准),且经营范围满足招标人需求；并在人员、设备、资金等方面具有承担本项目的能力；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2022年1月1日至今经第三方审计的公司财务报表(资产负债表、损益表、现金流量表)未显示异常；（如投标人公司没有经审计的财务报告，可提供加盖公章的近三年财务报表，包括但不限于资产负债表、利润表、现金流量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11.投标人信用证明材料(征信报告)未显示异常；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highlight w:val="none"/>
        </w:rPr>
      </w:pPr>
      <w:r>
        <w:rPr>
          <w:rFonts w:hint="eastAsia" w:hAnsi="宋体" w:eastAsia="宋体" w:cs="宋体"/>
          <w:color w:val="000000"/>
          <w:sz w:val="24"/>
          <w:szCs w:val="24"/>
          <w:highlight w:val="none"/>
        </w:rPr>
        <w:t>14.无招标违规、谎报年度报告信息、提供虚假资质资料等行为或其他行政处罚记录；近三年内在经营活动中无与本项目有关的违法及重大违规情况。</w:t>
      </w:r>
    </w:p>
    <w:p>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w:t>
      </w:r>
      <w:r>
        <w:rPr>
          <w:rFonts w:hint="eastAsia" w:ascii="宋体" w:hAnsi="宋体" w:cs="宋体"/>
          <w:b/>
          <w:bCs/>
          <w:color w:val="000000"/>
          <w:sz w:val="24"/>
          <w:szCs w:val="24"/>
          <w:highlight w:val="none"/>
          <w:lang w:val="en-US" w:eastAsia="zh-CN"/>
        </w:rPr>
        <w:t>应标</w:t>
      </w:r>
      <w:r>
        <w:rPr>
          <w:rFonts w:hint="eastAsia" w:ascii="宋体" w:hAnsi="宋体" w:eastAsia="宋体" w:cs="宋体"/>
          <w:b/>
          <w:bCs/>
          <w:color w:val="000000"/>
          <w:sz w:val="24"/>
          <w:szCs w:val="24"/>
          <w:highlight w:val="none"/>
        </w:rPr>
        <w:t>报名</w:t>
      </w:r>
    </w:p>
    <w:p>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应标报名截止时间：2026年3月25日17：00</w:t>
      </w:r>
    </w:p>
    <w:p>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eastAsia="宋体" w:cs="宋体"/>
          <w:sz w:val="24"/>
          <w:szCs w:val="24"/>
          <w:highlight w:val="none"/>
          <w:lang w:val="en-US" w:eastAsia="zh-CN"/>
        </w:rPr>
        <w:t>在“中国重汽e采通”平台</w:t>
      </w:r>
      <w:r>
        <w:rPr>
          <w:rFonts w:hint="eastAsia" w:eastAsia="宋体" w:cs="宋体"/>
          <w:sz w:val="24"/>
          <w:szCs w:val="24"/>
          <w:highlight w:val="none"/>
        </w:rPr>
        <w:t>报名</w:t>
      </w:r>
      <w:r>
        <w:rPr>
          <w:rFonts w:hint="eastAsia" w:eastAsia="宋体" w:cs="宋体"/>
          <w:sz w:val="24"/>
          <w:szCs w:val="24"/>
          <w:highlight w:val="none"/>
          <w:lang w:eastAsia="zh-CN"/>
        </w:rPr>
        <w:t>，</w:t>
      </w:r>
      <w:r>
        <w:rPr>
          <w:rFonts w:hint="eastAsia" w:eastAsia="宋体" w:cs="宋体"/>
          <w:sz w:val="24"/>
          <w:szCs w:val="24"/>
          <w:highlight w:val="none"/>
          <w:lang w:val="en-US" w:eastAsia="zh-CN"/>
        </w:rPr>
        <w:t>具体流程如下：</w:t>
      </w:r>
      <w:r>
        <w:rPr>
          <w:rFonts w:hint="eastAsia" w:eastAsia="宋体" w:cs="宋体"/>
          <w:sz w:val="24"/>
          <w:szCs w:val="24"/>
          <w:highlight w:val="none"/>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Theme="minorEastAsia" w:hAnsiTheme="minorEastAsia" w:eastAsiaTheme="minorEastAsia" w:cstheme="minorEastAsia"/>
          <w:bCs/>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③2023年1月1日至今，企业近三年同类项目业绩证明，须提供用户清单、采购合同复印件；</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应标时不做要求，投标时需随文件上传）</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pPr>
        <w:pStyle w:val="19"/>
        <w:rPr>
          <w:rFonts w:hint="eastAsia"/>
          <w:lang w:eastAsia="zh-CN"/>
        </w:rPr>
      </w:pP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3</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31</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17</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4</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1</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ascii="宋体" w:hAnsi="宋体" w:eastAsia="宋体" w:cs="宋体"/>
          <w:b/>
          <w:bCs/>
          <w:sz w:val="24"/>
          <w:szCs w:val="24"/>
        </w:rPr>
        <w:t>暂定，以实际通知为准</w:t>
      </w:r>
      <w:r>
        <w:rPr>
          <w:rFonts w:hint="eastAsia" w:asciiTheme="minorEastAsia" w:hAnsiTheme="minorEastAsia" w:eastAsiaTheme="minorEastAsia" w:cstheme="minorEastAsia"/>
          <w:b/>
          <w:sz w:val="24"/>
          <w:szCs w:val="24"/>
          <w:lang w:val="en-US" w:eastAsia="zh-CN"/>
        </w:rPr>
        <w:t>）</w:t>
      </w:r>
    </w:p>
    <w:p>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cs="宋体"/>
          <w:b/>
          <w:bCs w:val="0"/>
          <w:color w:val="auto"/>
          <w:kern w:val="2"/>
          <w:sz w:val="24"/>
          <w:szCs w:val="24"/>
          <w:highlight w:val="yellow"/>
          <w:lang w:val="en-US" w:eastAsia="zh-CN" w:bidi="ar"/>
        </w:rPr>
        <w:t>商务</w:t>
      </w:r>
      <w:r>
        <w:rPr>
          <w:rFonts w:hint="eastAsia" w:ascii="宋体" w:hAnsi="宋体" w:eastAsia="宋体" w:cs="宋体"/>
          <w:b/>
          <w:bCs w:val="0"/>
          <w:color w:val="auto"/>
          <w:kern w:val="2"/>
          <w:sz w:val="24"/>
          <w:szCs w:val="24"/>
          <w:highlight w:val="yellow"/>
          <w:lang w:val="en-US" w:eastAsia="zh-CN" w:bidi="ar"/>
        </w:rPr>
        <w:t>联系人</w:t>
      </w:r>
      <w:r>
        <w:rPr>
          <w:rFonts w:hint="eastAsia" w:cs="宋体"/>
          <w:b/>
          <w:bCs w:val="0"/>
          <w:color w:val="auto"/>
          <w:kern w:val="2"/>
          <w:sz w:val="24"/>
          <w:szCs w:val="24"/>
          <w:highlight w:val="yellow"/>
          <w:lang w:val="en-US" w:eastAsia="zh-CN" w:bidi="ar"/>
        </w:rPr>
        <w:t>李长城，</w:t>
      </w:r>
      <w:r>
        <w:rPr>
          <w:rFonts w:hint="eastAsia" w:ascii="宋体" w:hAnsi="宋体" w:eastAsia="宋体" w:cs="宋体"/>
          <w:b/>
          <w:bCs w:val="0"/>
          <w:color w:val="auto"/>
          <w:kern w:val="2"/>
          <w:sz w:val="24"/>
          <w:szCs w:val="24"/>
          <w:highlight w:val="yellow"/>
          <w:lang w:val="en-US" w:eastAsia="zh-CN" w:bidi="ar"/>
        </w:rPr>
        <w:t>微信号</w:t>
      </w:r>
      <w:r>
        <w:rPr>
          <w:rFonts w:hint="eastAsia" w:cs="宋体"/>
          <w:b/>
          <w:bCs w:val="0"/>
          <w:color w:val="auto"/>
          <w:kern w:val="2"/>
          <w:sz w:val="24"/>
          <w:szCs w:val="24"/>
          <w:highlight w:val="yellow"/>
          <w:lang w:val="en-US" w:eastAsia="zh-CN" w:bidi="ar"/>
        </w:rPr>
        <w:t>18678304476</w:t>
      </w:r>
      <w:r>
        <w:rPr>
          <w:rFonts w:hint="eastAsia" w:ascii="宋体" w:hAnsi="宋体" w:eastAsia="宋体"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李老师 18678304476</w:t>
      </w:r>
    </w:p>
    <w:p>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技术联系人：侯</w:t>
      </w:r>
      <w:r>
        <w:rPr>
          <w:rFonts w:hint="eastAsia" w:asciiTheme="minorEastAsia" w:hAnsiTheme="minorEastAsia" w:eastAsiaTheme="minorEastAsia" w:cstheme="minorEastAsia"/>
          <w:sz w:val="24"/>
          <w:szCs w:val="24"/>
          <w:highlight w:val="none"/>
          <w:lang w:val="en-US" w:eastAsia="zh-CN"/>
        </w:rPr>
        <w:t>老师 15269194886</w:t>
      </w:r>
    </w:p>
    <w:p>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pPr>
        <w:adjustRightInd w:val="0"/>
        <w:snapToGrid w:val="0"/>
        <w:spacing w:line="360" w:lineRule="auto"/>
        <w:ind w:firstLine="480" w:firstLineChars="200"/>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sz w:val="24"/>
          <w:szCs w:val="24"/>
          <w:highlight w:val="none"/>
        </w:rPr>
        <w:t>本项目采用</w:t>
      </w:r>
      <w:r>
        <w:rPr>
          <w:rFonts w:hint="eastAsia" w:asciiTheme="minorEastAsia" w:hAnsiTheme="minorEastAsia" w:eastAsiaTheme="minorEastAsia" w:cstheme="minorEastAsia"/>
          <w:sz w:val="24"/>
          <w:szCs w:val="24"/>
          <w:highlight w:val="none"/>
          <w:lang w:eastAsia="zh-CN"/>
        </w:rPr>
        <w:t>综合评标法</w:t>
      </w:r>
      <w:r>
        <w:rPr>
          <w:rFonts w:hint="eastAsia" w:asciiTheme="minorEastAsia" w:hAnsiTheme="minorEastAsia" w:eastAsiaTheme="minorEastAsia" w:cstheme="minorEastAsia"/>
          <w:sz w:val="24"/>
          <w:szCs w:val="24"/>
          <w:highlight w:val="none"/>
          <w:lang w:val="en-US" w:eastAsia="zh-CN"/>
        </w:rPr>
        <w:t>中标</w:t>
      </w:r>
      <w:r>
        <w:rPr>
          <w:rFonts w:hint="eastAsia" w:asciiTheme="minorEastAsia" w:hAnsiTheme="minorEastAsia" w:eastAsiaTheme="minorEastAsia" w:cstheme="minorEastAsia"/>
          <w:sz w:val="24"/>
          <w:szCs w:val="24"/>
          <w:highlight w:val="none"/>
        </w:rPr>
        <w:t>，在满足招标人</w:t>
      </w:r>
      <w:r>
        <w:rPr>
          <w:rFonts w:hint="eastAsia" w:asciiTheme="minorEastAsia" w:hAnsiTheme="minorEastAsia" w:eastAsiaTheme="minorEastAsia" w:cstheme="minorEastAsia"/>
          <w:sz w:val="24"/>
          <w:szCs w:val="24"/>
          <w:highlight w:val="none"/>
          <w:lang w:val="en-US" w:eastAsia="zh-CN"/>
        </w:rPr>
        <w:t>资格和</w:t>
      </w:r>
      <w:r>
        <w:rPr>
          <w:rFonts w:hint="eastAsia" w:asciiTheme="minorEastAsia" w:hAnsiTheme="minorEastAsia" w:eastAsiaTheme="minorEastAsia" w:cstheme="minorEastAsia"/>
          <w:sz w:val="24"/>
          <w:szCs w:val="24"/>
          <w:highlight w:val="none"/>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highlight w:val="none"/>
        </w:rPr>
        <w:t>选取商务谈判后议定总价</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综合得分最高的</w:t>
      </w:r>
      <w:r>
        <w:rPr>
          <w:rFonts w:hint="eastAsia" w:asciiTheme="minorEastAsia" w:hAnsiTheme="minorEastAsia" w:eastAsiaTheme="minorEastAsia" w:cstheme="minorEastAsia"/>
          <w:sz w:val="24"/>
          <w:szCs w:val="24"/>
          <w:highlight w:val="none"/>
        </w:rPr>
        <w:t>为本项目中标人。</w:t>
      </w:r>
    </w:p>
    <w:p>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③2023年1月1日至今，企业近三年同类项目业绩证明，须提供用户清单、采购合同复印件；</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p>
    <w:p>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技术</w:t>
      </w:r>
      <w:r>
        <w:rPr>
          <w:rFonts w:hint="eastAsia" w:asciiTheme="minorEastAsia" w:hAnsiTheme="minorEastAsia" w:eastAsiaTheme="minorEastAsia" w:cstheme="minorEastAsia"/>
          <w:b/>
          <w:bCs/>
          <w:sz w:val="24"/>
          <w:szCs w:val="24"/>
        </w:rPr>
        <w:t>标书</w:t>
      </w:r>
    </w:p>
    <w:p>
      <w:pPr>
        <w:spacing w:line="360" w:lineRule="auto"/>
        <w:ind w:firstLine="480" w:firstLineChars="200"/>
        <w:rPr>
          <w:rFonts w:hint="default" w:ascii="Times New Roman" w:hAnsi="Times New Roman" w:eastAsia="宋体" w:cs="Times New Roman"/>
          <w:highlight w:val="yellow"/>
        </w:rPr>
      </w:pPr>
      <w:r>
        <w:rPr>
          <w:rFonts w:hint="default" w:ascii="Times New Roman" w:hAnsi="Times New Roman" w:eastAsia="宋体" w:cs="Times New Roman"/>
          <w:color w:val="000000"/>
          <w:sz w:val="24"/>
          <w:szCs w:val="24"/>
        </w:rPr>
        <w:t>2.1技术规格偏离表（附件5），</w:t>
      </w:r>
      <w:r>
        <w:rPr>
          <w:rFonts w:hint="default" w:ascii="Times New Roman" w:hAnsi="Times New Roman" w:eastAsia="宋体" w:cs="Times New Roman"/>
          <w:b/>
          <w:color w:val="000000"/>
          <w:sz w:val="24"/>
          <w:szCs w:val="24"/>
        </w:rPr>
        <w:t>必须先进行两列要求一一对照，不允许直接写无偏离；</w:t>
      </w:r>
    </w:p>
    <w:p>
      <w:pPr>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bCs/>
          <w:color w:val="000000"/>
          <w:sz w:val="24"/>
          <w:szCs w:val="24"/>
        </w:rPr>
        <w:t>2.3</w:t>
      </w:r>
      <w:r>
        <w:rPr>
          <w:rFonts w:hint="default" w:ascii="Times New Roman" w:hAnsi="Times New Roman" w:eastAsia="宋体" w:cs="Times New Roman"/>
          <w:color w:val="000000"/>
          <w:sz w:val="24"/>
          <w:szCs w:val="24"/>
        </w:rPr>
        <w:t>提供</w:t>
      </w:r>
      <w:r>
        <w:rPr>
          <w:rFonts w:hint="default" w:ascii="Times New Roman" w:hAnsi="Times New Roman" w:eastAsia="宋体" w:cs="Times New Roman"/>
          <w:color w:val="000000"/>
          <w:sz w:val="24"/>
          <w:szCs w:val="24"/>
          <w:highlight w:val="yellow"/>
        </w:rPr>
        <w:t>202</w:t>
      </w:r>
      <w:r>
        <w:rPr>
          <w:rFonts w:hint="eastAsia" w:cs="Times New Roman"/>
          <w:color w:val="000000"/>
          <w:sz w:val="24"/>
          <w:szCs w:val="24"/>
          <w:highlight w:val="yellow"/>
          <w:lang w:val="en-US" w:eastAsia="zh-CN"/>
        </w:rPr>
        <w:t>3</w:t>
      </w:r>
      <w:r>
        <w:rPr>
          <w:rFonts w:hint="default" w:ascii="Times New Roman" w:hAnsi="Times New Roman" w:eastAsia="宋体" w:cs="Times New Roman"/>
          <w:color w:val="000000"/>
          <w:sz w:val="24"/>
          <w:szCs w:val="24"/>
          <w:highlight w:val="yellow"/>
        </w:rPr>
        <w:t>年1月1日</w:t>
      </w:r>
      <w:r>
        <w:rPr>
          <w:rFonts w:hint="default" w:ascii="Times New Roman" w:hAnsi="Times New Roman" w:eastAsia="宋体" w:cs="Times New Roman"/>
          <w:color w:val="000000"/>
          <w:sz w:val="24"/>
          <w:szCs w:val="24"/>
        </w:rPr>
        <w:t>以来同类产品的制造销售业绩（用户名单、联系方式），并附合同复印件。该同类项目业绩一览表必</w:t>
      </w:r>
      <w:r>
        <w:rPr>
          <w:rFonts w:hint="default" w:ascii="Times New Roman" w:hAnsi="Times New Roman" w:eastAsia="宋体" w:cs="Times New Roman"/>
          <w:b/>
          <w:bCs/>
          <w:color w:val="000000"/>
          <w:sz w:val="24"/>
          <w:szCs w:val="24"/>
        </w:rPr>
        <w:t>须如实填写，应全尽全</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bCs/>
          <w:color w:val="000000"/>
          <w:sz w:val="24"/>
          <w:szCs w:val="24"/>
        </w:rPr>
        <w:t>一览表最终的所有业绩合同总额汇总必填</w:t>
      </w:r>
      <w:r>
        <w:rPr>
          <w:rFonts w:hint="default" w:ascii="Times New Roman" w:hAnsi="Times New Roman" w:eastAsia="宋体" w:cs="Times New Roman"/>
          <w:color w:val="000000"/>
          <w:sz w:val="24"/>
          <w:szCs w:val="24"/>
        </w:rPr>
        <w:t>，数据将影响现场评标专家组对投标单位的业绩考评。</w:t>
      </w:r>
      <w:r>
        <w:rPr>
          <w:rFonts w:hint="default" w:ascii="Times New Roman" w:hAnsi="Times New Roman" w:eastAsia="宋体" w:cs="Times New Roman"/>
          <w:b/>
          <w:bCs/>
          <w:color w:val="000000"/>
          <w:sz w:val="24"/>
          <w:szCs w:val="24"/>
        </w:rPr>
        <w:t>若未提供相应业绩证明，根据技术标评分规则，将影响现场评标专家组对投标单位业绩判定打分</w:t>
      </w:r>
      <w:r>
        <w:rPr>
          <w:rFonts w:hint="default" w:ascii="Times New Roman" w:hAnsi="Times New Roman" w:eastAsia="宋体" w:cs="Times New Roman"/>
          <w:b/>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2.4供货期及保证措施；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2.5产品的技术服务和售后服务内容及措施；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2.6交货进度及计划；</w:t>
      </w:r>
    </w:p>
    <w:p>
      <w:pPr>
        <w:spacing w:line="360" w:lineRule="auto"/>
        <w:ind w:firstLine="480" w:firstLineChars="200"/>
        <w:rPr>
          <w:rFonts w:hint="default" w:ascii="Times New Roman" w:hAnsi="Times New Roman" w:eastAsia="宋体" w:cs="Times New Roman"/>
          <w:color w:val="000000"/>
          <w:sz w:val="24"/>
          <w:szCs w:val="24"/>
        </w:rPr>
      </w:pPr>
      <w:bookmarkStart w:id="10" w:name="_Toc536542319"/>
      <w:r>
        <w:rPr>
          <w:rFonts w:hint="default" w:ascii="Times New Roman" w:hAnsi="Times New Roman" w:eastAsia="宋体" w:cs="Times New Roman"/>
          <w:color w:val="000000"/>
          <w:sz w:val="24"/>
          <w:szCs w:val="24"/>
        </w:rPr>
        <w:t>2.7投标产品技术支持材料</w:t>
      </w:r>
      <w:bookmarkEnd w:id="10"/>
      <w:r>
        <w:rPr>
          <w:rFonts w:hint="default" w:ascii="Times New Roman" w:hAnsi="Times New Roman" w:eastAsia="宋体" w:cs="Times New Roman"/>
          <w:color w:val="000000"/>
          <w:sz w:val="24"/>
          <w:szCs w:val="24"/>
        </w:rPr>
        <w:t>，投标人所投标设备详细技术资料清单；</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2.8设备质量承诺函（附件7）；</w:t>
      </w:r>
    </w:p>
    <w:p>
      <w:pPr>
        <w:pStyle w:val="19"/>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default" w:ascii="Times New Roman" w:hAnsi="Times New Roman" w:eastAsia="宋体" w:cs="Times New Roman"/>
          <w:color w:val="000000"/>
          <w:sz w:val="24"/>
          <w:szCs w:val="24"/>
        </w:rPr>
        <w:t>2.9投标人需提交的其它资料。</w:t>
      </w:r>
    </w:p>
    <w:p>
      <w:pPr>
        <w:pStyle w:val="19"/>
        <w:rPr>
          <w:rFonts w:hint="eastAsia"/>
          <w:lang w:val="en-US" w:eastAsia="zh-CN"/>
        </w:rPr>
      </w:pPr>
    </w:p>
    <w:p>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3.1开标一览表（附件8）；</w:t>
      </w:r>
    </w:p>
    <w:p>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3.2投标报价明细表（附件9-1至9-5）</w:t>
      </w:r>
      <w:r>
        <w:rPr>
          <w:rFonts w:hint="default" w:ascii="Times New Roman" w:hAnsi="Times New Roman" w:eastAsia="宋体" w:cs="Times New Roman"/>
          <w:b/>
          <w:color w:val="000000"/>
          <w:sz w:val="24"/>
          <w:szCs w:val="24"/>
          <w:highlight w:val="none"/>
        </w:rPr>
        <w:t>；</w:t>
      </w:r>
    </w:p>
    <w:p>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3.3商务条款偏离表（附件10）</w:t>
      </w:r>
      <w:bookmarkStart w:id="11" w:name="OLE_LINK19"/>
      <w:bookmarkStart w:id="12" w:name="OLE_LINK18"/>
      <w:r>
        <w:rPr>
          <w:rFonts w:hint="default" w:ascii="Times New Roman" w:hAnsi="Times New Roman" w:eastAsia="宋体" w:cs="Times New Roman"/>
          <w:b/>
          <w:color w:val="000000"/>
          <w:sz w:val="24"/>
          <w:szCs w:val="24"/>
          <w:highlight w:val="none"/>
        </w:rPr>
        <w:t>；</w:t>
      </w:r>
      <w:bookmarkEnd w:id="11"/>
      <w:bookmarkEnd w:id="12"/>
      <w:r>
        <w:rPr>
          <w:rFonts w:hint="default" w:ascii="Times New Roman" w:hAnsi="Times New Roman" w:eastAsia="宋体" w:cs="Times New Roman"/>
          <w:color w:val="000000"/>
          <w:sz w:val="24"/>
          <w:szCs w:val="24"/>
          <w:highlight w:val="none"/>
        </w:rPr>
        <w:t xml:space="preserve"> </w:t>
      </w:r>
    </w:p>
    <w:p>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3.4投标人承诺（附件11）</w:t>
      </w:r>
      <w:r>
        <w:rPr>
          <w:rFonts w:hint="default" w:ascii="Times New Roman" w:hAnsi="Times New Roman" w:eastAsia="宋体" w:cs="Times New Roman"/>
          <w:b/>
          <w:color w:val="000000"/>
          <w:sz w:val="24"/>
          <w:szCs w:val="24"/>
          <w:highlight w:val="none"/>
        </w:rPr>
        <w:t>；</w:t>
      </w:r>
    </w:p>
    <w:p>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3.5服务承诺函（附件12），</w:t>
      </w:r>
      <w:r>
        <w:rPr>
          <w:rFonts w:hint="default" w:ascii="Times New Roman" w:hAnsi="Times New Roman" w:eastAsia="宋体" w:cs="Times New Roman"/>
          <w:b/>
          <w:color w:val="000000"/>
          <w:sz w:val="24"/>
          <w:szCs w:val="24"/>
          <w:highlight w:val="none"/>
        </w:rPr>
        <w:t>需写明质保期以外服务费用情况</w:t>
      </w:r>
      <w:r>
        <w:rPr>
          <w:rFonts w:hint="default" w:ascii="Times New Roman" w:hAnsi="Times New Roman" w:eastAsia="宋体" w:cs="Times New Roman"/>
          <w:color w:val="000000"/>
          <w:sz w:val="24"/>
          <w:szCs w:val="24"/>
          <w:highlight w:val="none"/>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eastAsia="zh-CN"/>
        </w:rPr>
      </w:pPr>
      <w:r>
        <w:rPr>
          <w:rFonts w:hint="default" w:ascii="Times New Roman" w:hAnsi="Times New Roman" w:eastAsia="宋体" w:cs="Times New Roman"/>
          <w:color w:val="000000"/>
          <w:sz w:val="24"/>
          <w:szCs w:val="24"/>
          <w:highlight w:val="none"/>
        </w:rPr>
        <w:t>3.6按招标文件投标人须知和技术规格书中要求提供的有关文件</w:t>
      </w:r>
      <w:r>
        <w:rPr>
          <w:rFonts w:hint="eastAsia" w:asciiTheme="minorEastAsia" w:hAnsiTheme="minorEastAsia" w:eastAsiaTheme="minorEastAsia" w:cstheme="minorEastAsia"/>
          <w:bCs/>
          <w:sz w:val="24"/>
          <w:szCs w:val="24"/>
          <w:highlight w:val="none"/>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lang w:val="en-US" w:eastAsia="zh-CN"/>
        </w:rPr>
        <w:t>3</w:t>
      </w:r>
      <w:r>
        <w:rPr>
          <w:rFonts w:hint="eastAsia" w:asciiTheme="minorEastAsia" w:hAnsiTheme="minorEastAsia" w:eastAsiaTheme="minorEastAsia" w:cstheme="minorEastAsia"/>
          <w:bCs/>
          <w:sz w:val="24"/>
          <w:szCs w:val="24"/>
        </w:rPr>
        <w:t>、商务文件至少应对招标设备（或材料）“商务偏离”做出有无说明，若有，应予以详细填写和说明</w:t>
      </w:r>
      <w:r>
        <w:rPr>
          <w:rFonts w:hint="eastAsia" w:asciiTheme="minorEastAsia" w:hAnsiTheme="minorEastAsia" w:eastAsiaTheme="minorEastAsia" w:cstheme="minorEastAsia"/>
          <w:bCs/>
          <w:sz w:val="24"/>
          <w:szCs w:val="24"/>
          <w:highlight w:val="none"/>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highlight w:val="none"/>
          <w:lang w:val="en-US" w:eastAsia="zh-CN"/>
        </w:rPr>
        <w:t>4</w:t>
      </w:r>
      <w:r>
        <w:rPr>
          <w:rFonts w:hint="eastAsia" w:asciiTheme="minorEastAsia" w:hAnsiTheme="minorEastAsia" w:eastAsiaTheme="minorEastAsia" w:cstheme="minorEastAsia"/>
          <w:bCs/>
          <w:sz w:val="24"/>
          <w:szCs w:val="24"/>
          <w:highlight w:val="none"/>
        </w:rPr>
        <w:t>、投标文件不得涂改和增删，如有修改</w:t>
      </w:r>
      <w:r>
        <w:rPr>
          <w:rFonts w:hint="eastAsia" w:asciiTheme="minorEastAsia" w:hAnsiTheme="minorEastAsia" w:eastAsiaTheme="minorEastAsia" w:cstheme="minorEastAsia"/>
          <w:bCs/>
          <w:sz w:val="24"/>
          <w:szCs w:val="24"/>
        </w:rPr>
        <w:t>错漏的地方，必须由法人代表或授权代表签字或盖章。</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5</w:t>
      </w:r>
      <w:r>
        <w:rPr>
          <w:rFonts w:hint="eastAsia" w:asciiTheme="minorEastAsia" w:hAnsiTheme="minorEastAsia" w:eastAsiaTheme="minorEastAsia" w:cstheme="minorEastAsia"/>
          <w:bCs/>
          <w:sz w:val="24"/>
          <w:szCs w:val="24"/>
        </w:rPr>
        <w:t>、投标文件因字迹潦草或表达不清所引起的后果由投标人负责。</w:t>
      </w:r>
    </w:p>
    <w:p>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⑴本次招标为公开招标，报价应为：</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经与招标人或其指派的答疑人员充分沟通确认基础上，由投标人在满足招标人所提出的、与本项目所有相关环节有关的所有费用；</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⑵所有报价货币单位为：万元（人民币），</w:t>
      </w:r>
      <w:r>
        <w:rPr>
          <w:rFonts w:hint="eastAsia" w:asciiTheme="minorEastAsia" w:hAnsiTheme="minorEastAsia" w:eastAsiaTheme="minorEastAsia" w:cstheme="minorEastAsia"/>
          <w:b/>
          <w:bCs w:val="0"/>
          <w:sz w:val="24"/>
          <w:szCs w:val="24"/>
          <w:highlight w:val="none"/>
          <w:lang w:val="en-US" w:eastAsia="zh-CN"/>
        </w:rPr>
        <w:t>含税</w:t>
      </w:r>
      <w:r>
        <w:rPr>
          <w:rFonts w:hint="eastAsia" w:asciiTheme="minorEastAsia" w:hAnsiTheme="minorEastAsia" w:eastAsiaTheme="minorEastAsia" w:cstheme="minorEastAsia"/>
          <w:bCs/>
          <w:sz w:val="24"/>
          <w:szCs w:val="24"/>
          <w:highlight w:val="none"/>
          <w:lang w:val="en-US"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bCs/>
          <w:sz w:val="24"/>
          <w:szCs w:val="24"/>
          <w:highlight w:val="none"/>
          <w:lang w:val="en-US" w:eastAsia="zh-CN"/>
        </w:rPr>
        <w:t>⑶付款结算方式：</w:t>
      </w:r>
      <w:r>
        <w:rPr>
          <w:rFonts w:hint="eastAsia" w:asciiTheme="minorEastAsia" w:hAnsiTheme="minorEastAsia" w:eastAsiaTheme="minorEastAsia" w:cstheme="minorEastAsia"/>
          <w:b/>
          <w:bCs/>
          <w:color w:val="000000"/>
          <w:kern w:val="0"/>
          <w:sz w:val="24"/>
          <w:szCs w:val="24"/>
          <w:lang w:val="en-US" w:eastAsia="zh-CN" w:bidi="ar"/>
        </w:rPr>
        <w:t>半年期商业汇票(包括银行承兑汇票和商业承兑汇票)</w:t>
      </w:r>
    </w:p>
    <w:p>
      <w:pPr>
        <w:pStyle w:val="19"/>
        <w:keepNext w:val="0"/>
        <w:keepLines w:val="0"/>
        <w:pageBreakBefore w:val="0"/>
        <w:widowControl w:val="0"/>
        <w:kinsoku/>
        <w:wordWrap/>
        <w:topLinePunct w:val="0"/>
        <w:autoSpaceDE/>
        <w:autoSpaceDN/>
        <w:bidi w:val="0"/>
        <w:adjustRightInd w:val="0"/>
        <w:snapToGrid w:val="0"/>
        <w:spacing w:line="300" w:lineRule="auto"/>
        <w:ind w:left="273" w:right="150"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A.设备全部到货后，中标人提供合同价款30%的增值税专用发票,经招标人依照财务制度审核通过后30日支付；</w:t>
      </w:r>
    </w:p>
    <w:p>
      <w:pPr>
        <w:pStyle w:val="19"/>
        <w:keepNext w:val="0"/>
        <w:keepLines w:val="0"/>
        <w:pageBreakBefore w:val="0"/>
        <w:widowControl w:val="0"/>
        <w:kinsoku/>
        <w:wordWrap/>
        <w:topLinePunct w:val="0"/>
        <w:autoSpaceDE/>
        <w:autoSpaceDN/>
        <w:bidi w:val="0"/>
        <w:adjustRightInd w:val="0"/>
        <w:snapToGrid w:val="0"/>
        <w:spacing w:line="300" w:lineRule="auto"/>
        <w:ind w:left="273" w:right="149"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B. 设备验收合格后，中标人提供合同价款70%的增值税专用发 票,经招标人依照财务制度审核通过后30日支付合同价款的60%；</w:t>
      </w:r>
    </w:p>
    <w:p>
      <w:pPr>
        <w:pStyle w:val="19"/>
        <w:keepNext w:val="0"/>
        <w:keepLines w:val="0"/>
        <w:pageBreakBefore w:val="0"/>
        <w:widowControl w:val="0"/>
        <w:kinsoku/>
        <w:wordWrap/>
        <w:topLinePunct w:val="0"/>
        <w:autoSpaceDE/>
        <w:autoSpaceDN/>
        <w:bidi w:val="0"/>
        <w:adjustRightInd w:val="0"/>
        <w:snapToGrid w:val="0"/>
        <w:spacing w:line="300" w:lineRule="auto"/>
        <w:ind w:left="283"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C.合同总价款的10%作为本合同约定设备的质量保证金，质量保证金在质量保证期内不计利息。质保期届满后支付。</w:t>
      </w:r>
    </w:p>
    <w:p>
      <w:pPr>
        <w:pStyle w:val="24"/>
        <w:keepNext w:val="0"/>
        <w:keepLines w:val="0"/>
        <w:pageBreakBefore w:val="0"/>
        <w:widowControl w:val="0"/>
        <w:kinsoku/>
        <w:wordWrap/>
        <w:topLinePunct w:val="0"/>
        <w:autoSpaceDE/>
        <w:autoSpaceDN/>
        <w:bidi w:val="0"/>
        <w:adjustRightInd w:val="0"/>
        <w:snapToGrid w:val="0"/>
        <w:spacing w:line="300" w:lineRule="auto"/>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具体以双方最终签署的合同为准。</w:t>
      </w:r>
    </w:p>
    <w:p>
      <w:pPr>
        <w:pStyle w:val="24"/>
        <w:keepNext w:val="0"/>
        <w:keepLines w:val="0"/>
        <w:pageBreakBefore w:val="0"/>
        <w:widowControl w:val="0"/>
        <w:kinsoku/>
        <w:wordWrap/>
        <w:topLinePunct w:val="0"/>
        <w:bidi w:val="0"/>
        <w:adjustRightInd w:val="0"/>
        <w:snapToGrid w:val="0"/>
        <w:spacing w:line="300" w:lineRule="auto"/>
        <w:ind w:firstLine="480" w:firstLineChars="200"/>
        <w:textAlignment w:val="auto"/>
        <w:rPr>
          <w:rFonts w:hint="default" w:hAnsi="宋体"/>
          <w:highlight w:val="none"/>
          <w:lang w:val="en-US" w:eastAsia="zh-CN"/>
        </w:rPr>
      </w:pPr>
      <w:r>
        <w:rPr>
          <w:rFonts w:hint="eastAsia" w:hAnsi="宋体"/>
          <w:highlight w:val="none"/>
          <w:lang w:eastAsia="zh-CN"/>
        </w:rPr>
        <w:t>（</w:t>
      </w:r>
      <w:r>
        <w:rPr>
          <w:rFonts w:hint="eastAsia" w:hAnsi="宋体"/>
          <w:highlight w:val="none"/>
          <w:lang w:val="en-US" w:eastAsia="zh-CN"/>
        </w:rPr>
        <w:t>4</w:t>
      </w:r>
      <w:r>
        <w:rPr>
          <w:rFonts w:hint="eastAsia" w:hAnsi="宋体"/>
          <w:highlight w:val="none"/>
          <w:lang w:eastAsia="zh-CN"/>
        </w:rPr>
        <w:t>）</w:t>
      </w:r>
      <w:r>
        <w:rPr>
          <w:rFonts w:hint="eastAsia" w:asciiTheme="minorEastAsia" w:hAnsiTheme="minorEastAsia" w:eastAsiaTheme="minorEastAsia" w:cstheme="minorEastAsia"/>
          <w:color w:val="000000"/>
          <w:kern w:val="0"/>
          <w:sz w:val="24"/>
          <w:szCs w:val="24"/>
          <w:lang w:val="en-US" w:eastAsia="zh-CN" w:bidi="ar"/>
        </w:rPr>
        <w:t>项目预算：含税75.53万元。</w:t>
      </w:r>
    </w:p>
    <w:p>
      <w:pPr>
        <w:pStyle w:val="57"/>
        <w:keepNext w:val="0"/>
        <w:keepLines w:val="0"/>
        <w:pageBreakBefore w:val="0"/>
        <w:widowControl w:val="0"/>
        <w:kinsoku/>
        <w:wordWrap/>
        <w:overflowPunct/>
        <w:topLinePunct w:val="0"/>
        <w:autoSpaceDE w:val="0"/>
        <w:autoSpaceDN w:val="0"/>
        <w:bidi w:val="0"/>
        <w:adjustRightInd w:val="0"/>
        <w:snapToGrid w:val="0"/>
        <w:spacing w:line="30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pPr>
        <w:pStyle w:val="151"/>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pPr>
        <w:pStyle w:val="151"/>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w:t>
      </w:r>
      <w:r>
        <w:rPr>
          <w:rFonts w:hint="eastAsia" w:asciiTheme="minorEastAsia" w:hAnsiTheme="minorEastAsia" w:eastAsiaTheme="minorEastAsia" w:cstheme="minorEastAsia"/>
          <w:b/>
          <w:bCs/>
          <w:color w:val="000000"/>
          <w:sz w:val="24"/>
          <w:szCs w:val="24"/>
          <w:highlight w:val="yellow"/>
          <w:u w:val="single"/>
          <w:lang w:val="en-US" w:eastAsia="zh-CN"/>
        </w:rPr>
        <w:t>6</w:t>
      </w:r>
      <w:r>
        <w:rPr>
          <w:rFonts w:hint="eastAsia" w:asciiTheme="minorEastAsia" w:hAnsiTheme="minorEastAsia" w:eastAsiaTheme="minorEastAsia" w:cstheme="minorEastAsia"/>
          <w:b/>
          <w:bCs/>
          <w:color w:val="000000"/>
          <w:sz w:val="24"/>
          <w:szCs w:val="24"/>
          <w:highlight w:val="yellow"/>
          <w:u w:val="single"/>
        </w:rPr>
        <w:t>年</w:t>
      </w:r>
      <w:r>
        <w:rPr>
          <w:rFonts w:hint="eastAsia" w:asciiTheme="minorEastAsia" w:hAnsiTheme="minorEastAsia" w:eastAsiaTheme="minorEastAsia" w:cstheme="minorEastAsia"/>
          <w:b/>
          <w:bCs/>
          <w:color w:val="000000"/>
          <w:sz w:val="24"/>
          <w:szCs w:val="24"/>
          <w:highlight w:val="yellow"/>
          <w:u w:val="single"/>
          <w:lang w:val="en-US" w:eastAsia="zh-CN"/>
        </w:rPr>
        <w:t>3</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31</w:t>
      </w:r>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17</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b w:val="0"/>
          <w:bCs w:val="0"/>
          <w:sz w:val="24"/>
          <w:szCs w:val="24"/>
          <w:highlight w:val="yellow"/>
        </w:rPr>
        <w:t>人民币</w:t>
      </w:r>
      <w:r>
        <w:rPr>
          <w:rFonts w:hint="eastAsia" w:ascii="宋体" w:hAnsi="宋体" w:cs="宋体"/>
          <w:b w:val="0"/>
          <w:bCs w:val="0"/>
          <w:sz w:val="24"/>
          <w:szCs w:val="24"/>
          <w:highlight w:val="yellow"/>
          <w:lang w:val="en-US" w:eastAsia="zh-CN"/>
        </w:rPr>
        <w:t>10</w:t>
      </w:r>
      <w:r>
        <w:rPr>
          <w:rFonts w:hint="eastAsia" w:ascii="宋体" w:hAnsi="宋体" w:eastAsia="宋体" w:cs="宋体"/>
          <w:b w:val="0"/>
          <w:bCs w:val="0"/>
          <w:sz w:val="24"/>
          <w:szCs w:val="24"/>
          <w:highlight w:val="yellow"/>
        </w:rPr>
        <w:t>000元</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单位名称：中国重汽集团济南动力有限公司</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收款账号：371899991010003152396</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开户行名称：交通银行山东省分行</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开户行行号：301451000017</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pPr>
        <w:pStyle w:val="151"/>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若投标人已成为意向中标人，投标人必须无条件配合招标人完成核价流程的工作。</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pPr>
        <w:pStyle w:val="24"/>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3" w:name="OLE_LINK27"/>
      <w:bookmarkStart w:id="14" w:name="OLE_LINK25"/>
      <w:bookmarkStart w:id="15" w:name="OLE_LINK29"/>
      <w:bookmarkStart w:id="16" w:name="OLE_LINK28"/>
      <w:bookmarkStart w:id="17" w:name="OLE_LINK26"/>
      <w:r>
        <w:rPr>
          <w:rFonts w:hint="eastAsia" w:ascii="宋体" w:hAnsi="宋体" w:eastAsia="宋体" w:cs="宋体"/>
          <w:bCs/>
          <w:sz w:val="24"/>
          <w:szCs w:val="24"/>
          <w:highlight w:val="none"/>
        </w:rPr>
        <w:t>；</w:t>
      </w:r>
      <w:bookmarkEnd w:id="13"/>
      <w:bookmarkEnd w:id="14"/>
      <w:bookmarkEnd w:id="15"/>
      <w:bookmarkEnd w:id="16"/>
      <w:bookmarkEnd w:id="17"/>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pPr>
        <w:pStyle w:val="24"/>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pPr>
        <w:keepNext/>
        <w:keepLines/>
        <w:spacing w:before="120" w:after="120" w:line="480" w:lineRule="exact"/>
        <w:jc w:val="center"/>
        <w:outlineLvl w:val="1"/>
        <w:rPr>
          <w:rFonts w:ascii="宋体" w:hAnsi="Calibri" w:eastAsia="宋体" w:cs="Times New Roman"/>
          <w:b/>
          <w:bCs/>
          <w:color w:val="000000" w:themeColor="text1"/>
          <w:kern w:val="44"/>
          <w:sz w:val="28"/>
          <w:szCs w:val="28"/>
          <w:highlight w:val="none"/>
          <w14:textFill>
            <w14:solidFill>
              <w14:schemeClr w14:val="tx1"/>
            </w14:solidFill>
          </w14:textFill>
        </w:rPr>
      </w:pPr>
      <w:bookmarkStart w:id="18" w:name="_Toc169605877"/>
      <w:r>
        <w:rPr>
          <w:rFonts w:hint="eastAsia" w:ascii="宋体" w:hAnsi="宋体" w:eastAsia="宋体" w:cs="Times New Roman"/>
          <w:b/>
          <w:bCs/>
          <w:color w:val="000000" w:themeColor="text1"/>
          <w:kern w:val="44"/>
          <w:sz w:val="28"/>
          <w:szCs w:val="28"/>
          <w:highlight w:val="none"/>
          <w14:textFill>
            <w14:solidFill>
              <w14:schemeClr w14:val="tx1"/>
            </w14:solidFill>
          </w14:textFill>
        </w:rPr>
        <w:t>第一章</w:t>
      </w:r>
      <w:r>
        <w:rPr>
          <w:rFonts w:ascii="宋体" w:hAnsi="宋体" w:eastAsia="宋体" w:cs="Times New Roman"/>
          <w:b/>
          <w:bCs/>
          <w:color w:val="000000" w:themeColor="text1"/>
          <w:kern w:val="44"/>
          <w:sz w:val="28"/>
          <w:szCs w:val="28"/>
          <w:highlight w:val="none"/>
          <w14:textFill>
            <w14:solidFill>
              <w14:schemeClr w14:val="tx1"/>
            </w14:solidFill>
          </w14:textFill>
        </w:rPr>
        <w:t xml:space="preserve">  </w:t>
      </w:r>
      <w:r>
        <w:rPr>
          <w:rFonts w:hint="eastAsia" w:ascii="宋体" w:hAnsi="宋体" w:eastAsia="宋体" w:cs="Times New Roman"/>
          <w:b/>
          <w:bCs/>
          <w:color w:val="000000" w:themeColor="text1"/>
          <w:kern w:val="44"/>
          <w:sz w:val="28"/>
          <w:szCs w:val="28"/>
          <w:highlight w:val="none"/>
          <w14:textFill>
            <w14:solidFill>
              <w14:schemeClr w14:val="tx1"/>
            </w14:solidFill>
          </w14:textFill>
        </w:rPr>
        <w:t>采购货物概况</w:t>
      </w:r>
      <w:bookmarkEnd w:id="18"/>
    </w:p>
    <w:p>
      <w:pPr>
        <w:keepNext/>
        <w:keepLines/>
        <w:spacing w:before="120" w:after="120" w:line="480" w:lineRule="exact"/>
        <w:jc w:val="center"/>
        <w:outlineLvl w:val="2"/>
        <w:rPr>
          <w:rFonts w:ascii="Arial" w:hAnsi="Arial" w:eastAsia="宋体" w:cs="Times New Roman"/>
          <w:b/>
          <w:bCs/>
          <w:color w:val="000000" w:themeColor="text1"/>
          <w:sz w:val="24"/>
          <w:highlight w:val="none"/>
          <w14:textFill>
            <w14:solidFill>
              <w14:schemeClr w14:val="tx1"/>
            </w14:solidFill>
          </w14:textFill>
        </w:rPr>
      </w:pPr>
      <w:bookmarkStart w:id="19" w:name="_Toc169605878"/>
      <w:r>
        <w:rPr>
          <w:rFonts w:hint="eastAsia" w:ascii="Arial" w:hAnsi="Arial" w:eastAsia="宋体" w:cs="Times New Roman"/>
          <w:b/>
          <w:bCs/>
          <w:color w:val="000000" w:themeColor="text1"/>
          <w:sz w:val="24"/>
          <w:highlight w:val="none"/>
          <w14:textFill>
            <w14:solidFill>
              <w14:schemeClr w14:val="tx1"/>
            </w14:solidFill>
          </w14:textFill>
        </w:rPr>
        <w:t>第一节</w:t>
      </w:r>
      <w:r>
        <w:rPr>
          <w:rFonts w:ascii="Arial" w:hAnsi="Arial" w:eastAsia="宋体" w:cs="Times New Roman"/>
          <w:b/>
          <w:bCs/>
          <w:color w:val="000000" w:themeColor="text1"/>
          <w:sz w:val="24"/>
          <w:highlight w:val="none"/>
          <w14:textFill>
            <w14:solidFill>
              <w14:schemeClr w14:val="tx1"/>
            </w14:solidFill>
          </w14:textFill>
        </w:rPr>
        <w:t xml:space="preserve">  </w:t>
      </w:r>
      <w:r>
        <w:rPr>
          <w:rFonts w:hint="eastAsia" w:ascii="Arial" w:hAnsi="Arial" w:eastAsia="宋体" w:cs="Times New Roman"/>
          <w:b/>
          <w:bCs/>
          <w:color w:val="000000" w:themeColor="text1"/>
          <w:sz w:val="24"/>
          <w:highlight w:val="none"/>
          <w14:textFill>
            <w14:solidFill>
              <w14:schemeClr w14:val="tx1"/>
            </w14:solidFill>
          </w14:textFill>
        </w:rPr>
        <w:t>使用环境</w:t>
      </w:r>
      <w:bookmarkEnd w:id="19"/>
    </w:p>
    <w:p>
      <w:pPr>
        <w:pStyle w:val="24"/>
        <w:jc w:val="left"/>
        <w:rPr>
          <w:rFonts w:hAnsi="宋体" w:eastAsia="宋体" w:cs="宋体"/>
          <w:color w:val="000000" w:themeColor="text1"/>
          <w:sz w:val="24"/>
          <w:highlight w:val="none"/>
          <w14:textFill>
            <w14:solidFill>
              <w14:schemeClr w14:val="tx1"/>
            </w14:solidFill>
          </w14:textFill>
        </w:rPr>
      </w:pPr>
      <w:r>
        <w:rPr>
          <w:rFonts w:hint="eastAsia" w:hAnsi="宋体" w:eastAsia="宋体" w:cs="宋体"/>
          <w:color w:val="000000" w:themeColor="text1"/>
          <w:sz w:val="24"/>
          <w:highlight w:val="none"/>
          <w14:textFill>
            <w14:solidFill>
              <w14:schemeClr w14:val="tx1"/>
            </w14:solidFill>
          </w14:textFill>
        </w:rPr>
        <w:t>一、项目名称：6300T、3150T热模锻生产线搬迁复产——新增换模台车项目。</w:t>
      </w:r>
    </w:p>
    <w:p>
      <w:pPr>
        <w:spacing w:line="360" w:lineRule="auto"/>
        <w:outlineLvl w:val="3"/>
        <w:rPr>
          <w:rFonts w:ascii="宋体" w:hAnsi="宋体" w:eastAsia="宋体" w:cs="宋体"/>
          <w:color w:val="000000" w:themeColor="text1"/>
          <w:sz w:val="24"/>
          <w:highlight w:val="none"/>
          <w:shd w:val="pct10" w:color="auto" w:fill="FFFFFF"/>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二、建设地点：济南智能装备有限公司党家庄机锻车间。</w:t>
      </w:r>
    </w:p>
    <w:p>
      <w:pPr>
        <w:spacing w:line="360" w:lineRule="auto"/>
        <w:outlineLvl w:val="3"/>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三、使用地点：济南智能装备有限公司党家庄机锻车间。</w:t>
      </w:r>
    </w:p>
    <w:p>
      <w:pPr>
        <w:spacing w:line="360" w:lineRule="auto"/>
        <w:outlineLvl w:val="3"/>
        <w:rPr>
          <w:rFonts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四、工作制度：</w:t>
      </w:r>
      <w:r>
        <w:rPr>
          <w:rFonts w:hint="eastAsia" w:ascii="宋体" w:hAnsi="宋体" w:eastAsia="宋体" w:cs="宋体"/>
          <w:bCs/>
          <w:color w:val="000000" w:themeColor="text1"/>
          <w:sz w:val="24"/>
          <w:highlight w:val="none"/>
          <w14:textFill>
            <w14:solidFill>
              <w14:schemeClr w14:val="tx1"/>
            </w14:solidFill>
          </w14:textFill>
        </w:rPr>
        <w:t>全年工作365天、双班制、设备年时基数7200小时。</w:t>
      </w:r>
    </w:p>
    <w:p>
      <w:pPr>
        <w:spacing w:line="360" w:lineRule="auto"/>
        <w:outlineLvl w:val="3"/>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五、使用地点区域自然环境：</w:t>
      </w:r>
    </w:p>
    <w:p>
      <w:pPr>
        <w:spacing w:line="360" w:lineRule="auto"/>
        <w:ind w:firstLine="480" w:firstLineChars="200"/>
        <w:outlineLvl w:val="4"/>
        <w:rPr>
          <w:rFonts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5.1.海拔高度：1000m以下。</w:t>
      </w:r>
    </w:p>
    <w:p>
      <w:pPr>
        <w:spacing w:line="360" w:lineRule="auto"/>
        <w:ind w:left="719" w:leftChars="228" w:hanging="240" w:hangingChars="100"/>
        <w:rPr>
          <w:rFonts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5.2.环境温度：室外极端最低温度-</w:t>
      </w:r>
      <w:r>
        <w:rPr>
          <w:rFonts w:ascii="宋体" w:hAnsi="宋体" w:eastAsia="宋体" w:cs="宋体"/>
          <w:bCs/>
          <w:color w:val="000000" w:themeColor="text1"/>
          <w:sz w:val="24"/>
          <w:highlight w:val="none"/>
          <w14:textFill>
            <w14:solidFill>
              <w14:schemeClr w14:val="tx1"/>
            </w14:solidFill>
          </w14:textFill>
        </w:rPr>
        <w:t>20</w:t>
      </w:r>
      <w:r>
        <w:rPr>
          <w:rFonts w:hint="eastAsia" w:ascii="宋体" w:hAnsi="宋体" w:eastAsia="宋体" w:cs="宋体"/>
          <w:bCs/>
          <w:color w:val="000000" w:themeColor="text1"/>
          <w:sz w:val="24"/>
          <w:highlight w:val="none"/>
          <w14:textFill>
            <w14:solidFill>
              <w14:schemeClr w14:val="tx1"/>
            </w14:solidFill>
          </w14:textFill>
        </w:rPr>
        <w:t>℃、极端最高温度50℃，昼夜最大温差25℃；室内温度-10～42℃。</w:t>
      </w:r>
    </w:p>
    <w:p>
      <w:pPr>
        <w:spacing w:line="360" w:lineRule="auto"/>
        <w:ind w:firstLine="480" w:firstLineChars="200"/>
        <w:outlineLvl w:val="4"/>
        <w:rPr>
          <w:rFonts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5.3.相对湿度：年平均59%，最大95%、最小15%。</w:t>
      </w:r>
    </w:p>
    <w:p>
      <w:pPr>
        <w:spacing w:line="360" w:lineRule="auto"/>
        <w:ind w:firstLine="480" w:firstLineChars="200"/>
        <w:rPr>
          <w:rFonts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5.4  降雨量：日最大降雨量298.4mm、年总降雨量685mm。</w:t>
      </w:r>
    </w:p>
    <w:p>
      <w:pPr>
        <w:spacing w:line="360" w:lineRule="auto"/>
        <w:ind w:firstLine="480" w:firstLineChars="200"/>
        <w:rPr>
          <w:rFonts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5.5  最大风速：15m/s。</w:t>
      </w:r>
    </w:p>
    <w:p>
      <w:pPr>
        <w:spacing w:line="360" w:lineRule="auto"/>
        <w:ind w:firstLine="480" w:firstLineChars="200"/>
        <w:rPr>
          <w:rFonts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5.6  最大积雪厚度：190mm。</w:t>
      </w:r>
    </w:p>
    <w:p>
      <w:pPr>
        <w:spacing w:line="360" w:lineRule="auto"/>
        <w:ind w:firstLine="480" w:firstLineChars="200"/>
        <w:rPr>
          <w:rFonts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5.7  地震烈度：七度。</w:t>
      </w:r>
    </w:p>
    <w:p>
      <w:pPr>
        <w:spacing w:line="360" w:lineRule="auto"/>
        <w:outlineLvl w:val="3"/>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六、能源环境： </w:t>
      </w:r>
    </w:p>
    <w:p>
      <w:pPr>
        <w:spacing w:line="360" w:lineRule="auto"/>
        <w:ind w:firstLine="480" w:firstLineChars="200"/>
        <w:rPr>
          <w:rFonts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6.1  电力：中国制式，供电电压380V±15%/220V±15%，供电频率50Hz±2%。</w:t>
      </w:r>
    </w:p>
    <w:p>
      <w:pPr>
        <w:spacing w:line="360" w:lineRule="auto"/>
        <w:ind w:firstLine="480" w:firstLineChars="200"/>
        <w:rPr>
          <w:rFonts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6.2  给水：市政自来水，0.20 MPa。</w:t>
      </w:r>
    </w:p>
    <w:p>
      <w:pPr>
        <w:spacing w:line="360" w:lineRule="auto"/>
        <w:ind w:firstLine="480" w:firstLineChars="200"/>
        <w:rPr>
          <w:rFonts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6.3  蒸汽：市政蒸汽，0.6 MPa±0.1。</w:t>
      </w:r>
    </w:p>
    <w:p>
      <w:pPr>
        <w:spacing w:line="360" w:lineRule="auto"/>
        <w:ind w:firstLine="480" w:firstLineChars="200"/>
        <w:rPr>
          <w:rFonts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6.4  压缩空气：自备空压机自产压缩空气，0.5-0.7MPa。</w:t>
      </w:r>
    </w:p>
    <w:p>
      <w:pPr>
        <w:keepNext/>
        <w:keepLines/>
        <w:spacing w:before="120" w:after="120" w:line="480" w:lineRule="exact"/>
        <w:jc w:val="center"/>
        <w:outlineLvl w:val="2"/>
        <w:rPr>
          <w:rFonts w:ascii="宋体" w:hAnsi="Arial" w:eastAsia="宋体" w:cs="Times New Roman"/>
          <w:b/>
          <w:bCs/>
          <w:color w:val="000000" w:themeColor="text1"/>
          <w:sz w:val="24"/>
          <w:highlight w:val="none"/>
          <w14:textFill>
            <w14:solidFill>
              <w14:schemeClr w14:val="tx1"/>
            </w14:solidFill>
          </w14:textFill>
        </w:rPr>
      </w:pPr>
      <w:r>
        <w:rPr>
          <w:rFonts w:hint="eastAsia" w:ascii="宋体" w:hAnsi="宋体" w:eastAsia="宋体" w:cs="Times New Roman"/>
          <w:b/>
          <w:bCs/>
          <w:color w:val="000000" w:themeColor="text1"/>
          <w:sz w:val="24"/>
          <w:highlight w:val="none"/>
          <w14:textFill>
            <w14:solidFill>
              <w14:schemeClr w14:val="tx1"/>
            </w14:solidFill>
          </w14:textFill>
        </w:rPr>
        <w:t>第二节</w:t>
      </w:r>
      <w:r>
        <w:rPr>
          <w:rFonts w:ascii="宋体" w:hAnsi="宋体" w:eastAsia="宋体" w:cs="Times New Roman"/>
          <w:b/>
          <w:bCs/>
          <w:color w:val="000000" w:themeColor="text1"/>
          <w:sz w:val="24"/>
          <w:highlight w:val="none"/>
          <w14:textFill>
            <w14:solidFill>
              <w14:schemeClr w14:val="tx1"/>
            </w14:solidFill>
          </w14:textFill>
        </w:rPr>
        <w:t xml:space="preserve">  </w:t>
      </w:r>
      <w:r>
        <w:rPr>
          <w:rFonts w:hint="eastAsia" w:ascii="宋体" w:hAnsi="宋体" w:eastAsia="宋体" w:cs="Times New Roman"/>
          <w:b/>
          <w:bCs/>
          <w:color w:val="000000" w:themeColor="text1"/>
          <w:sz w:val="24"/>
          <w:highlight w:val="none"/>
          <w14:textFill>
            <w14:solidFill>
              <w14:schemeClr w14:val="tx1"/>
            </w14:solidFill>
          </w14:textFill>
        </w:rPr>
        <w:t>采购货物概况</w:t>
      </w:r>
    </w:p>
    <w:p>
      <w:pPr>
        <w:spacing w:line="420" w:lineRule="exact"/>
        <w:outlineLvl w:val="3"/>
        <w:rPr>
          <w:rFonts w:ascii="宋体" w:hAnsi="宋体" w:eastAsia="宋体" w:cs="宋体"/>
          <w:color w:val="000000" w:themeColor="text1"/>
          <w:sz w:val="24"/>
          <w:highlight w:val="none"/>
          <w:u w:val="single"/>
          <w:shd w:val="pct10" w:color="auto" w:fill="FFFFFF"/>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一、货物名称：</w:t>
      </w:r>
      <w:r>
        <w:rPr>
          <w:rFonts w:hint="eastAsia" w:ascii="宋体" w:hAnsi="宋体" w:eastAsia="宋体" w:cs="宋体"/>
          <w:color w:val="000000" w:themeColor="text1"/>
          <w:sz w:val="24"/>
          <w:highlight w:val="none"/>
          <w:u w:val="single"/>
          <w14:textFill>
            <w14:solidFill>
              <w14:schemeClr w14:val="tx1"/>
            </w14:solidFill>
          </w14:textFill>
        </w:rPr>
        <w:t>换模台车</w:t>
      </w:r>
      <w:r>
        <w:rPr>
          <w:rFonts w:hint="eastAsia" w:ascii="宋体" w:hAnsi="宋体" w:eastAsia="宋体" w:cs="宋体"/>
          <w:color w:val="000000" w:themeColor="text1"/>
          <w:sz w:val="24"/>
          <w:highlight w:val="none"/>
          <w14:textFill>
            <w14:solidFill>
              <w14:schemeClr w14:val="tx1"/>
            </w14:solidFill>
          </w14:textFill>
        </w:rPr>
        <w:t>（详见下表）</w:t>
      </w:r>
    </w:p>
    <w:p>
      <w:pPr>
        <w:spacing w:line="420" w:lineRule="exact"/>
        <w:outlineLvl w:val="3"/>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二、货物数量：</w:t>
      </w:r>
      <w:r>
        <w:rPr>
          <w:rFonts w:hint="eastAsia" w:ascii="宋体" w:hAnsi="宋体" w:eastAsia="宋体" w:cs="宋体"/>
          <w:color w:val="000000" w:themeColor="text1"/>
          <w:sz w:val="24"/>
          <w:highlight w:val="none"/>
          <w:u w:val="single"/>
          <w14:textFill>
            <w14:solidFill>
              <w14:schemeClr w14:val="tx1"/>
            </w14:solidFill>
          </w14:textFill>
        </w:rPr>
        <w:t>3套</w:t>
      </w:r>
      <w:r>
        <w:rPr>
          <w:rFonts w:hint="eastAsia" w:ascii="宋体" w:hAnsi="宋体" w:eastAsia="宋体" w:cs="宋体"/>
          <w:color w:val="000000" w:themeColor="text1"/>
          <w:sz w:val="24"/>
          <w:highlight w:val="none"/>
          <w14:textFill>
            <w14:solidFill>
              <w14:schemeClr w14:val="tx1"/>
            </w14:solidFill>
          </w14:textFill>
        </w:rPr>
        <w:t>（详见下表）</w:t>
      </w:r>
    </w:p>
    <w:p>
      <w:pPr>
        <w:spacing w:line="420" w:lineRule="exact"/>
        <w:outlineLvl w:val="3"/>
        <w:rPr>
          <w:rFonts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三、分投分中：不允许</w:t>
      </w:r>
    </w:p>
    <w:p>
      <w:pPr>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采购货物主要构成一览表：</w:t>
      </w:r>
    </w:p>
    <w:tbl>
      <w:tblPr>
        <w:tblStyle w:val="48"/>
        <w:tblW w:w="101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472"/>
        <w:gridCol w:w="3089"/>
        <w:gridCol w:w="1174"/>
        <w:gridCol w:w="961"/>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widowControl/>
              <w:snapToGrid w:val="0"/>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序号</w:t>
            </w:r>
          </w:p>
        </w:tc>
        <w:tc>
          <w:tcPr>
            <w:tcW w:w="2472" w:type="dxa"/>
            <w:vAlign w:val="center"/>
          </w:tcPr>
          <w:p>
            <w:pPr>
              <w:widowControl/>
              <w:snapToGrid w:val="0"/>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名称</w:t>
            </w:r>
          </w:p>
        </w:tc>
        <w:tc>
          <w:tcPr>
            <w:tcW w:w="3089" w:type="dxa"/>
            <w:vAlign w:val="center"/>
          </w:tcPr>
          <w:p>
            <w:pPr>
              <w:snapToGrid w:val="0"/>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型号规格</w:t>
            </w:r>
          </w:p>
        </w:tc>
        <w:tc>
          <w:tcPr>
            <w:tcW w:w="1174" w:type="dxa"/>
            <w:vAlign w:val="center"/>
          </w:tcPr>
          <w:p>
            <w:pPr>
              <w:widowControl/>
              <w:snapToGrid w:val="0"/>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单位</w:t>
            </w:r>
          </w:p>
        </w:tc>
        <w:tc>
          <w:tcPr>
            <w:tcW w:w="961" w:type="dxa"/>
            <w:vAlign w:val="center"/>
          </w:tcPr>
          <w:p>
            <w:pPr>
              <w:widowControl/>
              <w:snapToGrid w:val="0"/>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数量</w:t>
            </w:r>
          </w:p>
        </w:tc>
        <w:tc>
          <w:tcPr>
            <w:tcW w:w="1588" w:type="dxa"/>
            <w:vAlign w:val="center"/>
          </w:tcPr>
          <w:p>
            <w:pPr>
              <w:widowControl/>
              <w:snapToGrid w:val="0"/>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供货方式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widowControl/>
              <w:snapToGrid w:val="0"/>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2472" w:type="dxa"/>
            <w:vAlign w:val="center"/>
          </w:tcPr>
          <w:p>
            <w:pPr>
              <w:widowControl/>
              <w:snapToGrid w:val="0"/>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6300T换模台车</w:t>
            </w:r>
          </w:p>
          <w:p>
            <w:pPr>
              <w:widowControl/>
              <w:snapToGrid w:val="0"/>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（含轨道）</w:t>
            </w:r>
          </w:p>
        </w:tc>
        <w:tc>
          <w:tcPr>
            <w:tcW w:w="3089" w:type="dxa"/>
            <w:vAlign w:val="center"/>
          </w:tcPr>
          <w:p>
            <w:pPr>
              <w:widowControl/>
              <w:snapToGrid w:val="0"/>
              <w:jc w:val="center"/>
              <w:textAlignment w:val="center"/>
              <w:rPr>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定制</w:t>
            </w:r>
          </w:p>
        </w:tc>
        <w:tc>
          <w:tcPr>
            <w:tcW w:w="1174" w:type="dxa"/>
            <w:vAlign w:val="center"/>
          </w:tcPr>
          <w:p>
            <w:pPr>
              <w:widowControl/>
              <w:snapToGrid w:val="0"/>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套</w:t>
            </w:r>
          </w:p>
        </w:tc>
        <w:tc>
          <w:tcPr>
            <w:tcW w:w="961" w:type="dxa"/>
            <w:vAlign w:val="center"/>
          </w:tcPr>
          <w:p>
            <w:pPr>
              <w:widowControl/>
              <w:snapToGrid w:val="0"/>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1588" w:type="dxa"/>
          </w:tcPr>
          <w:p>
            <w:pPr>
              <w:spacing w:line="360" w:lineRule="exact"/>
              <w:jc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color w:val="000000" w:themeColor="text1"/>
                <w:highlight w:val="none"/>
                <w14:textFill>
                  <w14:solidFill>
                    <w14:schemeClr w14:val="tx1"/>
                  </w14:solidFill>
                </w14:textFill>
              </w:rPr>
              <w:t>交钥匙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widowControl/>
              <w:snapToGrid w:val="0"/>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2</w:t>
            </w:r>
          </w:p>
        </w:tc>
        <w:tc>
          <w:tcPr>
            <w:tcW w:w="2472" w:type="dxa"/>
            <w:vAlign w:val="center"/>
          </w:tcPr>
          <w:p>
            <w:pPr>
              <w:widowControl/>
              <w:snapToGrid w:val="0"/>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3150T换模台车</w:t>
            </w:r>
          </w:p>
          <w:p>
            <w:pPr>
              <w:widowControl/>
              <w:snapToGrid w:val="0"/>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（含轨道）</w:t>
            </w:r>
          </w:p>
        </w:tc>
        <w:tc>
          <w:tcPr>
            <w:tcW w:w="3089" w:type="dxa"/>
            <w:vAlign w:val="center"/>
          </w:tcPr>
          <w:p>
            <w:pPr>
              <w:widowControl/>
              <w:snapToGrid w:val="0"/>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定制</w:t>
            </w:r>
          </w:p>
        </w:tc>
        <w:tc>
          <w:tcPr>
            <w:tcW w:w="1174" w:type="dxa"/>
            <w:vAlign w:val="center"/>
          </w:tcPr>
          <w:p>
            <w:pPr>
              <w:widowControl/>
              <w:snapToGrid w:val="0"/>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套</w:t>
            </w:r>
          </w:p>
        </w:tc>
        <w:tc>
          <w:tcPr>
            <w:tcW w:w="961" w:type="dxa"/>
            <w:vAlign w:val="center"/>
          </w:tcPr>
          <w:p>
            <w:pPr>
              <w:widowControl/>
              <w:snapToGrid w:val="0"/>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1588" w:type="dxa"/>
          </w:tcPr>
          <w:p>
            <w:pPr>
              <w:spacing w:line="360" w:lineRule="exact"/>
              <w:jc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color w:val="000000" w:themeColor="text1"/>
                <w:highlight w:val="none"/>
                <w14:textFill>
                  <w14:solidFill>
                    <w14:schemeClr w14:val="tx1"/>
                  </w14:solidFill>
                </w14:textFill>
              </w:rPr>
              <w:t>交钥匙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widowControl/>
              <w:snapToGrid w:val="0"/>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3</w:t>
            </w:r>
          </w:p>
        </w:tc>
        <w:tc>
          <w:tcPr>
            <w:tcW w:w="2472" w:type="dxa"/>
            <w:vAlign w:val="center"/>
          </w:tcPr>
          <w:p>
            <w:pPr>
              <w:widowControl/>
              <w:snapToGrid w:val="0"/>
              <w:jc w:val="center"/>
              <w:textAlignment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800T换模台车</w:t>
            </w:r>
          </w:p>
          <w:p>
            <w:pPr>
              <w:pStyle w:val="2"/>
              <w:snapToGrid w:val="0"/>
              <w:spacing w:line="240" w:lineRule="auto"/>
              <w:jc w:val="center"/>
              <w:rPr>
                <w:color w:val="000000" w:themeColor="text1"/>
                <w:highlight w:val="none"/>
                <w14:textFill>
                  <w14:solidFill>
                    <w14:schemeClr w14:val="tx1"/>
                  </w14:solidFill>
                </w14:textFill>
              </w:rPr>
            </w:pPr>
            <w:r>
              <w:rPr>
                <w:rFonts w:hint="eastAsia" w:ascii="宋体" w:hAnsi="宋体" w:cs="宋体"/>
                <w:b w:val="0"/>
                <w:bCs w:val="0"/>
                <w:color w:val="000000" w:themeColor="text1"/>
                <w:kern w:val="0"/>
                <w:sz w:val="22"/>
                <w:szCs w:val="22"/>
                <w:highlight w:val="none"/>
                <w:lang w:bidi="ar"/>
                <w14:textFill>
                  <w14:solidFill>
                    <w14:schemeClr w14:val="tx1"/>
                  </w14:solidFill>
                </w14:textFill>
              </w:rPr>
              <w:t>（含轨道）</w:t>
            </w:r>
          </w:p>
        </w:tc>
        <w:tc>
          <w:tcPr>
            <w:tcW w:w="3089" w:type="dxa"/>
            <w:vAlign w:val="center"/>
          </w:tcPr>
          <w:p>
            <w:pPr>
              <w:widowControl/>
              <w:snapToGrid w:val="0"/>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定制</w:t>
            </w:r>
          </w:p>
        </w:tc>
        <w:tc>
          <w:tcPr>
            <w:tcW w:w="1174" w:type="dxa"/>
            <w:vAlign w:val="center"/>
          </w:tcPr>
          <w:p>
            <w:pPr>
              <w:widowControl/>
              <w:snapToGrid w:val="0"/>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套</w:t>
            </w:r>
          </w:p>
        </w:tc>
        <w:tc>
          <w:tcPr>
            <w:tcW w:w="961" w:type="dxa"/>
            <w:vAlign w:val="center"/>
          </w:tcPr>
          <w:p>
            <w:pPr>
              <w:widowControl/>
              <w:snapToGrid w:val="0"/>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w:t>
            </w:r>
          </w:p>
        </w:tc>
        <w:tc>
          <w:tcPr>
            <w:tcW w:w="1588" w:type="dxa"/>
          </w:tcPr>
          <w:p>
            <w:pPr>
              <w:spacing w:line="360" w:lineRule="exact"/>
              <w:jc w:val="center"/>
              <w:rPr>
                <w:rFonts w:ascii="宋体" w:hAnsi="宋体" w:eastAsia="宋体" w:cs="宋体"/>
                <w:color w:val="000000" w:themeColor="text1"/>
                <w:kern w:val="0"/>
                <w:sz w:val="22"/>
                <w:highlight w:val="none"/>
                <w:lang w:bidi="ar"/>
                <w14:textFill>
                  <w14:solidFill>
                    <w14:schemeClr w14:val="tx1"/>
                  </w14:solidFill>
                </w14:textFill>
              </w:rPr>
            </w:pPr>
            <w:r>
              <w:rPr>
                <w:rFonts w:hint="eastAsia" w:ascii="宋体" w:hAnsi="宋体"/>
                <w:color w:val="000000" w:themeColor="text1"/>
                <w:highlight w:val="none"/>
                <w14:textFill>
                  <w14:solidFill>
                    <w14:schemeClr w14:val="tx1"/>
                  </w14:solidFill>
                </w14:textFill>
              </w:rPr>
              <w:t>交钥匙</w:t>
            </w:r>
          </w:p>
        </w:tc>
      </w:tr>
    </w:tbl>
    <w:p>
      <w:pPr>
        <w:spacing w:line="360" w:lineRule="auto"/>
        <w:ind w:firstLine="480" w:firstLineChars="200"/>
        <w:rPr>
          <w:rFonts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2.本表“供货方式”指：交钥匙方式——包括制造、运输、定点卸货、安装、调试和协助验收以及约定培训等。</w:t>
      </w:r>
    </w:p>
    <w:p>
      <w:pPr>
        <w:pStyle w:val="24"/>
        <w:jc w:val="center"/>
        <w:rPr>
          <w:rFonts w:hAnsi="宋体" w:eastAsia="宋体" w:cs="宋体"/>
          <w:bCs/>
          <w:color w:val="000000" w:themeColor="text1"/>
          <w:sz w:val="24"/>
          <w:highlight w:val="none"/>
          <w14:textFill>
            <w14:solidFill>
              <w14:schemeClr w14:val="tx1"/>
            </w14:solidFill>
          </w14:textFill>
        </w:rPr>
      </w:pPr>
      <w:r>
        <w:rPr>
          <w:rFonts w:hint="eastAsia" w:hAnsi="宋体" w:eastAsia="宋体" w:cs="宋体"/>
          <w:bCs/>
          <w:color w:val="000000" w:themeColor="text1"/>
          <w:sz w:val="24"/>
          <w:highlight w:val="none"/>
          <w14:textFill>
            <w14:solidFill>
              <w14:schemeClr w14:val="tx1"/>
            </w14:solidFill>
          </w14:textFill>
        </w:rPr>
        <w:t>主要器件品牌表（可选同等或更优质量品牌）</w:t>
      </w:r>
    </w:p>
    <w:p>
      <w:pPr>
        <w:pStyle w:val="24"/>
        <w:rPr>
          <w:rFonts w:hAnsi="宋体" w:eastAsia="宋体" w:cs="宋体"/>
          <w:bCs/>
          <w:color w:val="000000" w:themeColor="text1"/>
          <w:sz w:val="24"/>
          <w:highlight w:val="none"/>
          <w14:textFill>
            <w14:solidFill>
              <w14:schemeClr w14:val="tx1"/>
            </w14:solidFill>
          </w14:textFill>
        </w:rPr>
      </w:pPr>
    </w:p>
    <w:tbl>
      <w:tblPr>
        <w:tblStyle w:val="4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835"/>
        <w:gridCol w:w="3266"/>
        <w:gridCol w:w="1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pPr>
              <w:spacing w:line="420" w:lineRule="exact"/>
              <w:jc w:val="center"/>
              <w:rPr>
                <w:color w:val="000000" w:themeColor="text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序号</w:t>
            </w:r>
          </w:p>
        </w:tc>
        <w:tc>
          <w:tcPr>
            <w:tcW w:w="2835" w:type="dxa"/>
            <w:shd w:val="clear" w:color="auto" w:fill="auto"/>
          </w:tcPr>
          <w:p>
            <w:pPr>
              <w:spacing w:line="420" w:lineRule="exact"/>
              <w:jc w:val="center"/>
              <w:rPr>
                <w:color w:val="000000" w:themeColor="text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器件名称</w:t>
            </w:r>
          </w:p>
        </w:tc>
        <w:tc>
          <w:tcPr>
            <w:tcW w:w="3266" w:type="dxa"/>
            <w:shd w:val="clear" w:color="auto" w:fill="auto"/>
          </w:tcPr>
          <w:p>
            <w:pPr>
              <w:spacing w:line="420" w:lineRule="exact"/>
              <w:jc w:val="center"/>
              <w:rPr>
                <w:color w:val="000000" w:themeColor="text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品牌</w:t>
            </w:r>
          </w:p>
        </w:tc>
        <w:tc>
          <w:tcPr>
            <w:tcW w:w="1971" w:type="dxa"/>
            <w:shd w:val="clear" w:color="auto" w:fill="auto"/>
          </w:tcPr>
          <w:p>
            <w:pPr>
              <w:spacing w:line="420" w:lineRule="exact"/>
              <w:jc w:val="center"/>
              <w:rPr>
                <w:color w:val="000000" w:themeColor="text1"/>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pPr>
              <w:spacing w:line="42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p>
        </w:tc>
        <w:tc>
          <w:tcPr>
            <w:tcW w:w="2835" w:type="dxa"/>
            <w:shd w:val="clear" w:color="auto" w:fill="auto"/>
            <w:vAlign w:val="center"/>
          </w:tcPr>
          <w:p>
            <w:pPr>
              <w:widowControl/>
              <w:jc w:val="center"/>
              <w:textAlignment w:val="center"/>
              <w:rPr>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 w:val="22"/>
                <w:szCs w:val="22"/>
                <w:highlight w:val="none"/>
                <w:lang w:bidi="ar"/>
                <w14:textFill>
                  <w14:solidFill>
                    <w14:schemeClr w14:val="tx1"/>
                  </w14:solidFill>
                </w14:textFill>
              </w:rPr>
              <w:t>气动元件</w:t>
            </w:r>
          </w:p>
        </w:tc>
        <w:tc>
          <w:tcPr>
            <w:tcW w:w="3266" w:type="dxa"/>
            <w:shd w:val="clear" w:color="auto" w:fill="auto"/>
            <w:vAlign w:val="center"/>
          </w:tcPr>
          <w:p>
            <w:pPr>
              <w:widowControl/>
              <w:jc w:val="center"/>
              <w:textAlignment w:val="center"/>
              <w:rPr>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 w:val="22"/>
                <w:szCs w:val="22"/>
                <w:highlight w:val="none"/>
                <w:lang w:bidi="ar"/>
                <w14:textFill>
                  <w14:solidFill>
                    <w14:schemeClr w14:val="tx1"/>
                  </w14:solidFill>
                </w14:textFill>
              </w:rPr>
              <w:t>SMC/亚德客</w:t>
            </w:r>
          </w:p>
        </w:tc>
        <w:tc>
          <w:tcPr>
            <w:tcW w:w="1971" w:type="dxa"/>
            <w:shd w:val="clear" w:color="auto" w:fill="auto"/>
          </w:tcPr>
          <w:p>
            <w:pPr>
              <w:spacing w:line="420" w:lineRule="exact"/>
              <w:jc w:val="center"/>
              <w:rPr>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pPr>
              <w:spacing w:line="42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w:t>
            </w:r>
          </w:p>
        </w:tc>
        <w:tc>
          <w:tcPr>
            <w:tcW w:w="2835" w:type="dxa"/>
            <w:shd w:val="clear" w:color="auto" w:fill="auto"/>
            <w:vAlign w:val="center"/>
          </w:tcPr>
          <w:p>
            <w:pPr>
              <w:widowControl/>
              <w:jc w:val="center"/>
              <w:textAlignment w:val="center"/>
              <w:rPr>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 w:val="22"/>
                <w:szCs w:val="22"/>
                <w:highlight w:val="none"/>
                <w:lang w:bidi="ar"/>
                <w14:textFill>
                  <w14:solidFill>
                    <w14:schemeClr w14:val="tx1"/>
                  </w14:solidFill>
                </w14:textFill>
              </w:rPr>
              <w:t>电气元件</w:t>
            </w:r>
          </w:p>
        </w:tc>
        <w:tc>
          <w:tcPr>
            <w:tcW w:w="3266" w:type="dxa"/>
            <w:shd w:val="clear" w:color="auto" w:fill="auto"/>
            <w:vAlign w:val="center"/>
          </w:tcPr>
          <w:p>
            <w:pPr>
              <w:widowControl/>
              <w:jc w:val="center"/>
              <w:textAlignment w:val="center"/>
              <w:rPr>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 w:val="22"/>
                <w:szCs w:val="22"/>
                <w:highlight w:val="none"/>
                <w:lang w:bidi="ar"/>
                <w14:textFill>
                  <w14:solidFill>
                    <w14:schemeClr w14:val="tx1"/>
                  </w14:solidFill>
                </w14:textFill>
              </w:rPr>
              <w:t>正泰/施耐德/西门子</w:t>
            </w:r>
          </w:p>
        </w:tc>
        <w:tc>
          <w:tcPr>
            <w:tcW w:w="1971" w:type="dxa"/>
            <w:shd w:val="clear" w:color="auto" w:fill="auto"/>
          </w:tcPr>
          <w:p>
            <w:pPr>
              <w:spacing w:line="420" w:lineRule="exact"/>
              <w:jc w:val="center"/>
              <w:rPr>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pPr>
              <w:spacing w:line="42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w:t>
            </w:r>
          </w:p>
        </w:tc>
        <w:tc>
          <w:tcPr>
            <w:tcW w:w="2835" w:type="dxa"/>
            <w:shd w:val="clear" w:color="auto" w:fill="auto"/>
          </w:tcPr>
          <w:p>
            <w:pPr>
              <w:widowControl/>
              <w:jc w:val="center"/>
              <w:textAlignment w:val="center"/>
              <w:rPr>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 w:val="22"/>
                <w:szCs w:val="22"/>
                <w:highlight w:val="none"/>
                <w:lang w:bidi="ar"/>
                <w14:textFill>
                  <w14:solidFill>
                    <w14:schemeClr w14:val="tx1"/>
                  </w14:solidFill>
                </w14:textFill>
              </w:rPr>
              <w:t>控制元件</w:t>
            </w:r>
          </w:p>
        </w:tc>
        <w:tc>
          <w:tcPr>
            <w:tcW w:w="3266" w:type="dxa"/>
            <w:shd w:val="clear" w:color="auto" w:fill="auto"/>
          </w:tcPr>
          <w:p>
            <w:pPr>
              <w:widowControl/>
              <w:jc w:val="center"/>
              <w:textAlignment w:val="center"/>
              <w:rPr>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 w:val="22"/>
                <w:szCs w:val="22"/>
                <w:highlight w:val="none"/>
                <w:lang w:bidi="ar"/>
                <w14:textFill>
                  <w14:solidFill>
                    <w14:schemeClr w14:val="tx1"/>
                  </w14:solidFill>
                </w14:textFill>
              </w:rPr>
              <w:t>三菱/欧姆龙</w:t>
            </w:r>
          </w:p>
        </w:tc>
        <w:tc>
          <w:tcPr>
            <w:tcW w:w="1971" w:type="dxa"/>
            <w:shd w:val="clear" w:color="auto" w:fill="auto"/>
          </w:tcPr>
          <w:p>
            <w:pPr>
              <w:spacing w:line="420" w:lineRule="exact"/>
              <w:jc w:val="center"/>
              <w:rPr>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pPr>
              <w:spacing w:line="42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w:t>
            </w:r>
          </w:p>
        </w:tc>
        <w:tc>
          <w:tcPr>
            <w:tcW w:w="2835" w:type="dxa"/>
            <w:shd w:val="clear" w:color="auto" w:fill="auto"/>
            <w:vAlign w:val="center"/>
          </w:tcPr>
          <w:p>
            <w:pPr>
              <w:widowControl/>
              <w:jc w:val="center"/>
              <w:textAlignment w:val="center"/>
              <w:rPr>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 w:val="22"/>
                <w:szCs w:val="22"/>
                <w:highlight w:val="none"/>
                <w:lang w:bidi="ar"/>
                <w14:textFill>
                  <w14:solidFill>
                    <w14:schemeClr w14:val="tx1"/>
                  </w14:solidFill>
                </w14:textFill>
              </w:rPr>
              <w:t>液压控制元件</w:t>
            </w:r>
          </w:p>
        </w:tc>
        <w:tc>
          <w:tcPr>
            <w:tcW w:w="3266" w:type="dxa"/>
            <w:shd w:val="clear" w:color="auto" w:fill="auto"/>
            <w:vAlign w:val="center"/>
          </w:tcPr>
          <w:p>
            <w:pPr>
              <w:widowControl/>
              <w:jc w:val="center"/>
              <w:textAlignment w:val="center"/>
              <w:rPr>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 w:val="22"/>
                <w:szCs w:val="22"/>
                <w:highlight w:val="none"/>
                <w:lang w:bidi="ar"/>
                <w14:textFill>
                  <w14:solidFill>
                    <w14:schemeClr w14:val="tx1"/>
                  </w14:solidFill>
                </w14:textFill>
              </w:rPr>
              <w:t>力士乐/华德等知名品牌</w:t>
            </w:r>
          </w:p>
        </w:tc>
        <w:tc>
          <w:tcPr>
            <w:tcW w:w="1971" w:type="dxa"/>
            <w:shd w:val="clear" w:color="auto" w:fill="auto"/>
          </w:tcPr>
          <w:p>
            <w:pPr>
              <w:spacing w:line="420" w:lineRule="exact"/>
              <w:jc w:val="center"/>
              <w:rPr>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pPr>
              <w:spacing w:line="42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w:t>
            </w:r>
          </w:p>
        </w:tc>
        <w:tc>
          <w:tcPr>
            <w:tcW w:w="2835" w:type="dxa"/>
            <w:shd w:val="clear" w:color="auto" w:fill="auto"/>
            <w:vAlign w:val="center"/>
          </w:tcPr>
          <w:p>
            <w:pPr>
              <w:widowControl/>
              <w:jc w:val="center"/>
              <w:textAlignment w:val="center"/>
              <w:rPr>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 w:val="22"/>
                <w:szCs w:val="22"/>
                <w:highlight w:val="none"/>
                <w:lang w:bidi="ar"/>
                <w14:textFill>
                  <w14:solidFill>
                    <w14:schemeClr w14:val="tx1"/>
                  </w14:solidFill>
                </w14:textFill>
              </w:rPr>
              <w:t>液压软管</w:t>
            </w:r>
          </w:p>
        </w:tc>
        <w:tc>
          <w:tcPr>
            <w:tcW w:w="3266" w:type="dxa"/>
            <w:shd w:val="clear" w:color="auto" w:fill="auto"/>
            <w:vAlign w:val="center"/>
          </w:tcPr>
          <w:p>
            <w:pPr>
              <w:widowControl/>
              <w:jc w:val="center"/>
              <w:textAlignment w:val="center"/>
              <w:rPr>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 w:val="22"/>
                <w:szCs w:val="22"/>
                <w:highlight w:val="none"/>
                <w:lang w:bidi="ar"/>
                <w14:textFill>
                  <w14:solidFill>
                    <w14:schemeClr w14:val="tx1"/>
                  </w14:solidFill>
                </w14:textFill>
              </w:rPr>
              <w:t>Parker等国际知名品牌</w:t>
            </w:r>
          </w:p>
        </w:tc>
        <w:tc>
          <w:tcPr>
            <w:tcW w:w="1971" w:type="dxa"/>
            <w:shd w:val="clear" w:color="auto" w:fill="auto"/>
          </w:tcPr>
          <w:p>
            <w:pPr>
              <w:spacing w:line="420" w:lineRule="exact"/>
              <w:jc w:val="center"/>
              <w:rPr>
                <w:color w:val="000000" w:themeColor="text1"/>
                <w:kern w:val="0"/>
                <w:szCs w:val="21"/>
                <w:highlight w:val="none"/>
                <w14:textFill>
                  <w14:solidFill>
                    <w14:schemeClr w14:val="tx1"/>
                  </w14:solidFill>
                </w14:textFill>
              </w:rPr>
            </w:pPr>
          </w:p>
        </w:tc>
      </w:tr>
    </w:tbl>
    <w:p>
      <w:pPr>
        <w:pStyle w:val="24"/>
        <w:rPr>
          <w:rFonts w:hAnsi="宋体" w:eastAsia="宋体" w:cs="宋体"/>
          <w:bCs/>
          <w:color w:val="000000" w:themeColor="text1"/>
          <w:sz w:val="24"/>
          <w:highlight w:val="none"/>
          <w14:textFill>
            <w14:solidFill>
              <w14:schemeClr w14:val="tx1"/>
            </w14:solidFill>
          </w14:textFill>
        </w:rPr>
      </w:pPr>
    </w:p>
    <w:p>
      <w:pPr>
        <w:spacing w:line="360" w:lineRule="auto"/>
        <w:outlineLvl w:val="3"/>
        <w:rPr>
          <w:rFonts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四、采购货物特别说明</w:t>
      </w:r>
    </w:p>
    <w:p>
      <w:pPr>
        <w:spacing w:line="360" w:lineRule="auto"/>
        <w:ind w:firstLine="480" w:firstLineChars="200"/>
        <w:rPr>
          <w:rFonts w:ascii="宋体" w:hAnsi="宋体" w:eastAsia="宋体" w:cs="Times New Roman"/>
          <w:color w:val="000000" w:themeColor="text1"/>
          <w:szCs w:val="20"/>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color w:val="000000" w:themeColor="text1"/>
          <w:szCs w:val="20"/>
          <w:highlight w:val="none"/>
          <w14:textFill>
            <w14:solidFill>
              <w14:schemeClr w14:val="tx1"/>
            </w14:solidFill>
          </w14:textFill>
        </w:rPr>
        <w:t>。</w:t>
      </w:r>
    </w:p>
    <w:p>
      <w:pPr>
        <w:rPr>
          <w:rFonts w:ascii="宋体" w:hAnsi="宋体" w:eastAsia="宋体" w:cs="Times New Roman"/>
          <w:color w:val="000000" w:themeColor="text1"/>
          <w:szCs w:val="20"/>
          <w:highlight w:val="none"/>
          <w14:textFill>
            <w14:solidFill>
              <w14:schemeClr w14:val="tx1"/>
            </w14:solidFill>
          </w14:textFill>
        </w:rPr>
      </w:pPr>
      <w:r>
        <w:rPr>
          <w:rFonts w:hint="eastAsia" w:ascii="宋体" w:hAnsi="宋体" w:eastAsia="宋体" w:cs="Times New Roman"/>
          <w:color w:val="000000" w:themeColor="text1"/>
          <w:szCs w:val="20"/>
          <w:highlight w:val="none"/>
          <w14:textFill>
            <w14:solidFill>
              <w14:schemeClr w14:val="tx1"/>
            </w14:solidFill>
          </w14:textFill>
        </w:rPr>
        <w:br w:type="page"/>
      </w:r>
    </w:p>
    <w:p>
      <w:pPr>
        <w:keepNext/>
        <w:keepLines/>
        <w:spacing w:before="120" w:after="120" w:line="480" w:lineRule="exact"/>
        <w:jc w:val="center"/>
        <w:outlineLvl w:val="1"/>
        <w:rPr>
          <w:rFonts w:ascii="宋体" w:hAnsi="宋体" w:eastAsia="宋体" w:cs="Times New Roman"/>
          <w:b/>
          <w:bCs/>
          <w:color w:val="000000" w:themeColor="text1"/>
          <w:kern w:val="44"/>
          <w:sz w:val="28"/>
          <w:szCs w:val="28"/>
          <w:highlight w:val="none"/>
          <w14:textFill>
            <w14:solidFill>
              <w14:schemeClr w14:val="tx1"/>
            </w14:solidFill>
          </w14:textFill>
        </w:rPr>
      </w:pPr>
      <w:r>
        <w:rPr>
          <w:rFonts w:hint="eastAsia" w:ascii="宋体" w:hAnsi="宋体" w:eastAsia="宋体" w:cs="Times New Roman"/>
          <w:b/>
          <w:bCs/>
          <w:color w:val="000000" w:themeColor="text1"/>
          <w:kern w:val="44"/>
          <w:sz w:val="28"/>
          <w:szCs w:val="28"/>
          <w:highlight w:val="none"/>
          <w14:textFill>
            <w14:solidFill>
              <w14:schemeClr w14:val="tx1"/>
            </w14:solidFill>
          </w14:textFill>
        </w:rPr>
        <w:t>第二章  技术要求</w:t>
      </w:r>
    </w:p>
    <w:p>
      <w:pPr>
        <w:ind w:firstLine="482" w:firstLineChars="200"/>
        <w:outlineLvl w:val="2"/>
        <w:rPr>
          <w:color w:val="000000" w:themeColor="text1"/>
          <w:sz w:val="28"/>
          <w:szCs w:val="36"/>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一、特别提示</w:t>
      </w:r>
    </w:p>
    <w:p>
      <w:pPr>
        <w:spacing w:line="360" w:lineRule="auto"/>
        <w:rPr>
          <w:rFonts w:ascii="宋体" w:hAnsi="宋体" w:eastAsia="宋体" w:cs="Times New Roman"/>
          <w:color w:val="000000" w:themeColor="text1"/>
          <w:sz w:val="24"/>
          <w:highlight w:val="none"/>
          <w14:textFill>
            <w14:solidFill>
              <w14:schemeClr w14:val="tx1"/>
            </w14:solidFill>
          </w14:textFill>
        </w:rPr>
      </w:pPr>
      <w:r>
        <w:rPr>
          <w:rFonts w:hint="eastAsia"/>
          <w:color w:val="000000" w:themeColor="text1"/>
          <w:sz w:val="28"/>
          <w:szCs w:val="36"/>
          <w:highlight w:val="none"/>
          <w14:textFill>
            <w14:solidFill>
              <w14:schemeClr w14:val="tx1"/>
            </w14:solidFill>
          </w14:textFill>
        </w:rPr>
        <w:t xml:space="preserve">   </w:t>
      </w:r>
      <w:r>
        <w:rPr>
          <w:rFonts w:hint="eastAsia" w:ascii="宋体" w:hAnsi="宋体" w:eastAsia="宋体" w:cs="Times New Roman"/>
          <w:color w:val="000000" w:themeColor="text1"/>
          <w:sz w:val="24"/>
          <w:highlight w:val="none"/>
          <w14:textFill>
            <w14:solidFill>
              <w14:schemeClr w14:val="tx1"/>
            </w14:solidFill>
          </w14:textFill>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color w:val="000000" w:themeColor="text1"/>
          <w:sz w:val="24"/>
          <w:highlight w:val="none"/>
          <w14:textFill>
            <w14:solidFill>
              <w14:schemeClr w14:val="tx1"/>
            </w14:solidFill>
          </w14:textFill>
        </w:rPr>
      </w:pPr>
      <w:r>
        <w:rPr>
          <w:rFonts w:ascii="宋体" w:hAnsi="宋体" w:eastAsia="宋体" w:cs="Times New Roman"/>
          <w:color w:val="000000" w:themeColor="text1"/>
          <w:sz w:val="24"/>
          <w:highlight w:val="none"/>
          <w14:textFill>
            <w14:solidFill>
              <w14:schemeClr w14:val="tx1"/>
            </w14:solidFill>
          </w14:textFill>
        </w:rPr>
        <w:t>3</w:t>
      </w:r>
      <w:r>
        <w:rPr>
          <w:rFonts w:hint="eastAsia" w:ascii="宋体" w:hAnsi="宋体" w:eastAsia="宋体" w:cs="Times New Roman"/>
          <w:color w:val="000000" w:themeColor="text1"/>
          <w:sz w:val="24"/>
          <w:highlight w:val="none"/>
          <w14:textFill>
            <w14:solidFill>
              <w14:schemeClr w14:val="tx1"/>
            </w14:solidFill>
          </w14:textFill>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color w:val="000000" w:themeColor="text1"/>
          <w:sz w:val="24"/>
          <w:highlight w:val="none"/>
          <w14:textFill>
            <w14:solidFill>
              <w14:schemeClr w14:val="tx1"/>
            </w14:solidFill>
          </w14:textFill>
        </w:rPr>
      </w:pPr>
      <w:r>
        <w:rPr>
          <w:rFonts w:ascii="宋体" w:hAnsi="宋体" w:eastAsia="宋体" w:cs="Times New Roman"/>
          <w:bCs/>
          <w:color w:val="000000" w:themeColor="text1"/>
          <w:sz w:val="24"/>
          <w:highlight w:val="none"/>
          <w14:textFill>
            <w14:solidFill>
              <w14:schemeClr w14:val="tx1"/>
            </w14:solidFill>
          </w14:textFill>
        </w:rPr>
        <w:t>4</w:t>
      </w:r>
      <w:r>
        <w:rPr>
          <w:rFonts w:hint="eastAsia" w:ascii="宋体" w:hAnsi="宋体" w:eastAsia="宋体" w:cs="Times New Roman"/>
          <w:bCs/>
          <w:color w:val="000000" w:themeColor="text1"/>
          <w:sz w:val="24"/>
          <w:highlight w:val="none"/>
          <w14:textFill>
            <w14:solidFill>
              <w14:schemeClr w14:val="tx1"/>
            </w14:solidFill>
          </w14:textFill>
        </w:rPr>
        <w:t>.投标人应根据招投标货物具体要求，提出</w:t>
      </w:r>
      <w:r>
        <w:rPr>
          <w:rFonts w:hint="eastAsia" w:ascii="宋体" w:hAnsi="宋体" w:eastAsia="宋体" w:cs="Times New Roman"/>
          <w:color w:val="000000" w:themeColor="text1"/>
          <w:sz w:val="24"/>
          <w:highlight w:val="none"/>
          <w14:textFill>
            <w14:solidFill>
              <w14:schemeClr w14:val="tx1"/>
            </w14:solidFill>
          </w14:textFill>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color w:val="000000" w:themeColor="text1"/>
          <w:sz w:val="24"/>
          <w:highlight w:val="none"/>
          <w14:textFill>
            <w14:solidFill>
              <w14:schemeClr w14:val="tx1"/>
            </w14:solidFill>
          </w14:textFill>
        </w:rPr>
      </w:pPr>
      <w:r>
        <w:rPr>
          <w:rFonts w:ascii="宋体" w:hAnsi="宋体" w:eastAsia="宋体" w:cs="Times New Roman"/>
          <w:color w:val="000000" w:themeColor="text1"/>
          <w:sz w:val="24"/>
          <w:highlight w:val="none"/>
          <w14:textFill>
            <w14:solidFill>
              <w14:schemeClr w14:val="tx1"/>
            </w14:solidFill>
          </w14:textFill>
        </w:rPr>
        <w:t>6</w:t>
      </w:r>
      <w:r>
        <w:rPr>
          <w:rFonts w:hint="eastAsia" w:ascii="宋体" w:hAnsi="宋体" w:eastAsia="宋体" w:cs="Times New Roman"/>
          <w:color w:val="000000" w:themeColor="text1"/>
          <w:sz w:val="24"/>
          <w:highlight w:val="none"/>
          <w14:textFill>
            <w14:solidFill>
              <w14:schemeClr w14:val="tx1"/>
            </w14:solidFill>
          </w14:textFill>
        </w:rPr>
        <w:t>.为避免投标人优势在招标评审时漏项，质保期超出本技术标书要求的，应当在投标文件“技术偏离”中特别注明。</w:t>
      </w:r>
    </w:p>
    <w:p>
      <w:pPr>
        <w:spacing w:line="360" w:lineRule="auto"/>
        <w:ind w:firstLine="480" w:firstLineChars="200"/>
        <w:rPr>
          <w:color w:val="000000" w:themeColor="text1"/>
          <w:sz w:val="28"/>
          <w:szCs w:val="36"/>
          <w:highlight w:val="none"/>
          <w14:textFill>
            <w14:solidFill>
              <w14:schemeClr w14:val="tx1"/>
            </w14:solidFill>
          </w14:textFill>
        </w:rPr>
      </w:pPr>
      <w:r>
        <w:rPr>
          <w:rFonts w:ascii="宋体" w:hAnsi="宋体" w:eastAsia="宋体" w:cs="Times New Roman"/>
          <w:color w:val="000000" w:themeColor="text1"/>
          <w:sz w:val="24"/>
          <w:highlight w:val="none"/>
          <w14:textFill>
            <w14:solidFill>
              <w14:schemeClr w14:val="tx1"/>
            </w14:solidFill>
          </w14:textFill>
        </w:rPr>
        <w:t>7</w:t>
      </w:r>
      <w:r>
        <w:rPr>
          <w:rFonts w:hint="eastAsia" w:ascii="宋体" w:hAnsi="宋体" w:eastAsia="宋体" w:cs="Times New Roman"/>
          <w:color w:val="000000" w:themeColor="text1"/>
          <w:sz w:val="24"/>
          <w:highlight w:val="none"/>
          <w14:textFill>
            <w14:solidFill>
              <w14:schemeClr w14:val="tx1"/>
            </w14:solidFill>
          </w14:textFill>
        </w:rPr>
        <w:t>.投标文件中，针对“特别提示”条款所做的回应，将作为投标人能否中标的重要依据之一。</w:t>
      </w:r>
    </w:p>
    <w:p>
      <w:pPr>
        <w:pStyle w:val="236"/>
        <w:spacing w:line="360" w:lineRule="auto"/>
        <w:ind w:firstLine="482" w:firstLineChars="200"/>
        <w:outlineLvl w:val="2"/>
        <w:rPr>
          <w:rFonts w:eastAsia="宋体" w:cs="宋体"/>
          <w:b/>
          <w:bCs w:val="0"/>
          <w:color w:val="000000" w:themeColor="text1"/>
          <w:sz w:val="24"/>
          <w:szCs w:val="24"/>
          <w:highlight w:val="none"/>
          <w14:textFill>
            <w14:solidFill>
              <w14:schemeClr w14:val="tx1"/>
            </w14:solidFill>
          </w14:textFill>
        </w:rPr>
      </w:pPr>
      <w:r>
        <w:rPr>
          <w:rFonts w:hint="eastAsia" w:eastAsia="宋体" w:cs="宋体"/>
          <w:b/>
          <w:bCs w:val="0"/>
          <w:color w:val="000000" w:themeColor="text1"/>
          <w:sz w:val="24"/>
          <w:szCs w:val="24"/>
          <w:highlight w:val="none"/>
          <w14:textFill>
            <w14:solidFill>
              <w14:schemeClr w14:val="tx1"/>
            </w14:solidFill>
          </w14:textFill>
        </w:rPr>
        <w:t>二、基本要求</w:t>
      </w:r>
    </w:p>
    <w:p>
      <w:pPr>
        <w:spacing w:line="360" w:lineRule="auto"/>
        <w:ind w:firstLine="480" w:firstLineChars="200"/>
        <w:rPr>
          <w:rFonts w:ascii="宋体" w:hAnsi="Calibri" w:eastAsia="宋体" w:cs="Times New Roman"/>
          <w:color w:val="000000" w:themeColor="text1"/>
          <w:sz w:val="24"/>
          <w:highlight w:val="none"/>
          <w14:textFill>
            <w14:solidFill>
              <w14:schemeClr w14:val="tx1"/>
            </w14:solidFill>
          </w14:textFill>
        </w:rPr>
      </w:pPr>
      <w:r>
        <w:rPr>
          <w:rFonts w:ascii="宋体" w:hAnsi="宋体" w:eastAsia="宋体" w:cs="Times New Roman"/>
          <w:color w:val="000000" w:themeColor="text1"/>
          <w:sz w:val="24"/>
          <w:highlight w:val="none"/>
          <w14:textFill>
            <w14:solidFill>
              <w14:schemeClr w14:val="tx1"/>
            </w14:solidFill>
          </w14:textFill>
        </w:rPr>
        <w:t>1</w:t>
      </w:r>
      <w:r>
        <w:rPr>
          <w:rFonts w:hint="eastAsia" w:ascii="宋体" w:hAnsi="宋体" w:eastAsia="宋体" w:cs="Times New Roman"/>
          <w:color w:val="000000" w:themeColor="text1"/>
          <w:sz w:val="24"/>
          <w:highlight w:val="none"/>
          <w14:textFill>
            <w14:solidFill>
              <w14:schemeClr w14:val="tx1"/>
            </w14:solidFill>
          </w14:textFill>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color w:val="000000" w:themeColor="text1"/>
          <w:sz w:val="24"/>
          <w:highlight w:val="none"/>
          <w14:textFill>
            <w14:solidFill>
              <w14:schemeClr w14:val="tx1"/>
            </w14:solidFill>
          </w14:textFill>
        </w:rPr>
      </w:pPr>
      <w:r>
        <w:rPr>
          <w:rFonts w:ascii="宋体" w:hAnsi="宋体" w:eastAsia="宋体" w:cs="Times New Roman"/>
          <w:color w:val="000000" w:themeColor="text1"/>
          <w:sz w:val="24"/>
          <w:highlight w:val="none"/>
          <w14:textFill>
            <w14:solidFill>
              <w14:schemeClr w14:val="tx1"/>
            </w14:solidFill>
          </w14:textFill>
        </w:rPr>
        <w:t>2</w:t>
      </w:r>
      <w:r>
        <w:rPr>
          <w:rFonts w:hint="eastAsia" w:ascii="宋体" w:hAnsi="宋体" w:eastAsia="宋体" w:cs="Times New Roman"/>
          <w:color w:val="000000" w:themeColor="text1"/>
          <w:sz w:val="24"/>
          <w:highlight w:val="none"/>
          <w14:textFill>
            <w14:solidFill>
              <w14:schemeClr w14:val="tx1"/>
            </w14:solidFill>
          </w14:textFill>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color w:val="000000" w:themeColor="text1"/>
          <w:sz w:val="24"/>
          <w:highlight w:val="none"/>
          <w14:textFill>
            <w14:solidFill>
              <w14:schemeClr w14:val="tx1"/>
            </w14:solidFill>
          </w14:textFill>
        </w:rPr>
      </w:pPr>
      <w:r>
        <w:rPr>
          <w:rFonts w:ascii="宋体" w:hAnsi="宋体" w:eastAsia="宋体" w:cs="Times New Roman"/>
          <w:color w:val="000000" w:themeColor="text1"/>
          <w:sz w:val="24"/>
          <w:highlight w:val="none"/>
          <w14:textFill>
            <w14:solidFill>
              <w14:schemeClr w14:val="tx1"/>
            </w14:solidFill>
          </w14:textFill>
        </w:rPr>
        <w:t>3</w:t>
      </w:r>
      <w:r>
        <w:rPr>
          <w:rFonts w:hint="eastAsia" w:ascii="宋体" w:hAnsi="宋体" w:eastAsia="宋体" w:cs="Times New Roman"/>
          <w:color w:val="000000" w:themeColor="text1"/>
          <w:sz w:val="24"/>
          <w:highlight w:val="none"/>
          <w14:textFill>
            <w14:solidFill>
              <w14:schemeClr w14:val="tx1"/>
            </w14:solidFill>
          </w14:textFill>
        </w:rPr>
        <w:t>.投标人应保证所供货物的先进性、可靠性、经济性和实用性，并为全新货物（或设备）。</w:t>
      </w:r>
    </w:p>
    <w:p>
      <w:pPr>
        <w:spacing w:line="360" w:lineRule="auto"/>
        <w:ind w:firstLine="480" w:firstLineChars="200"/>
        <w:rPr>
          <w:rFonts w:ascii="宋体" w:hAnsi="Calibri" w:eastAsia="宋体" w:cs="Times New Roman"/>
          <w:color w:val="000000" w:themeColor="text1"/>
          <w:sz w:val="24"/>
          <w:highlight w:val="none"/>
          <w14:textFill>
            <w14:solidFill>
              <w14:schemeClr w14:val="tx1"/>
            </w14:solidFill>
          </w14:textFill>
        </w:rPr>
      </w:pPr>
      <w:r>
        <w:rPr>
          <w:rFonts w:ascii="宋体" w:hAnsi="宋体" w:eastAsia="宋体" w:cs="Times New Roman"/>
          <w:color w:val="000000" w:themeColor="text1"/>
          <w:sz w:val="24"/>
          <w:highlight w:val="none"/>
          <w14:textFill>
            <w14:solidFill>
              <w14:schemeClr w14:val="tx1"/>
            </w14:solidFill>
          </w14:textFill>
        </w:rPr>
        <w:t>4</w:t>
      </w:r>
      <w:r>
        <w:rPr>
          <w:rFonts w:hint="eastAsia" w:ascii="宋体" w:hAnsi="宋体" w:eastAsia="宋体" w:cs="Times New Roman"/>
          <w:color w:val="000000" w:themeColor="text1"/>
          <w:sz w:val="24"/>
          <w:highlight w:val="none"/>
          <w14:textFill>
            <w14:solidFill>
              <w14:schemeClr w14:val="tx1"/>
            </w14:solidFill>
          </w14:textFill>
        </w:rPr>
        <w:t>.投标人应满足招标人提出的各项技术要求，必要时应当免费提供技术承诺或担保。</w:t>
      </w:r>
    </w:p>
    <w:p>
      <w:pPr>
        <w:spacing w:line="360" w:lineRule="auto"/>
        <w:ind w:firstLine="480" w:firstLineChars="200"/>
        <w:rPr>
          <w:rFonts w:ascii="宋体" w:hAnsi="Calibri" w:eastAsia="宋体" w:cs="Times New Roman"/>
          <w:color w:val="000000" w:themeColor="text1"/>
          <w:sz w:val="24"/>
          <w:highlight w:val="none"/>
          <w14:textFill>
            <w14:solidFill>
              <w14:schemeClr w14:val="tx1"/>
            </w14:solidFill>
          </w14:textFill>
        </w:rPr>
      </w:pPr>
      <w:r>
        <w:rPr>
          <w:rFonts w:ascii="宋体" w:hAnsi="宋体" w:eastAsia="宋体" w:cs="Times New Roman"/>
          <w:color w:val="000000" w:themeColor="text1"/>
          <w:sz w:val="24"/>
          <w:highlight w:val="none"/>
          <w14:textFill>
            <w14:solidFill>
              <w14:schemeClr w14:val="tx1"/>
            </w14:solidFill>
          </w14:textFill>
        </w:rPr>
        <w:t>5</w:t>
      </w:r>
      <w:r>
        <w:rPr>
          <w:rFonts w:hint="eastAsia" w:ascii="宋体" w:hAnsi="宋体" w:eastAsia="宋体" w:cs="Times New Roman"/>
          <w:color w:val="000000" w:themeColor="text1"/>
          <w:sz w:val="24"/>
          <w:highlight w:val="none"/>
          <w14:textFill>
            <w14:solidFill>
              <w14:schemeClr w14:val="tx1"/>
            </w14:solidFill>
          </w14:textFill>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color w:val="000000" w:themeColor="text1"/>
          <w:sz w:val="24"/>
          <w:highlight w:val="none"/>
          <w14:textFill>
            <w14:solidFill>
              <w14:schemeClr w14:val="tx1"/>
            </w14:solidFill>
          </w14:textFill>
        </w:rPr>
      </w:pPr>
      <w:r>
        <w:rPr>
          <w:rFonts w:ascii="宋体" w:hAnsi="宋体" w:eastAsia="宋体" w:cs="Times New Roman"/>
          <w:color w:val="000000" w:themeColor="text1"/>
          <w:sz w:val="24"/>
          <w:highlight w:val="none"/>
          <w14:textFill>
            <w14:solidFill>
              <w14:schemeClr w14:val="tx1"/>
            </w14:solidFill>
          </w14:textFill>
        </w:rPr>
        <w:t>6</w:t>
      </w:r>
      <w:r>
        <w:rPr>
          <w:rFonts w:hint="eastAsia" w:ascii="宋体" w:hAnsi="宋体" w:eastAsia="宋体" w:cs="Times New Roman"/>
          <w:color w:val="000000" w:themeColor="text1"/>
          <w:sz w:val="24"/>
          <w:highlight w:val="none"/>
          <w14:textFill>
            <w14:solidFill>
              <w14:schemeClr w14:val="tx1"/>
            </w14:solidFill>
          </w14:textFill>
        </w:rPr>
        <w:t>.投标人应保证所供货物的完整性和成套性，能保证货物的正常运行、使用。</w:t>
      </w:r>
    </w:p>
    <w:p>
      <w:pPr>
        <w:spacing w:line="360" w:lineRule="auto"/>
        <w:ind w:firstLine="480" w:firstLineChars="200"/>
        <w:outlineLvl w:val="3"/>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7.程序图纸要求</w:t>
      </w:r>
    </w:p>
    <w:p>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7.1 投标方必须提供所有设备程序的源代码，包括但不限于 PLC程序、HMI 程序、组态程序、机器人程序、视觉程序、伺服等。</w:t>
      </w:r>
    </w:p>
    <w:p>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7.2 投标方所提供的程序不得设置任何密码、保护等限制手段，PLC 不得设置修改下载权限，功能块不得设置密码保护。</w:t>
      </w:r>
    </w:p>
    <w:p>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7.3 HMI界面等需要密码保护的程序，投标方必须提供所有级别的用户名、密码。</w:t>
      </w:r>
    </w:p>
    <w:p>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7.4 投标方需在设备入场前提供设备程序源码，HMI 界面各级用户名和密码，并保证与现场程序一致。</w:t>
      </w:r>
    </w:p>
    <w:p>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7.5 投标方需在终验收前提供最新的设备程序源码和电气图纸，图纸要求为可编辑原格式（EPLAN、CAD 格式）且与实际接线一致。</w:t>
      </w:r>
    </w:p>
    <w:p>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7.6投标方提供所有备件详细明细（excel），包括备件名称、规格型号、品牌、数量等，非标件需提供详细订货号。</w:t>
      </w:r>
    </w:p>
    <w:p>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7.7仪器、仪表、控制器、特殊用途传感器等，如伺服驱动器、变频器、称重传感器等，需提供设备使用说明书。</w:t>
      </w:r>
    </w:p>
    <w:p>
      <w:pPr>
        <w:spacing w:line="360" w:lineRule="auto"/>
        <w:ind w:firstLine="480" w:firstLineChars="200"/>
        <w:outlineLvl w:val="4"/>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7.8提供所有信号对接表（excel）。</w:t>
      </w:r>
    </w:p>
    <w:p>
      <w:pPr>
        <w:spacing w:line="360" w:lineRule="auto"/>
        <w:ind w:firstLine="480" w:firstLineChars="200"/>
        <w:outlineLvl w:val="3"/>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8.接口协议要求</w:t>
      </w:r>
    </w:p>
    <w:p>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8.1 投标方免费开放所有通讯接口，包括但不限于以太网、RS232、RS485、PROFIBUS、PROFINET、MODBUS 等常见接口，以及设备特有的专用接口。</w:t>
      </w:r>
    </w:p>
    <w:p>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8.2 投标方免费提供数据交互功能，交互数据包括但不限于实时数据、历史数据、报警信息等。</w:t>
      </w:r>
    </w:p>
    <w:p>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8.3 投标方在设备入场前提供接口的技术文档和参数说明，包括但不限于接口协议、通讯速率、数据格式等。</w:t>
      </w:r>
    </w:p>
    <w:p>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8.4 设备使用周期内，投标方免费派遣技术人员与招标方调试团队共同进行设备通讯接口的调试工作。</w:t>
      </w:r>
    </w:p>
    <w:p>
      <w:pPr>
        <w:spacing w:line="360" w:lineRule="auto"/>
        <w:ind w:firstLine="480" w:firstLineChars="200"/>
        <w:outlineLvl w:val="3"/>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9.电机能效</w:t>
      </w:r>
    </w:p>
    <w:p>
      <w:pPr>
        <w:spacing w:line="360" w:lineRule="auto"/>
        <w:ind w:firstLine="480" w:firstLineChars="200"/>
        <w:rPr>
          <w:rFonts w:ascii="宋体" w:hAnsi="宋体" w:eastAsia="宋体" w:cs="Times New Roman"/>
          <w:color w:val="000000" w:themeColor="text1"/>
          <w:sz w:val="24"/>
          <w:highlight w:val="none"/>
          <w14:textFill>
            <w14:solidFill>
              <w14:schemeClr w14:val="tx1"/>
            </w14:solidFill>
          </w14:textFill>
        </w:rPr>
      </w:pPr>
      <w:r>
        <w:rPr>
          <w:rFonts w:hint="eastAsia" w:ascii="宋体" w:hAnsi="宋体" w:eastAsia="宋体" w:cs="宋体"/>
          <w:b w:val="0"/>
          <w:bCs w:val="0"/>
          <w:color w:val="000000" w:themeColor="text1"/>
          <w:kern w:val="2"/>
          <w:sz w:val="24"/>
          <w:szCs w:val="22"/>
          <w:highlight w:val="none"/>
          <w:lang w:val="en-US" w:eastAsia="zh-CN" w:bidi="ar-SA"/>
          <w14:textFill>
            <w14:solidFill>
              <w14:schemeClr w14:val="tx1"/>
            </w14:solidFill>
          </w14:textFill>
        </w:rPr>
        <w:t>关于</w:t>
      </w:r>
      <w:r>
        <w:rPr>
          <w:rFonts w:hint="eastAsia" w:ascii="宋体" w:hAnsi="宋体" w:cs="宋体"/>
          <w:b w:val="0"/>
          <w:bCs w:val="0"/>
          <w:color w:val="000000" w:themeColor="text1"/>
          <w:kern w:val="2"/>
          <w:sz w:val="24"/>
          <w:szCs w:val="22"/>
          <w:highlight w:val="none"/>
          <w:lang w:val="en-US" w:eastAsia="zh-CN" w:bidi="ar-SA"/>
          <w14:textFill>
            <w14:solidFill>
              <w14:schemeClr w14:val="tx1"/>
            </w14:solidFill>
          </w14:textFill>
        </w:rPr>
        <w:t>投标方</w:t>
      </w:r>
      <w:r>
        <w:rPr>
          <w:rFonts w:hint="eastAsia" w:ascii="宋体" w:hAnsi="宋体" w:eastAsia="宋体" w:cs="宋体"/>
          <w:b w:val="0"/>
          <w:bCs w:val="0"/>
          <w:color w:val="000000" w:themeColor="text1"/>
          <w:kern w:val="2"/>
          <w:sz w:val="24"/>
          <w:szCs w:val="22"/>
          <w:highlight w:val="none"/>
          <w:lang w:val="en-US" w:eastAsia="zh-CN" w:bidi="ar-SA"/>
          <w14:textFill>
            <w14:solidFill>
              <w14:schemeClr w14:val="tx1"/>
            </w14:solidFill>
          </w14:textFill>
        </w:rPr>
        <w:t>货物中所供电机：电机功率≥7.5kW，必须选用一级能效。电机功率＜7.5kW，优先选用一级能效；其中对于能源供应类设备及年运行时间≥2000h工艺设备的电机必须选用一级能效。杜绝选用三级及以下能效。空调必须选用一级能效，变压器最低选用二级能效。</w:t>
      </w:r>
    </w:p>
    <w:p>
      <w:pPr>
        <w:ind w:firstLine="482" w:firstLineChars="200"/>
        <w:outlineLvl w:val="2"/>
        <w:rPr>
          <w:rFonts w:eastAsia="宋体" w:cs="宋体"/>
          <w:b/>
          <w:color w:val="000000" w:themeColor="text1"/>
          <w:sz w:val="24"/>
          <w:highlight w:val="none"/>
          <w14:textFill>
            <w14:solidFill>
              <w14:schemeClr w14:val="tx1"/>
            </w14:solidFill>
          </w14:textFill>
        </w:rPr>
      </w:pPr>
      <w:r>
        <w:rPr>
          <w:rFonts w:hint="eastAsia" w:eastAsia="宋体" w:cs="宋体"/>
          <w:b/>
          <w:color w:val="000000" w:themeColor="text1"/>
          <w:sz w:val="24"/>
          <w:highlight w:val="none"/>
          <w14:textFill>
            <w14:solidFill>
              <w14:schemeClr w14:val="tx1"/>
            </w14:solidFill>
          </w14:textFill>
        </w:rPr>
        <w:t>三、技术要求</w:t>
      </w:r>
    </w:p>
    <w:p>
      <w:pPr>
        <w:spacing w:line="360" w:lineRule="auto"/>
        <w:ind w:firstLine="482" w:firstLineChars="200"/>
        <w:outlineLvl w:val="3"/>
        <w:rPr>
          <w:rFonts w:ascii="宋体" w:hAnsi="宋体"/>
          <w:b/>
          <w:bCs/>
          <w:color w:val="000000" w:themeColor="text1"/>
          <w:kern w:val="0"/>
          <w:szCs w:val="21"/>
          <w:highlight w:val="none"/>
          <w14:textFill>
            <w14:solidFill>
              <w14:schemeClr w14:val="tx1"/>
            </w14:solidFill>
          </w14:textFill>
        </w:rPr>
      </w:pPr>
      <w:r>
        <w:rPr>
          <w:rFonts w:hint="eastAsia" w:ascii="宋体" w:hAnsi="宋体" w:eastAsia="宋体" w:cs="Times New Roman"/>
          <w:b/>
          <w:bCs/>
          <w:color w:val="000000" w:themeColor="text1"/>
          <w:sz w:val="24"/>
          <w:highlight w:val="none"/>
          <w14:textFill>
            <w14:solidFill>
              <w14:schemeClr w14:val="tx1"/>
            </w14:solidFill>
          </w14:textFill>
        </w:rPr>
        <w:t>1.总体要求</w:t>
      </w:r>
    </w:p>
    <w:p>
      <w:pPr>
        <w:spacing w:line="360" w:lineRule="auto"/>
        <w:ind w:right="238"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1</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设备设计合理，制造精良，性能稳定可靠，且使用维修方便，造型美观。设备的结构应保证有足够的静态、动态、刚度和精度。</w:t>
      </w:r>
      <w:r>
        <w:rPr>
          <w:rFonts w:hint="eastAsia" w:hAnsi="Arial"/>
          <w:color w:val="000000" w:themeColor="text1"/>
          <w:sz w:val="24"/>
          <w:highlight w:val="none"/>
          <w:lang w:bidi="ar"/>
          <w14:textFill>
            <w14:solidFill>
              <w14:schemeClr w14:val="tx1"/>
            </w14:solidFill>
          </w14:textFill>
        </w:rPr>
        <w:t>框架焊接方式及焊接质量依据</w:t>
      </w:r>
      <w:r>
        <w:rPr>
          <w:rFonts w:hint="eastAsia" w:ascii="宋体" w:hAnsi="宋体" w:eastAsia="宋体" w:cs="宋体"/>
          <w:color w:val="000000" w:themeColor="text1"/>
          <w:sz w:val="24"/>
          <w:highlight w:val="none"/>
          <w14:textFill>
            <w14:solidFill>
              <w14:schemeClr w14:val="tx1"/>
            </w14:solidFill>
          </w14:textFill>
        </w:rPr>
        <w:t>国标进行及检验，焊接外观平整、焊缝整齐、无明显凸凹现象、无焊渣和流疤现象。</w:t>
      </w:r>
    </w:p>
    <w:p>
      <w:pPr>
        <w:spacing w:line="360" w:lineRule="auto"/>
        <w:ind w:right="238" w:firstLine="480" w:firstLineChars="200"/>
        <w:rPr>
          <w:rFonts w:hint="eastAsia" w:ascii="Times New Roman" w:hAnsi="Times New Roman"/>
          <w:color w:val="000000" w:themeColor="text1"/>
          <w:sz w:val="24"/>
          <w:szCs w:val="28"/>
          <w:highlight w:val="none"/>
          <w:lang w:eastAsia="zh-CN"/>
          <w14:textFill>
            <w14:solidFill>
              <w14:schemeClr w14:val="tx1"/>
            </w14:solidFill>
          </w14:textFill>
        </w:rPr>
      </w:pP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2</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Times New Roman" w:hAnsi="Times New Roman"/>
          <w:color w:val="000000" w:themeColor="text1"/>
          <w:sz w:val="24"/>
          <w:szCs w:val="28"/>
          <w:highlight w:val="none"/>
          <w14:textFill>
            <w14:solidFill>
              <w14:schemeClr w14:val="tx1"/>
            </w14:solidFill>
          </w14:textFill>
        </w:rPr>
        <w:t>换模台车主要包括</w:t>
      </w:r>
      <w:r>
        <w:rPr>
          <w:rFonts w:hint="eastAsia" w:ascii="Times New Roman" w:hAnsi="Times New Roman"/>
          <w:color w:val="000000" w:themeColor="text1"/>
          <w:sz w:val="24"/>
          <w:szCs w:val="28"/>
          <w:highlight w:val="none"/>
          <w:lang w:eastAsia="zh-CN"/>
          <w14:textFill>
            <w14:solidFill>
              <w14:schemeClr w14:val="tx1"/>
            </w14:solidFill>
          </w14:textFill>
        </w:rPr>
        <w:t>：</w:t>
      </w:r>
      <w:r>
        <w:rPr>
          <w:rFonts w:hint="eastAsia" w:ascii="Times New Roman" w:hAnsi="Times New Roman"/>
          <w:color w:val="000000" w:themeColor="text1"/>
          <w:sz w:val="24"/>
          <w:szCs w:val="28"/>
          <w:highlight w:val="none"/>
          <w:lang w:val="en-US" w:eastAsia="zh-CN"/>
          <w14:textFill>
            <w14:solidFill>
              <w14:schemeClr w14:val="tx1"/>
            </w14:solidFill>
          </w14:textFill>
        </w:rPr>
        <w:t>轨道单元、车体单元、行走单元、</w:t>
      </w:r>
      <w:r>
        <w:rPr>
          <w:rFonts w:hint="eastAsia" w:ascii="Times New Roman" w:hAnsi="Times New Roman"/>
          <w:color w:val="000000" w:themeColor="text1"/>
          <w:sz w:val="24"/>
          <w:szCs w:val="28"/>
          <w:highlight w:val="none"/>
          <w14:textFill>
            <w14:solidFill>
              <w14:schemeClr w14:val="tx1"/>
            </w14:solidFill>
          </w14:textFill>
        </w:rPr>
        <w:t>滚轮总成</w:t>
      </w:r>
      <w:r>
        <w:rPr>
          <w:rFonts w:hint="eastAsia" w:ascii="Times New Roman" w:hAnsi="Times New Roman"/>
          <w:color w:val="000000" w:themeColor="text1"/>
          <w:sz w:val="24"/>
          <w:szCs w:val="28"/>
          <w:highlight w:val="none"/>
          <w:lang w:eastAsia="zh-CN"/>
          <w14:textFill>
            <w14:solidFill>
              <w14:schemeClr w14:val="tx1"/>
            </w14:solidFill>
          </w14:textFill>
        </w:rPr>
        <w:t>、</w:t>
      </w:r>
      <w:r>
        <w:rPr>
          <w:rFonts w:hint="eastAsia" w:ascii="Times New Roman" w:hAnsi="Times New Roman"/>
          <w:color w:val="000000" w:themeColor="text1"/>
          <w:sz w:val="24"/>
          <w:szCs w:val="28"/>
          <w:highlight w:val="none"/>
          <w14:textFill>
            <w14:solidFill>
              <w14:schemeClr w14:val="tx1"/>
            </w14:solidFill>
          </w14:textFill>
        </w:rPr>
        <w:t>推拉系统</w:t>
      </w:r>
      <w:r>
        <w:rPr>
          <w:rFonts w:hint="eastAsia" w:ascii="Times New Roman" w:hAnsi="Times New Roman"/>
          <w:color w:val="000000" w:themeColor="text1"/>
          <w:sz w:val="24"/>
          <w:szCs w:val="28"/>
          <w:highlight w:val="none"/>
          <w:lang w:eastAsia="zh-CN"/>
          <w14:textFill>
            <w14:solidFill>
              <w14:schemeClr w14:val="tx1"/>
            </w14:solidFill>
          </w14:textFill>
        </w:rPr>
        <w:t>、</w:t>
      </w:r>
      <w:r>
        <w:rPr>
          <w:rFonts w:hint="eastAsia" w:ascii="Times New Roman" w:hAnsi="Times New Roman"/>
          <w:color w:val="000000" w:themeColor="text1"/>
          <w:sz w:val="24"/>
          <w:szCs w:val="28"/>
          <w:highlight w:val="none"/>
          <w14:textFill>
            <w14:solidFill>
              <w14:schemeClr w14:val="tx1"/>
            </w14:solidFill>
          </w14:textFill>
        </w:rPr>
        <w:t>控制系统等</w:t>
      </w:r>
      <w:r>
        <w:rPr>
          <w:rFonts w:hint="eastAsia" w:ascii="Times New Roman" w:hAnsi="Times New Roman"/>
          <w:color w:val="000000" w:themeColor="text1"/>
          <w:sz w:val="24"/>
          <w:szCs w:val="28"/>
          <w:highlight w:val="none"/>
          <w:lang w:eastAsia="zh-CN"/>
          <w14:textFill>
            <w14:solidFill>
              <w14:schemeClr w14:val="tx1"/>
            </w14:solidFill>
          </w14:textFill>
        </w:rPr>
        <w:t>。</w:t>
      </w:r>
    </w:p>
    <w:p>
      <w:pPr>
        <w:spacing w:line="360" w:lineRule="auto"/>
        <w:ind w:right="238" w:firstLine="480" w:firstLineChars="200"/>
        <w:rPr>
          <w:rFonts w:hint="eastAsia" w:ascii="Times New Roman" w:hAnsi="Times New Roman"/>
          <w:color w:val="000000" w:themeColor="text1"/>
          <w:sz w:val="24"/>
          <w:szCs w:val="28"/>
          <w:highlight w:val="none"/>
          <w14:textFill>
            <w14:solidFill>
              <w14:schemeClr w14:val="tx1"/>
            </w14:solidFill>
          </w14:textFill>
        </w:rPr>
      </w:pPr>
      <w:r>
        <w:rPr>
          <w:rFonts w:hint="eastAsia" w:ascii="Times New Roman" w:hAnsi="Times New Roman"/>
          <w:color w:val="000000" w:themeColor="text1"/>
          <w:sz w:val="24"/>
          <w:szCs w:val="28"/>
          <w:highlight w:val="none"/>
          <w:lang w:eastAsia="zh-CN"/>
          <w14:textFill>
            <w14:solidFill>
              <w14:schemeClr w14:val="tx1"/>
            </w14:solidFill>
          </w14:textFill>
        </w:rPr>
        <w:t>（</w:t>
      </w:r>
      <w:r>
        <w:rPr>
          <w:rFonts w:hint="eastAsia" w:ascii="Times New Roman" w:hAnsi="Times New Roman"/>
          <w:color w:val="000000" w:themeColor="text1"/>
          <w:sz w:val="24"/>
          <w:szCs w:val="28"/>
          <w:highlight w:val="none"/>
          <w:lang w:val="en-US" w:eastAsia="zh-CN"/>
          <w14:textFill>
            <w14:solidFill>
              <w14:schemeClr w14:val="tx1"/>
            </w14:solidFill>
          </w14:textFill>
        </w:rPr>
        <w:t>3</w:t>
      </w:r>
      <w:r>
        <w:rPr>
          <w:rFonts w:hint="eastAsia" w:ascii="Times New Roman" w:hAnsi="Times New Roman"/>
          <w:color w:val="000000" w:themeColor="text1"/>
          <w:sz w:val="24"/>
          <w:szCs w:val="28"/>
          <w:highlight w:val="none"/>
          <w:lang w:eastAsia="zh-CN"/>
          <w14:textFill>
            <w14:solidFill>
              <w14:schemeClr w14:val="tx1"/>
            </w14:solidFill>
          </w14:textFill>
        </w:rPr>
        <w:t>）</w:t>
      </w:r>
      <w:r>
        <w:rPr>
          <w:rFonts w:hint="eastAsia" w:ascii="Times New Roman" w:hAnsi="Times New Roman"/>
          <w:color w:val="000000" w:themeColor="text1"/>
          <w:sz w:val="24"/>
          <w:szCs w:val="28"/>
          <w:highlight w:val="none"/>
          <w14:textFill>
            <w14:solidFill>
              <w14:schemeClr w14:val="tx1"/>
            </w14:solidFill>
          </w14:textFill>
        </w:rPr>
        <w:t>压机装模过程，压机运动到上死点，换模台车将放置在换模台车上的</w:t>
      </w:r>
      <w:r>
        <w:rPr>
          <w:rFonts w:hint="eastAsia" w:ascii="Times New Roman" w:hAnsi="Times New Roman"/>
          <w:color w:val="000000" w:themeColor="text1"/>
          <w:sz w:val="24"/>
          <w:szCs w:val="28"/>
          <w:highlight w:val="none"/>
          <w:lang w:eastAsia="zh-CN"/>
          <w14:textFill>
            <w14:solidFill>
              <w14:schemeClr w14:val="tx1"/>
            </w14:solidFill>
          </w14:textFill>
        </w:rPr>
        <w:t>模箱</w:t>
      </w:r>
      <w:r>
        <w:rPr>
          <w:rFonts w:hint="eastAsia" w:ascii="Times New Roman" w:hAnsi="Times New Roman"/>
          <w:color w:val="000000" w:themeColor="text1"/>
          <w:sz w:val="24"/>
          <w:szCs w:val="28"/>
          <w:highlight w:val="none"/>
          <w14:textFill>
            <w14:solidFill>
              <w14:schemeClr w14:val="tx1"/>
            </w14:solidFill>
          </w14:textFill>
        </w:rPr>
        <w:t>总装配体推进压机工作台上合适的位置，换模台车回位，锁紧</w:t>
      </w:r>
      <w:r>
        <w:rPr>
          <w:rFonts w:hint="eastAsia" w:ascii="Times New Roman" w:hAnsi="Times New Roman"/>
          <w:color w:val="000000" w:themeColor="text1"/>
          <w:sz w:val="24"/>
          <w:szCs w:val="28"/>
          <w:highlight w:val="none"/>
          <w:lang w:eastAsia="zh-CN"/>
          <w14:textFill>
            <w14:solidFill>
              <w14:schemeClr w14:val="tx1"/>
            </w14:solidFill>
          </w14:textFill>
        </w:rPr>
        <w:t>模箱</w:t>
      </w:r>
      <w:r>
        <w:rPr>
          <w:rFonts w:hint="eastAsia" w:ascii="Times New Roman" w:hAnsi="Times New Roman"/>
          <w:color w:val="000000" w:themeColor="text1"/>
          <w:sz w:val="24"/>
          <w:szCs w:val="28"/>
          <w:highlight w:val="none"/>
          <w14:textFill>
            <w14:solidFill>
              <w14:schemeClr w14:val="tx1"/>
            </w14:solidFill>
          </w14:textFill>
        </w:rPr>
        <w:t>。压机卸模过程，松开</w:t>
      </w:r>
      <w:r>
        <w:rPr>
          <w:rFonts w:hint="eastAsia" w:ascii="Times New Roman" w:hAnsi="Times New Roman"/>
          <w:color w:val="000000" w:themeColor="text1"/>
          <w:sz w:val="24"/>
          <w:szCs w:val="28"/>
          <w:highlight w:val="none"/>
          <w:lang w:eastAsia="zh-CN"/>
          <w14:textFill>
            <w14:solidFill>
              <w14:schemeClr w14:val="tx1"/>
            </w14:solidFill>
          </w14:textFill>
        </w:rPr>
        <w:t>模箱</w:t>
      </w:r>
      <w:r>
        <w:rPr>
          <w:rFonts w:hint="eastAsia" w:ascii="Times New Roman" w:hAnsi="Times New Roman"/>
          <w:color w:val="000000" w:themeColor="text1"/>
          <w:sz w:val="24"/>
          <w:szCs w:val="28"/>
          <w:highlight w:val="none"/>
          <w14:textFill>
            <w14:solidFill>
              <w14:schemeClr w14:val="tx1"/>
            </w14:solidFill>
          </w14:textFill>
        </w:rPr>
        <w:t>，压机运动到上死点，换模台车将压机中的</w:t>
      </w:r>
      <w:r>
        <w:rPr>
          <w:rFonts w:hint="eastAsia" w:ascii="Times New Roman" w:hAnsi="Times New Roman"/>
          <w:color w:val="000000" w:themeColor="text1"/>
          <w:sz w:val="24"/>
          <w:szCs w:val="28"/>
          <w:highlight w:val="none"/>
          <w:lang w:eastAsia="zh-CN"/>
          <w14:textFill>
            <w14:solidFill>
              <w14:schemeClr w14:val="tx1"/>
            </w14:solidFill>
          </w14:textFill>
        </w:rPr>
        <w:t>模箱</w:t>
      </w:r>
      <w:r>
        <w:rPr>
          <w:rFonts w:hint="eastAsia" w:ascii="Times New Roman" w:hAnsi="Times New Roman"/>
          <w:color w:val="000000" w:themeColor="text1"/>
          <w:sz w:val="24"/>
          <w:szCs w:val="28"/>
          <w:highlight w:val="none"/>
          <w14:textFill>
            <w14:solidFill>
              <w14:schemeClr w14:val="tx1"/>
            </w14:solidFill>
          </w14:textFill>
        </w:rPr>
        <w:t>总装配体拉出压机工作台封闭区域，并拉到换模台车上，换模台车回位。</w:t>
      </w:r>
    </w:p>
    <w:p>
      <w:pPr>
        <w:spacing w:line="360" w:lineRule="auto"/>
        <w:rPr>
          <w:rFonts w:ascii="宋体" w:hAnsi="宋体" w:eastAsia="宋体" w:cs="宋体"/>
          <w:color w:val="000000" w:themeColor="text1"/>
          <w:sz w:val="24"/>
          <w:highlight w:val="none"/>
          <w14:textFill>
            <w14:solidFill>
              <w14:schemeClr w14:val="tx1"/>
            </w14:solidFill>
          </w14:textFill>
        </w:rPr>
      </w:pPr>
      <w:r>
        <w:rPr>
          <w:rFonts w:ascii="宋体" w:hAnsi="宋体" w:eastAsia="宋体" w:cs="宋体"/>
          <w:color w:val="000000" w:themeColor="text1"/>
          <w:sz w:val="24"/>
          <w:highlight w:val="none"/>
          <w14:textFill>
            <w14:solidFill>
              <w14:schemeClr w14:val="tx1"/>
            </w14:solidFill>
          </w14:textFill>
        </w:rPr>
        <w:tab/>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4</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不同台车可实现以下模箱（安装模具</w:t>
      </w:r>
      <w:r>
        <w:rPr>
          <w:rFonts w:hint="eastAsia" w:ascii="宋体" w:hAnsi="宋体" w:eastAsia="宋体" w:cs="宋体"/>
          <w:color w:val="000000" w:themeColor="text1"/>
          <w:sz w:val="24"/>
          <w:highlight w:val="none"/>
          <w:lang w:val="en-US" w:eastAsia="zh-CN"/>
          <w14:textFill>
            <w14:solidFill>
              <w14:schemeClr w14:val="tx1"/>
            </w14:solidFill>
          </w14:textFill>
        </w:rPr>
        <w:t>后的总装配体</w:t>
      </w:r>
      <w:r>
        <w:rPr>
          <w:rFonts w:hint="eastAsia" w:ascii="宋体" w:hAnsi="宋体" w:eastAsia="宋体" w:cs="宋体"/>
          <w:color w:val="000000" w:themeColor="text1"/>
          <w:sz w:val="24"/>
          <w:highlight w:val="none"/>
          <w14:textFill>
            <w14:solidFill>
              <w14:schemeClr w14:val="tx1"/>
            </w14:solidFill>
          </w14:textFill>
        </w:rPr>
        <w:t>）的转运。投标方需到现场考察落实以下所需模箱的尺寸规格。</w:t>
      </w:r>
    </w:p>
    <w:tbl>
      <w:tblPr>
        <w:tblStyle w:val="48"/>
        <w:tblW w:w="7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80"/>
        <w:gridCol w:w="2150"/>
        <w:gridCol w:w="2132"/>
        <w:gridCol w:w="1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jc w:val="center"/>
        </w:trPr>
        <w:tc>
          <w:tcPr>
            <w:tcW w:w="1080" w:type="dxa"/>
            <w:shd w:val="clear" w:color="auto" w:fill="auto"/>
            <w:tcMar>
              <w:top w:w="72" w:type="dxa"/>
              <w:left w:w="144" w:type="dxa"/>
              <w:bottom w:w="72" w:type="dxa"/>
              <w:right w:w="144" w:type="dxa"/>
            </w:tcMar>
          </w:tcPr>
          <w:p>
            <w:pPr>
              <w:pStyle w:val="43"/>
              <w:keepNext w:val="0"/>
              <w:keepLines w:val="0"/>
              <w:pageBreakBefore w:val="0"/>
              <w:widowControl/>
              <w:kinsoku/>
              <w:wordWrap/>
              <w:overflowPunct/>
              <w:topLinePunct w:val="0"/>
              <w:autoSpaceDE/>
              <w:autoSpaceDN/>
              <w:bidi w:val="0"/>
              <w:adjustRightInd w:val="0"/>
              <w:snapToGrid w:val="0"/>
              <w:spacing w:beforeAutospacing="0" w:afterAutospacing="0"/>
              <w:jc w:val="center"/>
              <w:textAlignment w:val="auto"/>
              <w:rPr>
                <w:rFonts w:ascii="宋体" w:hAnsi="宋体" w:cs="宋体"/>
                <w:color w:val="000000" w:themeColor="text1"/>
                <w:szCs w:val="24"/>
                <w:highlight w:val="none"/>
                <w14:textFill>
                  <w14:solidFill>
                    <w14:schemeClr w14:val="tx1"/>
                  </w14:solidFill>
                </w14:textFill>
              </w:rPr>
            </w:pPr>
            <w:r>
              <w:rPr>
                <w:rFonts w:hint="eastAsia" w:ascii="宋体" w:hAnsi="宋体" w:cs="宋体"/>
                <w:b/>
                <w:bCs/>
                <w:color w:val="000000" w:themeColor="text1"/>
                <w:szCs w:val="24"/>
                <w:highlight w:val="none"/>
                <w14:textFill>
                  <w14:solidFill>
                    <w14:schemeClr w14:val="tx1"/>
                  </w14:solidFill>
                </w14:textFill>
              </w:rPr>
              <w:t>序号</w:t>
            </w:r>
          </w:p>
        </w:tc>
        <w:tc>
          <w:tcPr>
            <w:tcW w:w="2150" w:type="dxa"/>
            <w:shd w:val="clear" w:color="auto" w:fill="auto"/>
            <w:tcMar>
              <w:top w:w="72" w:type="dxa"/>
              <w:left w:w="144" w:type="dxa"/>
              <w:bottom w:w="72" w:type="dxa"/>
              <w:right w:w="144" w:type="dxa"/>
            </w:tcMar>
          </w:tcPr>
          <w:p>
            <w:pPr>
              <w:pStyle w:val="43"/>
              <w:keepNext w:val="0"/>
              <w:keepLines w:val="0"/>
              <w:pageBreakBefore w:val="0"/>
              <w:widowControl/>
              <w:kinsoku/>
              <w:wordWrap/>
              <w:overflowPunct/>
              <w:topLinePunct w:val="0"/>
              <w:autoSpaceDE/>
              <w:autoSpaceDN/>
              <w:bidi w:val="0"/>
              <w:adjustRightInd w:val="0"/>
              <w:snapToGrid w:val="0"/>
              <w:spacing w:beforeAutospacing="0" w:afterAutospacing="0"/>
              <w:jc w:val="center"/>
              <w:textAlignment w:val="auto"/>
              <w:rPr>
                <w:rFonts w:ascii="宋体" w:hAnsi="宋体" w:cs="宋体"/>
                <w:color w:val="000000" w:themeColor="text1"/>
                <w:szCs w:val="24"/>
                <w:highlight w:val="none"/>
                <w14:textFill>
                  <w14:solidFill>
                    <w14:schemeClr w14:val="tx1"/>
                  </w14:solidFill>
                </w14:textFill>
              </w:rPr>
            </w:pPr>
            <w:r>
              <w:rPr>
                <w:rFonts w:hint="eastAsia" w:ascii="宋体" w:hAnsi="宋体" w:cs="宋体"/>
                <w:b/>
                <w:bCs/>
                <w:color w:val="000000" w:themeColor="text1"/>
                <w:szCs w:val="24"/>
                <w:highlight w:val="none"/>
                <w14:textFill>
                  <w14:solidFill>
                    <w14:schemeClr w14:val="tx1"/>
                  </w14:solidFill>
                </w14:textFill>
              </w:rPr>
              <w:t>模箱名称</w:t>
            </w:r>
          </w:p>
        </w:tc>
        <w:tc>
          <w:tcPr>
            <w:tcW w:w="2132" w:type="dxa"/>
            <w:shd w:val="clear" w:color="auto" w:fill="auto"/>
            <w:tcMar>
              <w:top w:w="72" w:type="dxa"/>
              <w:left w:w="144" w:type="dxa"/>
              <w:bottom w:w="72" w:type="dxa"/>
              <w:right w:w="144" w:type="dxa"/>
            </w:tcMar>
          </w:tcPr>
          <w:p>
            <w:pPr>
              <w:pStyle w:val="43"/>
              <w:keepNext w:val="0"/>
              <w:keepLines w:val="0"/>
              <w:pageBreakBefore w:val="0"/>
              <w:widowControl/>
              <w:kinsoku/>
              <w:wordWrap/>
              <w:overflowPunct/>
              <w:topLinePunct w:val="0"/>
              <w:autoSpaceDE/>
              <w:autoSpaceDN/>
              <w:bidi w:val="0"/>
              <w:adjustRightInd w:val="0"/>
              <w:snapToGrid w:val="0"/>
              <w:spacing w:beforeAutospacing="0" w:afterAutospacing="0"/>
              <w:jc w:val="center"/>
              <w:textAlignment w:val="auto"/>
              <w:rPr>
                <w:rFonts w:ascii="宋体" w:hAnsi="宋体" w:cs="宋体"/>
                <w:color w:val="000000" w:themeColor="text1"/>
                <w:szCs w:val="24"/>
                <w:highlight w:val="none"/>
                <w14:textFill>
                  <w14:solidFill>
                    <w14:schemeClr w14:val="tx1"/>
                  </w14:solidFill>
                </w14:textFill>
              </w:rPr>
            </w:pPr>
            <w:r>
              <w:rPr>
                <w:rFonts w:hint="eastAsia" w:ascii="宋体" w:hAnsi="宋体" w:cs="宋体"/>
                <w:b/>
                <w:bCs/>
                <w:color w:val="000000" w:themeColor="text1"/>
                <w:szCs w:val="24"/>
                <w:highlight w:val="none"/>
                <w14:textFill>
                  <w14:solidFill>
                    <w14:schemeClr w14:val="tx1"/>
                  </w14:solidFill>
                </w14:textFill>
              </w:rPr>
              <w:t>尺寸规格(mm)</w:t>
            </w:r>
          </w:p>
        </w:tc>
        <w:tc>
          <w:tcPr>
            <w:tcW w:w="1776" w:type="dxa"/>
            <w:shd w:val="clear" w:color="auto" w:fill="auto"/>
            <w:tcMar>
              <w:top w:w="72" w:type="dxa"/>
              <w:left w:w="144" w:type="dxa"/>
              <w:bottom w:w="72" w:type="dxa"/>
              <w:right w:w="144" w:type="dxa"/>
            </w:tcMar>
          </w:tcPr>
          <w:p>
            <w:pPr>
              <w:pStyle w:val="43"/>
              <w:keepNext w:val="0"/>
              <w:keepLines w:val="0"/>
              <w:pageBreakBefore w:val="0"/>
              <w:widowControl/>
              <w:kinsoku/>
              <w:wordWrap/>
              <w:overflowPunct/>
              <w:topLinePunct w:val="0"/>
              <w:autoSpaceDE/>
              <w:autoSpaceDN/>
              <w:bidi w:val="0"/>
              <w:adjustRightInd w:val="0"/>
              <w:snapToGrid w:val="0"/>
              <w:spacing w:beforeAutospacing="0" w:afterAutospacing="0"/>
              <w:jc w:val="center"/>
              <w:textAlignment w:val="auto"/>
              <w:rPr>
                <w:rFonts w:ascii="宋体" w:hAnsi="宋体" w:cs="宋体"/>
                <w:color w:val="000000" w:themeColor="text1"/>
                <w:szCs w:val="24"/>
                <w:highlight w:val="none"/>
                <w14:textFill>
                  <w14:solidFill>
                    <w14:schemeClr w14:val="tx1"/>
                  </w14:solidFill>
                </w14:textFill>
              </w:rPr>
            </w:pPr>
            <w:r>
              <w:rPr>
                <w:rFonts w:hint="eastAsia" w:ascii="宋体" w:hAnsi="宋体" w:cs="宋体"/>
                <w:b/>
                <w:bCs/>
                <w:color w:val="000000" w:themeColor="text1"/>
                <w:szCs w:val="24"/>
                <w:highlight w:val="none"/>
                <w14:textFill>
                  <w14:solidFill>
                    <w14:schemeClr w14:val="tx1"/>
                  </w14:solidFill>
                </w14:textFill>
              </w:rPr>
              <w:t>重量(t)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jc w:val="center"/>
        </w:trPr>
        <w:tc>
          <w:tcPr>
            <w:tcW w:w="1080" w:type="dxa"/>
            <w:shd w:val="clear" w:color="auto" w:fill="auto"/>
            <w:tcMar>
              <w:top w:w="72" w:type="dxa"/>
              <w:left w:w="144" w:type="dxa"/>
              <w:bottom w:w="72" w:type="dxa"/>
              <w:right w:w="144" w:type="dxa"/>
            </w:tcMar>
          </w:tcPr>
          <w:p>
            <w:pPr>
              <w:pStyle w:val="43"/>
              <w:keepNext w:val="0"/>
              <w:keepLines w:val="0"/>
              <w:pageBreakBefore w:val="0"/>
              <w:widowControl/>
              <w:kinsoku/>
              <w:wordWrap/>
              <w:overflowPunct/>
              <w:topLinePunct w:val="0"/>
              <w:autoSpaceDE/>
              <w:autoSpaceDN/>
              <w:bidi w:val="0"/>
              <w:adjustRightInd w:val="0"/>
              <w:snapToGrid w:val="0"/>
              <w:spacing w:beforeAutospacing="0" w:afterAutospacing="0"/>
              <w:jc w:val="center"/>
              <w:textAlignment w:val="auto"/>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1</w:t>
            </w:r>
          </w:p>
        </w:tc>
        <w:tc>
          <w:tcPr>
            <w:tcW w:w="2150" w:type="dxa"/>
            <w:shd w:val="clear" w:color="auto" w:fill="auto"/>
            <w:tcMar>
              <w:top w:w="72" w:type="dxa"/>
              <w:left w:w="144" w:type="dxa"/>
              <w:bottom w:w="72" w:type="dxa"/>
              <w:right w:w="144" w:type="dxa"/>
            </w:tcMar>
          </w:tcPr>
          <w:p>
            <w:pPr>
              <w:pStyle w:val="43"/>
              <w:keepNext w:val="0"/>
              <w:keepLines w:val="0"/>
              <w:pageBreakBefore w:val="0"/>
              <w:widowControl/>
              <w:kinsoku/>
              <w:wordWrap/>
              <w:overflowPunct/>
              <w:topLinePunct w:val="0"/>
              <w:autoSpaceDE/>
              <w:autoSpaceDN/>
              <w:bidi w:val="0"/>
              <w:adjustRightInd w:val="0"/>
              <w:snapToGrid w:val="0"/>
              <w:spacing w:beforeAutospacing="0" w:afterAutospacing="0"/>
              <w:jc w:val="center"/>
              <w:textAlignment w:val="auto"/>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6300T主机模箱</w:t>
            </w:r>
          </w:p>
        </w:tc>
        <w:tc>
          <w:tcPr>
            <w:tcW w:w="2132" w:type="dxa"/>
            <w:shd w:val="clear" w:color="auto" w:fill="auto"/>
            <w:tcMar>
              <w:top w:w="72" w:type="dxa"/>
              <w:left w:w="144" w:type="dxa"/>
              <w:bottom w:w="72" w:type="dxa"/>
              <w:right w:w="144" w:type="dxa"/>
            </w:tcMar>
          </w:tcPr>
          <w:p>
            <w:pPr>
              <w:pStyle w:val="43"/>
              <w:keepNext w:val="0"/>
              <w:keepLines w:val="0"/>
              <w:pageBreakBefore w:val="0"/>
              <w:widowControl/>
              <w:kinsoku/>
              <w:wordWrap/>
              <w:overflowPunct/>
              <w:topLinePunct w:val="0"/>
              <w:autoSpaceDE/>
              <w:autoSpaceDN/>
              <w:bidi w:val="0"/>
              <w:adjustRightInd w:val="0"/>
              <w:snapToGrid w:val="0"/>
              <w:spacing w:beforeAutospacing="0" w:afterAutospacing="0"/>
              <w:jc w:val="center"/>
              <w:textAlignment w:val="auto"/>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2050*1870*1615</w:t>
            </w:r>
          </w:p>
        </w:tc>
        <w:tc>
          <w:tcPr>
            <w:tcW w:w="1776" w:type="dxa"/>
            <w:shd w:val="clear" w:color="auto" w:fill="auto"/>
            <w:tcMar>
              <w:top w:w="72" w:type="dxa"/>
              <w:left w:w="144" w:type="dxa"/>
              <w:bottom w:w="72" w:type="dxa"/>
              <w:right w:w="144" w:type="dxa"/>
            </w:tcMar>
          </w:tcPr>
          <w:p>
            <w:pPr>
              <w:pStyle w:val="43"/>
              <w:keepNext w:val="0"/>
              <w:keepLines w:val="0"/>
              <w:pageBreakBefore w:val="0"/>
              <w:widowControl/>
              <w:kinsoku/>
              <w:wordWrap/>
              <w:overflowPunct/>
              <w:topLinePunct w:val="0"/>
              <w:autoSpaceDE/>
              <w:autoSpaceDN/>
              <w:bidi w:val="0"/>
              <w:adjustRightInd w:val="0"/>
              <w:snapToGrid w:val="0"/>
              <w:spacing w:beforeAutospacing="0" w:afterAutospacing="0"/>
              <w:jc w:val="center"/>
              <w:textAlignment w:val="auto"/>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jc w:val="center"/>
        </w:trPr>
        <w:tc>
          <w:tcPr>
            <w:tcW w:w="1080" w:type="dxa"/>
            <w:shd w:val="clear" w:color="auto" w:fill="auto"/>
            <w:tcMar>
              <w:top w:w="72" w:type="dxa"/>
              <w:left w:w="144" w:type="dxa"/>
              <w:bottom w:w="72" w:type="dxa"/>
              <w:right w:w="144" w:type="dxa"/>
            </w:tcMar>
          </w:tcPr>
          <w:p>
            <w:pPr>
              <w:pStyle w:val="43"/>
              <w:keepNext w:val="0"/>
              <w:keepLines w:val="0"/>
              <w:pageBreakBefore w:val="0"/>
              <w:widowControl/>
              <w:kinsoku/>
              <w:wordWrap/>
              <w:overflowPunct/>
              <w:topLinePunct w:val="0"/>
              <w:autoSpaceDE/>
              <w:autoSpaceDN/>
              <w:bidi w:val="0"/>
              <w:adjustRightInd w:val="0"/>
              <w:snapToGrid w:val="0"/>
              <w:spacing w:beforeAutospacing="0" w:afterAutospacing="0"/>
              <w:jc w:val="center"/>
              <w:textAlignment w:val="auto"/>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2</w:t>
            </w:r>
          </w:p>
        </w:tc>
        <w:tc>
          <w:tcPr>
            <w:tcW w:w="2150" w:type="dxa"/>
            <w:shd w:val="clear" w:color="auto" w:fill="auto"/>
            <w:tcMar>
              <w:top w:w="72" w:type="dxa"/>
              <w:left w:w="144" w:type="dxa"/>
              <w:bottom w:w="72" w:type="dxa"/>
              <w:right w:w="144" w:type="dxa"/>
            </w:tcMar>
          </w:tcPr>
          <w:p>
            <w:pPr>
              <w:pStyle w:val="43"/>
              <w:keepNext w:val="0"/>
              <w:keepLines w:val="0"/>
              <w:pageBreakBefore w:val="0"/>
              <w:widowControl/>
              <w:kinsoku/>
              <w:wordWrap/>
              <w:overflowPunct/>
              <w:topLinePunct w:val="0"/>
              <w:autoSpaceDE/>
              <w:autoSpaceDN/>
              <w:bidi w:val="0"/>
              <w:adjustRightInd w:val="0"/>
              <w:snapToGrid w:val="0"/>
              <w:spacing w:beforeAutospacing="0" w:afterAutospacing="0"/>
              <w:jc w:val="center"/>
              <w:textAlignment w:val="auto"/>
              <w:rPr>
                <w:rFonts w:ascii="宋体" w:hAnsi="宋体" w:cs="宋体"/>
                <w:color w:val="000000" w:themeColor="text1"/>
                <w:szCs w:val="24"/>
                <w:highlight w:val="none"/>
                <w14:textFill>
                  <w14:solidFill>
                    <w14:schemeClr w14:val="tx1"/>
                  </w14:solidFill>
                </w14:textFill>
              </w:rPr>
            </w:pPr>
            <w:bookmarkStart w:id="20" w:name="OLE_LINK1"/>
            <w:r>
              <w:rPr>
                <w:rFonts w:hint="eastAsia" w:ascii="宋体" w:hAnsi="宋体" w:cs="宋体"/>
                <w:color w:val="000000" w:themeColor="text1"/>
                <w:szCs w:val="24"/>
                <w:highlight w:val="none"/>
                <w14:textFill>
                  <w14:solidFill>
                    <w14:schemeClr w14:val="tx1"/>
                  </w14:solidFill>
                </w14:textFill>
              </w:rPr>
              <w:t>800T切边模箱</w:t>
            </w:r>
            <w:bookmarkEnd w:id="20"/>
          </w:p>
        </w:tc>
        <w:tc>
          <w:tcPr>
            <w:tcW w:w="2132" w:type="dxa"/>
            <w:shd w:val="clear" w:color="auto" w:fill="auto"/>
            <w:tcMar>
              <w:top w:w="72" w:type="dxa"/>
              <w:left w:w="144" w:type="dxa"/>
              <w:bottom w:w="72" w:type="dxa"/>
              <w:right w:w="144" w:type="dxa"/>
            </w:tcMar>
          </w:tcPr>
          <w:p>
            <w:pPr>
              <w:pStyle w:val="43"/>
              <w:keepNext w:val="0"/>
              <w:keepLines w:val="0"/>
              <w:pageBreakBefore w:val="0"/>
              <w:widowControl/>
              <w:kinsoku/>
              <w:wordWrap/>
              <w:overflowPunct/>
              <w:topLinePunct w:val="0"/>
              <w:autoSpaceDE/>
              <w:autoSpaceDN/>
              <w:bidi w:val="0"/>
              <w:adjustRightInd w:val="0"/>
              <w:snapToGrid w:val="0"/>
              <w:spacing w:beforeAutospacing="0" w:afterAutospacing="0"/>
              <w:jc w:val="center"/>
              <w:textAlignment w:val="auto"/>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1400*1200*540</w:t>
            </w:r>
          </w:p>
        </w:tc>
        <w:tc>
          <w:tcPr>
            <w:tcW w:w="1776" w:type="dxa"/>
            <w:shd w:val="clear" w:color="auto" w:fill="auto"/>
            <w:tcMar>
              <w:top w:w="72" w:type="dxa"/>
              <w:left w:w="144" w:type="dxa"/>
              <w:bottom w:w="72" w:type="dxa"/>
              <w:right w:w="144" w:type="dxa"/>
            </w:tcMar>
          </w:tcPr>
          <w:p>
            <w:pPr>
              <w:pStyle w:val="43"/>
              <w:keepNext w:val="0"/>
              <w:keepLines w:val="0"/>
              <w:pageBreakBefore w:val="0"/>
              <w:widowControl/>
              <w:kinsoku/>
              <w:wordWrap/>
              <w:overflowPunct/>
              <w:topLinePunct w:val="0"/>
              <w:autoSpaceDE/>
              <w:autoSpaceDN/>
              <w:bidi w:val="0"/>
              <w:adjustRightInd w:val="0"/>
              <w:snapToGrid w:val="0"/>
              <w:spacing w:beforeAutospacing="0" w:afterAutospacing="0"/>
              <w:jc w:val="center"/>
              <w:textAlignment w:val="auto"/>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80" w:type="dxa"/>
            <w:shd w:val="clear" w:color="auto" w:fill="auto"/>
            <w:tcMar>
              <w:top w:w="72" w:type="dxa"/>
              <w:left w:w="144" w:type="dxa"/>
              <w:bottom w:w="72" w:type="dxa"/>
              <w:right w:w="144" w:type="dxa"/>
            </w:tcMar>
          </w:tcPr>
          <w:p>
            <w:pPr>
              <w:pStyle w:val="43"/>
              <w:keepNext w:val="0"/>
              <w:keepLines w:val="0"/>
              <w:pageBreakBefore w:val="0"/>
              <w:widowControl/>
              <w:kinsoku/>
              <w:wordWrap/>
              <w:overflowPunct/>
              <w:topLinePunct w:val="0"/>
              <w:autoSpaceDE/>
              <w:autoSpaceDN/>
              <w:bidi w:val="0"/>
              <w:adjustRightInd w:val="0"/>
              <w:snapToGrid w:val="0"/>
              <w:spacing w:beforeAutospacing="0" w:afterAutospacing="0"/>
              <w:jc w:val="center"/>
              <w:textAlignment w:val="auto"/>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3</w:t>
            </w:r>
          </w:p>
        </w:tc>
        <w:tc>
          <w:tcPr>
            <w:tcW w:w="2150" w:type="dxa"/>
            <w:shd w:val="clear" w:color="auto" w:fill="auto"/>
            <w:tcMar>
              <w:top w:w="72" w:type="dxa"/>
              <w:left w:w="144" w:type="dxa"/>
              <w:bottom w:w="72" w:type="dxa"/>
              <w:right w:w="144" w:type="dxa"/>
            </w:tcMar>
          </w:tcPr>
          <w:p>
            <w:pPr>
              <w:pStyle w:val="43"/>
              <w:keepNext w:val="0"/>
              <w:keepLines w:val="0"/>
              <w:pageBreakBefore w:val="0"/>
              <w:widowControl/>
              <w:kinsoku/>
              <w:wordWrap/>
              <w:overflowPunct/>
              <w:topLinePunct w:val="0"/>
              <w:autoSpaceDE/>
              <w:autoSpaceDN/>
              <w:bidi w:val="0"/>
              <w:adjustRightInd w:val="0"/>
              <w:snapToGrid w:val="0"/>
              <w:spacing w:beforeAutospacing="0" w:afterAutospacing="0"/>
              <w:jc w:val="center"/>
              <w:textAlignment w:val="auto"/>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3150T主机模箱</w:t>
            </w:r>
          </w:p>
        </w:tc>
        <w:tc>
          <w:tcPr>
            <w:tcW w:w="2132" w:type="dxa"/>
            <w:shd w:val="clear" w:color="auto" w:fill="auto"/>
            <w:tcMar>
              <w:top w:w="72" w:type="dxa"/>
              <w:left w:w="144" w:type="dxa"/>
              <w:bottom w:w="72" w:type="dxa"/>
              <w:right w:w="144" w:type="dxa"/>
            </w:tcMar>
          </w:tcPr>
          <w:p>
            <w:pPr>
              <w:pStyle w:val="43"/>
              <w:keepNext w:val="0"/>
              <w:keepLines w:val="0"/>
              <w:pageBreakBefore w:val="0"/>
              <w:widowControl/>
              <w:kinsoku/>
              <w:wordWrap/>
              <w:overflowPunct/>
              <w:topLinePunct w:val="0"/>
              <w:autoSpaceDE/>
              <w:autoSpaceDN/>
              <w:bidi w:val="0"/>
              <w:adjustRightInd w:val="0"/>
              <w:snapToGrid w:val="0"/>
              <w:spacing w:beforeAutospacing="0" w:afterAutospacing="0"/>
              <w:jc w:val="center"/>
              <w:textAlignment w:val="auto"/>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1500*1400*1040</w:t>
            </w:r>
          </w:p>
        </w:tc>
        <w:tc>
          <w:tcPr>
            <w:tcW w:w="1776" w:type="dxa"/>
            <w:shd w:val="clear" w:color="auto" w:fill="auto"/>
            <w:tcMar>
              <w:top w:w="72" w:type="dxa"/>
              <w:left w:w="144" w:type="dxa"/>
              <w:bottom w:w="72" w:type="dxa"/>
              <w:right w:w="144" w:type="dxa"/>
            </w:tcMar>
          </w:tcPr>
          <w:p>
            <w:pPr>
              <w:pStyle w:val="43"/>
              <w:keepNext w:val="0"/>
              <w:keepLines w:val="0"/>
              <w:pageBreakBefore w:val="0"/>
              <w:widowControl/>
              <w:kinsoku/>
              <w:wordWrap/>
              <w:overflowPunct/>
              <w:topLinePunct w:val="0"/>
              <w:autoSpaceDE/>
              <w:autoSpaceDN/>
              <w:bidi w:val="0"/>
              <w:adjustRightInd w:val="0"/>
              <w:snapToGrid w:val="0"/>
              <w:spacing w:beforeAutospacing="0" w:afterAutospacing="0"/>
              <w:jc w:val="center"/>
              <w:textAlignment w:val="auto"/>
              <w:rPr>
                <w:rFonts w:ascii="宋体" w:hAnsi="宋体" w:cs="宋体"/>
                <w:color w:val="000000" w:themeColor="text1"/>
                <w:szCs w:val="24"/>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15</w:t>
            </w:r>
          </w:p>
        </w:tc>
      </w:tr>
    </w:tbl>
    <w:p>
      <w:pPr>
        <w:spacing w:line="360" w:lineRule="auto"/>
        <w:ind w:firstLine="480" w:firstLineChars="200"/>
        <w:outlineLvl w:val="3"/>
        <w:rPr>
          <w:rFonts w:hint="eastAsia" w:ascii="宋体" w:hAnsi="宋体" w:eastAsia="宋体" w:cs="Times New Roman"/>
          <w:color w:val="000000" w:themeColor="text1"/>
          <w:sz w:val="24"/>
          <w:highlight w:val="none"/>
          <w:lang w:val="en-US" w:eastAsia="zh-CN"/>
          <w14:textFill>
            <w14:solidFill>
              <w14:schemeClr w14:val="tx1"/>
            </w14:solidFill>
          </w14:textFill>
        </w:rPr>
      </w:pPr>
      <w:bookmarkStart w:id="21" w:name="_Toc40779471"/>
      <w:r>
        <w:rPr>
          <w:rFonts w:hint="eastAsia" w:ascii="宋体" w:hAnsi="宋体" w:eastAsia="宋体" w:cs="Times New Roman"/>
          <w:color w:val="000000" w:themeColor="text1"/>
          <w:sz w:val="24"/>
          <w:highlight w:val="none"/>
          <w:lang w:val="en-US" w:eastAsia="zh-CN"/>
          <w14:textFill>
            <w14:solidFill>
              <w14:schemeClr w14:val="tx1"/>
            </w14:solidFill>
          </w14:textFill>
        </w:rPr>
        <w:t>（5）换模方向的概述图</w:t>
      </w:r>
    </w:p>
    <w:p>
      <w:pPr>
        <w:spacing w:line="360" w:lineRule="auto"/>
        <w:ind w:firstLine="480" w:firstLineChars="200"/>
        <w:jc w:val="center"/>
        <w:outlineLvl w:val="3"/>
        <w:rPr>
          <w:rFonts w:hint="default" w:ascii="宋体" w:hAnsi="宋体" w:eastAsia="宋体" w:cs="Times New Roman"/>
          <w:color w:val="000000" w:themeColor="text1"/>
          <w:sz w:val="24"/>
          <w:highlight w:val="none"/>
          <w:lang w:val="en-US" w:eastAsia="zh-CN"/>
          <w14:textFill>
            <w14:solidFill>
              <w14:schemeClr w14:val="tx1"/>
            </w14:solidFill>
          </w14:textFill>
        </w:rPr>
      </w:pPr>
      <w:r>
        <w:rPr>
          <w:rFonts w:hint="default" w:ascii="宋体" w:hAnsi="宋体" w:eastAsia="宋体" w:cs="Times New Roman"/>
          <w:color w:val="000000" w:themeColor="text1"/>
          <w:sz w:val="24"/>
          <w:highlight w:val="none"/>
          <w:lang w:val="en-US" w:eastAsia="zh-CN"/>
          <w14:textFill>
            <w14:solidFill>
              <w14:schemeClr w14:val="tx1"/>
            </w14:solidFill>
          </w14:textFill>
        </w:rPr>
        <w:drawing>
          <wp:inline distT="0" distB="0" distL="114300" distR="114300">
            <wp:extent cx="3959860" cy="2160270"/>
            <wp:effectExtent l="0" t="0" r="2540" b="11430"/>
            <wp:docPr id="10" name="图片 10" descr="6300T"/>
            <wp:cNvGraphicFramePr/>
            <a:graphic xmlns:a="http://schemas.openxmlformats.org/drawingml/2006/main">
              <a:graphicData uri="http://schemas.openxmlformats.org/drawingml/2006/picture">
                <pic:pic xmlns:pic="http://schemas.openxmlformats.org/drawingml/2006/picture">
                  <pic:nvPicPr>
                    <pic:cNvPr id="10" name="图片 10" descr="6300T"/>
                    <pic:cNvPicPr/>
                  </pic:nvPicPr>
                  <pic:blipFill>
                    <a:blip r:embed="rId22"/>
                    <a:stretch>
                      <a:fillRect/>
                    </a:stretch>
                  </pic:blipFill>
                  <pic:spPr>
                    <a:xfrm>
                      <a:off x="0" y="0"/>
                      <a:ext cx="3959860" cy="2160270"/>
                    </a:xfrm>
                    <a:prstGeom prst="rect">
                      <a:avLst/>
                    </a:prstGeom>
                  </pic:spPr>
                </pic:pic>
              </a:graphicData>
            </a:graphic>
          </wp:inline>
        </w:drawing>
      </w:r>
    </w:p>
    <w:p>
      <w:pPr>
        <w:spacing w:line="360" w:lineRule="auto"/>
        <w:ind w:firstLine="480" w:firstLineChars="200"/>
        <w:jc w:val="center"/>
        <w:outlineLvl w:val="3"/>
        <w:rPr>
          <w:rFonts w:hint="default" w:ascii="宋体" w:hAnsi="宋体" w:eastAsia="宋体" w:cs="Times New Roman"/>
          <w:color w:val="000000" w:themeColor="text1"/>
          <w:sz w:val="24"/>
          <w:highlight w:val="none"/>
          <w:lang w:val="en-US" w:eastAsia="zh-CN"/>
          <w14:textFill>
            <w14:solidFill>
              <w14:schemeClr w14:val="tx1"/>
            </w14:solidFill>
          </w14:textFill>
        </w:rPr>
      </w:pPr>
      <w:r>
        <w:rPr>
          <w:rFonts w:hint="default" w:ascii="宋体" w:hAnsi="宋体" w:eastAsia="宋体" w:cs="Times New Roman"/>
          <w:color w:val="000000" w:themeColor="text1"/>
          <w:sz w:val="24"/>
          <w:highlight w:val="none"/>
          <w:lang w:val="en-US" w:eastAsia="zh-CN"/>
          <w14:textFill>
            <w14:solidFill>
              <w14:schemeClr w14:val="tx1"/>
            </w14:solidFill>
          </w14:textFill>
        </w:rPr>
        <w:drawing>
          <wp:inline distT="0" distB="0" distL="114300" distR="114300">
            <wp:extent cx="3959860" cy="1979930"/>
            <wp:effectExtent l="0" t="0" r="2540" b="1270"/>
            <wp:docPr id="15" name="图片 15" descr="3150"/>
            <wp:cNvGraphicFramePr/>
            <a:graphic xmlns:a="http://schemas.openxmlformats.org/drawingml/2006/main">
              <a:graphicData uri="http://schemas.openxmlformats.org/drawingml/2006/picture">
                <pic:pic xmlns:pic="http://schemas.openxmlformats.org/drawingml/2006/picture">
                  <pic:nvPicPr>
                    <pic:cNvPr id="15" name="图片 15" descr="3150"/>
                    <pic:cNvPicPr/>
                  </pic:nvPicPr>
                  <pic:blipFill>
                    <a:blip r:embed="rId23"/>
                    <a:stretch>
                      <a:fillRect/>
                    </a:stretch>
                  </pic:blipFill>
                  <pic:spPr>
                    <a:xfrm>
                      <a:off x="0" y="0"/>
                      <a:ext cx="3959860" cy="1979930"/>
                    </a:xfrm>
                    <a:prstGeom prst="rect">
                      <a:avLst/>
                    </a:prstGeom>
                  </pic:spPr>
                </pic:pic>
              </a:graphicData>
            </a:graphic>
          </wp:inline>
        </w:drawing>
      </w:r>
    </w:p>
    <w:p>
      <w:pPr>
        <w:spacing w:line="360" w:lineRule="auto"/>
        <w:ind w:firstLine="482" w:firstLineChars="200"/>
        <w:outlineLvl w:val="3"/>
        <w:rPr>
          <w:rFonts w:hint="eastAsia" w:ascii="宋体" w:hAnsi="宋体" w:eastAsia="宋体" w:cs="Times New Roman"/>
          <w:b/>
          <w:bCs/>
          <w:color w:val="000000" w:themeColor="text1"/>
          <w:sz w:val="24"/>
          <w:highlight w:val="none"/>
          <w:lang w:val="en-US" w:eastAsia="zh-CN"/>
          <w14:textFill>
            <w14:solidFill>
              <w14:schemeClr w14:val="tx1"/>
            </w14:solidFill>
          </w14:textFill>
        </w:rPr>
      </w:pPr>
      <w:r>
        <w:rPr>
          <w:rFonts w:hint="eastAsia" w:ascii="宋体" w:hAnsi="宋体" w:eastAsia="宋体" w:cs="Times New Roman"/>
          <w:b/>
          <w:bCs/>
          <w:color w:val="000000" w:themeColor="text1"/>
          <w:sz w:val="24"/>
          <w:highlight w:val="none"/>
          <w:lang w:val="en-US" w:eastAsia="zh-CN"/>
          <w14:textFill>
            <w14:solidFill>
              <w14:schemeClr w14:val="tx1"/>
            </w14:solidFill>
          </w14:textFill>
        </w:rPr>
        <w:t>2.</w:t>
      </w:r>
      <w:r>
        <w:rPr>
          <w:rFonts w:hint="eastAsia" w:ascii="宋体" w:hAnsi="宋体" w:eastAsia="宋体" w:cs="Times New Roman"/>
          <w:b/>
          <w:bCs/>
          <w:color w:val="000000" w:themeColor="text1"/>
          <w:sz w:val="24"/>
          <w:highlight w:val="none"/>
          <w14:textFill>
            <w14:solidFill>
              <w14:schemeClr w14:val="tx1"/>
            </w14:solidFill>
          </w14:textFill>
        </w:rPr>
        <w:t>主要结构与功能</w:t>
      </w:r>
      <w:bookmarkEnd w:id="21"/>
      <w:r>
        <w:rPr>
          <w:rFonts w:hint="eastAsia" w:ascii="宋体" w:hAnsi="宋体" w:eastAsia="宋体" w:cs="Times New Roman"/>
          <w:b/>
          <w:bCs/>
          <w:color w:val="000000" w:themeColor="text1"/>
          <w:sz w:val="24"/>
          <w:highlight w:val="none"/>
          <w:lang w:val="en-US" w:eastAsia="zh-CN"/>
          <w14:textFill>
            <w14:solidFill>
              <w14:schemeClr w14:val="tx1"/>
            </w14:solidFill>
          </w14:textFill>
        </w:rPr>
        <w:t>要求</w:t>
      </w:r>
    </w:p>
    <w:p>
      <w:pPr>
        <w:spacing w:line="360" w:lineRule="auto"/>
        <w:ind w:right="238"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2.1 轨道单元</w:t>
      </w:r>
    </w:p>
    <w:p>
      <w:pPr>
        <w:spacing w:line="360" w:lineRule="auto"/>
        <w:ind w:right="238" w:firstLine="480" w:firstLineChars="200"/>
        <w:rPr>
          <w:rFonts w:hint="eastAsia" w:ascii="宋体" w:hAnsi="宋体" w:cs="宋体"/>
          <w:b w:val="0"/>
          <w:bCs w:val="0"/>
          <w:strike w:val="0"/>
          <w:dstrike w:val="0"/>
          <w:color w:val="000000" w:themeColor="text1"/>
          <w:kern w:val="2"/>
          <w:sz w:val="24"/>
          <w:szCs w:val="22"/>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2"/>
          <w:sz w:val="24"/>
          <w:szCs w:val="22"/>
          <w:highlight w:val="none"/>
          <w:lang w:val="en-US" w:eastAsia="zh-CN" w:bidi="ar-SA"/>
          <w14:textFill>
            <w14:solidFill>
              <w14:schemeClr w14:val="tx1"/>
            </w14:solidFill>
          </w14:textFill>
        </w:rPr>
        <w:t>（1）台车形式为轨道钢轮式，设备轨道安装基础</w:t>
      </w:r>
      <w:r>
        <w:rPr>
          <w:rFonts w:hint="eastAsia" w:ascii="宋体" w:hAnsi="宋体" w:cs="宋体"/>
          <w:b w:val="0"/>
          <w:bCs w:val="0"/>
          <w:strike w:val="0"/>
          <w:dstrike w:val="0"/>
          <w:color w:val="000000" w:themeColor="text1"/>
          <w:kern w:val="2"/>
          <w:sz w:val="24"/>
          <w:szCs w:val="22"/>
          <w:highlight w:val="none"/>
          <w:lang w:val="en-US" w:eastAsia="zh-CN" w:bidi="ar-SA"/>
          <w14:textFill>
            <w14:solidFill>
              <w14:schemeClr w14:val="tx1"/>
            </w14:solidFill>
          </w14:textFill>
        </w:rPr>
        <w:t>由投标方提出要求，甲方负责制做。</w:t>
      </w:r>
    </w:p>
    <w:p>
      <w:pPr>
        <w:spacing w:line="360" w:lineRule="auto"/>
        <w:ind w:right="238" w:firstLine="480" w:firstLineChars="200"/>
        <w:rPr>
          <w:rFonts w:hint="eastAsia" w:ascii="宋体" w:hAnsi="宋体" w:cs="宋体"/>
          <w:b w:val="0"/>
          <w:bCs w:val="0"/>
          <w:strike w:val="0"/>
          <w:dstrike w:val="0"/>
          <w:color w:val="000000" w:themeColor="text1"/>
          <w:kern w:val="2"/>
          <w:sz w:val="24"/>
          <w:szCs w:val="22"/>
          <w:highlight w:val="none"/>
          <w:lang w:val="en-US" w:eastAsia="zh-CN" w:bidi="ar-SA"/>
          <w14:textFill>
            <w14:solidFill>
              <w14:schemeClr w14:val="tx1"/>
            </w14:solidFill>
          </w14:textFill>
        </w:rPr>
      </w:pPr>
      <w:r>
        <w:rPr>
          <w:rFonts w:hint="eastAsia" w:ascii="宋体" w:hAnsi="宋体" w:cs="宋体"/>
          <w:b w:val="0"/>
          <w:bCs w:val="0"/>
          <w:strike w:val="0"/>
          <w:dstrike w:val="0"/>
          <w:color w:val="000000" w:themeColor="text1"/>
          <w:kern w:val="2"/>
          <w:sz w:val="24"/>
          <w:szCs w:val="22"/>
          <w:highlight w:val="none"/>
          <w:lang w:val="en-US" w:eastAsia="zh-CN" w:bidi="ar-SA"/>
          <w14:textFill>
            <w14:solidFill>
              <w14:schemeClr w14:val="tx1"/>
            </w14:solidFill>
          </w14:textFill>
        </w:rPr>
        <w:t>（2）轨道单元由导轨和型钢组成，确保能够承受模箱+台车的总重量。</w:t>
      </w:r>
    </w:p>
    <w:p>
      <w:pPr>
        <w:spacing w:line="360" w:lineRule="auto"/>
        <w:ind w:right="238" w:firstLine="480" w:firstLineChars="200"/>
        <w:rPr>
          <w:rFonts w:hint="eastAsia" w:ascii="宋体" w:hAnsi="宋体" w:cs="宋体"/>
          <w:b w:val="0"/>
          <w:bCs w:val="0"/>
          <w:strike w:val="0"/>
          <w:dstrike w:val="0"/>
          <w:color w:val="000000" w:themeColor="text1"/>
          <w:kern w:val="2"/>
          <w:sz w:val="24"/>
          <w:szCs w:val="22"/>
          <w:highlight w:val="none"/>
          <w:lang w:val="en-US" w:eastAsia="zh-CN" w:bidi="ar-SA"/>
          <w14:textFill>
            <w14:solidFill>
              <w14:schemeClr w14:val="tx1"/>
            </w14:solidFill>
          </w14:textFill>
        </w:rPr>
      </w:pPr>
      <w:r>
        <w:rPr>
          <w:rFonts w:hint="eastAsia" w:ascii="宋体" w:hAnsi="宋体" w:cs="宋体"/>
          <w:b w:val="0"/>
          <w:bCs w:val="0"/>
          <w:strike w:val="0"/>
          <w:dstrike w:val="0"/>
          <w:color w:val="000000" w:themeColor="text1"/>
          <w:kern w:val="2"/>
          <w:sz w:val="24"/>
          <w:szCs w:val="22"/>
          <w:highlight w:val="none"/>
          <w:lang w:val="en-US" w:eastAsia="zh-CN" w:bidi="ar-SA"/>
          <w14:textFill>
            <w14:solidFill>
              <w14:schemeClr w14:val="tx1"/>
            </w14:solidFill>
          </w14:textFill>
        </w:rPr>
        <w:t>（3）轨道长度根据甲方现场实际进行设计规划，敷设完成后台车停靠位置应与配电柜、主机设备等保持安全距离。</w:t>
      </w:r>
    </w:p>
    <w:p>
      <w:pPr>
        <w:spacing w:line="360" w:lineRule="auto"/>
        <w:ind w:right="238" w:firstLine="480" w:firstLineChars="200"/>
        <w:rPr>
          <w:rFonts w:hint="default" w:ascii="宋体" w:hAnsi="宋体" w:cs="宋体"/>
          <w:b w:val="0"/>
          <w:bCs w:val="0"/>
          <w:strike w:val="0"/>
          <w:dstrike w:val="0"/>
          <w:color w:val="000000" w:themeColor="text1"/>
          <w:kern w:val="2"/>
          <w:sz w:val="24"/>
          <w:szCs w:val="22"/>
          <w:highlight w:val="none"/>
          <w:lang w:val="en-US" w:eastAsia="zh-CN" w:bidi="ar-SA"/>
          <w14:textFill>
            <w14:solidFill>
              <w14:schemeClr w14:val="tx1"/>
            </w14:solidFill>
          </w14:textFill>
        </w:rPr>
      </w:pPr>
      <w:r>
        <w:rPr>
          <w:rFonts w:hint="eastAsia" w:ascii="宋体" w:hAnsi="宋体" w:cs="宋体"/>
          <w:b w:val="0"/>
          <w:bCs w:val="0"/>
          <w:strike w:val="0"/>
          <w:dstrike w:val="0"/>
          <w:color w:val="000000" w:themeColor="text1"/>
          <w:kern w:val="2"/>
          <w:sz w:val="24"/>
          <w:szCs w:val="22"/>
          <w:highlight w:val="none"/>
          <w:lang w:val="en-US" w:eastAsia="zh-CN" w:bidi="ar-SA"/>
          <w14:textFill>
            <w14:solidFill>
              <w14:schemeClr w14:val="tx1"/>
            </w14:solidFill>
          </w14:textFill>
        </w:rPr>
        <w:t>2.2 车体单元</w:t>
      </w:r>
    </w:p>
    <w:p>
      <w:pPr>
        <w:spacing w:line="360" w:lineRule="auto"/>
        <w:ind w:right="238"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1</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车体单元主体框架采用钢板、型钢焊接加工而成，加工前退火消除应力、喷砂、喷底漆。车体单元及导轨的承载重量应有20%的安全系数，保证换模台车在负载情况下上下、左右偏差量≦0.5mm。</w:t>
      </w:r>
    </w:p>
    <w:p>
      <w:pPr>
        <w:spacing w:line="360" w:lineRule="auto"/>
        <w:ind w:right="238" w:firstLine="480" w:firstLineChars="200"/>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2</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台车</w:t>
      </w:r>
      <w:r>
        <w:rPr>
          <w:rFonts w:hint="eastAsia" w:ascii="宋体" w:hAnsi="宋体" w:eastAsia="宋体" w:cs="宋体"/>
          <w:color w:val="000000" w:themeColor="text1"/>
          <w:sz w:val="24"/>
          <w:highlight w:val="none"/>
          <w14:textFill>
            <w14:solidFill>
              <w14:schemeClr w14:val="tx1"/>
            </w14:solidFill>
          </w14:textFill>
        </w:rPr>
        <w:t>车体单元</w:t>
      </w:r>
      <w:r>
        <w:rPr>
          <w:rFonts w:hint="eastAsia" w:ascii="宋体" w:hAnsi="宋体" w:eastAsia="宋体" w:cs="宋体"/>
          <w:color w:val="000000" w:themeColor="text1"/>
          <w:sz w:val="24"/>
          <w:highlight w:val="none"/>
          <w:lang w:val="en-US" w:eastAsia="zh-CN"/>
          <w14:textFill>
            <w14:solidFill>
              <w14:schemeClr w14:val="tx1"/>
            </w14:solidFill>
          </w14:textFill>
        </w:rPr>
        <w:t>安装完成后，</w:t>
      </w:r>
      <w:r>
        <w:rPr>
          <w:rFonts w:hint="eastAsia" w:ascii="宋体" w:hAnsi="宋体" w:eastAsia="宋体" w:cs="宋体"/>
          <w:color w:val="000000" w:themeColor="text1"/>
          <w:sz w:val="24"/>
          <w:highlight w:val="none"/>
          <w:lang w:eastAsia="zh-CN"/>
          <w14:textFill>
            <w14:solidFill>
              <w14:schemeClr w14:val="tx1"/>
            </w14:solidFill>
          </w14:textFill>
        </w:rPr>
        <w:t>台车装模水平面应与设备下台面平齐，并具备高度调整功能，调整范围±10mm。</w:t>
      </w:r>
    </w:p>
    <w:p>
      <w:pPr>
        <w:spacing w:line="360" w:lineRule="auto"/>
        <w:ind w:right="238" w:firstLine="480" w:firstLineChars="200"/>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3</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台车</w:t>
      </w:r>
      <w:r>
        <w:rPr>
          <w:rFonts w:hint="eastAsia" w:ascii="宋体" w:hAnsi="宋体" w:eastAsia="宋体" w:cs="宋体"/>
          <w:color w:val="000000" w:themeColor="text1"/>
          <w:sz w:val="24"/>
          <w:highlight w:val="none"/>
          <w14:textFill>
            <w14:solidFill>
              <w14:schemeClr w14:val="tx1"/>
            </w14:solidFill>
          </w14:textFill>
        </w:rPr>
        <w:t>车体单元</w:t>
      </w:r>
      <w:r>
        <w:rPr>
          <w:rFonts w:hint="eastAsia" w:ascii="宋体" w:hAnsi="宋体" w:eastAsia="宋体" w:cs="宋体"/>
          <w:color w:val="000000" w:themeColor="text1"/>
          <w:sz w:val="24"/>
          <w:highlight w:val="none"/>
          <w:lang w:val="en-US" w:eastAsia="zh-CN"/>
          <w14:textFill>
            <w14:solidFill>
              <w14:schemeClr w14:val="tx1"/>
            </w14:solidFill>
          </w14:textFill>
        </w:rPr>
        <w:t>放置滚轮机构及定位单元，确保模箱放置时定位准确，推拉过程中模箱无偏转。</w:t>
      </w:r>
    </w:p>
    <w:p>
      <w:pPr>
        <w:spacing w:line="360" w:lineRule="auto"/>
        <w:ind w:right="238"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2.3 行走单元</w:t>
      </w:r>
    </w:p>
    <w:p>
      <w:pPr>
        <w:spacing w:line="360" w:lineRule="auto"/>
        <w:ind w:right="238"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（1）由变频驱动电机、</w:t>
      </w:r>
      <w:r>
        <w:rPr>
          <w:rFonts w:hint="eastAsia" w:ascii="Times New Roman" w:hAnsi="Times New Roman"/>
          <w:color w:val="000000" w:themeColor="text1"/>
          <w:sz w:val="24"/>
          <w:szCs w:val="28"/>
          <w:highlight w:val="none"/>
          <w14:textFill>
            <w14:solidFill>
              <w14:schemeClr w14:val="tx1"/>
            </w14:solidFill>
          </w14:textFill>
        </w:rPr>
        <w:t>传动装置</w:t>
      </w:r>
      <w:r>
        <w:rPr>
          <w:rFonts w:hint="eastAsia" w:ascii="Times New Roman" w:hAnsi="Times New Roman"/>
          <w:color w:val="000000" w:themeColor="text1"/>
          <w:sz w:val="24"/>
          <w:szCs w:val="28"/>
          <w:highlight w:val="none"/>
          <w:lang w:eastAsia="zh-CN"/>
          <w14:textFill>
            <w14:solidFill>
              <w14:schemeClr w14:val="tx1"/>
            </w14:solidFill>
          </w14:textFill>
        </w:rPr>
        <w:t>、</w:t>
      </w:r>
      <w:r>
        <w:rPr>
          <w:rFonts w:hint="eastAsia" w:ascii="Times New Roman" w:hAnsi="Times New Roman"/>
          <w:color w:val="000000" w:themeColor="text1"/>
          <w:sz w:val="24"/>
          <w:szCs w:val="28"/>
          <w:highlight w:val="none"/>
          <w14:textFill>
            <w14:solidFill>
              <w14:schemeClr w14:val="tx1"/>
            </w14:solidFill>
          </w14:textFill>
        </w:rPr>
        <w:t>驱动行走轮</w:t>
      </w:r>
      <w:r>
        <w:rPr>
          <w:rFonts w:hint="eastAsia" w:ascii="Times New Roman" w:hAnsi="Times New Roman"/>
          <w:color w:val="000000" w:themeColor="text1"/>
          <w:sz w:val="24"/>
          <w:szCs w:val="28"/>
          <w:highlight w:val="none"/>
          <w:lang w:eastAsia="zh-CN"/>
          <w14:textFill>
            <w14:solidFill>
              <w14:schemeClr w14:val="tx1"/>
            </w14:solidFill>
          </w14:textFill>
        </w:rPr>
        <w:t>、</w:t>
      </w:r>
      <w:r>
        <w:rPr>
          <w:rFonts w:hint="eastAsia" w:ascii="Times New Roman" w:hAnsi="Times New Roman"/>
          <w:color w:val="000000" w:themeColor="text1"/>
          <w:sz w:val="24"/>
          <w:szCs w:val="28"/>
          <w:highlight w:val="none"/>
          <w14:textFill>
            <w14:solidFill>
              <w14:schemeClr w14:val="tx1"/>
            </w14:solidFill>
          </w14:textFill>
        </w:rPr>
        <w:t>从动行走轮</w:t>
      </w:r>
      <w:r>
        <w:rPr>
          <w:rFonts w:hint="eastAsia" w:ascii="宋体" w:hAnsi="宋体" w:eastAsia="宋体" w:cs="宋体"/>
          <w:color w:val="000000" w:themeColor="text1"/>
          <w:sz w:val="24"/>
          <w:highlight w:val="none"/>
          <w:lang w:val="en-US" w:eastAsia="zh-CN"/>
          <w14:textFill>
            <w14:solidFill>
              <w14:schemeClr w14:val="tx1"/>
            </w14:solidFill>
          </w14:textFill>
        </w:rPr>
        <w:t>等组成。</w:t>
      </w:r>
      <w:r>
        <w:rPr>
          <w:rFonts w:hint="eastAsia" w:ascii="Times New Roman" w:hAnsi="Times New Roman"/>
          <w:color w:val="000000" w:themeColor="text1"/>
          <w:sz w:val="24"/>
          <w:szCs w:val="28"/>
          <w:highlight w:val="none"/>
          <w14:textFill>
            <w14:solidFill>
              <w14:schemeClr w14:val="tx1"/>
            </w14:solidFill>
          </w14:textFill>
        </w:rPr>
        <w:t>对整个换模台车进行支撑，并保证行走的精度。</w:t>
      </w:r>
    </w:p>
    <w:p>
      <w:pPr>
        <w:spacing w:line="360" w:lineRule="auto"/>
        <w:ind w:right="238"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（2）行走单元与导轨配合，</w:t>
      </w:r>
      <w:r>
        <w:rPr>
          <w:rFonts w:hint="eastAsia" w:ascii="宋体" w:hAnsi="宋体" w:eastAsia="宋体" w:cs="宋体"/>
          <w:color w:val="000000" w:themeColor="text1"/>
          <w:sz w:val="24"/>
          <w:highlight w:val="none"/>
          <w:lang w:eastAsia="zh-CN"/>
          <w14:textFill>
            <w14:solidFill>
              <w14:schemeClr w14:val="tx1"/>
            </w14:solidFill>
          </w14:textFill>
        </w:rPr>
        <w:t>台车的载重整体移动速度应在1m-3m/min</w:t>
      </w:r>
      <w:r>
        <w:rPr>
          <w:rFonts w:hint="eastAsia" w:ascii="宋体" w:hAnsi="宋体" w:eastAsia="宋体" w:cs="宋体"/>
          <w:color w:val="000000" w:themeColor="text1"/>
          <w:sz w:val="24"/>
          <w:highlight w:val="none"/>
          <w:lang w:val="en-US" w:eastAsia="zh-CN"/>
          <w14:textFill>
            <w14:solidFill>
              <w14:schemeClr w14:val="tx1"/>
            </w14:solidFill>
          </w14:textFill>
        </w:rPr>
        <w:t>。</w:t>
      </w:r>
    </w:p>
    <w:p>
      <w:pPr>
        <w:spacing w:line="360" w:lineRule="auto"/>
        <w:ind w:right="238"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（3）</w:t>
      </w:r>
      <w:r>
        <w:rPr>
          <w:rFonts w:ascii="宋体" w:hAnsi="宋体" w:eastAsia="宋体" w:cs="宋体"/>
          <w:color w:val="000000" w:themeColor="text1"/>
          <w:kern w:val="0"/>
          <w:sz w:val="24"/>
          <w:szCs w:val="24"/>
          <w:highlight w:val="none"/>
          <w:lang w:val="en-US" w:eastAsia="zh-CN" w:bidi="ar"/>
          <w14:textFill>
            <w14:solidFill>
              <w14:schemeClr w14:val="tx1"/>
            </w14:solidFill>
          </w14:textFill>
        </w:rPr>
        <w:t>行走单元配备双向限位开关（机械限位+电气限位），当台车运行至极限位置时，可实现双重保护，防止设备碰撞损坏。</w:t>
      </w:r>
    </w:p>
    <w:p>
      <w:pPr>
        <w:spacing w:line="360" w:lineRule="auto"/>
        <w:ind w:right="238" w:firstLine="480" w:firstLineChars="200"/>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 xml:space="preserve">2.4 </w:t>
      </w:r>
      <w:r>
        <w:rPr>
          <w:rFonts w:hint="eastAsia" w:ascii="宋体" w:hAnsi="宋体" w:eastAsia="宋体" w:cs="宋体"/>
          <w:color w:val="000000" w:themeColor="text1"/>
          <w:sz w:val="24"/>
          <w:highlight w:val="none"/>
          <w:lang w:eastAsia="zh-CN"/>
          <w14:textFill>
            <w14:solidFill>
              <w14:schemeClr w14:val="tx1"/>
            </w14:solidFill>
          </w14:textFill>
        </w:rPr>
        <w:t>推拉移模机构</w:t>
      </w:r>
    </w:p>
    <w:p>
      <w:pPr>
        <w:spacing w:line="360" w:lineRule="auto"/>
        <w:ind w:right="238" w:firstLine="480" w:firstLineChars="200"/>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1</w:t>
      </w:r>
      <w:r>
        <w:rPr>
          <w:rFonts w:hint="eastAsia" w:ascii="宋体" w:hAnsi="宋体" w:eastAsia="宋体" w:cs="宋体"/>
          <w:color w:val="000000" w:themeColor="text1"/>
          <w:sz w:val="24"/>
          <w:highlight w:val="none"/>
          <w:lang w:eastAsia="zh-CN"/>
          <w14:textFill>
            <w14:solidFill>
              <w14:schemeClr w14:val="tx1"/>
            </w14:solidFill>
          </w14:textFill>
        </w:rPr>
        <w:t>）应采用推拉链条结构形式或采用丝杠传动形式，推拉移模速度应在1m-3m/min。推拉移模机构</w:t>
      </w:r>
      <w:r>
        <w:rPr>
          <w:rFonts w:hint="eastAsia" w:ascii="宋体" w:hAnsi="宋体" w:eastAsia="宋体" w:cs="宋体"/>
          <w:color w:val="000000" w:themeColor="text1"/>
          <w:sz w:val="24"/>
          <w:highlight w:val="none"/>
          <w:lang w:val="en-US" w:eastAsia="zh-CN"/>
          <w14:textFill>
            <w14:solidFill>
              <w14:schemeClr w14:val="tx1"/>
            </w14:solidFill>
          </w14:textFill>
        </w:rPr>
        <w:t>与模箱采用柱销方式连接，投标方根据甲方模箱结构设计连接机构，确保推拉过程中稳定可靠。</w:t>
      </w:r>
    </w:p>
    <w:p>
      <w:pPr>
        <w:spacing w:line="360" w:lineRule="auto"/>
        <w:ind w:right="238"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（2）投标方应充分考虑推拉移模机构的力量及推拉方案，确保模箱能够顺畅的从压机拉出和推入。其中6300T主机模箱底面有滚轮，可实现滚动摩擦；800T切边模箱、3150T主机模箱无滚轮，目前仅可实现取滑动摩擦。</w:t>
      </w:r>
    </w:p>
    <w:p>
      <w:pPr>
        <w:spacing w:line="360" w:lineRule="auto"/>
        <w:ind w:right="238"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（3）模箱推拉过程中，保证平稳可靠。推拉过程中应具备过载保护功能，在传动链路中设置扭矩限制器，当推拉载荷超过额定值105%（可调整）时，切断动力传递，同时控制系统发出报警信号。</w:t>
      </w:r>
    </w:p>
    <w:p>
      <w:pPr>
        <w:spacing w:line="360" w:lineRule="auto"/>
        <w:ind w:right="238"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2.4 控制系统</w:t>
      </w:r>
    </w:p>
    <w:p>
      <w:pPr>
        <w:spacing w:line="360" w:lineRule="auto"/>
        <w:ind w:right="238" w:firstLine="480" w:firstLineChars="200"/>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w:t>
      </w:r>
      <w:r>
        <w:rPr>
          <w:rFonts w:hint="default" w:ascii="宋体" w:hAnsi="宋体" w:eastAsia="宋体" w:cs="宋体"/>
          <w:color w:val="000000" w:themeColor="text1"/>
          <w:sz w:val="24"/>
          <w:highlight w:val="none"/>
          <w:lang w:val="en-US" w:eastAsia="zh-CN"/>
          <w14:textFill>
            <w14:solidFill>
              <w14:schemeClr w14:val="tx1"/>
            </w14:solidFill>
          </w14:textFill>
        </w:rPr>
        <w:t>采用1台电气控制柜，柜体开门利于维修。电控系统设计及系统配置元件性能要满足国际电工IEC标准及中国应用的安全标准，元器件配置先进。</w:t>
      </w:r>
    </w:p>
    <w:p>
      <w:pPr>
        <w:spacing w:line="360" w:lineRule="auto"/>
        <w:ind w:right="238" w:firstLine="480" w:firstLineChars="200"/>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w:t>
      </w:r>
      <w:r>
        <w:rPr>
          <w:rFonts w:hint="default" w:ascii="宋体" w:hAnsi="宋体" w:eastAsia="宋体" w:cs="宋体"/>
          <w:color w:val="000000" w:themeColor="text1"/>
          <w:sz w:val="24"/>
          <w:highlight w:val="none"/>
          <w:lang w:val="en-US" w:eastAsia="zh-CN"/>
          <w14:textFill>
            <w14:solidFill>
              <w14:schemeClr w14:val="tx1"/>
            </w14:solidFill>
          </w14:textFill>
        </w:rPr>
        <w:t>可编程控制器实现总控制功能；利用变频调速实现精确行走和移模；接近关实现到位检测。PLC使用西门子产品，低压电器使用施奈德产品。</w:t>
      </w:r>
    </w:p>
    <w:p>
      <w:pPr>
        <w:spacing w:line="360" w:lineRule="auto"/>
        <w:ind w:right="238" w:firstLine="480" w:firstLineChars="200"/>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（3）</w:t>
      </w:r>
      <w:r>
        <w:rPr>
          <w:rFonts w:hint="default" w:ascii="宋体" w:hAnsi="宋体" w:eastAsia="宋体" w:cs="宋体"/>
          <w:color w:val="000000" w:themeColor="text1"/>
          <w:sz w:val="24"/>
          <w:highlight w:val="none"/>
          <w:lang w:val="en-US" w:eastAsia="zh-CN"/>
          <w14:textFill>
            <w14:solidFill>
              <w14:schemeClr w14:val="tx1"/>
            </w14:solidFill>
          </w14:textFill>
        </w:rPr>
        <w:t>控制系统运行安全可靠、操作灵活、维修方便。控制采用集中控制工作方式，停车方式分为 ：手动停止、自动停止、紧急停止。</w:t>
      </w:r>
    </w:p>
    <w:p>
      <w:pPr>
        <w:spacing w:line="360" w:lineRule="auto"/>
        <w:ind w:right="238"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（4）</w:t>
      </w:r>
      <w:r>
        <w:rPr>
          <w:rFonts w:hint="default" w:ascii="宋体" w:hAnsi="宋体" w:eastAsia="宋体" w:cs="宋体"/>
          <w:color w:val="000000" w:themeColor="text1"/>
          <w:sz w:val="24"/>
          <w:highlight w:val="none"/>
          <w:lang w:val="en-US" w:eastAsia="zh-CN"/>
          <w14:textFill>
            <w14:solidFill>
              <w14:schemeClr w14:val="tx1"/>
            </w14:solidFill>
          </w14:textFill>
        </w:rPr>
        <w:t>操作及信号回路设计操作系统遵循强弱电隔离、多种信号指示的原则</w:t>
      </w:r>
      <w:r>
        <w:rPr>
          <w:rFonts w:hint="eastAsia" w:ascii="宋体" w:hAnsi="宋体" w:eastAsia="宋体" w:cs="宋体"/>
          <w:color w:val="000000" w:themeColor="text1"/>
          <w:sz w:val="24"/>
          <w:highlight w:val="none"/>
          <w:lang w:val="en-US" w:eastAsia="zh-CN"/>
          <w14:textFill>
            <w14:solidFill>
              <w14:schemeClr w14:val="tx1"/>
            </w14:solidFill>
          </w14:textFill>
        </w:rPr>
        <w:t>。</w:t>
      </w:r>
    </w:p>
    <w:p>
      <w:pPr>
        <w:spacing w:line="360" w:lineRule="auto"/>
        <w:ind w:right="238" w:firstLine="482" w:firstLineChars="200"/>
        <w:rPr>
          <w:rFonts w:hint="default" w:ascii="宋体" w:hAnsi="宋体" w:eastAsia="宋体" w:cs="宋体"/>
          <w:b/>
          <w:bCs/>
          <w:color w:val="000000" w:themeColor="text1"/>
          <w:sz w:val="24"/>
          <w:highlight w:val="none"/>
          <w:lang w:val="en-US" w:eastAsia="zh-CN"/>
          <w14:textFill>
            <w14:solidFill>
              <w14:schemeClr w14:val="tx1"/>
            </w14:solidFill>
          </w14:textFill>
        </w:rPr>
      </w:pPr>
      <w:r>
        <w:rPr>
          <w:rFonts w:hint="eastAsia" w:ascii="宋体" w:hAnsi="宋体" w:eastAsia="宋体" w:cs="宋体"/>
          <w:b/>
          <w:bCs/>
          <w:color w:val="000000" w:themeColor="text1"/>
          <w:sz w:val="24"/>
          <w:highlight w:val="none"/>
          <w:lang w:val="en-US" w:eastAsia="zh-CN"/>
          <w14:textFill>
            <w14:solidFill>
              <w14:schemeClr w14:val="tx1"/>
            </w14:solidFill>
          </w14:textFill>
        </w:rPr>
        <w:t>3. 补充要求</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eastAsia="zh-CN"/>
          <w14:textFill>
            <w14:solidFill>
              <w14:schemeClr w14:val="tx1"/>
            </w14:solidFill>
          </w14:textFill>
        </w:rPr>
        <w:t>3.</w:t>
      </w:r>
      <w:r>
        <w:rPr>
          <w:rFonts w:ascii="宋体" w:hAnsi="宋体" w:eastAsia="宋体" w:cs="宋体"/>
          <w:color w:val="000000" w:themeColor="text1"/>
          <w:sz w:val="24"/>
          <w:highlight w:val="none"/>
          <w14:textFill>
            <w14:solidFill>
              <w14:schemeClr w14:val="tx1"/>
            </w14:solidFill>
          </w14:textFill>
        </w:rPr>
        <w:t>7</w:t>
      </w:r>
      <w:r>
        <w:rPr>
          <w:rFonts w:hint="eastAsia" w:ascii="宋体" w:hAnsi="宋体" w:eastAsia="宋体" w:cs="宋体"/>
          <w:color w:val="000000" w:themeColor="text1"/>
          <w:sz w:val="24"/>
          <w:highlight w:val="none"/>
          <w14:textFill>
            <w14:solidFill>
              <w14:schemeClr w14:val="tx1"/>
            </w14:solidFill>
          </w14:textFill>
        </w:rPr>
        <w:t xml:space="preserve"> 投标方应向甲方提供设备制造进度计划表，当实际进度严重偏离计划时，应向甲方说明。</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eastAsia="zh-CN"/>
          <w14:textFill>
            <w14:solidFill>
              <w14:schemeClr w14:val="tx1"/>
            </w14:solidFill>
          </w14:textFill>
        </w:rPr>
        <w:t>3.</w:t>
      </w:r>
      <w:r>
        <w:rPr>
          <w:rFonts w:ascii="宋体" w:hAnsi="宋体" w:eastAsia="宋体" w:cs="宋体"/>
          <w:color w:val="000000" w:themeColor="text1"/>
          <w:sz w:val="24"/>
          <w:highlight w:val="none"/>
          <w14:textFill>
            <w14:solidFill>
              <w14:schemeClr w14:val="tx1"/>
            </w14:solidFill>
          </w14:textFill>
        </w:rPr>
        <w:t>8</w:t>
      </w:r>
      <w:r>
        <w:rPr>
          <w:rFonts w:hint="eastAsia" w:ascii="宋体" w:hAnsi="宋体" w:eastAsia="宋体" w:cs="宋体"/>
          <w:color w:val="000000" w:themeColor="text1"/>
          <w:sz w:val="24"/>
          <w:highlight w:val="none"/>
          <w14:textFill>
            <w14:solidFill>
              <w14:schemeClr w14:val="tx1"/>
            </w14:solidFill>
          </w14:textFill>
        </w:rPr>
        <w:t xml:space="preserve"> 设备机身、气动管路、液压管路管路等颜色要求详见下表，漆面均匀无气泡、龟裂和其它缺陷,设备旋转零部件，如电机等需有旋转标识。</w:t>
      </w:r>
    </w:p>
    <w:p>
      <w:pPr>
        <w:pStyle w:val="2"/>
        <w:rPr>
          <w:rFonts w:ascii="宋体" w:hAnsi="宋体" w:cs="宋体"/>
          <w:b w:val="0"/>
          <w:bCs w:val="0"/>
          <w:color w:val="000000" w:themeColor="text1"/>
          <w:szCs w:val="22"/>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drawing>
          <wp:anchor distT="0" distB="0" distL="114300" distR="114300" simplePos="0" relativeHeight="251659264" behindDoc="0" locked="0" layoutInCell="1" allowOverlap="1">
            <wp:simplePos x="0" y="0"/>
            <wp:positionH relativeFrom="column">
              <wp:posOffset>234950</wp:posOffset>
            </wp:positionH>
            <wp:positionV relativeFrom="paragraph">
              <wp:posOffset>1905</wp:posOffset>
            </wp:positionV>
            <wp:extent cx="5148580" cy="4161790"/>
            <wp:effectExtent l="0" t="0" r="13970" b="10160"/>
            <wp:wrapSquare wrapText="bothSides"/>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24"/>
                    <a:srcRect t="6644" r="-137"/>
                    <a:stretch>
                      <a:fillRect/>
                    </a:stretch>
                  </pic:blipFill>
                  <pic:spPr>
                    <a:xfrm>
                      <a:off x="0" y="0"/>
                      <a:ext cx="5148580" cy="4161790"/>
                    </a:xfrm>
                    <a:prstGeom prst="rect">
                      <a:avLst/>
                    </a:prstGeom>
                    <a:noFill/>
                    <a:ln>
                      <a:noFill/>
                    </a:ln>
                  </pic:spPr>
                </pic:pic>
              </a:graphicData>
            </a:graphic>
          </wp:anchor>
        </w:drawing>
      </w:r>
      <w:r>
        <w:rPr>
          <w:rFonts w:hint="eastAsia" w:ascii="宋体" w:hAnsi="宋体" w:cs="宋体"/>
          <w:b w:val="0"/>
          <w:bCs w:val="0"/>
          <w:color w:val="000000" w:themeColor="text1"/>
          <w:szCs w:val="22"/>
          <w:highlight w:val="none"/>
          <w14:textFill>
            <w14:solidFill>
              <w14:schemeClr w14:val="tx1"/>
            </w14:solidFill>
          </w14:textFill>
        </w:rPr>
        <w:t xml:space="preserve">  </w:t>
      </w:r>
    </w:p>
    <w:p>
      <w:pPr>
        <w:pStyle w:val="2"/>
        <w:rPr>
          <w:rFonts w:ascii="宋体" w:hAnsi="宋体" w:cs="宋体"/>
          <w:color w:val="000000" w:themeColor="text1"/>
          <w:highlight w:val="none"/>
          <w14:textFill>
            <w14:solidFill>
              <w14:schemeClr w14:val="tx1"/>
            </w14:solidFill>
          </w14:textFill>
        </w:rPr>
      </w:pPr>
    </w:p>
    <w:p>
      <w:pPr>
        <w:rPr>
          <w:rFonts w:ascii="宋体" w:hAnsi="宋体" w:eastAsia="宋体" w:cs="宋体"/>
          <w:color w:val="000000" w:themeColor="text1"/>
          <w:sz w:val="24"/>
          <w:highlight w:val="none"/>
          <w14:textFill>
            <w14:solidFill>
              <w14:schemeClr w14:val="tx1"/>
            </w14:solidFill>
          </w14:textFill>
        </w:rPr>
      </w:pPr>
    </w:p>
    <w:p>
      <w:pPr>
        <w:rPr>
          <w:rFonts w:ascii="宋体" w:hAnsi="宋体" w:eastAsia="宋体" w:cs="宋体"/>
          <w:color w:val="000000" w:themeColor="text1"/>
          <w:sz w:val="24"/>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drawing>
          <wp:inline distT="0" distB="0" distL="114300" distR="114300">
            <wp:extent cx="5575935" cy="5828030"/>
            <wp:effectExtent l="0" t="0" r="5715" b="127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25"/>
                    <a:stretch>
                      <a:fillRect/>
                    </a:stretch>
                  </pic:blipFill>
                  <pic:spPr>
                    <a:xfrm>
                      <a:off x="0" y="0"/>
                      <a:ext cx="5575935" cy="5828030"/>
                    </a:xfrm>
                    <a:prstGeom prst="rect">
                      <a:avLst/>
                    </a:prstGeom>
                    <a:noFill/>
                    <a:ln>
                      <a:noFill/>
                    </a:ln>
                  </pic:spPr>
                </pic:pic>
              </a:graphicData>
            </a:graphic>
          </wp:inline>
        </w:drawing>
      </w:r>
    </w:p>
    <w:p>
      <w:pPr>
        <w:pStyle w:val="2"/>
        <w:ind w:firstLine="640" w:firstLineChars="200"/>
        <w:rPr>
          <w:rFonts w:hint="eastAsia" w:ascii="宋体" w:hAnsi="宋体" w:cs="宋体"/>
          <w:b w:val="0"/>
          <w:bCs w:val="0"/>
          <w:color w:val="000000" w:themeColor="text1"/>
          <w:szCs w:val="22"/>
          <w:highlight w:val="none"/>
          <w14:textFill>
            <w14:solidFill>
              <w14:schemeClr w14:val="tx1"/>
            </w14:solidFill>
          </w14:textFill>
        </w:rPr>
      </w:pPr>
      <w:r>
        <w:rPr>
          <w:rFonts w:hint="eastAsia" w:ascii="宋体" w:hAnsi="宋体" w:cs="宋体"/>
          <w:b w:val="0"/>
          <w:bCs w:val="0"/>
          <w:color w:val="000000" w:themeColor="text1"/>
          <w:szCs w:val="22"/>
          <w:highlight w:val="none"/>
          <w:lang w:eastAsia="zh-CN"/>
          <w14:textFill>
            <w14:solidFill>
              <w14:schemeClr w14:val="tx1"/>
            </w14:solidFill>
          </w14:textFill>
        </w:rPr>
        <w:t>3.</w:t>
      </w:r>
      <w:r>
        <w:rPr>
          <w:rFonts w:ascii="宋体" w:hAnsi="宋体" w:cs="宋体"/>
          <w:b w:val="0"/>
          <w:bCs w:val="0"/>
          <w:color w:val="000000" w:themeColor="text1"/>
          <w:szCs w:val="22"/>
          <w:highlight w:val="none"/>
          <w14:textFill>
            <w14:solidFill>
              <w14:schemeClr w14:val="tx1"/>
            </w14:solidFill>
          </w14:textFill>
        </w:rPr>
        <w:t>9</w:t>
      </w:r>
      <w:r>
        <w:rPr>
          <w:rFonts w:hint="eastAsia" w:ascii="宋体" w:hAnsi="宋体" w:cs="宋体"/>
          <w:b w:val="0"/>
          <w:bCs w:val="0"/>
          <w:color w:val="000000" w:themeColor="text1"/>
          <w:szCs w:val="22"/>
          <w:highlight w:val="none"/>
          <w14:textFill>
            <w14:solidFill>
              <w14:schemeClr w14:val="tx1"/>
            </w14:solidFill>
          </w14:textFill>
        </w:rPr>
        <w:t xml:space="preserve"> </w:t>
      </w:r>
      <w:bookmarkStart w:id="22" w:name="OLE_LINK3"/>
      <w:bookmarkStart w:id="23" w:name="OLE_LINK2"/>
      <w:r>
        <w:rPr>
          <w:rFonts w:hint="eastAsia" w:ascii="宋体" w:hAnsi="宋体" w:cs="宋体"/>
          <w:b w:val="0"/>
          <w:bCs w:val="0"/>
          <w:color w:val="000000" w:themeColor="text1"/>
          <w:szCs w:val="22"/>
          <w:highlight w:val="none"/>
          <w14:textFill>
            <w14:solidFill>
              <w14:schemeClr w14:val="tx1"/>
            </w14:solidFill>
          </w14:textFill>
        </w:rPr>
        <w:t>传动轴承选用FAG、NSK、SKF等同等质量的产品。</w:t>
      </w:r>
      <w:bookmarkEnd w:id="22"/>
      <w:bookmarkEnd w:id="23"/>
      <w:r>
        <w:rPr>
          <w:rFonts w:hint="eastAsia" w:ascii="宋体" w:hAnsi="宋体" w:cs="宋体"/>
          <w:b w:val="0"/>
          <w:bCs w:val="0"/>
          <w:color w:val="000000" w:themeColor="text1"/>
          <w:szCs w:val="22"/>
          <w:highlight w:val="none"/>
          <w14:textFill>
            <w14:solidFill>
              <w14:schemeClr w14:val="tx1"/>
            </w14:solidFill>
          </w14:textFill>
        </w:rPr>
        <w:t>电机减速机选用杰牌、国茂、宁波东力等同等质量的产品。</w:t>
      </w:r>
    </w:p>
    <w:p>
      <w:pPr>
        <w:pStyle w:val="2"/>
        <w:ind w:firstLine="640" w:firstLineChars="200"/>
        <w:rPr>
          <w:rFonts w:ascii="宋体" w:hAnsi="宋体" w:cs="宋体"/>
          <w:b w:val="0"/>
          <w:bCs w:val="0"/>
          <w:color w:val="000000" w:themeColor="text1"/>
          <w:szCs w:val="22"/>
          <w:highlight w:val="none"/>
          <w14:textFill>
            <w14:solidFill>
              <w14:schemeClr w14:val="tx1"/>
            </w14:solidFill>
          </w14:textFill>
        </w:rPr>
      </w:pPr>
      <w:r>
        <w:rPr>
          <w:rFonts w:hint="eastAsia" w:ascii="宋体" w:hAnsi="宋体" w:cs="宋体"/>
          <w:b w:val="0"/>
          <w:bCs w:val="0"/>
          <w:color w:val="000000" w:themeColor="text1"/>
          <w:szCs w:val="22"/>
          <w:highlight w:val="none"/>
          <w:lang w:eastAsia="zh-CN"/>
          <w14:textFill>
            <w14:solidFill>
              <w14:schemeClr w14:val="tx1"/>
            </w14:solidFill>
          </w14:textFill>
        </w:rPr>
        <w:t>3.</w:t>
      </w:r>
      <w:r>
        <w:rPr>
          <w:rFonts w:ascii="宋体" w:hAnsi="宋体" w:cs="宋体"/>
          <w:b w:val="0"/>
          <w:bCs w:val="0"/>
          <w:color w:val="000000" w:themeColor="text1"/>
          <w:szCs w:val="22"/>
          <w:highlight w:val="none"/>
          <w14:textFill>
            <w14:solidFill>
              <w14:schemeClr w14:val="tx1"/>
            </w14:solidFill>
          </w14:textFill>
        </w:rPr>
        <w:t>10</w:t>
      </w:r>
      <w:r>
        <w:rPr>
          <w:rFonts w:hint="eastAsia" w:ascii="宋体" w:hAnsi="宋体" w:cs="宋体"/>
          <w:b w:val="0"/>
          <w:bCs w:val="0"/>
          <w:color w:val="000000" w:themeColor="text1"/>
          <w:szCs w:val="22"/>
          <w:highlight w:val="none"/>
          <w14:textFill>
            <w14:solidFill>
              <w14:schemeClr w14:val="tx1"/>
            </w14:solidFill>
          </w14:textFill>
        </w:rPr>
        <w:t xml:space="preserve"> 如使用液压驱动，需带保压装置，可任意位置停机，产品保持平稳不会移动，设备安全可靠。</w:t>
      </w:r>
    </w:p>
    <w:p>
      <w:pPr>
        <w:pStyle w:val="2"/>
        <w:rPr>
          <w:rFonts w:ascii="宋体" w:hAnsi="宋体" w:cs="宋体"/>
          <w:b w:val="0"/>
          <w:bCs w:val="0"/>
          <w:color w:val="000000" w:themeColor="text1"/>
          <w:szCs w:val="22"/>
          <w:highlight w:val="none"/>
          <w14:textFill>
            <w14:solidFill>
              <w14:schemeClr w14:val="tx1"/>
            </w14:solidFill>
          </w14:textFill>
        </w:rPr>
      </w:pPr>
      <w:r>
        <w:rPr>
          <w:rFonts w:hint="eastAsia" w:ascii="宋体" w:hAnsi="宋体" w:cs="宋体"/>
          <w:b w:val="0"/>
          <w:bCs w:val="0"/>
          <w:color w:val="000000" w:themeColor="text1"/>
          <w:szCs w:val="22"/>
          <w:highlight w:val="none"/>
          <w14:textFill>
            <w14:solidFill>
              <w14:schemeClr w14:val="tx1"/>
            </w14:solidFill>
          </w14:textFill>
        </w:rPr>
        <w:t xml:space="preserve">    </w:t>
      </w:r>
      <w:r>
        <w:rPr>
          <w:rFonts w:hint="eastAsia" w:ascii="宋体" w:hAnsi="宋体" w:cs="宋体"/>
          <w:b w:val="0"/>
          <w:bCs w:val="0"/>
          <w:color w:val="000000" w:themeColor="text1"/>
          <w:szCs w:val="22"/>
          <w:highlight w:val="none"/>
          <w:lang w:eastAsia="zh-CN"/>
          <w14:textFill>
            <w14:solidFill>
              <w14:schemeClr w14:val="tx1"/>
            </w14:solidFill>
          </w14:textFill>
        </w:rPr>
        <w:t>3.</w:t>
      </w:r>
      <w:r>
        <w:rPr>
          <w:rFonts w:ascii="宋体" w:hAnsi="宋体" w:cs="宋体"/>
          <w:b w:val="0"/>
          <w:bCs w:val="0"/>
          <w:color w:val="000000" w:themeColor="text1"/>
          <w:szCs w:val="22"/>
          <w:highlight w:val="none"/>
          <w14:textFill>
            <w14:solidFill>
              <w14:schemeClr w14:val="tx1"/>
            </w14:solidFill>
          </w14:textFill>
        </w:rPr>
        <w:t>11</w:t>
      </w:r>
      <w:r>
        <w:rPr>
          <w:rFonts w:hint="eastAsia" w:ascii="宋体" w:hAnsi="宋体" w:cs="宋体"/>
          <w:b w:val="0"/>
          <w:bCs w:val="0"/>
          <w:color w:val="000000" w:themeColor="text1"/>
          <w:szCs w:val="22"/>
          <w:highlight w:val="none"/>
          <w14:textFill>
            <w14:solidFill>
              <w14:schemeClr w14:val="tx1"/>
            </w14:solidFill>
          </w14:textFill>
        </w:rPr>
        <w:t>有过电流保护装置，如遇过载情况，有自动停机保护，不会损坏液压泵站电机。</w:t>
      </w:r>
    </w:p>
    <w:p>
      <w:pPr>
        <w:pStyle w:val="2"/>
        <w:ind w:firstLine="640" w:firstLineChars="200"/>
        <w:rPr>
          <w:rFonts w:ascii="宋体" w:hAnsi="宋体" w:cs="宋体"/>
          <w:b w:val="0"/>
          <w:bCs w:val="0"/>
          <w:color w:val="000000" w:themeColor="text1"/>
          <w:szCs w:val="22"/>
          <w:highlight w:val="none"/>
          <w14:textFill>
            <w14:solidFill>
              <w14:schemeClr w14:val="tx1"/>
            </w14:solidFill>
          </w14:textFill>
        </w:rPr>
      </w:pPr>
      <w:r>
        <w:rPr>
          <w:rFonts w:hint="eastAsia" w:ascii="宋体" w:hAnsi="宋体" w:cs="宋体"/>
          <w:b w:val="0"/>
          <w:bCs w:val="0"/>
          <w:color w:val="000000" w:themeColor="text1"/>
          <w:szCs w:val="22"/>
          <w:highlight w:val="none"/>
          <w:lang w:eastAsia="zh-CN"/>
          <w14:textFill>
            <w14:solidFill>
              <w14:schemeClr w14:val="tx1"/>
            </w14:solidFill>
          </w14:textFill>
        </w:rPr>
        <w:t>3.</w:t>
      </w:r>
      <w:r>
        <w:rPr>
          <w:rFonts w:hint="eastAsia" w:ascii="宋体" w:hAnsi="宋体" w:cs="宋体"/>
          <w:b w:val="0"/>
          <w:bCs w:val="0"/>
          <w:color w:val="000000" w:themeColor="text1"/>
          <w:szCs w:val="22"/>
          <w:highlight w:val="none"/>
          <w14:textFill>
            <w14:solidFill>
              <w14:schemeClr w14:val="tx1"/>
            </w14:solidFill>
          </w14:textFill>
        </w:rPr>
        <w:t>1</w:t>
      </w:r>
      <w:r>
        <w:rPr>
          <w:rFonts w:ascii="宋体" w:hAnsi="宋体" w:cs="宋体"/>
          <w:b w:val="0"/>
          <w:bCs w:val="0"/>
          <w:color w:val="000000" w:themeColor="text1"/>
          <w:szCs w:val="22"/>
          <w:highlight w:val="none"/>
          <w14:textFill>
            <w14:solidFill>
              <w14:schemeClr w14:val="tx1"/>
            </w14:solidFill>
          </w14:textFill>
        </w:rPr>
        <w:t>2</w:t>
      </w:r>
      <w:r>
        <w:rPr>
          <w:rFonts w:hint="eastAsia" w:ascii="宋体" w:hAnsi="宋体" w:cs="宋体"/>
          <w:b w:val="0"/>
          <w:bCs w:val="0"/>
          <w:color w:val="000000" w:themeColor="text1"/>
          <w:szCs w:val="22"/>
          <w:highlight w:val="none"/>
          <w14:textFill>
            <w14:solidFill>
              <w14:schemeClr w14:val="tx1"/>
            </w14:solidFill>
          </w14:textFill>
        </w:rPr>
        <w:t xml:space="preserve"> 装有空气开关，含过流、过载、短路、缺相保护功能。三相线互换不会影响限位保护装置的保护功能。</w:t>
      </w:r>
    </w:p>
    <w:p>
      <w:pPr>
        <w:pStyle w:val="2"/>
        <w:rPr>
          <w:rFonts w:ascii="宋体" w:hAnsi="宋体" w:cs="宋体"/>
          <w:b w:val="0"/>
          <w:bCs w:val="0"/>
          <w:color w:val="000000" w:themeColor="text1"/>
          <w:szCs w:val="22"/>
          <w:highlight w:val="none"/>
          <w14:textFill>
            <w14:solidFill>
              <w14:schemeClr w14:val="tx1"/>
            </w14:solidFill>
          </w14:textFill>
        </w:rPr>
      </w:pPr>
      <w:r>
        <w:rPr>
          <w:rFonts w:hint="eastAsia" w:ascii="宋体" w:hAnsi="宋体" w:cs="宋体"/>
          <w:b w:val="0"/>
          <w:bCs w:val="0"/>
          <w:color w:val="000000" w:themeColor="text1"/>
          <w:szCs w:val="22"/>
          <w:highlight w:val="none"/>
          <w14:textFill>
            <w14:solidFill>
              <w14:schemeClr w14:val="tx1"/>
            </w14:solidFill>
          </w14:textFill>
        </w:rPr>
        <w:t xml:space="preserve">    </w:t>
      </w:r>
      <w:r>
        <w:rPr>
          <w:rFonts w:hint="eastAsia" w:ascii="宋体" w:hAnsi="宋体" w:cs="宋体"/>
          <w:b w:val="0"/>
          <w:bCs w:val="0"/>
          <w:color w:val="000000" w:themeColor="text1"/>
          <w:szCs w:val="22"/>
          <w:highlight w:val="none"/>
          <w:lang w:eastAsia="zh-CN"/>
          <w14:textFill>
            <w14:solidFill>
              <w14:schemeClr w14:val="tx1"/>
            </w14:solidFill>
          </w14:textFill>
        </w:rPr>
        <w:t>3.</w:t>
      </w:r>
      <w:r>
        <w:rPr>
          <w:rFonts w:hint="eastAsia" w:ascii="宋体" w:hAnsi="宋体" w:cs="宋体"/>
          <w:b w:val="0"/>
          <w:bCs w:val="0"/>
          <w:color w:val="000000" w:themeColor="text1"/>
          <w:szCs w:val="22"/>
          <w:highlight w:val="none"/>
          <w14:textFill>
            <w14:solidFill>
              <w14:schemeClr w14:val="tx1"/>
            </w14:solidFill>
          </w14:textFill>
        </w:rPr>
        <w:t>1</w:t>
      </w:r>
      <w:r>
        <w:rPr>
          <w:rFonts w:ascii="宋体" w:hAnsi="宋体" w:cs="宋体"/>
          <w:b w:val="0"/>
          <w:bCs w:val="0"/>
          <w:color w:val="000000" w:themeColor="text1"/>
          <w:szCs w:val="22"/>
          <w:highlight w:val="none"/>
          <w14:textFill>
            <w14:solidFill>
              <w14:schemeClr w14:val="tx1"/>
            </w14:solidFill>
          </w14:textFill>
        </w:rPr>
        <w:t>3</w:t>
      </w:r>
      <w:r>
        <w:rPr>
          <w:rFonts w:hint="eastAsia" w:ascii="宋体" w:hAnsi="宋体" w:cs="宋体"/>
          <w:b w:val="0"/>
          <w:bCs w:val="0"/>
          <w:color w:val="000000" w:themeColor="text1"/>
          <w:szCs w:val="22"/>
          <w:highlight w:val="none"/>
          <w14:textFill>
            <w14:solidFill>
              <w14:schemeClr w14:val="tx1"/>
            </w14:solidFill>
          </w14:textFill>
        </w:rPr>
        <w:t xml:space="preserve"> 润滑点设置全面合理，如轴承、旋转轴套等处。</w:t>
      </w:r>
    </w:p>
    <w:p>
      <w:pPr>
        <w:pStyle w:val="2"/>
        <w:ind w:firstLine="640" w:firstLineChars="200"/>
        <w:rPr>
          <w:rFonts w:ascii="宋体" w:hAnsi="宋体" w:cs="宋体"/>
          <w:b w:val="0"/>
          <w:bCs w:val="0"/>
          <w:color w:val="000000" w:themeColor="text1"/>
          <w:szCs w:val="22"/>
          <w:highlight w:val="none"/>
          <w14:textFill>
            <w14:solidFill>
              <w14:schemeClr w14:val="tx1"/>
            </w14:solidFill>
          </w14:textFill>
        </w:rPr>
      </w:pPr>
      <w:r>
        <w:rPr>
          <w:rFonts w:hint="eastAsia" w:ascii="宋体" w:hAnsi="宋体" w:cs="宋体"/>
          <w:b w:val="0"/>
          <w:bCs w:val="0"/>
          <w:color w:val="000000" w:themeColor="text1"/>
          <w:szCs w:val="22"/>
          <w:highlight w:val="none"/>
          <w:lang w:eastAsia="zh-CN"/>
          <w14:textFill>
            <w14:solidFill>
              <w14:schemeClr w14:val="tx1"/>
            </w14:solidFill>
          </w14:textFill>
        </w:rPr>
        <w:t>3.</w:t>
      </w:r>
      <w:r>
        <w:rPr>
          <w:rFonts w:hint="eastAsia" w:ascii="宋体" w:hAnsi="宋体" w:cs="宋体"/>
          <w:b w:val="0"/>
          <w:bCs w:val="0"/>
          <w:color w:val="000000" w:themeColor="text1"/>
          <w:szCs w:val="22"/>
          <w:highlight w:val="none"/>
          <w14:textFill>
            <w14:solidFill>
              <w14:schemeClr w14:val="tx1"/>
            </w14:solidFill>
          </w14:textFill>
        </w:rPr>
        <w:t>1</w:t>
      </w:r>
      <w:r>
        <w:rPr>
          <w:rFonts w:ascii="宋体" w:hAnsi="宋体" w:cs="宋体"/>
          <w:b w:val="0"/>
          <w:bCs w:val="0"/>
          <w:color w:val="000000" w:themeColor="text1"/>
          <w:szCs w:val="22"/>
          <w:highlight w:val="none"/>
          <w14:textFill>
            <w14:solidFill>
              <w14:schemeClr w14:val="tx1"/>
            </w14:solidFill>
          </w14:textFill>
        </w:rPr>
        <w:t>4</w:t>
      </w:r>
      <w:r>
        <w:rPr>
          <w:rFonts w:hint="eastAsia" w:ascii="宋体" w:hAnsi="宋体" w:cs="宋体"/>
          <w:b w:val="0"/>
          <w:bCs w:val="0"/>
          <w:color w:val="000000" w:themeColor="text1"/>
          <w:szCs w:val="22"/>
          <w:highlight w:val="none"/>
          <w14:textFill>
            <w14:solidFill>
              <w14:schemeClr w14:val="tx1"/>
            </w14:solidFill>
          </w14:textFill>
        </w:rPr>
        <w:t>液压系统压力检测开关均使用数显压力继电器，建议采用易福门、贺德克等国际知名品牌。通过压力继电器实现高低压报警，压力异常时设备动作停止并报警。</w:t>
      </w:r>
    </w:p>
    <w:p>
      <w:pPr>
        <w:pStyle w:val="2"/>
        <w:ind w:firstLine="640" w:firstLineChars="200"/>
        <w:rPr>
          <w:rFonts w:ascii="宋体" w:hAnsi="宋体" w:cs="宋体"/>
          <w:b w:val="0"/>
          <w:bCs w:val="0"/>
          <w:color w:val="000000" w:themeColor="text1"/>
          <w:szCs w:val="22"/>
          <w:highlight w:val="none"/>
          <w14:textFill>
            <w14:solidFill>
              <w14:schemeClr w14:val="tx1"/>
            </w14:solidFill>
          </w14:textFill>
        </w:rPr>
      </w:pPr>
      <w:r>
        <w:rPr>
          <w:rFonts w:hint="eastAsia" w:ascii="宋体" w:hAnsi="宋体" w:cs="宋体"/>
          <w:b w:val="0"/>
          <w:bCs w:val="0"/>
          <w:color w:val="000000" w:themeColor="text1"/>
          <w:szCs w:val="22"/>
          <w:highlight w:val="none"/>
          <w:lang w:eastAsia="zh-CN"/>
          <w14:textFill>
            <w14:solidFill>
              <w14:schemeClr w14:val="tx1"/>
            </w14:solidFill>
          </w14:textFill>
        </w:rPr>
        <w:t>3.</w:t>
      </w:r>
      <w:r>
        <w:rPr>
          <w:rFonts w:hint="eastAsia" w:ascii="宋体" w:hAnsi="宋体" w:cs="宋体"/>
          <w:b w:val="0"/>
          <w:bCs w:val="0"/>
          <w:color w:val="000000" w:themeColor="text1"/>
          <w:szCs w:val="22"/>
          <w:highlight w:val="none"/>
          <w14:textFill>
            <w14:solidFill>
              <w14:schemeClr w14:val="tx1"/>
            </w14:solidFill>
          </w14:textFill>
        </w:rPr>
        <w:t>1</w:t>
      </w:r>
      <w:r>
        <w:rPr>
          <w:rFonts w:ascii="宋体" w:hAnsi="宋体" w:cs="宋体"/>
          <w:b w:val="0"/>
          <w:bCs w:val="0"/>
          <w:color w:val="000000" w:themeColor="text1"/>
          <w:szCs w:val="22"/>
          <w:highlight w:val="none"/>
          <w14:textFill>
            <w14:solidFill>
              <w14:schemeClr w14:val="tx1"/>
            </w14:solidFill>
          </w14:textFill>
        </w:rPr>
        <w:t>5</w:t>
      </w:r>
      <w:r>
        <w:rPr>
          <w:rFonts w:hint="eastAsia" w:ascii="宋体" w:hAnsi="宋体" w:cs="宋体"/>
          <w:b w:val="0"/>
          <w:bCs w:val="0"/>
          <w:color w:val="000000" w:themeColor="text1"/>
          <w:szCs w:val="22"/>
          <w:highlight w:val="none"/>
          <w14:textFill>
            <w14:solidFill>
              <w14:schemeClr w14:val="tx1"/>
            </w14:solidFill>
          </w14:textFill>
        </w:rPr>
        <w:t xml:space="preserve"> 液压软管：单根液压软管最大长度应小于6米，超过该距离时，使用基本等长的2-3根软管进行连接。 </w:t>
      </w:r>
    </w:p>
    <w:p>
      <w:pPr>
        <w:pStyle w:val="2"/>
        <w:ind w:firstLine="640" w:firstLineChars="200"/>
        <w:rPr>
          <w:rFonts w:ascii="宋体" w:hAnsi="宋体" w:cs="宋体"/>
          <w:b w:val="0"/>
          <w:bCs w:val="0"/>
          <w:color w:val="000000" w:themeColor="text1"/>
          <w:szCs w:val="22"/>
          <w:highlight w:val="none"/>
          <w14:textFill>
            <w14:solidFill>
              <w14:schemeClr w14:val="tx1"/>
            </w14:solidFill>
          </w14:textFill>
        </w:rPr>
      </w:pPr>
      <w:r>
        <w:rPr>
          <w:rFonts w:hint="eastAsia" w:ascii="宋体" w:hAnsi="宋体" w:cs="宋体"/>
          <w:b w:val="0"/>
          <w:bCs w:val="0"/>
          <w:color w:val="000000" w:themeColor="text1"/>
          <w:szCs w:val="22"/>
          <w:highlight w:val="none"/>
          <w:lang w:eastAsia="zh-CN"/>
          <w14:textFill>
            <w14:solidFill>
              <w14:schemeClr w14:val="tx1"/>
            </w14:solidFill>
          </w14:textFill>
        </w:rPr>
        <w:t>3.</w:t>
      </w:r>
      <w:r>
        <w:rPr>
          <w:rFonts w:hint="eastAsia" w:ascii="宋体" w:hAnsi="宋体" w:cs="宋体"/>
          <w:b w:val="0"/>
          <w:bCs w:val="0"/>
          <w:color w:val="000000" w:themeColor="text1"/>
          <w:szCs w:val="22"/>
          <w:highlight w:val="none"/>
          <w14:textFill>
            <w14:solidFill>
              <w14:schemeClr w14:val="tx1"/>
            </w14:solidFill>
          </w14:textFill>
        </w:rPr>
        <w:t>1</w:t>
      </w:r>
      <w:r>
        <w:rPr>
          <w:rFonts w:ascii="宋体" w:hAnsi="宋体" w:cs="宋体"/>
          <w:b w:val="0"/>
          <w:bCs w:val="0"/>
          <w:color w:val="000000" w:themeColor="text1"/>
          <w:szCs w:val="22"/>
          <w:highlight w:val="none"/>
          <w14:textFill>
            <w14:solidFill>
              <w14:schemeClr w14:val="tx1"/>
            </w14:solidFill>
          </w14:textFill>
        </w:rPr>
        <w:t>6</w:t>
      </w:r>
      <w:r>
        <w:rPr>
          <w:rFonts w:hint="eastAsia" w:ascii="宋体" w:hAnsi="宋体" w:cs="宋体"/>
          <w:b w:val="0"/>
          <w:bCs w:val="0"/>
          <w:color w:val="000000" w:themeColor="text1"/>
          <w:szCs w:val="22"/>
          <w:highlight w:val="none"/>
          <w14:textFill>
            <w14:solidFill>
              <w14:schemeClr w14:val="tx1"/>
            </w14:solidFill>
          </w14:textFill>
        </w:rPr>
        <w:t xml:space="preserve"> 液压油箱配有高低油温报警、低油位报警。</w:t>
      </w:r>
    </w:p>
    <w:p>
      <w:pPr>
        <w:pStyle w:val="2"/>
        <w:ind w:firstLine="640" w:firstLineChars="200"/>
        <w:rPr>
          <w:rFonts w:ascii="宋体" w:hAnsi="宋体" w:cs="宋体"/>
          <w:b w:val="0"/>
          <w:bCs w:val="0"/>
          <w:color w:val="000000" w:themeColor="text1"/>
          <w:szCs w:val="22"/>
          <w:highlight w:val="none"/>
          <w14:textFill>
            <w14:solidFill>
              <w14:schemeClr w14:val="tx1"/>
            </w14:solidFill>
          </w14:textFill>
        </w:rPr>
      </w:pPr>
      <w:r>
        <w:rPr>
          <w:rFonts w:hint="eastAsia" w:ascii="宋体" w:hAnsi="宋体" w:cs="宋体"/>
          <w:b w:val="0"/>
          <w:bCs w:val="0"/>
          <w:color w:val="000000" w:themeColor="text1"/>
          <w:szCs w:val="22"/>
          <w:highlight w:val="none"/>
          <w:lang w:eastAsia="zh-CN"/>
          <w14:textFill>
            <w14:solidFill>
              <w14:schemeClr w14:val="tx1"/>
            </w14:solidFill>
          </w14:textFill>
        </w:rPr>
        <w:t>3.</w:t>
      </w:r>
      <w:r>
        <w:rPr>
          <w:rFonts w:hint="eastAsia" w:ascii="宋体" w:hAnsi="宋体" w:cs="宋体"/>
          <w:b w:val="0"/>
          <w:bCs w:val="0"/>
          <w:color w:val="000000" w:themeColor="text1"/>
          <w:szCs w:val="22"/>
          <w:highlight w:val="none"/>
          <w14:textFill>
            <w14:solidFill>
              <w14:schemeClr w14:val="tx1"/>
            </w14:solidFill>
          </w14:textFill>
        </w:rPr>
        <w:t>1</w:t>
      </w:r>
      <w:r>
        <w:rPr>
          <w:rFonts w:ascii="宋体" w:hAnsi="宋体" w:cs="宋体"/>
          <w:b w:val="0"/>
          <w:bCs w:val="0"/>
          <w:color w:val="000000" w:themeColor="text1"/>
          <w:szCs w:val="22"/>
          <w:highlight w:val="none"/>
          <w14:textFill>
            <w14:solidFill>
              <w14:schemeClr w14:val="tx1"/>
            </w14:solidFill>
          </w14:textFill>
        </w:rPr>
        <w:t>7</w:t>
      </w:r>
      <w:r>
        <w:rPr>
          <w:rFonts w:hint="eastAsia" w:ascii="宋体" w:hAnsi="宋体" w:cs="宋体"/>
          <w:b w:val="0"/>
          <w:bCs w:val="0"/>
          <w:color w:val="000000" w:themeColor="text1"/>
          <w:szCs w:val="22"/>
          <w:highlight w:val="none"/>
          <w14:textFill>
            <w14:solidFill>
              <w14:schemeClr w14:val="tx1"/>
            </w14:solidFill>
          </w14:textFill>
        </w:rPr>
        <w:t xml:space="preserve"> 液压元件选用力士乐、派克汉尼汾、油研等国际知名品牌。</w:t>
      </w:r>
    </w:p>
    <w:p>
      <w:pPr>
        <w:pStyle w:val="2"/>
        <w:ind w:firstLine="640" w:firstLineChars="200"/>
        <w:rPr>
          <w:rFonts w:ascii="宋体" w:hAnsi="宋体" w:cs="宋体"/>
          <w:b w:val="0"/>
          <w:bCs w:val="0"/>
          <w:color w:val="000000" w:themeColor="text1"/>
          <w:szCs w:val="22"/>
          <w:highlight w:val="none"/>
          <w14:textFill>
            <w14:solidFill>
              <w14:schemeClr w14:val="tx1"/>
            </w14:solidFill>
          </w14:textFill>
        </w:rPr>
      </w:pPr>
      <w:r>
        <w:rPr>
          <w:rFonts w:hint="eastAsia" w:ascii="宋体" w:hAnsi="宋体" w:cs="宋体"/>
          <w:b w:val="0"/>
          <w:bCs w:val="0"/>
          <w:color w:val="000000" w:themeColor="text1"/>
          <w:szCs w:val="22"/>
          <w:highlight w:val="none"/>
          <w:lang w:eastAsia="zh-CN"/>
          <w14:textFill>
            <w14:solidFill>
              <w14:schemeClr w14:val="tx1"/>
            </w14:solidFill>
          </w14:textFill>
        </w:rPr>
        <w:t>3.</w:t>
      </w:r>
      <w:r>
        <w:rPr>
          <w:rFonts w:hint="eastAsia" w:ascii="宋体" w:hAnsi="宋体" w:cs="宋体"/>
          <w:b w:val="0"/>
          <w:bCs w:val="0"/>
          <w:color w:val="000000" w:themeColor="text1"/>
          <w:szCs w:val="22"/>
          <w:highlight w:val="none"/>
          <w14:textFill>
            <w14:solidFill>
              <w14:schemeClr w14:val="tx1"/>
            </w14:solidFill>
          </w14:textFill>
        </w:rPr>
        <w:t>1</w:t>
      </w:r>
      <w:r>
        <w:rPr>
          <w:rFonts w:ascii="宋体" w:hAnsi="宋体" w:cs="宋体"/>
          <w:b w:val="0"/>
          <w:bCs w:val="0"/>
          <w:color w:val="000000" w:themeColor="text1"/>
          <w:szCs w:val="22"/>
          <w:highlight w:val="none"/>
          <w14:textFill>
            <w14:solidFill>
              <w14:schemeClr w14:val="tx1"/>
            </w14:solidFill>
          </w14:textFill>
        </w:rPr>
        <w:t>8</w:t>
      </w:r>
      <w:r>
        <w:rPr>
          <w:rFonts w:hint="eastAsia" w:ascii="宋体" w:hAnsi="宋体" w:cs="宋体"/>
          <w:b w:val="0"/>
          <w:bCs w:val="0"/>
          <w:color w:val="000000" w:themeColor="text1"/>
          <w:szCs w:val="22"/>
          <w:highlight w:val="none"/>
          <w14:textFill>
            <w14:solidFill>
              <w14:schemeClr w14:val="tx1"/>
            </w14:solidFill>
          </w14:textFill>
        </w:rPr>
        <w:t xml:space="preserve"> 电磁换向阀等控制阀体电磁铁插头配有指示灯，便于观察阀体状态。</w:t>
      </w:r>
    </w:p>
    <w:p>
      <w:pPr>
        <w:pStyle w:val="2"/>
        <w:ind w:firstLine="640" w:firstLineChars="200"/>
        <w:rPr>
          <w:rFonts w:ascii="宋体" w:hAnsi="宋体" w:cs="宋体"/>
          <w:color w:val="000000" w:themeColor="text1"/>
          <w:highlight w:val="none"/>
          <w14:textFill>
            <w14:solidFill>
              <w14:schemeClr w14:val="tx1"/>
            </w14:solidFill>
          </w14:textFill>
        </w:rPr>
      </w:pPr>
      <w:r>
        <w:rPr>
          <w:rFonts w:hint="eastAsia" w:ascii="宋体" w:hAnsi="宋体" w:cs="宋体"/>
          <w:b w:val="0"/>
          <w:bCs w:val="0"/>
          <w:color w:val="000000" w:themeColor="text1"/>
          <w:szCs w:val="22"/>
          <w:highlight w:val="none"/>
          <w:lang w:eastAsia="zh-CN"/>
          <w14:textFill>
            <w14:solidFill>
              <w14:schemeClr w14:val="tx1"/>
            </w14:solidFill>
          </w14:textFill>
        </w:rPr>
        <w:t>3.</w:t>
      </w:r>
      <w:r>
        <w:rPr>
          <w:rFonts w:hint="eastAsia" w:ascii="宋体" w:hAnsi="宋体" w:cs="宋体"/>
          <w:b w:val="0"/>
          <w:bCs w:val="0"/>
          <w:color w:val="000000" w:themeColor="text1"/>
          <w:szCs w:val="22"/>
          <w:highlight w:val="none"/>
          <w14:textFill>
            <w14:solidFill>
              <w14:schemeClr w14:val="tx1"/>
            </w14:solidFill>
          </w14:textFill>
        </w:rPr>
        <w:t>1</w:t>
      </w:r>
      <w:r>
        <w:rPr>
          <w:rFonts w:ascii="宋体" w:hAnsi="宋体" w:cs="宋体"/>
          <w:b w:val="0"/>
          <w:bCs w:val="0"/>
          <w:color w:val="000000" w:themeColor="text1"/>
          <w:szCs w:val="22"/>
          <w:highlight w:val="none"/>
          <w14:textFill>
            <w14:solidFill>
              <w14:schemeClr w14:val="tx1"/>
            </w14:solidFill>
          </w14:textFill>
        </w:rPr>
        <w:t>9</w:t>
      </w:r>
      <w:r>
        <w:rPr>
          <w:rFonts w:hint="eastAsia" w:ascii="宋体" w:hAnsi="宋体" w:cs="宋体"/>
          <w:b w:val="0"/>
          <w:bCs w:val="0"/>
          <w:color w:val="000000" w:themeColor="text1"/>
          <w:szCs w:val="22"/>
          <w:highlight w:val="none"/>
          <w14:textFill>
            <w14:solidFill>
              <w14:schemeClr w14:val="tx1"/>
            </w14:solidFill>
          </w14:textFill>
        </w:rPr>
        <w:t xml:space="preserve"> 压缩空气入口处（如有）配有减压、过滤及油雾润滑装置。压力显示仪表安装位置醒目，无阻挡物。减压阀后应设有数显电子压力继电器，可实现低压报警功能。</w:t>
      </w:r>
    </w:p>
    <w:p>
      <w:pPr>
        <w:pStyle w:val="2"/>
        <w:ind w:firstLine="640" w:firstLineChars="200"/>
        <w:rPr>
          <w:rFonts w:ascii="宋体" w:hAnsi="宋体" w:cs="宋体"/>
          <w:b w:val="0"/>
          <w:bCs w:val="0"/>
          <w:color w:val="000000" w:themeColor="text1"/>
          <w:szCs w:val="22"/>
          <w:highlight w:val="none"/>
          <w14:textFill>
            <w14:solidFill>
              <w14:schemeClr w14:val="tx1"/>
            </w14:solidFill>
          </w14:textFill>
        </w:rPr>
      </w:pPr>
      <w:r>
        <w:rPr>
          <w:rFonts w:hint="eastAsia" w:ascii="宋体" w:hAnsi="宋体" w:cs="宋体"/>
          <w:b w:val="0"/>
          <w:bCs w:val="0"/>
          <w:color w:val="000000" w:themeColor="text1"/>
          <w:szCs w:val="22"/>
          <w:highlight w:val="none"/>
          <w14:textFill>
            <w14:solidFill>
              <w14:schemeClr w14:val="tx1"/>
            </w14:solidFill>
          </w14:textFill>
        </w:rPr>
        <w:t>电气系统：</w:t>
      </w:r>
    </w:p>
    <w:p>
      <w:pPr>
        <w:pStyle w:val="2"/>
        <w:ind w:firstLine="640" w:firstLineChars="200"/>
        <w:rPr>
          <w:rFonts w:ascii="宋体" w:hAnsi="宋体" w:cs="宋体"/>
          <w:b w:val="0"/>
          <w:bCs w:val="0"/>
          <w:color w:val="000000" w:themeColor="text1"/>
          <w:szCs w:val="22"/>
          <w:highlight w:val="none"/>
          <w14:textFill>
            <w14:solidFill>
              <w14:schemeClr w14:val="tx1"/>
            </w14:solidFill>
          </w14:textFill>
        </w:rPr>
      </w:pPr>
      <w:r>
        <w:rPr>
          <w:rFonts w:hint="eastAsia" w:ascii="宋体" w:hAnsi="宋体" w:cs="宋体"/>
          <w:b w:val="0"/>
          <w:bCs w:val="0"/>
          <w:color w:val="000000" w:themeColor="text1"/>
          <w:szCs w:val="22"/>
          <w:highlight w:val="none"/>
          <w:lang w:eastAsia="zh-CN"/>
          <w14:textFill>
            <w14:solidFill>
              <w14:schemeClr w14:val="tx1"/>
            </w14:solidFill>
          </w14:textFill>
        </w:rPr>
        <w:t>3.</w:t>
      </w:r>
      <w:r>
        <w:rPr>
          <w:rFonts w:ascii="宋体" w:hAnsi="宋体" w:cs="宋体"/>
          <w:b w:val="0"/>
          <w:bCs w:val="0"/>
          <w:color w:val="000000" w:themeColor="text1"/>
          <w:szCs w:val="22"/>
          <w:highlight w:val="none"/>
          <w14:textFill>
            <w14:solidFill>
              <w14:schemeClr w14:val="tx1"/>
            </w14:solidFill>
          </w14:textFill>
        </w:rPr>
        <w:t>20</w:t>
      </w:r>
      <w:r>
        <w:rPr>
          <w:rFonts w:hint="eastAsia" w:ascii="宋体" w:hAnsi="宋体" w:cs="宋体"/>
          <w:b w:val="0"/>
          <w:bCs w:val="0"/>
          <w:color w:val="000000" w:themeColor="text1"/>
          <w:szCs w:val="22"/>
          <w:highlight w:val="none"/>
          <w14:textFill>
            <w14:solidFill>
              <w14:schemeClr w14:val="tx1"/>
            </w14:solidFill>
          </w14:textFill>
        </w:rPr>
        <w:t xml:space="preserve"> 电气元件选用西门子、施耐德、ABB等知名品牌。 </w:t>
      </w:r>
    </w:p>
    <w:p>
      <w:pPr>
        <w:pStyle w:val="2"/>
        <w:ind w:firstLine="640" w:firstLineChars="200"/>
        <w:rPr>
          <w:rFonts w:ascii="宋体" w:hAnsi="宋体" w:cs="宋体"/>
          <w:b w:val="0"/>
          <w:bCs w:val="0"/>
          <w:color w:val="000000" w:themeColor="text1"/>
          <w:szCs w:val="22"/>
          <w:highlight w:val="none"/>
          <w14:textFill>
            <w14:solidFill>
              <w14:schemeClr w14:val="tx1"/>
            </w14:solidFill>
          </w14:textFill>
        </w:rPr>
      </w:pPr>
      <w:r>
        <w:rPr>
          <w:rFonts w:hint="eastAsia" w:ascii="宋体" w:hAnsi="宋体" w:cs="宋体"/>
          <w:b w:val="0"/>
          <w:bCs w:val="0"/>
          <w:color w:val="000000" w:themeColor="text1"/>
          <w:szCs w:val="22"/>
          <w:highlight w:val="none"/>
          <w:lang w:eastAsia="zh-CN"/>
          <w14:textFill>
            <w14:solidFill>
              <w14:schemeClr w14:val="tx1"/>
            </w14:solidFill>
          </w14:textFill>
        </w:rPr>
        <w:t>3.</w:t>
      </w:r>
      <w:r>
        <w:rPr>
          <w:rFonts w:ascii="宋体" w:hAnsi="宋体" w:cs="宋体"/>
          <w:b w:val="0"/>
          <w:bCs w:val="0"/>
          <w:color w:val="000000" w:themeColor="text1"/>
          <w:szCs w:val="22"/>
          <w:highlight w:val="none"/>
          <w14:textFill>
            <w14:solidFill>
              <w14:schemeClr w14:val="tx1"/>
            </w14:solidFill>
          </w14:textFill>
        </w:rPr>
        <w:t>21</w:t>
      </w:r>
      <w:r>
        <w:rPr>
          <w:rFonts w:hint="eastAsia" w:ascii="宋体" w:hAnsi="宋体" w:cs="宋体"/>
          <w:b w:val="0"/>
          <w:bCs w:val="0"/>
          <w:color w:val="000000" w:themeColor="text1"/>
          <w:szCs w:val="22"/>
          <w:highlight w:val="none"/>
          <w14:textFill>
            <w14:solidFill>
              <w14:schemeClr w14:val="tx1"/>
            </w14:solidFill>
          </w14:textFill>
        </w:rPr>
        <w:t xml:space="preserve"> 控制电路全部采用 24V 安全电压，操作安全可靠。</w:t>
      </w:r>
    </w:p>
    <w:p>
      <w:pPr>
        <w:pStyle w:val="2"/>
        <w:ind w:firstLine="640" w:firstLineChars="200"/>
        <w:rPr>
          <w:rFonts w:ascii="宋体" w:hAnsi="宋体" w:cs="宋体"/>
          <w:b w:val="0"/>
          <w:bCs w:val="0"/>
          <w:color w:val="000000" w:themeColor="text1"/>
          <w:szCs w:val="22"/>
          <w:highlight w:val="none"/>
          <w14:textFill>
            <w14:solidFill>
              <w14:schemeClr w14:val="tx1"/>
            </w14:solidFill>
          </w14:textFill>
        </w:rPr>
      </w:pPr>
      <w:r>
        <w:rPr>
          <w:rFonts w:hint="eastAsia" w:ascii="宋体" w:hAnsi="宋体" w:cs="宋体"/>
          <w:b w:val="0"/>
          <w:bCs w:val="0"/>
          <w:color w:val="000000" w:themeColor="text1"/>
          <w:szCs w:val="22"/>
          <w:highlight w:val="none"/>
          <w:lang w:eastAsia="zh-CN"/>
          <w14:textFill>
            <w14:solidFill>
              <w14:schemeClr w14:val="tx1"/>
            </w14:solidFill>
          </w14:textFill>
        </w:rPr>
        <w:t>3.</w:t>
      </w:r>
      <w:r>
        <w:rPr>
          <w:rFonts w:hint="eastAsia" w:ascii="宋体" w:hAnsi="宋体" w:cs="宋体"/>
          <w:b w:val="0"/>
          <w:bCs w:val="0"/>
          <w:color w:val="000000" w:themeColor="text1"/>
          <w:szCs w:val="22"/>
          <w:highlight w:val="none"/>
          <w14:textFill>
            <w14:solidFill>
              <w14:schemeClr w14:val="tx1"/>
            </w14:solidFill>
          </w14:textFill>
        </w:rPr>
        <w:t>2</w:t>
      </w:r>
      <w:r>
        <w:rPr>
          <w:rFonts w:ascii="宋体" w:hAnsi="宋体" w:cs="宋体"/>
          <w:b w:val="0"/>
          <w:bCs w:val="0"/>
          <w:color w:val="000000" w:themeColor="text1"/>
          <w:szCs w:val="22"/>
          <w:highlight w:val="none"/>
          <w14:textFill>
            <w14:solidFill>
              <w14:schemeClr w14:val="tx1"/>
            </w14:solidFill>
          </w14:textFill>
        </w:rPr>
        <w:t>2</w:t>
      </w:r>
      <w:r>
        <w:rPr>
          <w:rFonts w:hint="eastAsia" w:ascii="宋体" w:hAnsi="宋体" w:cs="宋体"/>
          <w:b w:val="0"/>
          <w:bCs w:val="0"/>
          <w:color w:val="000000" w:themeColor="text1"/>
          <w:szCs w:val="22"/>
          <w:highlight w:val="none"/>
          <w14:textFill>
            <w14:solidFill>
              <w14:schemeClr w14:val="tx1"/>
            </w14:solidFill>
          </w14:textFill>
        </w:rPr>
        <w:t xml:space="preserve"> 电控柜柜体表面漆膜应平整光滑、肉眼看不到皱痕、气泡等，电气柜的门应有足够的刚度，在全开启及转动时，无变形或下垂。门应开关灵活，开启角应大于90度，门与框之间不能有摩擦及损坏涂层的现象。</w:t>
      </w:r>
    </w:p>
    <w:p>
      <w:pPr>
        <w:pStyle w:val="2"/>
        <w:ind w:firstLine="640" w:firstLineChars="200"/>
        <w:rPr>
          <w:rFonts w:ascii="宋体" w:hAnsi="宋体" w:cs="宋体"/>
          <w:b w:val="0"/>
          <w:bCs w:val="0"/>
          <w:color w:val="000000" w:themeColor="text1"/>
          <w:szCs w:val="22"/>
          <w:highlight w:val="none"/>
          <w14:textFill>
            <w14:solidFill>
              <w14:schemeClr w14:val="tx1"/>
            </w14:solidFill>
          </w14:textFill>
        </w:rPr>
      </w:pPr>
      <w:r>
        <w:rPr>
          <w:rFonts w:hint="eastAsia" w:ascii="宋体" w:hAnsi="宋体" w:cs="宋体"/>
          <w:b w:val="0"/>
          <w:bCs w:val="0"/>
          <w:color w:val="000000" w:themeColor="text1"/>
          <w:szCs w:val="22"/>
          <w:highlight w:val="none"/>
          <w:lang w:eastAsia="zh-CN"/>
          <w14:textFill>
            <w14:solidFill>
              <w14:schemeClr w14:val="tx1"/>
            </w14:solidFill>
          </w14:textFill>
        </w:rPr>
        <w:t>3.</w:t>
      </w:r>
      <w:r>
        <w:rPr>
          <w:rFonts w:hint="eastAsia" w:ascii="宋体" w:hAnsi="宋体" w:cs="宋体"/>
          <w:b w:val="0"/>
          <w:bCs w:val="0"/>
          <w:color w:val="000000" w:themeColor="text1"/>
          <w:szCs w:val="22"/>
          <w:highlight w:val="none"/>
          <w14:textFill>
            <w14:solidFill>
              <w14:schemeClr w14:val="tx1"/>
            </w14:solidFill>
          </w14:textFill>
        </w:rPr>
        <w:t>2</w:t>
      </w:r>
      <w:r>
        <w:rPr>
          <w:rFonts w:ascii="宋体" w:hAnsi="宋体" w:cs="宋体"/>
          <w:b w:val="0"/>
          <w:bCs w:val="0"/>
          <w:color w:val="000000" w:themeColor="text1"/>
          <w:szCs w:val="22"/>
          <w:highlight w:val="none"/>
          <w14:textFill>
            <w14:solidFill>
              <w14:schemeClr w14:val="tx1"/>
            </w14:solidFill>
          </w14:textFill>
        </w:rPr>
        <w:t>3</w:t>
      </w:r>
      <w:r>
        <w:rPr>
          <w:rFonts w:hint="eastAsia" w:ascii="宋体" w:hAnsi="宋体" w:cs="宋体"/>
          <w:b w:val="0"/>
          <w:bCs w:val="0"/>
          <w:color w:val="000000" w:themeColor="text1"/>
          <w:szCs w:val="22"/>
          <w:highlight w:val="none"/>
          <w14:textFill>
            <w14:solidFill>
              <w14:schemeClr w14:val="tx1"/>
            </w14:solidFill>
          </w14:textFill>
        </w:rPr>
        <w:t>电器元件型号、规格、数量、品牌等与图纸相符，所有元器件组装应排列整齐，安装牢固，所有标记牌的字迹应完整、清晰，且不易脱色、粘贴牢固，电器元件应能单独拆装更换，而不影响其它电器及导线束的固定。</w:t>
      </w:r>
    </w:p>
    <w:p>
      <w:pPr>
        <w:pStyle w:val="2"/>
        <w:ind w:firstLine="640" w:firstLineChars="200"/>
        <w:rPr>
          <w:rFonts w:ascii="宋体" w:hAnsi="宋体" w:cs="宋体"/>
          <w:b w:val="0"/>
          <w:bCs w:val="0"/>
          <w:color w:val="000000" w:themeColor="text1"/>
          <w:szCs w:val="22"/>
          <w:highlight w:val="none"/>
          <w14:textFill>
            <w14:solidFill>
              <w14:schemeClr w14:val="tx1"/>
            </w14:solidFill>
          </w14:textFill>
        </w:rPr>
      </w:pPr>
      <w:r>
        <w:rPr>
          <w:rFonts w:hint="eastAsia" w:ascii="宋体" w:hAnsi="宋体" w:cs="宋体"/>
          <w:b w:val="0"/>
          <w:bCs w:val="0"/>
          <w:color w:val="000000" w:themeColor="text1"/>
          <w:szCs w:val="22"/>
          <w:highlight w:val="none"/>
          <w:lang w:eastAsia="zh-CN"/>
          <w14:textFill>
            <w14:solidFill>
              <w14:schemeClr w14:val="tx1"/>
            </w14:solidFill>
          </w14:textFill>
        </w:rPr>
        <w:t>3.</w:t>
      </w:r>
      <w:r>
        <w:rPr>
          <w:rFonts w:hint="eastAsia" w:ascii="宋体" w:hAnsi="宋体" w:cs="宋体"/>
          <w:b w:val="0"/>
          <w:bCs w:val="0"/>
          <w:color w:val="000000" w:themeColor="text1"/>
          <w:szCs w:val="22"/>
          <w:highlight w:val="none"/>
          <w14:textFill>
            <w14:solidFill>
              <w14:schemeClr w14:val="tx1"/>
            </w14:solidFill>
          </w14:textFill>
        </w:rPr>
        <w:t>2</w:t>
      </w:r>
      <w:r>
        <w:rPr>
          <w:rFonts w:ascii="宋体" w:hAnsi="宋体" w:cs="宋体"/>
          <w:b w:val="0"/>
          <w:bCs w:val="0"/>
          <w:color w:val="000000" w:themeColor="text1"/>
          <w:szCs w:val="22"/>
          <w:highlight w:val="none"/>
          <w14:textFill>
            <w14:solidFill>
              <w14:schemeClr w14:val="tx1"/>
            </w14:solidFill>
          </w14:textFill>
        </w:rPr>
        <w:t>4</w:t>
      </w:r>
      <w:r>
        <w:rPr>
          <w:rFonts w:hint="eastAsia" w:ascii="宋体" w:hAnsi="宋体" w:cs="宋体"/>
          <w:b w:val="0"/>
          <w:bCs w:val="0"/>
          <w:color w:val="000000" w:themeColor="text1"/>
          <w:szCs w:val="22"/>
          <w:highlight w:val="none"/>
          <w14:textFill>
            <w14:solidFill>
              <w14:schemeClr w14:val="tx1"/>
            </w14:solidFill>
          </w14:textFill>
        </w:rPr>
        <w:t>接线端子应无损坏，绝缘良好，固定牢固，强、弱电端子应分开布置。电气柜应按接线图进行布线，多股导线应加接线端子，压接牢固，接线两端应有编号套管，套管上字母朝向应一致，布线应按水平或垂直方向敷设，在不宜使用汇线槽的地方，可采用绝缘支架固定。两个接线端之间的导线不得有中间接头。</w:t>
      </w:r>
    </w:p>
    <w:p>
      <w:pPr>
        <w:pStyle w:val="2"/>
        <w:ind w:firstLine="640" w:firstLineChars="200"/>
        <w:rPr>
          <w:rFonts w:ascii="宋体" w:hAnsi="宋体" w:cs="宋体"/>
          <w:b w:val="0"/>
          <w:bCs w:val="0"/>
          <w:color w:val="000000" w:themeColor="text1"/>
          <w:szCs w:val="22"/>
          <w:highlight w:val="none"/>
          <w14:textFill>
            <w14:solidFill>
              <w14:schemeClr w14:val="tx1"/>
            </w14:solidFill>
          </w14:textFill>
        </w:rPr>
      </w:pPr>
      <w:r>
        <w:rPr>
          <w:rFonts w:hint="eastAsia" w:ascii="宋体" w:hAnsi="宋体" w:cs="宋体"/>
          <w:b w:val="0"/>
          <w:bCs w:val="0"/>
          <w:color w:val="000000" w:themeColor="text1"/>
          <w:szCs w:val="22"/>
          <w:highlight w:val="none"/>
          <w:lang w:eastAsia="zh-CN"/>
          <w14:textFill>
            <w14:solidFill>
              <w14:schemeClr w14:val="tx1"/>
            </w14:solidFill>
          </w14:textFill>
        </w:rPr>
        <w:t>3.</w:t>
      </w:r>
      <w:r>
        <w:rPr>
          <w:rFonts w:hint="eastAsia" w:ascii="宋体" w:hAnsi="宋体" w:cs="宋体"/>
          <w:b w:val="0"/>
          <w:bCs w:val="0"/>
          <w:color w:val="000000" w:themeColor="text1"/>
          <w:szCs w:val="22"/>
          <w:highlight w:val="none"/>
          <w14:textFill>
            <w14:solidFill>
              <w14:schemeClr w14:val="tx1"/>
            </w14:solidFill>
          </w14:textFill>
        </w:rPr>
        <w:t>2</w:t>
      </w:r>
      <w:r>
        <w:rPr>
          <w:rFonts w:ascii="宋体" w:hAnsi="宋体" w:cs="宋体"/>
          <w:b w:val="0"/>
          <w:bCs w:val="0"/>
          <w:color w:val="000000" w:themeColor="text1"/>
          <w:szCs w:val="22"/>
          <w:highlight w:val="none"/>
          <w14:textFill>
            <w14:solidFill>
              <w14:schemeClr w14:val="tx1"/>
            </w14:solidFill>
          </w14:textFill>
        </w:rPr>
        <w:t>5</w:t>
      </w:r>
      <w:r>
        <w:rPr>
          <w:rFonts w:hint="eastAsia" w:ascii="宋体" w:hAnsi="宋体" w:cs="宋体"/>
          <w:b w:val="0"/>
          <w:bCs w:val="0"/>
          <w:color w:val="000000" w:themeColor="text1"/>
          <w:szCs w:val="22"/>
          <w:highlight w:val="none"/>
          <w14:textFill>
            <w14:solidFill>
              <w14:schemeClr w14:val="tx1"/>
            </w14:solidFill>
          </w14:textFill>
        </w:rPr>
        <w:t>直流正极采用棕色线，负极采用蓝色线，接地线PE采用黄绿相间线。</w:t>
      </w:r>
    </w:p>
    <w:p>
      <w:pPr>
        <w:pStyle w:val="2"/>
        <w:ind w:firstLine="640" w:firstLineChars="200"/>
        <w:rPr>
          <w:rFonts w:ascii="宋体" w:hAnsi="宋体" w:cs="宋体"/>
          <w:b w:val="0"/>
          <w:bCs w:val="0"/>
          <w:color w:val="000000" w:themeColor="text1"/>
          <w:szCs w:val="22"/>
          <w:highlight w:val="none"/>
          <w14:textFill>
            <w14:solidFill>
              <w14:schemeClr w14:val="tx1"/>
            </w14:solidFill>
          </w14:textFill>
        </w:rPr>
      </w:pPr>
      <w:r>
        <w:rPr>
          <w:rFonts w:hint="eastAsia" w:ascii="宋体" w:hAnsi="宋体" w:cs="宋体"/>
          <w:b w:val="0"/>
          <w:bCs w:val="0"/>
          <w:color w:val="000000" w:themeColor="text1"/>
          <w:szCs w:val="22"/>
          <w:highlight w:val="none"/>
          <w:lang w:eastAsia="zh-CN"/>
          <w14:textFill>
            <w14:solidFill>
              <w14:schemeClr w14:val="tx1"/>
            </w14:solidFill>
          </w14:textFill>
        </w:rPr>
        <w:t>3.</w:t>
      </w:r>
      <w:r>
        <w:rPr>
          <w:rFonts w:hint="eastAsia" w:ascii="宋体" w:hAnsi="宋体" w:cs="宋体"/>
          <w:b w:val="0"/>
          <w:bCs w:val="0"/>
          <w:color w:val="000000" w:themeColor="text1"/>
          <w:szCs w:val="22"/>
          <w:highlight w:val="none"/>
          <w14:textFill>
            <w14:solidFill>
              <w14:schemeClr w14:val="tx1"/>
            </w14:solidFill>
          </w14:textFill>
        </w:rPr>
        <w:t>2</w:t>
      </w:r>
      <w:r>
        <w:rPr>
          <w:rFonts w:ascii="宋体" w:hAnsi="宋体" w:cs="宋体"/>
          <w:b w:val="0"/>
          <w:bCs w:val="0"/>
          <w:color w:val="000000" w:themeColor="text1"/>
          <w:szCs w:val="22"/>
          <w:highlight w:val="none"/>
          <w14:textFill>
            <w14:solidFill>
              <w14:schemeClr w14:val="tx1"/>
            </w14:solidFill>
          </w14:textFill>
        </w:rPr>
        <w:t>6</w:t>
      </w:r>
      <w:r>
        <w:rPr>
          <w:rFonts w:hint="eastAsia" w:ascii="宋体" w:hAnsi="宋体" w:cs="宋体"/>
          <w:b w:val="0"/>
          <w:bCs w:val="0"/>
          <w:color w:val="000000" w:themeColor="text1"/>
          <w:szCs w:val="22"/>
          <w:highlight w:val="none"/>
          <w14:textFill>
            <w14:solidFill>
              <w14:schemeClr w14:val="tx1"/>
            </w14:solidFill>
          </w14:textFill>
        </w:rPr>
        <w:t>电器元件的每一个接点不得超出2根接线端子。接线端子应与导线截面积匹配，不允许小端子配大截面导线。导线在穿越金属板孔时，应在金属板孔上套上大小适宜的保护套，保护导线绝缘层不磨损。柜体与柜门之间的走线，必须加护套导线，在线槽内容量不宜超过线槽的2/3。</w:t>
      </w:r>
    </w:p>
    <w:p>
      <w:pPr>
        <w:pStyle w:val="2"/>
        <w:ind w:firstLine="640" w:firstLineChars="200"/>
        <w:rPr>
          <w:rFonts w:ascii="宋体" w:hAnsi="宋体" w:cs="宋体"/>
          <w:b w:val="0"/>
          <w:bCs w:val="0"/>
          <w:color w:val="000000" w:themeColor="text1"/>
          <w:szCs w:val="22"/>
          <w:highlight w:val="none"/>
          <w14:textFill>
            <w14:solidFill>
              <w14:schemeClr w14:val="tx1"/>
            </w14:solidFill>
          </w14:textFill>
        </w:rPr>
      </w:pPr>
      <w:r>
        <w:rPr>
          <w:rFonts w:hint="eastAsia" w:ascii="宋体" w:hAnsi="宋体" w:cs="宋体"/>
          <w:b w:val="0"/>
          <w:bCs w:val="0"/>
          <w:color w:val="000000" w:themeColor="text1"/>
          <w:szCs w:val="22"/>
          <w:highlight w:val="none"/>
          <w:lang w:eastAsia="zh-CN"/>
          <w14:textFill>
            <w14:solidFill>
              <w14:schemeClr w14:val="tx1"/>
            </w14:solidFill>
          </w14:textFill>
        </w:rPr>
        <w:t>3.</w:t>
      </w:r>
      <w:r>
        <w:rPr>
          <w:rFonts w:hint="eastAsia" w:ascii="宋体" w:hAnsi="宋体" w:cs="宋体"/>
          <w:b w:val="0"/>
          <w:bCs w:val="0"/>
          <w:color w:val="000000" w:themeColor="text1"/>
          <w:szCs w:val="22"/>
          <w:highlight w:val="none"/>
          <w14:textFill>
            <w14:solidFill>
              <w14:schemeClr w14:val="tx1"/>
            </w14:solidFill>
          </w14:textFill>
        </w:rPr>
        <w:t>2</w:t>
      </w:r>
      <w:r>
        <w:rPr>
          <w:rFonts w:ascii="宋体" w:hAnsi="宋体" w:cs="宋体"/>
          <w:b w:val="0"/>
          <w:bCs w:val="0"/>
          <w:color w:val="000000" w:themeColor="text1"/>
          <w:szCs w:val="22"/>
          <w:highlight w:val="none"/>
          <w14:textFill>
            <w14:solidFill>
              <w14:schemeClr w14:val="tx1"/>
            </w14:solidFill>
          </w14:textFill>
        </w:rPr>
        <w:t>7</w:t>
      </w:r>
      <w:r>
        <w:rPr>
          <w:rFonts w:hint="eastAsia" w:ascii="宋体" w:hAnsi="宋体" w:cs="宋体"/>
          <w:b w:val="0"/>
          <w:bCs w:val="0"/>
          <w:color w:val="000000" w:themeColor="text1"/>
          <w:szCs w:val="22"/>
          <w:highlight w:val="none"/>
          <w14:textFill>
            <w14:solidFill>
              <w14:schemeClr w14:val="tx1"/>
            </w14:solidFill>
          </w14:textFill>
        </w:rPr>
        <w:t>控制柜到设备之间弱电部分不可与强电同槽布线。</w:t>
      </w:r>
    </w:p>
    <w:p>
      <w:pPr>
        <w:pStyle w:val="2"/>
        <w:ind w:firstLine="640" w:firstLineChars="200"/>
        <w:rPr>
          <w:rFonts w:ascii="宋体" w:hAnsi="宋体" w:cs="宋体"/>
          <w:b w:val="0"/>
          <w:bCs w:val="0"/>
          <w:color w:val="000000" w:themeColor="text1"/>
          <w:szCs w:val="22"/>
          <w:highlight w:val="none"/>
          <w14:textFill>
            <w14:solidFill>
              <w14:schemeClr w14:val="tx1"/>
            </w14:solidFill>
          </w14:textFill>
        </w:rPr>
      </w:pPr>
      <w:r>
        <w:rPr>
          <w:rFonts w:hint="eastAsia" w:ascii="宋体" w:hAnsi="宋体" w:cs="宋体"/>
          <w:b w:val="0"/>
          <w:bCs w:val="0"/>
          <w:color w:val="000000" w:themeColor="text1"/>
          <w:szCs w:val="22"/>
          <w:highlight w:val="none"/>
          <w:lang w:eastAsia="zh-CN"/>
          <w14:textFill>
            <w14:solidFill>
              <w14:schemeClr w14:val="tx1"/>
            </w14:solidFill>
          </w14:textFill>
        </w:rPr>
        <w:t>3.</w:t>
      </w:r>
      <w:r>
        <w:rPr>
          <w:rFonts w:hint="eastAsia" w:ascii="宋体" w:hAnsi="宋体" w:cs="宋体"/>
          <w:b w:val="0"/>
          <w:bCs w:val="0"/>
          <w:color w:val="000000" w:themeColor="text1"/>
          <w:szCs w:val="22"/>
          <w:highlight w:val="none"/>
          <w14:textFill>
            <w14:solidFill>
              <w14:schemeClr w14:val="tx1"/>
            </w14:solidFill>
          </w14:textFill>
        </w:rPr>
        <w:t>2</w:t>
      </w:r>
      <w:r>
        <w:rPr>
          <w:rFonts w:ascii="宋体" w:hAnsi="宋体" w:cs="宋体"/>
          <w:b w:val="0"/>
          <w:bCs w:val="0"/>
          <w:color w:val="000000" w:themeColor="text1"/>
          <w:szCs w:val="22"/>
          <w:highlight w:val="none"/>
          <w14:textFill>
            <w14:solidFill>
              <w14:schemeClr w14:val="tx1"/>
            </w14:solidFill>
          </w14:textFill>
        </w:rPr>
        <w:t>8</w:t>
      </w:r>
      <w:r>
        <w:rPr>
          <w:rFonts w:hint="eastAsia" w:ascii="宋体" w:hAnsi="宋体" w:cs="宋体"/>
          <w:b w:val="0"/>
          <w:bCs w:val="0"/>
          <w:color w:val="000000" w:themeColor="text1"/>
          <w:szCs w:val="22"/>
          <w:highlight w:val="none"/>
          <w14:textFill>
            <w14:solidFill>
              <w14:schemeClr w14:val="tx1"/>
            </w14:solidFill>
          </w14:textFill>
        </w:rPr>
        <w:t>柜内应设置3孔、2孔220V插座各1处,具备照明检修灯具。</w:t>
      </w:r>
    </w:p>
    <w:p>
      <w:pPr>
        <w:pStyle w:val="2"/>
        <w:ind w:firstLine="640" w:firstLineChars="200"/>
        <w:rPr>
          <w:rFonts w:ascii="宋体" w:hAnsi="宋体" w:cs="宋体"/>
          <w:b w:val="0"/>
          <w:bCs w:val="0"/>
          <w:color w:val="000000" w:themeColor="text1"/>
          <w:szCs w:val="22"/>
          <w:highlight w:val="none"/>
          <w14:textFill>
            <w14:solidFill>
              <w14:schemeClr w14:val="tx1"/>
            </w14:solidFill>
          </w14:textFill>
        </w:rPr>
      </w:pPr>
      <w:r>
        <w:rPr>
          <w:rFonts w:hint="eastAsia" w:ascii="宋体" w:hAnsi="宋体" w:cs="宋体"/>
          <w:b w:val="0"/>
          <w:bCs w:val="0"/>
          <w:color w:val="000000" w:themeColor="text1"/>
          <w:szCs w:val="22"/>
          <w:highlight w:val="none"/>
          <w:lang w:eastAsia="zh-CN"/>
          <w14:textFill>
            <w14:solidFill>
              <w14:schemeClr w14:val="tx1"/>
            </w14:solidFill>
          </w14:textFill>
        </w:rPr>
        <w:t>3.</w:t>
      </w:r>
      <w:r>
        <w:rPr>
          <w:rFonts w:hint="eastAsia" w:ascii="宋体" w:hAnsi="宋体" w:cs="宋体"/>
          <w:b w:val="0"/>
          <w:bCs w:val="0"/>
          <w:color w:val="000000" w:themeColor="text1"/>
          <w:szCs w:val="22"/>
          <w:highlight w:val="none"/>
          <w14:textFill>
            <w14:solidFill>
              <w14:schemeClr w14:val="tx1"/>
            </w14:solidFill>
          </w14:textFill>
        </w:rPr>
        <w:t>2</w:t>
      </w:r>
      <w:r>
        <w:rPr>
          <w:rFonts w:ascii="宋体" w:hAnsi="宋体" w:cs="宋体"/>
          <w:b w:val="0"/>
          <w:bCs w:val="0"/>
          <w:color w:val="000000" w:themeColor="text1"/>
          <w:szCs w:val="22"/>
          <w:highlight w:val="none"/>
          <w14:textFill>
            <w14:solidFill>
              <w14:schemeClr w14:val="tx1"/>
            </w14:solidFill>
          </w14:textFill>
        </w:rPr>
        <w:t>9</w:t>
      </w:r>
      <w:r>
        <w:rPr>
          <w:rFonts w:hint="eastAsia" w:ascii="宋体" w:hAnsi="宋体" w:cs="宋体"/>
          <w:b w:val="0"/>
          <w:bCs w:val="0"/>
          <w:color w:val="000000" w:themeColor="text1"/>
          <w:szCs w:val="22"/>
          <w:highlight w:val="none"/>
          <w14:textFill>
            <w14:solidFill>
              <w14:schemeClr w14:val="tx1"/>
            </w14:solidFill>
          </w14:textFill>
        </w:rPr>
        <w:t xml:space="preserve"> 程序图纸要求</w:t>
      </w:r>
    </w:p>
    <w:p>
      <w:pPr>
        <w:pStyle w:val="2"/>
        <w:ind w:firstLine="640" w:firstLineChars="200"/>
        <w:rPr>
          <w:rFonts w:ascii="宋体" w:hAnsi="宋体" w:cs="宋体"/>
          <w:b w:val="0"/>
          <w:bCs w:val="0"/>
          <w:color w:val="000000" w:themeColor="text1"/>
          <w:szCs w:val="22"/>
          <w:highlight w:val="none"/>
          <w14:textFill>
            <w14:solidFill>
              <w14:schemeClr w14:val="tx1"/>
            </w14:solidFill>
          </w14:textFill>
        </w:rPr>
      </w:pPr>
      <w:r>
        <w:rPr>
          <w:rFonts w:hint="eastAsia" w:ascii="宋体" w:hAnsi="宋体" w:cs="宋体"/>
          <w:b w:val="0"/>
          <w:bCs w:val="0"/>
          <w:color w:val="000000" w:themeColor="text1"/>
          <w:szCs w:val="22"/>
          <w:highlight w:val="none"/>
          <w14:textFill>
            <w14:solidFill>
              <w14:schemeClr w14:val="tx1"/>
            </w14:solidFill>
          </w14:textFill>
        </w:rPr>
        <w:t>a. 投标方必须提供所有设备程序的源代码，包括但不限于 PLC程序、HMI 程序、机器人程序、视觉程序、伺服等。</w:t>
      </w:r>
    </w:p>
    <w:p>
      <w:pPr>
        <w:pStyle w:val="2"/>
        <w:ind w:firstLine="640" w:firstLineChars="200"/>
        <w:rPr>
          <w:rFonts w:ascii="宋体" w:hAnsi="宋体" w:cs="宋体"/>
          <w:b w:val="0"/>
          <w:bCs w:val="0"/>
          <w:color w:val="000000" w:themeColor="text1"/>
          <w:szCs w:val="22"/>
          <w:highlight w:val="none"/>
          <w14:textFill>
            <w14:solidFill>
              <w14:schemeClr w14:val="tx1"/>
            </w14:solidFill>
          </w14:textFill>
        </w:rPr>
      </w:pPr>
      <w:r>
        <w:rPr>
          <w:rFonts w:hint="eastAsia" w:ascii="宋体" w:hAnsi="宋体" w:cs="宋体"/>
          <w:b w:val="0"/>
          <w:bCs w:val="0"/>
          <w:color w:val="000000" w:themeColor="text1"/>
          <w:szCs w:val="22"/>
          <w:highlight w:val="none"/>
          <w14:textFill>
            <w14:solidFill>
              <w14:schemeClr w14:val="tx1"/>
            </w14:solidFill>
          </w14:textFill>
        </w:rPr>
        <w:t>b. 投标方所提供的程序不得设置任何密码、保护等限制手段，PLC 不得设置修改下载权限，功能块不得设置密码保护。</w:t>
      </w:r>
    </w:p>
    <w:p>
      <w:pPr>
        <w:pStyle w:val="2"/>
        <w:ind w:firstLine="640" w:firstLineChars="200"/>
        <w:rPr>
          <w:rFonts w:ascii="宋体" w:hAnsi="宋体" w:cs="宋体"/>
          <w:b w:val="0"/>
          <w:bCs w:val="0"/>
          <w:color w:val="000000" w:themeColor="text1"/>
          <w:szCs w:val="22"/>
          <w:highlight w:val="none"/>
          <w14:textFill>
            <w14:solidFill>
              <w14:schemeClr w14:val="tx1"/>
            </w14:solidFill>
          </w14:textFill>
        </w:rPr>
      </w:pPr>
      <w:r>
        <w:rPr>
          <w:rFonts w:hint="eastAsia" w:ascii="宋体" w:hAnsi="宋体" w:cs="宋体"/>
          <w:b w:val="0"/>
          <w:bCs w:val="0"/>
          <w:color w:val="000000" w:themeColor="text1"/>
          <w:szCs w:val="22"/>
          <w:highlight w:val="none"/>
          <w14:textFill>
            <w14:solidFill>
              <w14:schemeClr w14:val="tx1"/>
            </w14:solidFill>
          </w14:textFill>
        </w:rPr>
        <w:t>c. HMI 界面等需要密码保护的程序，投标方必须提供所有级别的用户名、密码。</w:t>
      </w:r>
    </w:p>
    <w:p>
      <w:pPr>
        <w:pStyle w:val="2"/>
        <w:ind w:firstLine="640" w:firstLineChars="200"/>
        <w:rPr>
          <w:rFonts w:ascii="宋体" w:hAnsi="宋体" w:cs="宋体"/>
          <w:b w:val="0"/>
          <w:bCs w:val="0"/>
          <w:color w:val="000000" w:themeColor="text1"/>
          <w:szCs w:val="22"/>
          <w:highlight w:val="none"/>
          <w14:textFill>
            <w14:solidFill>
              <w14:schemeClr w14:val="tx1"/>
            </w14:solidFill>
          </w14:textFill>
        </w:rPr>
      </w:pPr>
      <w:r>
        <w:rPr>
          <w:rFonts w:hint="eastAsia" w:ascii="宋体" w:hAnsi="宋体" w:cs="宋体"/>
          <w:b w:val="0"/>
          <w:bCs w:val="0"/>
          <w:color w:val="000000" w:themeColor="text1"/>
          <w:szCs w:val="22"/>
          <w:highlight w:val="none"/>
          <w14:textFill>
            <w14:solidFill>
              <w14:schemeClr w14:val="tx1"/>
            </w14:solidFill>
          </w14:textFill>
        </w:rPr>
        <w:t>d. 投标方需在设备入场前提供设备程序源码，HMI 界面各级用户名和密码，并保证与现场程序一致。</w:t>
      </w:r>
    </w:p>
    <w:p>
      <w:pPr>
        <w:pStyle w:val="2"/>
        <w:ind w:firstLine="640" w:firstLineChars="200"/>
        <w:rPr>
          <w:rFonts w:ascii="宋体" w:hAnsi="宋体" w:cs="宋体"/>
          <w:b w:val="0"/>
          <w:bCs w:val="0"/>
          <w:color w:val="000000" w:themeColor="text1"/>
          <w:szCs w:val="22"/>
          <w:highlight w:val="none"/>
          <w14:textFill>
            <w14:solidFill>
              <w14:schemeClr w14:val="tx1"/>
            </w14:solidFill>
          </w14:textFill>
        </w:rPr>
      </w:pPr>
      <w:r>
        <w:rPr>
          <w:rFonts w:hint="eastAsia" w:ascii="宋体" w:hAnsi="宋体" w:cs="宋体"/>
          <w:b w:val="0"/>
          <w:bCs w:val="0"/>
          <w:color w:val="000000" w:themeColor="text1"/>
          <w:szCs w:val="22"/>
          <w:highlight w:val="none"/>
          <w14:textFill>
            <w14:solidFill>
              <w14:schemeClr w14:val="tx1"/>
            </w14:solidFill>
          </w14:textFill>
        </w:rPr>
        <w:t>e. 投标方需在终验收前提供最新的设备程序源码和电气图纸，图纸要求为可编辑原格式（EPLAN、CAD 格式）且与实际接线一致。</w:t>
      </w:r>
    </w:p>
    <w:p>
      <w:pPr>
        <w:pStyle w:val="2"/>
        <w:ind w:firstLine="643" w:firstLineChars="200"/>
        <w:rPr>
          <w:rFonts w:ascii="宋体" w:hAnsi="宋体" w:cs="宋体"/>
          <w:color w:val="000000" w:themeColor="text1"/>
          <w:szCs w:val="22"/>
          <w:highlight w:val="none"/>
          <w14:textFill>
            <w14:solidFill>
              <w14:schemeClr w14:val="tx1"/>
            </w14:solidFill>
          </w14:textFill>
        </w:rPr>
      </w:pPr>
      <w:r>
        <w:rPr>
          <w:rFonts w:hint="eastAsia" w:ascii="宋体" w:hAnsi="宋体" w:cs="宋体"/>
          <w:color w:val="000000" w:themeColor="text1"/>
          <w:szCs w:val="22"/>
          <w:highlight w:val="none"/>
          <w14:textFill>
            <w14:solidFill>
              <w14:schemeClr w14:val="tx1"/>
            </w14:solidFill>
          </w14:textFill>
        </w:rPr>
        <w:t>安全及职业健康：</w:t>
      </w:r>
    </w:p>
    <w:p>
      <w:pPr>
        <w:pStyle w:val="2"/>
        <w:ind w:firstLine="640" w:firstLineChars="200"/>
        <w:rPr>
          <w:rFonts w:ascii="宋体" w:hAnsi="宋体" w:cs="宋体"/>
          <w:b w:val="0"/>
          <w:bCs w:val="0"/>
          <w:color w:val="000000" w:themeColor="text1"/>
          <w:szCs w:val="22"/>
          <w:highlight w:val="none"/>
          <w14:textFill>
            <w14:solidFill>
              <w14:schemeClr w14:val="tx1"/>
            </w14:solidFill>
          </w14:textFill>
        </w:rPr>
      </w:pPr>
      <w:r>
        <w:rPr>
          <w:rFonts w:hint="eastAsia" w:ascii="宋体" w:hAnsi="宋体" w:cs="宋体"/>
          <w:b w:val="0"/>
          <w:bCs w:val="0"/>
          <w:color w:val="000000" w:themeColor="text1"/>
          <w:szCs w:val="22"/>
          <w:highlight w:val="none"/>
          <w:lang w:eastAsia="zh-CN"/>
          <w14:textFill>
            <w14:solidFill>
              <w14:schemeClr w14:val="tx1"/>
            </w14:solidFill>
          </w14:textFill>
        </w:rPr>
        <w:t>3.</w:t>
      </w:r>
      <w:r>
        <w:rPr>
          <w:rFonts w:ascii="宋体" w:hAnsi="宋体" w:cs="宋体"/>
          <w:b w:val="0"/>
          <w:bCs w:val="0"/>
          <w:color w:val="000000" w:themeColor="text1"/>
          <w:szCs w:val="22"/>
          <w:highlight w:val="none"/>
          <w14:textFill>
            <w14:solidFill>
              <w14:schemeClr w14:val="tx1"/>
            </w14:solidFill>
          </w14:textFill>
        </w:rPr>
        <w:t>30</w:t>
      </w:r>
      <w:r>
        <w:rPr>
          <w:rFonts w:hint="eastAsia" w:ascii="宋体" w:hAnsi="宋体" w:cs="宋体"/>
          <w:b w:val="0"/>
          <w:bCs w:val="0"/>
          <w:color w:val="000000" w:themeColor="text1"/>
          <w:szCs w:val="22"/>
          <w:highlight w:val="none"/>
          <w14:textFill>
            <w14:solidFill>
              <w14:schemeClr w14:val="tx1"/>
            </w14:solidFill>
          </w14:textFill>
        </w:rPr>
        <w:t xml:space="preserve">  设备装有电气定位和机械定位装置，以保证设备及操作人员的安全。台车运转过程中遇到断电，会自动锁紧，停止运转，不会出现倒转现象；安全可靠。</w:t>
      </w:r>
    </w:p>
    <w:p>
      <w:pPr>
        <w:pStyle w:val="2"/>
        <w:ind w:firstLine="640" w:firstLineChars="200"/>
        <w:rPr>
          <w:rFonts w:hint="default" w:eastAsia="宋体"/>
          <w:color w:val="000000" w:themeColor="text1"/>
          <w:highlight w:val="none"/>
          <w:lang w:val="en-US" w:eastAsia="zh-CN"/>
          <w14:textFill>
            <w14:solidFill>
              <w14:schemeClr w14:val="tx1"/>
            </w14:solidFill>
          </w14:textFill>
        </w:rPr>
      </w:pPr>
      <w:r>
        <w:rPr>
          <w:rFonts w:hint="eastAsia" w:ascii="宋体" w:hAnsi="宋体" w:cs="宋体"/>
          <w:b w:val="0"/>
          <w:bCs w:val="0"/>
          <w:color w:val="000000" w:themeColor="text1"/>
          <w:szCs w:val="22"/>
          <w:highlight w:val="none"/>
          <w:lang w:eastAsia="zh-CN"/>
          <w14:textFill>
            <w14:solidFill>
              <w14:schemeClr w14:val="tx1"/>
            </w14:solidFill>
          </w14:textFill>
        </w:rPr>
        <w:t>3.</w:t>
      </w:r>
      <w:r>
        <w:rPr>
          <w:rFonts w:ascii="宋体" w:hAnsi="宋体" w:cs="宋体"/>
          <w:b w:val="0"/>
          <w:bCs w:val="0"/>
          <w:color w:val="000000" w:themeColor="text1"/>
          <w:szCs w:val="22"/>
          <w:highlight w:val="none"/>
          <w14:textFill>
            <w14:solidFill>
              <w14:schemeClr w14:val="tx1"/>
            </w14:solidFill>
          </w14:textFill>
        </w:rPr>
        <w:t>31</w:t>
      </w:r>
      <w:r>
        <w:rPr>
          <w:rFonts w:hint="eastAsia" w:ascii="宋体" w:hAnsi="宋体" w:cs="宋体"/>
          <w:b w:val="0"/>
          <w:bCs w:val="0"/>
          <w:color w:val="000000" w:themeColor="text1"/>
          <w:szCs w:val="22"/>
          <w:highlight w:val="none"/>
          <w14:textFill>
            <w14:solidFill>
              <w14:schemeClr w14:val="tx1"/>
            </w14:solidFill>
          </w14:textFill>
        </w:rPr>
        <w:t xml:space="preserve">  设备噪声符合 GB/T23281、GB/T232826国家要求，超出国标时，相应的零部件需配有降噪装置，该装置易于拆卸且方便设备维修。</w:t>
      </w:r>
      <w:r>
        <w:rPr>
          <w:rFonts w:hint="eastAsia" w:ascii="宋体" w:hAnsi="宋体" w:cs="宋体"/>
          <w:b w:val="0"/>
          <w:bCs w:val="0"/>
          <w:color w:val="000000" w:themeColor="text1"/>
          <w:szCs w:val="22"/>
          <w:highlight w:val="none"/>
          <w14:textFill>
            <w14:solidFill>
              <w14:schemeClr w14:val="tx1"/>
            </w14:solidFill>
          </w14:textFill>
        </w:rPr>
        <w:br w:type="textWrapping"/>
      </w:r>
      <w:r>
        <w:rPr>
          <w:rFonts w:hint="eastAsia" w:ascii="宋体" w:hAnsi="宋体" w:cs="宋体"/>
          <w:b w:val="0"/>
          <w:bCs w:val="0"/>
          <w:color w:val="000000" w:themeColor="text1"/>
          <w:szCs w:val="22"/>
          <w:highlight w:val="none"/>
          <w14:textFill>
            <w14:solidFill>
              <w14:schemeClr w14:val="tx1"/>
            </w14:solidFill>
          </w14:textFill>
        </w:rPr>
        <w:t>设备基础：</w:t>
      </w:r>
      <w:r>
        <w:rPr>
          <w:rFonts w:hint="eastAsia" w:ascii="宋体" w:hAnsi="宋体" w:cs="宋体"/>
          <w:b w:val="0"/>
          <w:bCs w:val="0"/>
          <w:color w:val="000000" w:themeColor="text1"/>
          <w:szCs w:val="22"/>
          <w:highlight w:val="none"/>
          <w14:textFill>
            <w14:solidFill>
              <w14:schemeClr w14:val="tx1"/>
            </w14:solidFill>
          </w14:textFill>
        </w:rPr>
        <w:br w:type="textWrapping"/>
      </w:r>
      <w:r>
        <w:rPr>
          <w:rFonts w:hint="eastAsia" w:ascii="宋体" w:hAnsi="宋体" w:cs="宋体"/>
          <w:b w:val="0"/>
          <w:bCs w:val="0"/>
          <w:color w:val="000000" w:themeColor="text1"/>
          <w:szCs w:val="22"/>
          <w:highlight w:val="none"/>
          <w14:textFill>
            <w14:solidFill>
              <w14:schemeClr w14:val="tx1"/>
            </w14:solidFill>
          </w14:textFill>
        </w:rPr>
        <w:t xml:space="preserve">    </w:t>
      </w:r>
      <w:r>
        <w:rPr>
          <w:rFonts w:hint="eastAsia" w:ascii="宋体" w:hAnsi="宋体" w:cs="宋体"/>
          <w:b w:val="0"/>
          <w:bCs w:val="0"/>
          <w:color w:val="000000" w:themeColor="text1"/>
          <w:szCs w:val="22"/>
          <w:highlight w:val="none"/>
          <w:lang w:eastAsia="zh-CN"/>
          <w14:textFill>
            <w14:solidFill>
              <w14:schemeClr w14:val="tx1"/>
            </w14:solidFill>
          </w14:textFill>
        </w:rPr>
        <w:t>3.</w:t>
      </w:r>
      <w:r>
        <w:rPr>
          <w:rFonts w:hint="eastAsia" w:ascii="宋体" w:hAnsi="宋体" w:cs="宋体"/>
          <w:b w:val="0"/>
          <w:bCs w:val="0"/>
          <w:color w:val="000000" w:themeColor="text1"/>
          <w:szCs w:val="22"/>
          <w:highlight w:val="none"/>
          <w14:textFill>
            <w14:solidFill>
              <w14:schemeClr w14:val="tx1"/>
            </w14:solidFill>
          </w14:textFill>
        </w:rPr>
        <w:t>3</w:t>
      </w:r>
      <w:r>
        <w:rPr>
          <w:rFonts w:ascii="宋体" w:hAnsi="宋体" w:cs="宋体"/>
          <w:b w:val="0"/>
          <w:bCs w:val="0"/>
          <w:color w:val="000000" w:themeColor="text1"/>
          <w:szCs w:val="22"/>
          <w:highlight w:val="none"/>
          <w14:textFill>
            <w14:solidFill>
              <w14:schemeClr w14:val="tx1"/>
            </w14:solidFill>
          </w14:textFill>
        </w:rPr>
        <w:t>2</w:t>
      </w:r>
      <w:r>
        <w:rPr>
          <w:rFonts w:hint="eastAsia" w:ascii="宋体" w:hAnsi="宋体" w:cs="宋体"/>
          <w:b w:val="0"/>
          <w:bCs w:val="0"/>
          <w:color w:val="000000" w:themeColor="text1"/>
          <w:szCs w:val="22"/>
          <w:highlight w:val="none"/>
          <w14:textFill>
            <w14:solidFill>
              <w14:schemeClr w14:val="tx1"/>
            </w14:solidFill>
          </w14:textFill>
        </w:rPr>
        <w:t xml:space="preserve">  </w:t>
      </w:r>
      <w:r>
        <w:rPr>
          <w:rFonts w:hint="eastAsia" w:ascii="宋体" w:hAnsi="宋体" w:eastAsia="宋体" w:cs="宋体"/>
          <w:b w:val="0"/>
          <w:bCs w:val="0"/>
          <w:strike w:val="0"/>
          <w:dstrike w:val="0"/>
          <w:color w:val="000000" w:themeColor="text1"/>
          <w:kern w:val="2"/>
          <w:sz w:val="24"/>
          <w:szCs w:val="22"/>
          <w:highlight w:val="none"/>
          <w:lang w:val="en-US" w:eastAsia="zh-CN" w:bidi="ar-SA"/>
          <w14:textFill>
            <w14:solidFill>
              <w14:schemeClr w14:val="tx1"/>
            </w14:solidFill>
          </w14:textFill>
        </w:rPr>
        <w:t>设备安装基础</w:t>
      </w:r>
      <w:r>
        <w:rPr>
          <w:rFonts w:hint="eastAsia" w:ascii="宋体" w:hAnsi="宋体" w:cs="宋体"/>
          <w:b w:val="0"/>
          <w:bCs w:val="0"/>
          <w:strike w:val="0"/>
          <w:dstrike w:val="0"/>
          <w:color w:val="000000" w:themeColor="text1"/>
          <w:kern w:val="2"/>
          <w:sz w:val="24"/>
          <w:szCs w:val="22"/>
          <w:highlight w:val="none"/>
          <w:lang w:val="en-US" w:eastAsia="zh-CN" w:bidi="ar-SA"/>
          <w14:textFill>
            <w14:solidFill>
              <w14:schemeClr w14:val="tx1"/>
            </w14:solidFill>
          </w14:textFill>
        </w:rPr>
        <w:t>由投标方提出要求，甲方负责制做。投标方</w:t>
      </w:r>
      <w:r>
        <w:rPr>
          <w:rFonts w:hint="eastAsia" w:ascii="宋体" w:hAnsi="宋体" w:cs="宋体"/>
          <w:b w:val="0"/>
          <w:bCs w:val="0"/>
          <w:color w:val="000000" w:themeColor="text1"/>
          <w:szCs w:val="22"/>
          <w:highlight w:val="none"/>
          <w14:textFill>
            <w14:solidFill>
              <w14:schemeClr w14:val="tx1"/>
            </w14:solidFill>
          </w14:textFill>
        </w:rPr>
        <w:t>负责提供车间取电位置到设备配电柜线缆；负责该线缆的铺设、防护，及水泥地面的回填平整等工作。</w:t>
      </w:r>
    </w:p>
    <w:p>
      <w:pPr>
        <w:ind w:firstLine="482" w:firstLineChars="200"/>
        <w:outlineLvl w:val="2"/>
        <w:rPr>
          <w:color w:val="000000" w:themeColor="text1"/>
          <w:sz w:val="28"/>
          <w:szCs w:val="36"/>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四、执行标准</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1.招标人此处所列标准仅为涉及的主要标准，而且不保证其为最新版执行标准；投标人应当在投标文件中认真予以填写、补充和修改完善。</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2.投标人需要执行的标准，应当采用所供货物通过买方组织的最终验收之日已经开始执行的最新标准。</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4.采购货物没有国家或专业（部）标准的，按企业标准执行时，卖方应在合同签署之前，将所涉及的企业标准提供给买方确认。</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5.采购货物如果采用国际标准，其执行标准由投标人提供、招标人确认。</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6.采购货物所涉及的标准不统一时，原则上按照最严格标准执行。</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7.涉及的主要标准表</w:t>
      </w:r>
    </w:p>
    <w:tbl>
      <w:tblPr>
        <w:tblStyle w:val="48"/>
        <w:tblW w:w="8460" w:type="dxa"/>
        <w:tblInd w:w="2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3765"/>
        <w:gridCol w:w="2386"/>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pPr>
              <w:jc w:val="center"/>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序号</w:t>
            </w:r>
          </w:p>
        </w:tc>
        <w:tc>
          <w:tcPr>
            <w:tcW w:w="3765" w:type="dxa"/>
            <w:shd w:val="clear" w:color="auto" w:fill="auto"/>
            <w:vAlign w:val="center"/>
          </w:tcPr>
          <w:p>
            <w:pPr>
              <w:jc w:val="center"/>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标准名称</w:t>
            </w:r>
          </w:p>
        </w:tc>
        <w:tc>
          <w:tcPr>
            <w:tcW w:w="2386" w:type="dxa"/>
            <w:shd w:val="clear" w:color="auto" w:fill="auto"/>
            <w:vAlign w:val="center"/>
          </w:tcPr>
          <w:p>
            <w:pPr>
              <w:jc w:val="center"/>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标准编号</w:t>
            </w:r>
          </w:p>
        </w:tc>
        <w:tc>
          <w:tcPr>
            <w:tcW w:w="1300" w:type="dxa"/>
            <w:shd w:val="clear" w:color="auto" w:fill="auto"/>
            <w:vAlign w:val="center"/>
          </w:tcPr>
          <w:p>
            <w:pPr>
              <w:jc w:val="center"/>
              <w:rPr>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9"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w:t>
            </w:r>
          </w:p>
        </w:tc>
        <w:tc>
          <w:tcPr>
            <w:tcW w:w="3765"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机械安全防护装置固定式和活动式防护装置的设计与制造一般要求</w:t>
            </w:r>
          </w:p>
        </w:tc>
        <w:tc>
          <w:tcPr>
            <w:tcW w:w="2386"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GB/T 8196-2018</w:t>
            </w:r>
          </w:p>
        </w:tc>
        <w:tc>
          <w:tcPr>
            <w:tcW w:w="1300"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w:t>
            </w:r>
          </w:p>
        </w:tc>
        <w:tc>
          <w:tcPr>
            <w:tcW w:w="3765"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联锁装置要求</w:t>
            </w:r>
          </w:p>
        </w:tc>
        <w:tc>
          <w:tcPr>
            <w:tcW w:w="2386"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ascii="宋体" w:hAnsi="宋体" w:eastAsia="宋体" w:cs="宋体"/>
                <w:color w:val="000000" w:themeColor="text1"/>
                <w:sz w:val="24"/>
                <w:highlight w:val="none"/>
                <w14:textFill>
                  <w14:solidFill>
                    <w14:schemeClr w14:val="tx1"/>
                  </w14:solidFill>
                </w14:textFill>
              </w:rPr>
              <w:t>GB/T 41108</w:t>
            </w:r>
            <w:r>
              <w:rPr>
                <w:rFonts w:hint="eastAsia" w:ascii="宋体" w:hAnsi="宋体" w:eastAsia="宋体" w:cs="宋体"/>
                <w:color w:val="000000" w:themeColor="text1"/>
                <w:sz w:val="24"/>
                <w:highlight w:val="none"/>
                <w:lang w:val="en-US" w:eastAsia="zh-CN"/>
                <w14:textFill>
                  <w14:solidFill>
                    <w14:schemeClr w14:val="tx1"/>
                  </w14:solidFill>
                </w14:textFill>
              </w:rPr>
              <w:t>-2021</w:t>
            </w:r>
          </w:p>
        </w:tc>
        <w:tc>
          <w:tcPr>
            <w:tcW w:w="1300"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w:t>
            </w:r>
          </w:p>
        </w:tc>
        <w:tc>
          <w:tcPr>
            <w:tcW w:w="3765"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ascii="宋体" w:hAnsi="宋体" w:eastAsia="宋体" w:cs="宋体"/>
                <w:color w:val="000000" w:themeColor="text1"/>
                <w:sz w:val="24"/>
                <w:highlight w:val="none"/>
                <w14:textFill>
                  <w14:solidFill>
                    <w14:schemeClr w14:val="tx1"/>
                  </w14:solidFill>
                </w14:textFill>
              </w:rPr>
              <w:t>防护锁定装置</w:t>
            </w:r>
          </w:p>
        </w:tc>
        <w:tc>
          <w:tcPr>
            <w:tcW w:w="2386"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ascii="宋体" w:hAnsi="宋体" w:eastAsia="宋体" w:cs="宋体"/>
                <w:color w:val="000000" w:themeColor="text1"/>
                <w:sz w:val="24"/>
                <w:highlight w:val="none"/>
                <w14:textFill>
                  <w14:solidFill>
                    <w14:schemeClr w14:val="tx1"/>
                  </w14:solidFill>
                </w14:textFill>
              </w:rPr>
              <w:t>GB/T 18831-2017</w:t>
            </w:r>
          </w:p>
        </w:tc>
        <w:tc>
          <w:tcPr>
            <w:tcW w:w="1300" w:type="dxa"/>
            <w:shd w:val="clear" w:color="auto" w:fill="auto"/>
          </w:tcPr>
          <w:p>
            <w:pPr>
              <w:spacing w:line="360" w:lineRule="auto"/>
              <w:jc w:val="center"/>
              <w:rPr>
                <w:rFonts w:ascii="宋体" w:hAnsi="宋体" w:eastAsia="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w:t>
            </w:r>
          </w:p>
        </w:tc>
        <w:tc>
          <w:tcPr>
            <w:tcW w:w="3765"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机械安全设计通则</w:t>
            </w:r>
          </w:p>
        </w:tc>
        <w:tc>
          <w:tcPr>
            <w:tcW w:w="2386"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ascii="宋体" w:hAnsi="宋体" w:eastAsia="宋体" w:cs="宋体"/>
                <w:color w:val="000000" w:themeColor="text1"/>
                <w:sz w:val="24"/>
                <w:highlight w:val="none"/>
                <w14:textFill>
                  <w14:solidFill>
                    <w14:schemeClr w14:val="tx1"/>
                  </w14:solidFill>
                </w14:textFill>
              </w:rPr>
              <w:t>GB/T 15706-2012</w:t>
            </w:r>
          </w:p>
        </w:tc>
        <w:tc>
          <w:tcPr>
            <w:tcW w:w="1300" w:type="dxa"/>
            <w:shd w:val="clear" w:color="auto" w:fill="auto"/>
          </w:tcPr>
          <w:p>
            <w:pPr>
              <w:spacing w:line="360" w:lineRule="auto"/>
              <w:jc w:val="center"/>
              <w:rPr>
                <w:rFonts w:ascii="宋体" w:hAnsi="宋体" w:eastAsia="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w:t>
            </w:r>
          </w:p>
        </w:tc>
        <w:tc>
          <w:tcPr>
            <w:tcW w:w="3765"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安全色和安全标志</w:t>
            </w:r>
          </w:p>
        </w:tc>
        <w:tc>
          <w:tcPr>
            <w:tcW w:w="2386"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GB 289</w:t>
            </w: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ascii="宋体" w:hAnsi="宋体" w:eastAsia="宋体" w:cs="宋体"/>
                <w:color w:val="000000" w:themeColor="text1"/>
                <w:sz w:val="24"/>
                <w:szCs w:val="24"/>
                <w:highlight w:val="none"/>
                <w14:textFill>
                  <w14:solidFill>
                    <w14:schemeClr w14:val="tx1"/>
                  </w14:solidFill>
                </w14:textFill>
              </w:rPr>
              <w:t>-20</w:t>
            </w:r>
            <w:r>
              <w:rPr>
                <w:rFonts w:hint="eastAsia" w:ascii="宋体" w:hAnsi="宋体" w:eastAsia="宋体" w:cs="宋体"/>
                <w:color w:val="000000" w:themeColor="text1"/>
                <w:sz w:val="24"/>
                <w:szCs w:val="24"/>
                <w:highlight w:val="none"/>
                <w:lang w:val="en-US" w:eastAsia="zh-CN"/>
                <w14:textFill>
                  <w14:solidFill>
                    <w14:schemeClr w14:val="tx1"/>
                  </w14:solidFill>
                </w14:textFill>
              </w:rPr>
              <w:t>25</w:t>
            </w:r>
          </w:p>
        </w:tc>
        <w:tc>
          <w:tcPr>
            <w:tcW w:w="1300" w:type="dxa"/>
            <w:shd w:val="clear" w:color="auto" w:fill="auto"/>
          </w:tcPr>
          <w:p>
            <w:pPr>
              <w:spacing w:line="360" w:lineRule="auto"/>
              <w:jc w:val="center"/>
              <w:rPr>
                <w:rFonts w:ascii="宋体" w:hAnsi="宋体" w:eastAsia="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w:t>
            </w:r>
          </w:p>
        </w:tc>
        <w:tc>
          <w:tcPr>
            <w:tcW w:w="3765"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冷板国家标准</w:t>
            </w:r>
          </w:p>
        </w:tc>
        <w:tc>
          <w:tcPr>
            <w:tcW w:w="2386"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ascii="宋体" w:hAnsi="宋体" w:eastAsia="宋体" w:cs="宋体"/>
                <w:color w:val="000000" w:themeColor="text1"/>
                <w:sz w:val="24"/>
                <w:highlight w:val="none"/>
                <w14:textFill>
                  <w14:solidFill>
                    <w14:schemeClr w14:val="tx1"/>
                  </w14:solidFill>
                </w14:textFill>
              </w:rPr>
              <w:t>GB/T 708-2</w:t>
            </w:r>
            <w:r>
              <w:rPr>
                <w:rFonts w:hint="eastAsia" w:ascii="宋体" w:hAnsi="宋体" w:eastAsia="宋体" w:cs="宋体"/>
                <w:color w:val="000000" w:themeColor="text1"/>
                <w:sz w:val="24"/>
                <w:highlight w:val="none"/>
                <w:lang w:val="en-US" w:eastAsia="zh-CN"/>
                <w14:textFill>
                  <w14:solidFill>
                    <w14:schemeClr w14:val="tx1"/>
                  </w14:solidFill>
                </w14:textFill>
              </w:rPr>
              <w:t>019</w:t>
            </w:r>
          </w:p>
        </w:tc>
        <w:tc>
          <w:tcPr>
            <w:tcW w:w="1300" w:type="dxa"/>
            <w:shd w:val="clear" w:color="auto" w:fill="auto"/>
          </w:tcPr>
          <w:p>
            <w:pPr>
              <w:spacing w:line="360" w:lineRule="auto"/>
              <w:jc w:val="center"/>
              <w:rPr>
                <w:rFonts w:ascii="宋体" w:hAnsi="宋体" w:eastAsia="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7</w:t>
            </w:r>
          </w:p>
        </w:tc>
        <w:tc>
          <w:tcPr>
            <w:tcW w:w="3765"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导轨国家标准</w:t>
            </w:r>
          </w:p>
        </w:tc>
        <w:tc>
          <w:tcPr>
            <w:tcW w:w="2386"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GB/T 32322</w:t>
            </w:r>
            <w:r>
              <w:rPr>
                <w:rFonts w:hint="eastAsia" w:ascii="宋体" w:hAnsi="宋体" w:eastAsia="宋体" w:cs="宋体"/>
                <w:color w:val="000000" w:themeColor="text1"/>
                <w:sz w:val="24"/>
                <w:highlight w:val="none"/>
                <w14:textFill>
                  <w14:solidFill>
                    <w14:schemeClr w14:val="tx1"/>
                  </w14:solidFill>
                </w14:textFill>
              </w:rPr>
              <w:t>-201</w:t>
            </w:r>
            <w:r>
              <w:rPr>
                <w:rFonts w:hint="eastAsia" w:ascii="宋体" w:hAnsi="宋体" w:eastAsia="宋体" w:cs="宋体"/>
                <w:color w:val="000000" w:themeColor="text1"/>
                <w:sz w:val="24"/>
                <w:highlight w:val="none"/>
                <w:lang w:val="en-US" w:eastAsia="zh-CN"/>
                <w14:textFill>
                  <w14:solidFill>
                    <w14:schemeClr w14:val="tx1"/>
                  </w14:solidFill>
                </w14:textFill>
              </w:rPr>
              <w:t>5</w:t>
            </w:r>
          </w:p>
        </w:tc>
        <w:tc>
          <w:tcPr>
            <w:tcW w:w="1300" w:type="dxa"/>
            <w:shd w:val="clear" w:color="auto" w:fill="auto"/>
          </w:tcPr>
          <w:p>
            <w:pPr>
              <w:spacing w:line="360" w:lineRule="auto"/>
              <w:jc w:val="center"/>
              <w:rPr>
                <w:rFonts w:ascii="宋体" w:hAnsi="宋体" w:eastAsia="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8</w:t>
            </w:r>
          </w:p>
        </w:tc>
        <w:tc>
          <w:tcPr>
            <w:tcW w:w="3765"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机械安全 安全控制系统</w:t>
            </w:r>
          </w:p>
        </w:tc>
        <w:tc>
          <w:tcPr>
            <w:tcW w:w="2386"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GB/T 16855.1-2025</w:t>
            </w:r>
          </w:p>
        </w:tc>
        <w:tc>
          <w:tcPr>
            <w:tcW w:w="1300"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9</w:t>
            </w:r>
          </w:p>
        </w:tc>
        <w:tc>
          <w:tcPr>
            <w:tcW w:w="3765"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工业机械电气设备通用技术条件</w:t>
            </w:r>
          </w:p>
        </w:tc>
        <w:tc>
          <w:tcPr>
            <w:tcW w:w="2386"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GB/T5226</w:t>
            </w:r>
            <w:r>
              <w:rPr>
                <w:rFonts w:hint="eastAsia" w:ascii="宋体" w:hAnsi="宋体" w:eastAsia="宋体" w:cs="宋体"/>
                <w:color w:val="000000" w:themeColor="text1"/>
                <w:sz w:val="24"/>
                <w:highlight w:val="none"/>
                <w:lang w:val="en-US"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1-</w:t>
            </w:r>
            <w:r>
              <w:rPr>
                <w:rFonts w:hint="eastAsia" w:ascii="宋体" w:hAnsi="宋体" w:eastAsia="宋体" w:cs="宋体"/>
                <w:color w:val="000000" w:themeColor="text1"/>
                <w:sz w:val="24"/>
                <w:highlight w:val="none"/>
                <w:lang w:val="en-US" w:eastAsia="zh-CN"/>
                <w14:textFill>
                  <w14:solidFill>
                    <w14:schemeClr w14:val="tx1"/>
                  </w14:solidFill>
                </w14:textFill>
              </w:rPr>
              <w:t>2019</w:t>
            </w:r>
          </w:p>
        </w:tc>
        <w:tc>
          <w:tcPr>
            <w:tcW w:w="1300" w:type="dxa"/>
            <w:shd w:val="clear" w:color="auto" w:fill="auto"/>
          </w:tcPr>
          <w:p>
            <w:pPr>
              <w:spacing w:line="360" w:lineRule="auto"/>
              <w:jc w:val="center"/>
              <w:rPr>
                <w:rFonts w:ascii="宋体" w:hAnsi="宋体" w:eastAsia="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10</w:t>
            </w:r>
          </w:p>
        </w:tc>
        <w:tc>
          <w:tcPr>
            <w:tcW w:w="3765"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低压配电设计规范</w:t>
            </w:r>
          </w:p>
        </w:tc>
        <w:tc>
          <w:tcPr>
            <w:tcW w:w="2386"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GB50054-</w:t>
            </w:r>
            <w:r>
              <w:rPr>
                <w:rFonts w:hint="eastAsia" w:ascii="宋体" w:hAnsi="宋体" w:eastAsia="宋体" w:cs="宋体"/>
                <w:color w:val="000000" w:themeColor="text1"/>
                <w:sz w:val="24"/>
                <w:highlight w:val="none"/>
                <w:lang w:val="en-US" w:eastAsia="zh-CN"/>
                <w14:textFill>
                  <w14:solidFill>
                    <w14:schemeClr w14:val="tx1"/>
                  </w14:solidFill>
                </w14:textFill>
              </w:rPr>
              <w:t>2011</w:t>
            </w:r>
          </w:p>
        </w:tc>
        <w:tc>
          <w:tcPr>
            <w:tcW w:w="1300" w:type="dxa"/>
            <w:shd w:val="clear" w:color="auto" w:fill="auto"/>
          </w:tcPr>
          <w:p>
            <w:pPr>
              <w:spacing w:line="360" w:lineRule="auto"/>
              <w:jc w:val="center"/>
              <w:rPr>
                <w:rFonts w:ascii="宋体" w:hAnsi="宋体" w:eastAsia="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11</w:t>
            </w:r>
          </w:p>
        </w:tc>
        <w:tc>
          <w:tcPr>
            <w:tcW w:w="3765" w:type="dxa"/>
            <w:shd w:val="clear" w:color="auto" w:fill="auto"/>
            <w:vAlign w:val="center"/>
          </w:tcPr>
          <w:p>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工业企业厂界环境噪声排放标准</w:t>
            </w:r>
          </w:p>
        </w:tc>
        <w:tc>
          <w:tcPr>
            <w:tcW w:w="2386" w:type="dxa"/>
            <w:shd w:val="clear" w:color="auto" w:fill="auto"/>
            <w:vAlign w:val="center"/>
          </w:tcPr>
          <w:p>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GB 12348</w:t>
            </w:r>
            <w:r>
              <w:rPr>
                <w:rFonts w:hint="eastAsia" w:ascii="宋体" w:hAnsi="宋体" w:eastAsia="宋体" w:cs="宋体"/>
                <w:color w:val="000000" w:themeColor="text1"/>
                <w:sz w:val="24"/>
                <w:highlight w:val="none"/>
                <w:lang w:val="en-US" w:eastAsia="zh-CN"/>
                <w14:textFill>
                  <w14:solidFill>
                    <w14:schemeClr w14:val="tx1"/>
                  </w14:solidFill>
                </w14:textFill>
              </w:rPr>
              <w:t>-2008</w:t>
            </w:r>
          </w:p>
        </w:tc>
        <w:tc>
          <w:tcPr>
            <w:tcW w:w="1300" w:type="dxa"/>
            <w:shd w:val="clear" w:color="auto" w:fill="auto"/>
          </w:tcPr>
          <w:p>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pPr>
              <w:spacing w:line="360" w:lineRule="auto"/>
              <w:jc w:val="center"/>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12</w:t>
            </w:r>
          </w:p>
        </w:tc>
        <w:tc>
          <w:tcPr>
            <w:tcW w:w="3765" w:type="dxa"/>
            <w:shd w:val="clear" w:color="auto" w:fill="auto"/>
            <w:vAlign w:val="center"/>
          </w:tcPr>
          <w:p>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钢结构焊接验收</w:t>
            </w:r>
          </w:p>
        </w:tc>
        <w:tc>
          <w:tcPr>
            <w:tcW w:w="2386" w:type="dxa"/>
            <w:shd w:val="clear" w:color="auto" w:fill="auto"/>
            <w:vAlign w:val="center"/>
          </w:tcPr>
          <w:p>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GB 50661-2011</w:t>
            </w:r>
          </w:p>
        </w:tc>
        <w:tc>
          <w:tcPr>
            <w:tcW w:w="1300" w:type="dxa"/>
            <w:shd w:val="clear" w:color="auto" w:fill="auto"/>
          </w:tcPr>
          <w:p>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pPr>
              <w:spacing w:line="360" w:lineRule="auto"/>
              <w:jc w:val="center"/>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13</w:t>
            </w:r>
          </w:p>
        </w:tc>
        <w:tc>
          <w:tcPr>
            <w:tcW w:w="3765" w:type="dxa"/>
            <w:shd w:val="clear" w:color="auto" w:fill="auto"/>
            <w:vAlign w:val="center"/>
          </w:tcPr>
          <w:p>
            <w:pPr>
              <w:spacing w:line="360" w:lineRule="auto"/>
              <w:jc w:val="center"/>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电动平车 技术条件</w:t>
            </w:r>
          </w:p>
        </w:tc>
        <w:tc>
          <w:tcPr>
            <w:tcW w:w="2386" w:type="dxa"/>
            <w:shd w:val="clear" w:color="auto" w:fill="auto"/>
            <w:vAlign w:val="center"/>
          </w:tcPr>
          <w:p>
            <w:pPr>
              <w:spacing w:line="360" w:lineRule="auto"/>
              <w:jc w:val="center"/>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JB/T 6127-2010</w:t>
            </w:r>
          </w:p>
        </w:tc>
        <w:tc>
          <w:tcPr>
            <w:tcW w:w="1300" w:type="dxa"/>
            <w:shd w:val="clear" w:color="auto" w:fill="auto"/>
            <w:vAlign w:val="top"/>
          </w:tcPr>
          <w:p>
            <w:pPr>
              <w:spacing w:line="360" w:lineRule="auto"/>
              <w:jc w:val="center"/>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pPr>
              <w:spacing w:line="360" w:lineRule="auto"/>
              <w:jc w:val="center"/>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14</w:t>
            </w:r>
          </w:p>
        </w:tc>
        <w:tc>
          <w:tcPr>
            <w:tcW w:w="3765" w:type="dxa"/>
            <w:shd w:val="clear" w:color="auto" w:fill="auto"/>
            <w:vAlign w:val="center"/>
          </w:tcPr>
          <w:p>
            <w:pPr>
              <w:spacing w:line="360" w:lineRule="auto"/>
              <w:jc w:val="center"/>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锻造</w:t>
            </w:r>
            <w:r>
              <w:rPr>
                <w:rFonts w:ascii="宋体" w:hAnsi="宋体" w:eastAsia="宋体" w:cs="宋体"/>
                <w:color w:val="000000" w:themeColor="text1"/>
                <w:sz w:val="24"/>
                <w:highlight w:val="none"/>
                <w14:textFill>
                  <w14:solidFill>
                    <w14:schemeClr w14:val="tx1"/>
                  </w14:solidFill>
                </w14:textFill>
              </w:rPr>
              <w:t>机械通用技术</w:t>
            </w:r>
            <w:r>
              <w:rPr>
                <w:rFonts w:hint="eastAsia" w:ascii="宋体" w:hAnsi="宋体" w:eastAsia="宋体" w:cs="宋体"/>
                <w:color w:val="000000" w:themeColor="text1"/>
                <w:sz w:val="24"/>
                <w:highlight w:val="none"/>
                <w14:textFill>
                  <w14:solidFill>
                    <w14:schemeClr w14:val="tx1"/>
                  </w14:solidFill>
                </w14:textFill>
              </w:rPr>
              <w:t>条件</w:t>
            </w:r>
          </w:p>
        </w:tc>
        <w:tc>
          <w:tcPr>
            <w:tcW w:w="2386" w:type="dxa"/>
            <w:shd w:val="clear" w:color="auto" w:fill="auto"/>
            <w:vAlign w:val="center"/>
          </w:tcPr>
          <w:p>
            <w:pPr>
              <w:spacing w:line="360" w:lineRule="auto"/>
              <w:jc w:val="center"/>
              <w:rPr>
                <w:rFonts w:hint="default" w:ascii="宋体" w:hAnsi="宋体" w:eastAsia="宋体" w:cs="宋体"/>
                <w:color w:val="000000" w:themeColor="text1"/>
                <w:kern w:val="2"/>
                <w:sz w:val="24"/>
                <w:szCs w:val="22"/>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JB/</w:t>
            </w:r>
            <w:r>
              <w:rPr>
                <w:rFonts w:ascii="宋体" w:hAnsi="宋体" w:eastAsia="宋体" w:cs="宋体"/>
                <w:color w:val="000000" w:themeColor="text1"/>
                <w:sz w:val="24"/>
                <w:highlight w:val="none"/>
                <w14:textFill>
                  <w14:solidFill>
                    <w14:schemeClr w14:val="tx1"/>
                  </w14:solidFill>
                </w14:textFill>
              </w:rPr>
              <w:t>T1829-</w:t>
            </w:r>
            <w:r>
              <w:rPr>
                <w:rFonts w:hint="eastAsia" w:ascii="宋体" w:hAnsi="宋体" w:eastAsia="宋体" w:cs="宋体"/>
                <w:color w:val="000000" w:themeColor="text1"/>
                <w:sz w:val="24"/>
                <w:highlight w:val="none"/>
                <w:lang w:val="en-US" w:eastAsia="zh-CN"/>
                <w14:textFill>
                  <w14:solidFill>
                    <w14:schemeClr w14:val="tx1"/>
                  </w14:solidFill>
                </w14:textFill>
              </w:rPr>
              <w:t>2014</w:t>
            </w:r>
          </w:p>
        </w:tc>
        <w:tc>
          <w:tcPr>
            <w:tcW w:w="1300" w:type="dxa"/>
            <w:shd w:val="clear" w:color="auto" w:fill="auto"/>
            <w:vAlign w:val="top"/>
          </w:tcPr>
          <w:p>
            <w:pPr>
              <w:spacing w:line="360" w:lineRule="auto"/>
              <w:jc w:val="center"/>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pPr>
              <w:spacing w:line="360" w:lineRule="auto"/>
              <w:jc w:val="center"/>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w:t>
            </w:r>
            <w:r>
              <w:rPr>
                <w:rFonts w:hint="eastAsia" w:ascii="宋体" w:hAnsi="宋体" w:eastAsia="宋体" w:cs="宋体"/>
                <w:color w:val="000000" w:themeColor="text1"/>
                <w:sz w:val="24"/>
                <w:highlight w:val="none"/>
                <w:lang w:val="en-US" w:eastAsia="zh-CN"/>
                <w14:textFill>
                  <w14:solidFill>
                    <w14:schemeClr w14:val="tx1"/>
                  </w14:solidFill>
                </w14:textFill>
              </w:rPr>
              <w:t>5</w:t>
            </w:r>
          </w:p>
        </w:tc>
        <w:tc>
          <w:tcPr>
            <w:tcW w:w="3765" w:type="dxa"/>
            <w:shd w:val="clear" w:color="auto" w:fill="auto"/>
            <w:vAlign w:val="center"/>
          </w:tcPr>
          <w:p>
            <w:pPr>
              <w:spacing w:line="360" w:lineRule="auto"/>
              <w:jc w:val="center"/>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锻造</w:t>
            </w:r>
            <w:r>
              <w:rPr>
                <w:rFonts w:ascii="宋体" w:hAnsi="宋体" w:eastAsia="宋体" w:cs="宋体"/>
                <w:color w:val="000000" w:themeColor="text1"/>
                <w:sz w:val="24"/>
                <w:highlight w:val="none"/>
                <w14:textFill>
                  <w14:solidFill>
                    <w14:schemeClr w14:val="tx1"/>
                  </w14:solidFill>
                </w14:textFill>
              </w:rPr>
              <w:t>机械</w:t>
            </w:r>
            <w:r>
              <w:rPr>
                <w:rFonts w:hint="eastAsia" w:ascii="宋体" w:hAnsi="宋体" w:eastAsia="宋体" w:cs="宋体"/>
                <w:color w:val="000000" w:themeColor="text1"/>
                <w:sz w:val="24"/>
                <w:highlight w:val="none"/>
                <w14:textFill>
                  <w14:solidFill>
                    <w14:schemeClr w14:val="tx1"/>
                  </w14:solidFill>
                </w14:textFill>
              </w:rPr>
              <w:t>焊接</w:t>
            </w:r>
            <w:r>
              <w:rPr>
                <w:rFonts w:ascii="宋体" w:hAnsi="宋体" w:eastAsia="宋体" w:cs="宋体"/>
                <w:color w:val="000000" w:themeColor="text1"/>
                <w:sz w:val="24"/>
                <w:highlight w:val="none"/>
                <w14:textFill>
                  <w14:solidFill>
                    <w14:schemeClr w14:val="tx1"/>
                  </w14:solidFill>
                </w14:textFill>
              </w:rPr>
              <w:t>技术</w:t>
            </w:r>
            <w:r>
              <w:rPr>
                <w:rFonts w:hint="eastAsia" w:ascii="宋体" w:hAnsi="宋体" w:eastAsia="宋体" w:cs="宋体"/>
                <w:color w:val="000000" w:themeColor="text1"/>
                <w:sz w:val="24"/>
                <w:highlight w:val="none"/>
                <w14:textFill>
                  <w14:solidFill>
                    <w14:schemeClr w14:val="tx1"/>
                  </w14:solidFill>
                </w14:textFill>
              </w:rPr>
              <w:t>条件</w:t>
            </w:r>
          </w:p>
        </w:tc>
        <w:tc>
          <w:tcPr>
            <w:tcW w:w="2386" w:type="dxa"/>
            <w:shd w:val="clear" w:color="auto" w:fill="auto"/>
            <w:vAlign w:val="center"/>
          </w:tcPr>
          <w:p>
            <w:pPr>
              <w:spacing w:line="360" w:lineRule="auto"/>
              <w:jc w:val="center"/>
              <w:rPr>
                <w:rFonts w:hint="default" w:ascii="宋体" w:hAnsi="宋体" w:eastAsia="宋体" w:cs="宋体"/>
                <w:color w:val="000000" w:themeColor="text1"/>
                <w:kern w:val="2"/>
                <w:sz w:val="24"/>
                <w:szCs w:val="22"/>
                <w:highlight w:val="none"/>
                <w:lang w:val="en-US" w:eastAsia="zh-CN" w:bidi="ar-SA"/>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JB/</w:t>
            </w:r>
            <w:r>
              <w:rPr>
                <w:rFonts w:ascii="宋体" w:hAnsi="宋体" w:eastAsia="宋体" w:cs="宋体"/>
                <w:color w:val="000000" w:themeColor="text1"/>
                <w:sz w:val="24"/>
                <w:highlight w:val="none"/>
                <w14:textFill>
                  <w14:solidFill>
                    <w14:schemeClr w14:val="tx1"/>
                  </w14:solidFill>
                </w14:textFill>
              </w:rPr>
              <w:t>T8609-</w:t>
            </w:r>
            <w:r>
              <w:rPr>
                <w:rFonts w:hint="eastAsia" w:ascii="宋体" w:hAnsi="宋体" w:eastAsia="宋体" w:cs="宋体"/>
                <w:color w:val="000000" w:themeColor="text1"/>
                <w:sz w:val="24"/>
                <w:highlight w:val="none"/>
                <w:lang w:val="en-US" w:eastAsia="zh-CN"/>
                <w14:textFill>
                  <w14:solidFill>
                    <w14:schemeClr w14:val="tx1"/>
                  </w14:solidFill>
                </w14:textFill>
              </w:rPr>
              <w:t>2014</w:t>
            </w:r>
          </w:p>
        </w:tc>
        <w:tc>
          <w:tcPr>
            <w:tcW w:w="1300" w:type="dxa"/>
            <w:shd w:val="clear" w:color="auto" w:fill="auto"/>
            <w:vAlign w:val="top"/>
          </w:tcPr>
          <w:p>
            <w:pPr>
              <w:spacing w:line="360" w:lineRule="auto"/>
              <w:jc w:val="center"/>
              <w:rPr>
                <w:rFonts w:hint="eastAsia" w:ascii="宋体" w:hAnsi="宋体" w:eastAsia="宋体" w:cs="宋体"/>
                <w:color w:val="000000" w:themeColor="text1"/>
                <w:kern w:val="2"/>
                <w:sz w:val="24"/>
                <w:szCs w:val="22"/>
                <w:highlight w:val="none"/>
                <w:lang w:val="en-US" w:eastAsia="zh-CN" w:bidi="ar-SA"/>
                <w14:textFill>
                  <w14:solidFill>
                    <w14:schemeClr w14:val="tx1"/>
                  </w14:solidFill>
                </w14:textFill>
              </w:rPr>
            </w:pPr>
          </w:p>
        </w:tc>
      </w:tr>
    </w:tbl>
    <w:p>
      <w:pPr>
        <w:rPr>
          <w:color w:val="000000" w:themeColor="text1"/>
          <w:sz w:val="28"/>
          <w:szCs w:val="36"/>
          <w:highlight w:val="none"/>
          <w14:textFill>
            <w14:solidFill>
              <w14:schemeClr w14:val="tx1"/>
            </w14:solidFill>
          </w14:textFill>
        </w:rPr>
      </w:pPr>
    </w:p>
    <w:p>
      <w:pPr>
        <w:rPr>
          <w:rFonts w:ascii="Calibri" w:hAnsi="Calibri" w:eastAsia="宋体" w:cs="Times New Roman"/>
          <w:b/>
          <w:bCs/>
          <w:color w:val="000000" w:themeColor="text1"/>
          <w:kern w:val="44"/>
          <w:sz w:val="28"/>
          <w:szCs w:val="28"/>
          <w:highlight w:val="none"/>
          <w14:textFill>
            <w14:solidFill>
              <w14:schemeClr w14:val="tx1"/>
            </w14:solidFill>
          </w14:textFill>
        </w:rPr>
      </w:pPr>
      <w:r>
        <w:rPr>
          <w:rFonts w:hint="eastAsia" w:ascii="Calibri" w:hAnsi="Calibri" w:eastAsia="宋体" w:cs="Times New Roman"/>
          <w:b/>
          <w:bCs/>
          <w:color w:val="000000" w:themeColor="text1"/>
          <w:kern w:val="44"/>
          <w:sz w:val="28"/>
          <w:szCs w:val="28"/>
          <w:highlight w:val="none"/>
          <w14:textFill>
            <w14:solidFill>
              <w14:schemeClr w14:val="tx1"/>
            </w14:solidFill>
          </w14:textFill>
        </w:rPr>
        <w:br w:type="page"/>
      </w:r>
    </w:p>
    <w:p>
      <w:pPr>
        <w:keepNext/>
        <w:keepLines/>
        <w:jc w:val="center"/>
        <w:outlineLvl w:val="1"/>
        <w:rPr>
          <w:rFonts w:ascii="Calibri" w:hAnsi="Calibri" w:eastAsia="宋体" w:cs="Times New Roman"/>
          <w:b/>
          <w:bCs/>
          <w:color w:val="000000" w:themeColor="text1"/>
          <w:kern w:val="44"/>
          <w:sz w:val="28"/>
          <w:szCs w:val="28"/>
          <w:highlight w:val="none"/>
          <w14:textFill>
            <w14:solidFill>
              <w14:schemeClr w14:val="tx1"/>
            </w14:solidFill>
          </w14:textFill>
        </w:rPr>
      </w:pPr>
      <w:r>
        <w:rPr>
          <w:rFonts w:hint="eastAsia" w:ascii="Calibri" w:hAnsi="Calibri" w:eastAsia="宋体" w:cs="Times New Roman"/>
          <w:b/>
          <w:bCs/>
          <w:color w:val="000000" w:themeColor="text1"/>
          <w:kern w:val="44"/>
          <w:sz w:val="28"/>
          <w:szCs w:val="28"/>
          <w:highlight w:val="none"/>
          <w14:textFill>
            <w14:solidFill>
              <w14:schemeClr w14:val="tx1"/>
            </w14:solidFill>
          </w14:textFill>
        </w:rPr>
        <w:t>第三章</w:t>
      </w:r>
      <w:r>
        <w:rPr>
          <w:rFonts w:ascii="Calibri" w:hAnsi="Calibri" w:eastAsia="宋体" w:cs="Times New Roman"/>
          <w:b/>
          <w:bCs/>
          <w:color w:val="000000" w:themeColor="text1"/>
          <w:kern w:val="44"/>
          <w:sz w:val="28"/>
          <w:szCs w:val="28"/>
          <w:highlight w:val="none"/>
          <w14:textFill>
            <w14:solidFill>
              <w14:schemeClr w14:val="tx1"/>
            </w14:solidFill>
          </w14:textFill>
        </w:rPr>
        <w:t xml:space="preserve">  </w:t>
      </w:r>
      <w:r>
        <w:rPr>
          <w:rFonts w:hint="eastAsia" w:ascii="Calibri" w:hAnsi="Calibri" w:eastAsia="宋体" w:cs="Times New Roman"/>
          <w:b/>
          <w:bCs/>
          <w:color w:val="000000" w:themeColor="text1"/>
          <w:kern w:val="44"/>
          <w:sz w:val="28"/>
          <w:szCs w:val="28"/>
          <w:highlight w:val="none"/>
          <w14:textFill>
            <w14:solidFill>
              <w14:schemeClr w14:val="tx1"/>
            </w14:solidFill>
          </w14:textFill>
        </w:rPr>
        <w:t>供货范围及供货方式</w:t>
      </w:r>
    </w:p>
    <w:p>
      <w:pPr>
        <w:spacing w:line="420" w:lineRule="exact"/>
        <w:ind w:firstLine="482" w:firstLineChars="200"/>
        <w:outlineLvl w:val="3"/>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一、供货范围（按照组成项目主要构成一览表的所有最小单元逐一列示，要涵盖培训等内容）</w:t>
      </w:r>
    </w:p>
    <w:tbl>
      <w:tblPr>
        <w:tblStyle w:val="48"/>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序号</w:t>
            </w:r>
          </w:p>
        </w:tc>
        <w:tc>
          <w:tcPr>
            <w:tcW w:w="2977" w:type="dxa"/>
            <w:vAlign w:val="center"/>
          </w:tcPr>
          <w:p>
            <w:pPr>
              <w:spacing w:line="360" w:lineRule="auto"/>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名称</w:t>
            </w:r>
          </w:p>
        </w:tc>
        <w:tc>
          <w:tcPr>
            <w:tcW w:w="992" w:type="dxa"/>
            <w:vAlign w:val="center"/>
          </w:tcPr>
          <w:p>
            <w:pPr>
              <w:spacing w:line="360" w:lineRule="auto"/>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单位</w:t>
            </w:r>
          </w:p>
        </w:tc>
        <w:tc>
          <w:tcPr>
            <w:tcW w:w="1134" w:type="dxa"/>
            <w:vAlign w:val="center"/>
          </w:tcPr>
          <w:p>
            <w:pPr>
              <w:spacing w:line="360" w:lineRule="auto"/>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数量</w:t>
            </w:r>
          </w:p>
        </w:tc>
        <w:tc>
          <w:tcPr>
            <w:tcW w:w="2835" w:type="dxa"/>
            <w:vAlign w:val="center"/>
          </w:tcPr>
          <w:p>
            <w:pPr>
              <w:spacing w:line="360" w:lineRule="auto"/>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w:t>
            </w:r>
          </w:p>
        </w:tc>
        <w:tc>
          <w:tcPr>
            <w:tcW w:w="2977" w:type="dxa"/>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车体单元</w:t>
            </w:r>
          </w:p>
        </w:tc>
        <w:tc>
          <w:tcPr>
            <w:tcW w:w="992" w:type="dxa"/>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套</w:t>
            </w:r>
          </w:p>
        </w:tc>
        <w:tc>
          <w:tcPr>
            <w:tcW w:w="1134" w:type="dxa"/>
            <w:vAlign w:val="center"/>
          </w:tcPr>
          <w:p>
            <w:pPr>
              <w:widowControl/>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3</w:t>
            </w:r>
          </w:p>
        </w:tc>
        <w:tc>
          <w:tcPr>
            <w:tcW w:w="2835" w:type="dxa"/>
          </w:tcPr>
          <w:p>
            <w:pPr>
              <w:spacing w:line="360" w:lineRule="auto"/>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w:t>
            </w:r>
          </w:p>
        </w:tc>
        <w:tc>
          <w:tcPr>
            <w:tcW w:w="2977" w:type="dxa"/>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车体行走轮</w:t>
            </w:r>
            <w:r>
              <w:rPr>
                <w:rFonts w:hint="eastAsia" w:ascii="宋体" w:hAnsi="宋体" w:eastAsia="宋体" w:cs="宋体"/>
                <w:color w:val="000000" w:themeColor="text1"/>
                <w:sz w:val="24"/>
                <w:highlight w:val="none"/>
                <w:lang w:val="en-US" w:eastAsia="zh-CN"/>
                <w14:textFill>
                  <w14:solidFill>
                    <w14:schemeClr w14:val="tx1"/>
                  </w14:solidFill>
                </w14:textFill>
              </w:rPr>
              <w:t>总</w:t>
            </w:r>
            <w:r>
              <w:rPr>
                <w:rFonts w:hint="eastAsia" w:ascii="宋体" w:hAnsi="宋体" w:eastAsia="宋体" w:cs="宋体"/>
                <w:color w:val="000000" w:themeColor="text1"/>
                <w:sz w:val="24"/>
                <w:highlight w:val="none"/>
                <w14:textFill>
                  <w14:solidFill>
                    <w14:schemeClr w14:val="tx1"/>
                  </w14:solidFill>
                </w14:textFill>
              </w:rPr>
              <w:t>成</w:t>
            </w:r>
          </w:p>
        </w:tc>
        <w:tc>
          <w:tcPr>
            <w:tcW w:w="992" w:type="dxa"/>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套</w:t>
            </w:r>
          </w:p>
        </w:tc>
        <w:tc>
          <w:tcPr>
            <w:tcW w:w="1134" w:type="dxa"/>
            <w:vAlign w:val="center"/>
          </w:tcPr>
          <w:p>
            <w:pPr>
              <w:widowControl/>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3</w:t>
            </w:r>
          </w:p>
        </w:tc>
        <w:tc>
          <w:tcPr>
            <w:tcW w:w="2835" w:type="dxa"/>
          </w:tcPr>
          <w:p>
            <w:pPr>
              <w:spacing w:line="360" w:lineRule="auto"/>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w:t>
            </w:r>
          </w:p>
        </w:tc>
        <w:tc>
          <w:tcPr>
            <w:tcW w:w="2977" w:type="dxa"/>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车体单元传动系统</w:t>
            </w:r>
          </w:p>
        </w:tc>
        <w:tc>
          <w:tcPr>
            <w:tcW w:w="992" w:type="dxa"/>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套</w:t>
            </w:r>
          </w:p>
        </w:tc>
        <w:tc>
          <w:tcPr>
            <w:tcW w:w="1134" w:type="dxa"/>
            <w:vAlign w:val="center"/>
          </w:tcPr>
          <w:p>
            <w:pPr>
              <w:widowControl/>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3</w:t>
            </w:r>
          </w:p>
        </w:tc>
        <w:tc>
          <w:tcPr>
            <w:tcW w:w="2835" w:type="dxa"/>
          </w:tcPr>
          <w:p>
            <w:pPr>
              <w:spacing w:line="360" w:lineRule="auto"/>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ascii="宋体" w:hAnsi="宋体" w:eastAsia="宋体" w:cs="宋体"/>
                <w:color w:val="000000" w:themeColor="text1"/>
                <w:sz w:val="24"/>
                <w:highlight w:val="none"/>
                <w14:textFill>
                  <w14:solidFill>
                    <w14:schemeClr w14:val="tx1"/>
                  </w14:solidFill>
                </w14:textFill>
              </w:rPr>
              <w:t>4</w:t>
            </w:r>
          </w:p>
        </w:tc>
        <w:tc>
          <w:tcPr>
            <w:tcW w:w="2977" w:type="dxa"/>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移模单元推拉机构</w:t>
            </w:r>
          </w:p>
        </w:tc>
        <w:tc>
          <w:tcPr>
            <w:tcW w:w="992" w:type="dxa"/>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套</w:t>
            </w:r>
          </w:p>
        </w:tc>
        <w:tc>
          <w:tcPr>
            <w:tcW w:w="1134" w:type="dxa"/>
            <w:vAlign w:val="center"/>
          </w:tcPr>
          <w:p>
            <w:pPr>
              <w:widowControl/>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3</w:t>
            </w:r>
          </w:p>
        </w:tc>
        <w:tc>
          <w:tcPr>
            <w:tcW w:w="2835" w:type="dxa"/>
          </w:tcPr>
          <w:p>
            <w:pPr>
              <w:spacing w:line="360" w:lineRule="auto"/>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ascii="宋体" w:hAnsi="宋体" w:eastAsia="宋体" w:cs="宋体"/>
                <w:color w:val="000000" w:themeColor="text1"/>
                <w:sz w:val="24"/>
                <w:highlight w:val="none"/>
                <w14:textFill>
                  <w14:solidFill>
                    <w14:schemeClr w14:val="tx1"/>
                  </w14:solidFill>
                </w14:textFill>
              </w:rPr>
              <w:t>5</w:t>
            </w:r>
          </w:p>
        </w:tc>
        <w:tc>
          <w:tcPr>
            <w:tcW w:w="2977" w:type="dxa"/>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移模单元传动系统</w:t>
            </w:r>
          </w:p>
        </w:tc>
        <w:tc>
          <w:tcPr>
            <w:tcW w:w="992" w:type="dxa"/>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套</w:t>
            </w:r>
          </w:p>
        </w:tc>
        <w:tc>
          <w:tcPr>
            <w:tcW w:w="1134" w:type="dxa"/>
            <w:vAlign w:val="center"/>
          </w:tcPr>
          <w:p>
            <w:pPr>
              <w:widowControl/>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3</w:t>
            </w:r>
          </w:p>
        </w:tc>
        <w:tc>
          <w:tcPr>
            <w:tcW w:w="2835" w:type="dxa"/>
          </w:tcPr>
          <w:p>
            <w:pPr>
              <w:spacing w:line="360" w:lineRule="auto"/>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129" w:type="dxa"/>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w:t>
            </w:r>
          </w:p>
        </w:tc>
        <w:tc>
          <w:tcPr>
            <w:tcW w:w="2977" w:type="dxa"/>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定位单元</w:t>
            </w:r>
          </w:p>
        </w:tc>
        <w:tc>
          <w:tcPr>
            <w:tcW w:w="992"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套</w:t>
            </w:r>
          </w:p>
        </w:tc>
        <w:tc>
          <w:tcPr>
            <w:tcW w:w="1134" w:type="dxa"/>
            <w:shd w:val="clear" w:color="auto" w:fill="auto"/>
            <w:vAlign w:val="center"/>
          </w:tcPr>
          <w:p>
            <w:pPr>
              <w:widowControl/>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3</w:t>
            </w:r>
          </w:p>
        </w:tc>
        <w:tc>
          <w:tcPr>
            <w:tcW w:w="2835" w:type="dxa"/>
            <w:shd w:val="clear" w:color="auto" w:fill="auto"/>
          </w:tcPr>
          <w:p>
            <w:pPr>
              <w:spacing w:line="360" w:lineRule="auto"/>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7</w:t>
            </w:r>
          </w:p>
        </w:tc>
        <w:tc>
          <w:tcPr>
            <w:tcW w:w="2977" w:type="dxa"/>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调整单元</w:t>
            </w:r>
          </w:p>
        </w:tc>
        <w:tc>
          <w:tcPr>
            <w:tcW w:w="992"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套</w:t>
            </w:r>
          </w:p>
        </w:tc>
        <w:tc>
          <w:tcPr>
            <w:tcW w:w="1134" w:type="dxa"/>
            <w:shd w:val="clear" w:color="auto" w:fill="auto"/>
            <w:vAlign w:val="center"/>
          </w:tcPr>
          <w:p>
            <w:pPr>
              <w:widowControl/>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3</w:t>
            </w:r>
          </w:p>
        </w:tc>
        <w:tc>
          <w:tcPr>
            <w:tcW w:w="2835" w:type="dxa"/>
            <w:shd w:val="clear" w:color="auto" w:fill="auto"/>
          </w:tcPr>
          <w:p>
            <w:pPr>
              <w:spacing w:line="360" w:lineRule="auto"/>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8</w:t>
            </w:r>
          </w:p>
        </w:tc>
        <w:tc>
          <w:tcPr>
            <w:tcW w:w="2977" w:type="dxa"/>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台车轨道</w:t>
            </w:r>
          </w:p>
        </w:tc>
        <w:tc>
          <w:tcPr>
            <w:tcW w:w="992"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套</w:t>
            </w:r>
          </w:p>
        </w:tc>
        <w:tc>
          <w:tcPr>
            <w:tcW w:w="1134" w:type="dxa"/>
            <w:shd w:val="clear" w:color="auto" w:fill="auto"/>
            <w:vAlign w:val="center"/>
          </w:tcPr>
          <w:p>
            <w:pPr>
              <w:widowControl/>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3</w:t>
            </w:r>
          </w:p>
        </w:tc>
        <w:tc>
          <w:tcPr>
            <w:tcW w:w="2835" w:type="dxa"/>
            <w:shd w:val="clear" w:color="auto" w:fill="auto"/>
          </w:tcPr>
          <w:p>
            <w:pPr>
              <w:spacing w:line="360" w:lineRule="auto"/>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9</w:t>
            </w:r>
          </w:p>
        </w:tc>
        <w:tc>
          <w:tcPr>
            <w:tcW w:w="2977" w:type="dxa"/>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配电箱（控制箱）</w:t>
            </w:r>
          </w:p>
        </w:tc>
        <w:tc>
          <w:tcPr>
            <w:tcW w:w="992"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套</w:t>
            </w:r>
          </w:p>
        </w:tc>
        <w:tc>
          <w:tcPr>
            <w:tcW w:w="1134" w:type="dxa"/>
            <w:shd w:val="clear" w:color="auto" w:fill="auto"/>
            <w:vAlign w:val="center"/>
          </w:tcPr>
          <w:p>
            <w:pPr>
              <w:widowControl/>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3</w:t>
            </w:r>
          </w:p>
        </w:tc>
        <w:tc>
          <w:tcPr>
            <w:tcW w:w="2835" w:type="dxa"/>
            <w:shd w:val="clear" w:color="auto" w:fill="auto"/>
          </w:tcPr>
          <w:p>
            <w:pPr>
              <w:spacing w:line="360" w:lineRule="auto"/>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29" w:type="dxa"/>
            <w:vAlign w:val="center"/>
          </w:tcPr>
          <w:p>
            <w:pPr>
              <w:spacing w:line="360" w:lineRule="auto"/>
              <w:jc w:val="center"/>
              <w:rPr>
                <w:rFonts w:hint="eastAsia" w:ascii="宋体" w:hAnsi="宋体" w:eastAsia="宋体" w:cs="宋体"/>
                <w:color w:val="000000" w:themeColor="text1"/>
                <w:sz w:val="24"/>
                <w:highlight w:val="none"/>
                <w:lang w:eastAsia="zh-CN"/>
                <w14:textFill>
                  <w14:solidFill>
                    <w14:schemeClr w14:val="tx1"/>
                  </w14:solidFill>
                </w14:textFill>
              </w:rPr>
            </w:pPr>
            <w:r>
              <w:rPr>
                <w:rFonts w:ascii="宋体" w:hAnsi="宋体" w:eastAsia="宋体" w:cs="宋体"/>
                <w:color w:val="000000" w:themeColor="text1"/>
                <w:sz w:val="24"/>
                <w:highlight w:val="none"/>
                <w14:textFill>
                  <w14:solidFill>
                    <w14:schemeClr w14:val="tx1"/>
                  </w14:solidFill>
                </w14:textFill>
              </w:rPr>
              <w:t>1</w:t>
            </w:r>
            <w:r>
              <w:rPr>
                <w:rFonts w:hint="eastAsia" w:ascii="宋体" w:hAnsi="宋体" w:eastAsia="宋体" w:cs="宋体"/>
                <w:color w:val="000000" w:themeColor="text1"/>
                <w:sz w:val="24"/>
                <w:highlight w:val="none"/>
                <w:lang w:val="en-US" w:eastAsia="zh-CN"/>
                <w14:textFill>
                  <w14:solidFill>
                    <w14:schemeClr w14:val="tx1"/>
                  </w14:solidFill>
                </w14:textFill>
              </w:rPr>
              <w:t>0</w:t>
            </w:r>
          </w:p>
        </w:tc>
        <w:tc>
          <w:tcPr>
            <w:tcW w:w="2977" w:type="dxa"/>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变频器</w:t>
            </w:r>
          </w:p>
        </w:tc>
        <w:tc>
          <w:tcPr>
            <w:tcW w:w="992"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套</w:t>
            </w:r>
          </w:p>
        </w:tc>
        <w:tc>
          <w:tcPr>
            <w:tcW w:w="1134" w:type="dxa"/>
            <w:shd w:val="clear" w:color="auto" w:fill="auto"/>
            <w:vAlign w:val="center"/>
          </w:tcPr>
          <w:p>
            <w:pPr>
              <w:widowControl/>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3</w:t>
            </w:r>
          </w:p>
        </w:tc>
        <w:tc>
          <w:tcPr>
            <w:tcW w:w="2835" w:type="dxa"/>
            <w:shd w:val="clear" w:color="auto" w:fill="auto"/>
          </w:tcPr>
          <w:p>
            <w:pPr>
              <w:spacing w:line="360" w:lineRule="auto"/>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w:t>
            </w:r>
            <w:r>
              <w:rPr>
                <w:rFonts w:hint="eastAsia" w:ascii="宋体" w:hAnsi="宋体" w:eastAsia="宋体" w:cs="宋体"/>
                <w:color w:val="000000" w:themeColor="text1"/>
                <w:sz w:val="24"/>
                <w:highlight w:val="none"/>
                <w:lang w:val="en-US" w:eastAsia="zh-CN"/>
                <w14:textFill>
                  <w14:solidFill>
                    <w14:schemeClr w14:val="tx1"/>
                  </w14:solidFill>
                </w14:textFill>
              </w:rPr>
              <w:t>1</w:t>
            </w:r>
          </w:p>
        </w:tc>
        <w:tc>
          <w:tcPr>
            <w:tcW w:w="2977" w:type="dxa"/>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滚轮装置</w:t>
            </w:r>
          </w:p>
        </w:tc>
        <w:tc>
          <w:tcPr>
            <w:tcW w:w="992"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套</w:t>
            </w:r>
          </w:p>
        </w:tc>
        <w:tc>
          <w:tcPr>
            <w:tcW w:w="1134" w:type="dxa"/>
            <w:shd w:val="clear" w:color="auto" w:fill="auto"/>
            <w:vAlign w:val="center"/>
          </w:tcPr>
          <w:p>
            <w:pPr>
              <w:widowControl/>
              <w:jc w:val="center"/>
              <w:textAlignment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3</w:t>
            </w:r>
          </w:p>
        </w:tc>
        <w:tc>
          <w:tcPr>
            <w:tcW w:w="2835" w:type="dxa"/>
            <w:shd w:val="clear" w:color="auto" w:fill="auto"/>
          </w:tcPr>
          <w:p>
            <w:pPr>
              <w:spacing w:line="360" w:lineRule="auto"/>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w:t>
            </w:r>
            <w:r>
              <w:rPr>
                <w:rFonts w:hint="eastAsia" w:ascii="宋体" w:hAnsi="宋体" w:eastAsia="宋体" w:cs="宋体"/>
                <w:color w:val="000000" w:themeColor="text1"/>
                <w:sz w:val="24"/>
                <w:highlight w:val="none"/>
                <w:lang w:val="en-US" w:eastAsia="zh-CN"/>
                <w14:textFill>
                  <w14:solidFill>
                    <w14:schemeClr w14:val="tx1"/>
                  </w14:solidFill>
                </w14:textFill>
              </w:rPr>
              <w:t>2</w:t>
            </w:r>
          </w:p>
        </w:tc>
        <w:tc>
          <w:tcPr>
            <w:tcW w:w="2977" w:type="dxa"/>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投标方认为必须配备的其他内容</w:t>
            </w:r>
          </w:p>
        </w:tc>
        <w:tc>
          <w:tcPr>
            <w:tcW w:w="992" w:type="dxa"/>
            <w:shd w:val="clear" w:color="auto" w:fill="auto"/>
            <w:vAlign w:val="center"/>
          </w:tcPr>
          <w:p>
            <w:pPr>
              <w:spacing w:line="360" w:lineRule="auto"/>
              <w:jc w:val="center"/>
              <w:rPr>
                <w:rFonts w:ascii="宋体" w:hAnsi="宋体" w:eastAsia="宋体" w:cs="宋体"/>
                <w:color w:val="000000" w:themeColor="text1"/>
                <w:sz w:val="24"/>
                <w:highlight w:val="none"/>
                <w14:textFill>
                  <w14:solidFill>
                    <w14:schemeClr w14:val="tx1"/>
                  </w14:solidFill>
                </w14:textFill>
              </w:rPr>
            </w:pPr>
          </w:p>
        </w:tc>
        <w:tc>
          <w:tcPr>
            <w:tcW w:w="1134" w:type="dxa"/>
            <w:shd w:val="clear" w:color="auto" w:fill="auto"/>
            <w:vAlign w:val="center"/>
          </w:tcPr>
          <w:p>
            <w:pPr>
              <w:widowControl/>
              <w:jc w:val="center"/>
              <w:textAlignment w:val="center"/>
              <w:rPr>
                <w:rFonts w:ascii="宋体" w:hAnsi="宋体" w:eastAsia="宋体" w:cs="宋体"/>
                <w:color w:val="000000" w:themeColor="text1"/>
                <w:sz w:val="24"/>
                <w:highlight w:val="none"/>
                <w14:textFill>
                  <w14:solidFill>
                    <w14:schemeClr w14:val="tx1"/>
                  </w14:solidFill>
                </w14:textFill>
              </w:rPr>
            </w:pPr>
          </w:p>
        </w:tc>
        <w:tc>
          <w:tcPr>
            <w:tcW w:w="2835" w:type="dxa"/>
            <w:shd w:val="clear" w:color="auto" w:fill="auto"/>
          </w:tcPr>
          <w:p>
            <w:pPr>
              <w:spacing w:line="360" w:lineRule="auto"/>
              <w:jc w:val="center"/>
              <w:rPr>
                <w:rFonts w:ascii="宋体" w:hAnsi="宋体" w:eastAsia="宋体"/>
                <w:color w:val="000000" w:themeColor="text1"/>
                <w:sz w:val="24"/>
                <w:highlight w:val="none"/>
                <w14:textFill>
                  <w14:solidFill>
                    <w14:schemeClr w14:val="tx1"/>
                  </w14:solidFill>
                </w14:textFill>
              </w:rPr>
            </w:pPr>
          </w:p>
        </w:tc>
      </w:tr>
    </w:tbl>
    <w:p>
      <w:pPr>
        <w:spacing w:line="360" w:lineRule="auto"/>
        <w:ind w:firstLine="482" w:firstLineChars="200"/>
        <w:outlineLvl w:val="2"/>
        <w:rPr>
          <w:rFonts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（一）一般界定</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如果终验收完成后，投标人有需要收回的配件、附件、材料、油料等，应当在投标文件的技术偏离条款中，予以详细说明；否则视同包括在供货范围之内。</w:t>
      </w:r>
    </w:p>
    <w:p>
      <w:pPr>
        <w:spacing w:line="360" w:lineRule="auto"/>
        <w:ind w:firstLine="480" w:firstLineChars="200"/>
        <w:outlineLvl w:val="3"/>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3.包括货物维护维修所必需的专用工具。</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包括为保证货物自身正常运行所必需的、满足使用地点环境条件的通风、冷却、降温等必需设施。</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如投标人难以提供或无优势提供以及属于选用配置的，则应当在投标文件的技术偏离条款中，予以详细说明并注明投标报价未包含该部分的货值。</w:t>
      </w:r>
    </w:p>
    <w:p>
      <w:pPr>
        <w:spacing w:line="360" w:lineRule="auto"/>
        <w:ind w:firstLine="482" w:firstLineChars="200"/>
        <w:outlineLvl w:val="2"/>
        <w:rPr>
          <w:rFonts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（二）供货范围边界界定</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4.以“交钥匙”方式采购的货物，在满足技术标书本节上述要求之外，同时包括货物正常运行、使用所需要的过桥、护栏、防护网、盖板等辅助设施。</w:t>
      </w:r>
    </w:p>
    <w:p>
      <w:pPr>
        <w:spacing w:line="360" w:lineRule="auto"/>
        <w:ind w:firstLine="482" w:firstLineChars="200"/>
        <w:outlineLvl w:val="3"/>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二、备品备件、易损件和专用耗材供货范围</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1.备品备件、易损件和专用耗材是招标人为保证货物质保期之后正常运行一年所自备自用的备品备件、易损件和专用耗材。</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三、技术资料供货范围</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技术资料供货范围包括：</w:t>
      </w:r>
    </w:p>
    <w:p>
      <w:pPr>
        <w:spacing w:line="360" w:lineRule="auto"/>
        <w:ind w:firstLine="480" w:firstLineChars="200"/>
        <w:rPr>
          <w:rFonts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1.在</w:t>
      </w:r>
      <w:r>
        <w:rPr>
          <w:rFonts w:hint="eastAsia" w:ascii="宋体" w:hAnsi="宋体" w:eastAsia="宋体" w:cs="宋体"/>
          <w:bCs/>
          <w:color w:val="000000" w:themeColor="text1"/>
          <w:sz w:val="24"/>
          <w:highlight w:val="none"/>
          <w14:textFill>
            <w14:solidFill>
              <w14:schemeClr w14:val="tx1"/>
            </w14:solidFill>
          </w14:textFill>
        </w:rPr>
        <w:t>合同签订后</w:t>
      </w:r>
      <w:r>
        <w:rPr>
          <w:rFonts w:hint="eastAsia" w:ascii="宋体" w:hAnsi="宋体" w:eastAsia="宋体" w:cs="宋体"/>
          <w:bCs/>
          <w:color w:val="000000" w:themeColor="text1"/>
          <w:sz w:val="24"/>
          <w:highlight w:val="none"/>
          <w:u w:val="single"/>
          <w:shd w:val="pct10" w:color="auto" w:fill="FFFFFF"/>
          <w14:textFill>
            <w14:solidFill>
              <w14:schemeClr w14:val="tx1"/>
            </w14:solidFill>
          </w14:textFill>
        </w:rPr>
        <w:t xml:space="preserve"> 15 </w:t>
      </w:r>
      <w:r>
        <w:rPr>
          <w:rFonts w:hint="eastAsia" w:ascii="宋体" w:hAnsi="宋体" w:eastAsia="宋体" w:cs="宋体"/>
          <w:bCs/>
          <w:color w:val="000000" w:themeColor="text1"/>
          <w:sz w:val="24"/>
          <w:highlight w:val="none"/>
          <w14:textFill>
            <w14:solidFill>
              <w14:schemeClr w14:val="tx1"/>
            </w14:solidFill>
          </w14:textFill>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2.在预验收前，提供货物各部分的功能描述文件、图片、影像等资料（进口、设备应有中外文对照）。</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8.本条款所列的技术资料、图片、影像等，投标人应各提供5套，其中2套为电子版光盘；每份技术文件应装有目录清单。</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9.本条款所列要求，如招标人认为投标人提供的资料不能满足要求时，有权要求投标人免费补充或增加。</w:t>
      </w:r>
    </w:p>
    <w:p>
      <w:pPr>
        <w:spacing w:line="360" w:lineRule="auto"/>
        <w:ind w:firstLine="482" w:firstLineChars="200"/>
        <w:outlineLvl w:val="3"/>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四、供货范围特别提示</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如果投标人认为本节所列的供货范围难以满足，则仍需要按照本要求提供，但该部分货物应当在投标报价中单独列明货物名称及品质、货值。</w:t>
      </w:r>
      <w:bookmarkStart w:id="24" w:name="_Toc169605883"/>
    </w:p>
    <w:p>
      <w:pPr>
        <w:keepNext/>
        <w:keepLines/>
        <w:spacing w:line="360" w:lineRule="auto"/>
        <w:jc w:val="center"/>
        <w:outlineLvl w:val="4"/>
        <w:rPr>
          <w:rFonts w:ascii="宋体" w:hAnsi="宋体" w:eastAsia="宋体" w:cs="宋体"/>
          <w:b/>
          <w:bCs/>
          <w:color w:val="000000" w:themeColor="text1"/>
          <w:sz w:val="24"/>
          <w:szCs w:val="32"/>
          <w:highlight w:val="none"/>
          <w14:textFill>
            <w14:solidFill>
              <w14:schemeClr w14:val="tx1"/>
            </w14:solidFill>
          </w14:textFill>
        </w:rPr>
      </w:pPr>
      <w:r>
        <w:rPr>
          <w:rFonts w:hint="eastAsia" w:ascii="宋体" w:hAnsi="宋体" w:eastAsia="宋体" w:cs="宋体"/>
          <w:b/>
          <w:bCs/>
          <w:color w:val="000000" w:themeColor="text1"/>
          <w:sz w:val="24"/>
          <w:szCs w:val="32"/>
          <w:highlight w:val="none"/>
          <w14:textFill>
            <w14:solidFill>
              <w14:schemeClr w14:val="tx1"/>
            </w14:solidFill>
          </w14:textFill>
        </w:rPr>
        <w:t>第二节  供货方式</w:t>
      </w:r>
      <w:bookmarkEnd w:id="24"/>
    </w:p>
    <w:p>
      <w:pPr>
        <w:spacing w:line="360" w:lineRule="auto"/>
        <w:ind w:firstLine="482" w:firstLineChars="200"/>
        <w:outlineLvl w:val="3"/>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一、供货方式</w:t>
      </w:r>
    </w:p>
    <w:p>
      <w:pPr>
        <w:spacing w:line="360" w:lineRule="auto"/>
        <w:ind w:firstLine="480" w:firstLineChars="200"/>
        <w:rPr>
          <w:rFonts w:ascii="宋体" w:hAnsi="宋体" w:eastAsia="宋体" w:cs="宋体"/>
          <w:b/>
          <w:i/>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二、供货地点：</w:t>
      </w:r>
      <w:r>
        <w:rPr>
          <w:rFonts w:hint="eastAsia" w:ascii="宋体" w:hAnsi="宋体" w:eastAsia="宋体" w:cs="宋体"/>
          <w:color w:val="000000" w:themeColor="text1"/>
          <w:sz w:val="24"/>
          <w:highlight w:val="none"/>
          <w:u w:val="single"/>
          <w14:textFill>
            <w14:solidFill>
              <w14:schemeClr w14:val="tx1"/>
            </w14:solidFill>
          </w14:textFill>
        </w:rPr>
        <w:t>济南市市中区党家庄机锻车间</w:t>
      </w:r>
      <w:r>
        <w:rPr>
          <w:rFonts w:hint="eastAsia" w:ascii="宋体" w:hAnsi="宋体" w:eastAsia="宋体" w:cs="宋体"/>
          <w:color w:val="000000" w:themeColor="text1"/>
          <w:sz w:val="24"/>
          <w:highlight w:val="none"/>
          <w14:textFill>
            <w14:solidFill>
              <w14:schemeClr w14:val="tx1"/>
            </w14:solidFill>
          </w14:textFill>
        </w:rPr>
        <w:t>。</w:t>
      </w:r>
    </w:p>
    <w:p>
      <w:pPr>
        <w:spacing w:line="360" w:lineRule="auto"/>
        <w:ind w:firstLine="482" w:firstLineChars="200"/>
        <w:jc w:val="left"/>
        <w:outlineLvl w:val="3"/>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三、供货时间</w:t>
      </w:r>
    </w:p>
    <w:p>
      <w:pPr>
        <w:spacing w:line="360" w:lineRule="auto"/>
        <w:ind w:firstLine="480" w:firstLineChars="200"/>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1.自合同签定生效之日起，</w:t>
      </w:r>
      <w:r>
        <w:rPr>
          <w:rFonts w:ascii="宋体" w:hAnsi="宋体" w:eastAsia="宋体" w:cs="宋体"/>
          <w:color w:val="000000" w:themeColor="text1"/>
          <w:sz w:val="24"/>
          <w:highlight w:val="none"/>
          <w:u w:val="single"/>
          <w14:textFill>
            <w14:solidFill>
              <w14:schemeClr w14:val="tx1"/>
            </w14:solidFill>
          </w14:textFill>
        </w:rPr>
        <w:t>9</w:t>
      </w:r>
      <w:r>
        <w:rPr>
          <w:rFonts w:hint="eastAsia" w:ascii="宋体" w:hAnsi="宋体" w:eastAsia="宋体" w:cs="宋体"/>
          <w:color w:val="000000" w:themeColor="text1"/>
          <w:sz w:val="24"/>
          <w:highlight w:val="none"/>
          <w:u w:val="single"/>
          <w14:textFill>
            <w14:solidFill>
              <w14:schemeClr w14:val="tx1"/>
            </w14:solidFill>
          </w14:textFill>
        </w:rPr>
        <w:t>0</w:t>
      </w:r>
      <w:r>
        <w:rPr>
          <w:rFonts w:hint="eastAsia" w:ascii="宋体" w:hAnsi="宋体" w:eastAsia="宋体" w:cs="宋体"/>
          <w:color w:val="000000" w:themeColor="text1"/>
          <w:sz w:val="24"/>
          <w:highlight w:val="none"/>
          <w14:textFill>
            <w14:solidFill>
              <w14:schemeClr w14:val="tx1"/>
            </w14:solidFill>
          </w14:textFill>
        </w:rPr>
        <w:t>个日历日之内交货至供货地点</w:t>
      </w:r>
      <w:r>
        <w:rPr>
          <w:rFonts w:ascii="宋体" w:hAnsi="宋体" w:eastAsia="宋体" w:cs="宋体"/>
          <w:color w:val="000000" w:themeColor="text1"/>
          <w:sz w:val="24"/>
          <w:highlight w:val="none"/>
          <w14:textFill>
            <w14:solidFill>
              <w14:schemeClr w14:val="tx1"/>
            </w14:solidFill>
          </w14:textFill>
        </w:rPr>
        <w:t>。</w:t>
      </w:r>
    </w:p>
    <w:p>
      <w:pPr>
        <w:spacing w:line="360" w:lineRule="auto"/>
        <w:ind w:firstLine="480" w:firstLineChars="200"/>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2.接续</w:t>
      </w:r>
      <w:r>
        <w:rPr>
          <w:rFonts w:hint="eastAsia" w:ascii="宋体" w:hAnsi="宋体" w:eastAsia="宋体" w:cs="宋体"/>
          <w:color w:val="000000" w:themeColor="text1"/>
          <w:sz w:val="24"/>
          <w:highlight w:val="none"/>
          <w:u w:val="single"/>
          <w:shd w:val="pct10" w:color="auto" w:fill="FFFFFF"/>
          <w14:textFill>
            <w14:solidFill>
              <w14:schemeClr w14:val="tx1"/>
            </w14:solidFill>
          </w14:textFill>
        </w:rPr>
        <w:t>10</w:t>
      </w:r>
      <w:r>
        <w:rPr>
          <w:rFonts w:hint="eastAsia" w:ascii="宋体" w:hAnsi="宋体" w:eastAsia="宋体" w:cs="宋体"/>
          <w:color w:val="000000" w:themeColor="text1"/>
          <w:sz w:val="24"/>
          <w:highlight w:val="none"/>
          <w14:textFill>
            <w14:solidFill>
              <w14:schemeClr w14:val="tx1"/>
            </w14:solidFill>
          </w14:textFill>
        </w:rPr>
        <w:t>个日历日之内完成安装调试或根据招标方要求分段实施。</w:t>
      </w:r>
    </w:p>
    <w:p>
      <w:pPr>
        <w:spacing w:line="360" w:lineRule="auto"/>
        <w:ind w:firstLine="480" w:firstLineChars="200"/>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3.接续</w:t>
      </w:r>
      <w:r>
        <w:rPr>
          <w:rFonts w:ascii="宋体" w:hAnsi="宋体" w:eastAsia="宋体" w:cs="宋体"/>
          <w:color w:val="000000" w:themeColor="text1"/>
          <w:sz w:val="24"/>
          <w:highlight w:val="none"/>
          <w:u w:val="single"/>
          <w:shd w:val="pct10" w:color="auto" w:fill="FFFFFF"/>
          <w14:textFill>
            <w14:solidFill>
              <w14:schemeClr w14:val="tx1"/>
            </w14:solidFill>
          </w14:textFill>
        </w:rPr>
        <w:t>15</w:t>
      </w:r>
      <w:r>
        <w:rPr>
          <w:rFonts w:hint="eastAsia" w:ascii="宋体" w:hAnsi="宋体" w:eastAsia="宋体" w:cs="宋体"/>
          <w:color w:val="000000" w:themeColor="text1"/>
          <w:sz w:val="24"/>
          <w:highlight w:val="none"/>
          <w14:textFill>
            <w14:solidFill>
              <w14:schemeClr w14:val="tx1"/>
            </w14:solidFill>
          </w14:textFill>
        </w:rPr>
        <w:t>个日历日之内完成终验收。</w:t>
      </w:r>
    </w:p>
    <w:p>
      <w:pPr>
        <w:spacing w:line="360" w:lineRule="auto"/>
        <w:ind w:firstLine="480" w:firstLineChars="200"/>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四、包装</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3.所提供货物（或设备）的包装，应能防止其一般性被窃或受外力破坏；一般不得采用有大缝隙的板条包装。</w:t>
      </w:r>
    </w:p>
    <w:p>
      <w:pPr>
        <w:adjustRightInd w:val="0"/>
        <w:snapToGrid w:val="0"/>
        <w:spacing w:line="360" w:lineRule="auto"/>
        <w:ind w:firstLine="480" w:firstLineChars="200"/>
        <w:outlineLvl w:val="4"/>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outlineLvl w:val="4"/>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8.包装箱应连续编号，不应出现重复编号。</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五、运输</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1.应负责将货物（或设备）运到目的地，并必须做到货物（或设备）在任何运输过程中不受损坏和遗失。</w:t>
      </w:r>
    </w:p>
    <w:p>
      <w:pPr>
        <w:adjustRightInd w:val="0"/>
        <w:snapToGrid w:val="0"/>
        <w:spacing w:line="360" w:lineRule="auto"/>
        <w:ind w:firstLine="480" w:firstLineChars="200"/>
        <w:outlineLvl w:val="4"/>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2.同批货物（或设备）应统一包装、编号运输。</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color w:val="000000" w:themeColor="text1"/>
          <w:szCs w:val="20"/>
          <w:highlight w:val="none"/>
          <w14:textFill>
            <w14:solidFill>
              <w14:schemeClr w14:val="tx1"/>
            </w14:solidFill>
          </w14:textFill>
        </w:rPr>
      </w:pPr>
    </w:p>
    <w:p>
      <w:pPr>
        <w:widowControl/>
        <w:jc w:val="left"/>
        <w:rPr>
          <w:rFonts w:ascii="宋体" w:hAnsi="Calibri" w:eastAsia="宋体" w:cs="Times New Roman"/>
          <w:color w:val="000000" w:themeColor="text1"/>
          <w:szCs w:val="20"/>
          <w:highlight w:val="none"/>
          <w14:textFill>
            <w14:solidFill>
              <w14:schemeClr w14:val="tx1"/>
            </w14:solidFill>
          </w14:textFill>
        </w:rPr>
      </w:pPr>
      <w:r>
        <w:rPr>
          <w:rFonts w:ascii="宋体" w:hAnsi="Calibri" w:eastAsia="宋体" w:cs="Times New Roman"/>
          <w:color w:val="000000" w:themeColor="text1"/>
          <w:szCs w:val="20"/>
          <w:highlight w:val="none"/>
          <w14:textFill>
            <w14:solidFill>
              <w14:schemeClr w14:val="tx1"/>
            </w14:solidFill>
          </w14:textFill>
        </w:rPr>
        <w:br w:type="page"/>
      </w:r>
    </w:p>
    <w:p>
      <w:pPr>
        <w:keepNext/>
        <w:keepLines/>
        <w:spacing w:line="360" w:lineRule="auto"/>
        <w:jc w:val="center"/>
        <w:outlineLvl w:val="1"/>
        <w:rPr>
          <w:rFonts w:ascii="Calibri" w:hAnsi="Calibri" w:eastAsia="宋体" w:cs="Times New Roman"/>
          <w:b/>
          <w:bCs/>
          <w:color w:val="000000" w:themeColor="text1"/>
          <w:kern w:val="44"/>
          <w:sz w:val="28"/>
          <w:szCs w:val="28"/>
          <w:highlight w:val="none"/>
          <w14:textFill>
            <w14:solidFill>
              <w14:schemeClr w14:val="tx1"/>
            </w14:solidFill>
          </w14:textFill>
        </w:rPr>
      </w:pPr>
      <w:bookmarkStart w:id="25" w:name="_Toc169605884"/>
      <w:r>
        <w:rPr>
          <w:rFonts w:hint="eastAsia" w:ascii="Calibri" w:hAnsi="Calibri" w:eastAsia="宋体" w:cs="Times New Roman"/>
          <w:b/>
          <w:bCs/>
          <w:color w:val="000000" w:themeColor="text1"/>
          <w:kern w:val="44"/>
          <w:sz w:val="28"/>
          <w:szCs w:val="28"/>
          <w:highlight w:val="none"/>
          <w14:textFill>
            <w14:solidFill>
              <w14:schemeClr w14:val="tx1"/>
            </w14:solidFill>
          </w14:textFill>
        </w:rPr>
        <w:t>第四章</w:t>
      </w:r>
      <w:r>
        <w:rPr>
          <w:rFonts w:ascii="Calibri" w:hAnsi="Calibri" w:eastAsia="宋体" w:cs="Times New Roman"/>
          <w:b/>
          <w:bCs/>
          <w:color w:val="000000" w:themeColor="text1"/>
          <w:kern w:val="44"/>
          <w:sz w:val="28"/>
          <w:szCs w:val="28"/>
          <w:highlight w:val="none"/>
          <w14:textFill>
            <w14:solidFill>
              <w14:schemeClr w14:val="tx1"/>
            </w14:solidFill>
          </w14:textFill>
        </w:rPr>
        <w:t xml:space="preserve">  </w:t>
      </w:r>
      <w:r>
        <w:rPr>
          <w:rFonts w:hint="eastAsia" w:ascii="Calibri" w:hAnsi="Calibri" w:eastAsia="宋体" w:cs="Times New Roman"/>
          <w:b/>
          <w:bCs/>
          <w:color w:val="000000" w:themeColor="text1"/>
          <w:kern w:val="44"/>
          <w:sz w:val="28"/>
          <w:szCs w:val="28"/>
          <w:highlight w:val="none"/>
          <w14:textFill>
            <w14:solidFill>
              <w14:schemeClr w14:val="tx1"/>
            </w14:solidFill>
          </w14:textFill>
        </w:rPr>
        <w:t>质保期及售后服务</w:t>
      </w:r>
      <w:bookmarkEnd w:id="25"/>
    </w:p>
    <w:p>
      <w:pPr>
        <w:pStyle w:val="237"/>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一、质保期及质保要求</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ascii="宋体" w:hAnsi="宋体" w:eastAsia="宋体" w:cs="宋体"/>
          <w:color w:val="000000" w:themeColor="text1"/>
          <w:sz w:val="24"/>
          <w:highlight w:val="none"/>
          <w14:textFill>
            <w14:solidFill>
              <w14:schemeClr w14:val="tx1"/>
            </w14:solidFill>
          </w14:textFill>
        </w:rPr>
        <w:t>1</w:t>
      </w:r>
      <w:r>
        <w:rPr>
          <w:rFonts w:hint="eastAsia" w:ascii="宋体" w:hAnsi="宋体" w:eastAsia="宋体" w:cs="宋体"/>
          <w:color w:val="000000" w:themeColor="text1"/>
          <w:sz w:val="24"/>
          <w:highlight w:val="none"/>
          <w14:textFill>
            <w14:solidFill>
              <w14:schemeClr w14:val="tx1"/>
            </w14:solidFill>
          </w14:textFill>
        </w:rPr>
        <w:t>.全部供货范围内的设备、材料、零配件和工器具等，除合同特别约定外，其质保期均自终验收签字生效之日起</w:t>
      </w:r>
      <w:r>
        <w:rPr>
          <w:rFonts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12</w:t>
      </w:r>
      <w:r>
        <w:rPr>
          <w:rFonts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个月。</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ascii="宋体" w:hAnsi="宋体" w:eastAsia="宋体" w:cs="宋体"/>
          <w:color w:val="000000" w:themeColor="text1"/>
          <w:sz w:val="24"/>
          <w:highlight w:val="none"/>
          <w14:textFill>
            <w14:solidFill>
              <w14:schemeClr w14:val="tx1"/>
            </w14:solidFill>
          </w14:textFill>
        </w:rPr>
        <w:t>2</w:t>
      </w:r>
      <w:r>
        <w:rPr>
          <w:rFonts w:hint="eastAsia" w:ascii="宋体" w:hAnsi="宋体" w:eastAsia="宋体" w:cs="宋体"/>
          <w:color w:val="000000" w:themeColor="text1"/>
          <w:sz w:val="24"/>
          <w:highlight w:val="none"/>
          <w14:textFill>
            <w14:solidFill>
              <w14:schemeClr w14:val="tx1"/>
            </w14:solidFill>
          </w14:textFill>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ascii="宋体" w:hAnsi="宋体" w:eastAsia="宋体" w:cs="宋体"/>
          <w:color w:val="000000" w:themeColor="text1"/>
          <w:sz w:val="24"/>
          <w:highlight w:val="none"/>
          <w14:textFill>
            <w14:solidFill>
              <w14:schemeClr w14:val="tx1"/>
            </w14:solidFill>
          </w14:textFill>
        </w:rPr>
        <w:t>3</w:t>
      </w:r>
      <w:r>
        <w:rPr>
          <w:rFonts w:hint="eastAsia" w:ascii="宋体" w:hAnsi="宋体" w:eastAsia="宋体" w:cs="宋体"/>
          <w:color w:val="000000" w:themeColor="text1"/>
          <w:sz w:val="24"/>
          <w:highlight w:val="none"/>
          <w14:textFill>
            <w14:solidFill>
              <w14:schemeClr w14:val="tx1"/>
            </w14:solidFill>
          </w14:textFill>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ascii="宋体" w:hAnsi="宋体" w:eastAsia="宋体" w:cs="宋体"/>
          <w:color w:val="000000" w:themeColor="text1"/>
          <w:sz w:val="24"/>
          <w:highlight w:val="none"/>
          <w14:textFill>
            <w14:solidFill>
              <w14:schemeClr w14:val="tx1"/>
            </w14:solidFill>
          </w14:textFill>
        </w:rPr>
        <w:t>4</w:t>
      </w:r>
      <w:r>
        <w:rPr>
          <w:rFonts w:hint="eastAsia" w:ascii="宋体" w:hAnsi="宋体" w:eastAsia="宋体" w:cs="宋体"/>
          <w:color w:val="000000" w:themeColor="text1"/>
          <w:sz w:val="24"/>
          <w:highlight w:val="none"/>
          <w14:textFill>
            <w14:solidFill>
              <w14:schemeClr w14:val="tx1"/>
            </w14:solidFill>
          </w14:textFill>
        </w:rPr>
        <w:t>.质保期终止之日起</w:t>
      </w:r>
      <w:r>
        <w:rPr>
          <w:rFonts w:hint="eastAsia" w:ascii="宋体" w:hAnsi="宋体" w:eastAsia="宋体" w:cs="宋体"/>
          <w:color w:val="000000" w:themeColor="text1"/>
          <w:sz w:val="24"/>
          <w:highlight w:val="none"/>
          <w:u w:val="single"/>
          <w14:textFill>
            <w14:solidFill>
              <w14:schemeClr w14:val="tx1"/>
            </w14:solidFill>
          </w14:textFill>
        </w:rPr>
        <w:t>一年内</w:t>
      </w:r>
      <w:r>
        <w:rPr>
          <w:rFonts w:hint="eastAsia" w:ascii="宋体" w:hAnsi="宋体" w:eastAsia="宋体" w:cs="宋体"/>
          <w:color w:val="000000" w:themeColor="text1"/>
          <w:sz w:val="24"/>
          <w:highlight w:val="none"/>
          <w14:textFill>
            <w14:solidFill>
              <w14:schemeClr w14:val="tx1"/>
            </w14:solidFill>
          </w14:textFill>
        </w:rPr>
        <w:t>重复出现的质保期之内出现的故障，仍属质保范围而且应当免费。</w:t>
      </w:r>
    </w:p>
    <w:p>
      <w:pPr>
        <w:pStyle w:val="237"/>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二、技术及培训服务</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themeColor="text1"/>
          <w:sz w:val="24"/>
          <w:highlight w:val="none"/>
          <w:u w:val="single"/>
          <w:shd w:val="pct10" w:color="auto" w:fill="FFFFFF"/>
          <w14:textFill>
            <w14:solidFill>
              <w14:schemeClr w14:val="tx1"/>
            </w14:solidFill>
          </w14:textFill>
        </w:rPr>
        <w:t>3</w:t>
      </w:r>
      <w:r>
        <w:rPr>
          <w:rFonts w:hint="eastAsia" w:ascii="宋体" w:hAnsi="宋体" w:eastAsia="宋体" w:cs="宋体"/>
          <w:color w:val="000000" w:themeColor="text1"/>
          <w:sz w:val="24"/>
          <w:highlight w:val="none"/>
          <w14:textFill>
            <w14:solidFill>
              <w14:schemeClr w14:val="tx1"/>
            </w14:solidFill>
          </w14:textFill>
        </w:rPr>
        <w:t>个日历日。</w:t>
      </w:r>
    </w:p>
    <w:p>
      <w:pPr>
        <w:adjustRightInd w:val="0"/>
        <w:snapToGrid w:val="0"/>
        <w:spacing w:line="360" w:lineRule="auto"/>
        <w:ind w:firstLine="480" w:firstLineChars="200"/>
        <w:outlineLvl w:val="3"/>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2.应免费提供一定数量的培训资料。</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237"/>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三、安装调试及验收服务</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5.卖方应当向买方提供货物试验、验收的有关标准、规范和方法，同时提供货物涉及并使用的软件合法性证明。</w:t>
      </w:r>
    </w:p>
    <w:p>
      <w:pPr>
        <w:adjustRightInd w:val="0"/>
        <w:snapToGrid w:val="0"/>
        <w:spacing w:line="360" w:lineRule="auto"/>
        <w:ind w:firstLine="480" w:firstLineChars="200"/>
        <w:outlineLvl w:val="3"/>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6.服务缺陷视同货物缺陷和履约延期。</w:t>
      </w:r>
    </w:p>
    <w:p>
      <w:pPr>
        <w:pStyle w:val="237"/>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四、售后服务</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2.如发现所提供的货物存在问题，需要卖方解决或配合解决时：在质保期之内，应在接到通知后</w:t>
      </w:r>
      <w:r>
        <w:rPr>
          <w:rFonts w:hint="eastAsia" w:ascii="宋体" w:hAnsi="宋体" w:eastAsia="宋体" w:cs="宋体"/>
          <w:color w:val="000000" w:themeColor="text1"/>
          <w:sz w:val="24"/>
          <w:highlight w:val="none"/>
          <w:u w:val="single"/>
          <w:shd w:val="pct10" w:color="auto" w:fill="FFFFFF"/>
          <w14:textFill>
            <w14:solidFill>
              <w14:schemeClr w14:val="tx1"/>
            </w14:solidFill>
          </w14:textFill>
        </w:rPr>
        <w:t>24</w:t>
      </w:r>
      <w:r>
        <w:rPr>
          <w:rFonts w:hint="eastAsia" w:ascii="宋体" w:hAnsi="宋体" w:eastAsia="宋体" w:cs="宋体"/>
          <w:color w:val="000000" w:themeColor="text1"/>
          <w:sz w:val="24"/>
          <w:highlight w:val="none"/>
          <w14:textFill>
            <w14:solidFill>
              <w14:schemeClr w14:val="tx1"/>
            </w14:solidFill>
          </w14:textFill>
        </w:rPr>
        <w:t>小时内派有关人员到达现场；在质保期之外，应在接到通知后</w:t>
      </w:r>
      <w:r>
        <w:rPr>
          <w:rFonts w:hint="eastAsia" w:ascii="宋体" w:hAnsi="宋体" w:eastAsia="宋体" w:cs="宋体"/>
          <w:color w:val="000000" w:themeColor="text1"/>
          <w:sz w:val="24"/>
          <w:highlight w:val="none"/>
          <w:u w:val="single"/>
          <w:shd w:val="pct10" w:color="auto" w:fill="FFFFFF"/>
          <w14:textFill>
            <w14:solidFill>
              <w14:schemeClr w14:val="tx1"/>
            </w14:solidFill>
          </w14:textFill>
        </w:rPr>
        <w:t>72</w:t>
      </w:r>
      <w:r>
        <w:rPr>
          <w:rFonts w:hint="eastAsia" w:ascii="宋体" w:hAnsi="宋体" w:eastAsia="宋体" w:cs="宋体"/>
          <w:color w:val="000000" w:themeColor="text1"/>
          <w:sz w:val="24"/>
          <w:highlight w:val="none"/>
          <w14:textFill>
            <w14:solidFill>
              <w14:schemeClr w14:val="tx1"/>
            </w14:solidFill>
          </w14:textFill>
        </w:rPr>
        <w:t>小时内派有关人员到达现场。</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3.卖方派往买方使用现场的人员，应具有较高的业务素质；现场解决问题时，不得无故拖延或推迟，应为买方提供最佳的服务。</w:t>
      </w:r>
    </w:p>
    <w:p>
      <w:pPr>
        <w:pStyle w:val="237"/>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五、其它服务</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3.本章节条款所列“免费”，并非指定不可收费，而是指招标文件、投标文件、答疑文件、技术交流文件、技术标书和合同等范围之外，投标人不可另行收取的费用。</w:t>
      </w:r>
    </w:p>
    <w:p>
      <w:pPr>
        <w:pStyle w:val="24"/>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br w:type="page"/>
      </w:r>
    </w:p>
    <w:p>
      <w:pPr>
        <w:keepNext/>
        <w:keepLines/>
        <w:spacing w:line="360" w:lineRule="auto"/>
        <w:jc w:val="center"/>
        <w:outlineLvl w:val="1"/>
        <w:rPr>
          <w:rFonts w:ascii="Calibri" w:hAnsi="Calibri" w:eastAsia="宋体" w:cs="Times New Roman"/>
          <w:b/>
          <w:bCs/>
          <w:color w:val="000000" w:themeColor="text1"/>
          <w:kern w:val="44"/>
          <w:sz w:val="28"/>
          <w:szCs w:val="28"/>
          <w:highlight w:val="none"/>
          <w14:textFill>
            <w14:solidFill>
              <w14:schemeClr w14:val="tx1"/>
            </w14:solidFill>
          </w14:textFill>
        </w:rPr>
      </w:pPr>
      <w:bookmarkStart w:id="26" w:name="_Toc465187646"/>
      <w:r>
        <w:rPr>
          <w:rFonts w:hint="eastAsia" w:ascii="Calibri" w:hAnsi="Calibri" w:eastAsia="宋体" w:cs="Times New Roman"/>
          <w:b/>
          <w:bCs/>
          <w:color w:val="000000" w:themeColor="text1"/>
          <w:kern w:val="44"/>
          <w:sz w:val="28"/>
          <w:szCs w:val="28"/>
          <w:highlight w:val="none"/>
          <w14:textFill>
            <w14:solidFill>
              <w14:schemeClr w14:val="tx1"/>
            </w14:solidFill>
          </w14:textFill>
        </w:rPr>
        <w:t>第五章  预验收和终验收</w:t>
      </w:r>
      <w:bookmarkEnd w:id="26"/>
    </w:p>
    <w:p>
      <w:pPr>
        <w:pStyle w:val="237"/>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一、验收依据和验收标准</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2.如果验收过程中，发现招标文件、投标文件、答疑文件、技术交流文件等与技术标书、合同存在差异，原则上以涉及条款中对买方最有利条款为验收依据。</w:t>
      </w:r>
    </w:p>
    <w:p>
      <w:pPr>
        <w:pStyle w:val="237"/>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二、检验</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2.进口货物的检验，卖方需要按照下述要求进行：</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237"/>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三、验收基本条件</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买卖双方按照合同约定执行了合同，同时货物完成了试运行并经检验合格，则具备验收条件。</w:t>
      </w:r>
    </w:p>
    <w:p>
      <w:pPr>
        <w:adjustRightInd w:val="0"/>
        <w:snapToGrid w:val="0"/>
        <w:spacing w:line="360" w:lineRule="auto"/>
        <w:ind w:firstLine="480" w:firstLineChars="200"/>
        <w:outlineLvl w:val="3"/>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1.预验收一般条件</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 卖方已经按照“供货范围”要求提供了预验收资料，并且资料齐全、完整和有效。</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1.2 货物应完整且所有的零部件应该安装牢固，外观无损伤，所有的焊缝饱满、无残渣等缺陷。</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1.3 货物的油漆质量应饱满、有光泽，无掉漆、无色差、无“桔皮”等不良现象（特殊标志除外）。</w:t>
      </w:r>
    </w:p>
    <w:p>
      <w:pPr>
        <w:adjustRightInd w:val="0"/>
        <w:snapToGrid w:val="0"/>
        <w:spacing w:line="360" w:lineRule="auto"/>
        <w:ind w:firstLine="480" w:firstLineChars="200"/>
        <w:outlineLvl w:val="4"/>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1.4 货物标牌完整、清晰、明确。</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1.5 货物的安全要求符合中国最新的相关法律、法规、标准和规范以及合同要求。</w:t>
      </w:r>
    </w:p>
    <w:p>
      <w:pPr>
        <w:adjustRightInd w:val="0"/>
        <w:snapToGrid w:val="0"/>
        <w:spacing w:line="360" w:lineRule="auto"/>
        <w:ind w:firstLine="480" w:firstLineChars="200"/>
        <w:outlineLvl w:val="3"/>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2.终验收一般条件</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 经过预验收而且没有出现新的质量问题，或者满足预验收条款。</w:t>
      </w:r>
    </w:p>
    <w:p>
      <w:pPr>
        <w:adjustRightInd w:val="0"/>
        <w:snapToGrid w:val="0"/>
        <w:spacing w:line="360" w:lineRule="auto"/>
        <w:ind w:firstLine="480" w:firstLineChars="200"/>
        <w:outlineLvl w:val="4"/>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2.2 货物安装调试完毕，并至少经过了验收要求的负荷试运行。</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2.3 货物正常运行时，噪声等环境影响因素满足国家和当地环保主管部门规定，安全措施落实、有效。</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2.4 计量仪器、仪表配套合理，采用中国的法定计量单位，计量准确、灵敏可靠。保证设计指标和仪器说明书的参数的实现（提供合格证或第三方鉴定文件）。</w:t>
      </w:r>
    </w:p>
    <w:p>
      <w:pPr>
        <w:adjustRightInd w:val="0"/>
        <w:snapToGrid w:val="0"/>
        <w:spacing w:line="360" w:lineRule="auto"/>
        <w:ind w:firstLine="480" w:firstLineChars="200"/>
        <w:outlineLvl w:val="4"/>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2.5 试运行期间或之后无维修、调整等行为（特殊情况除外）。</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2.6 货物质量、技术性能等，达到签定的技术标书和合同规定的终验收标准。</w:t>
      </w:r>
    </w:p>
    <w:p>
      <w:pPr>
        <w:spacing w:line="360" w:lineRule="auto"/>
        <w:ind w:firstLine="480" w:firstLineChars="200"/>
        <w:outlineLvl w:val="3"/>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3.终验收基本要求</w:t>
      </w:r>
    </w:p>
    <w:p>
      <w:pPr>
        <w:adjustRightInd w:val="0"/>
        <w:snapToGrid w:val="0"/>
        <w:spacing w:line="360" w:lineRule="auto"/>
        <w:ind w:firstLine="480" w:firstLineChars="200"/>
        <w:outlineLvl w:val="4"/>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3.1 出现下列问题之一，视作验收失败：</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3.1.1 设备验收时，其参数无法满足招标书中的技术要求。</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3.1.2 在整个验收过程中发生关键零部件损坏或重大故障；</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3.1.3 一般性故障超过</w:t>
      </w:r>
      <w:r>
        <w:rPr>
          <w:rFonts w:hint="eastAsia" w:ascii="宋体" w:hAnsi="宋体" w:eastAsia="宋体" w:cs="宋体"/>
          <w:color w:val="000000" w:themeColor="text1"/>
          <w:sz w:val="24"/>
          <w:highlight w:val="none"/>
          <w:u w:val="single"/>
          <w:shd w:val="pct10" w:color="auto" w:fill="FFFFFF"/>
          <w14:textFill>
            <w14:solidFill>
              <w14:schemeClr w14:val="tx1"/>
            </w14:solidFill>
          </w14:textFill>
        </w:rPr>
        <w:t>2</w:t>
      </w:r>
      <w:r>
        <w:rPr>
          <w:rFonts w:hint="eastAsia" w:ascii="宋体" w:hAnsi="宋体" w:eastAsia="宋体" w:cs="宋体"/>
          <w:color w:val="000000" w:themeColor="text1"/>
          <w:sz w:val="24"/>
          <w:highlight w:val="none"/>
          <w14:textFill>
            <w14:solidFill>
              <w14:schemeClr w14:val="tx1"/>
            </w14:solidFill>
          </w14:textFill>
        </w:rPr>
        <w:t>次；</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3.1.4 更换的零部件货值超过总货值的</w:t>
      </w:r>
      <w:r>
        <w:rPr>
          <w:rFonts w:hint="eastAsia" w:ascii="宋体" w:hAnsi="宋体" w:eastAsia="宋体" w:cs="宋体"/>
          <w:color w:val="000000" w:themeColor="text1"/>
          <w:sz w:val="24"/>
          <w:highlight w:val="none"/>
          <w:u w:val="single"/>
          <w:shd w:val="pct10" w:color="auto" w:fill="FFFFFF"/>
          <w14:textFill>
            <w14:solidFill>
              <w14:schemeClr w14:val="tx1"/>
            </w14:solidFill>
          </w14:textFill>
        </w:rPr>
        <w:t>1</w:t>
      </w:r>
      <w:r>
        <w:rPr>
          <w:rFonts w:hint="eastAsia" w:ascii="宋体" w:hAnsi="宋体" w:eastAsia="宋体" w:cs="宋体"/>
          <w:color w:val="000000" w:themeColor="text1"/>
          <w:sz w:val="24"/>
          <w:highlight w:val="none"/>
          <w14:textFill>
            <w14:solidFill>
              <w14:schemeClr w14:val="tx1"/>
            </w14:solidFill>
          </w14:textFill>
        </w:rPr>
        <w:t>%。</w:t>
      </w:r>
    </w:p>
    <w:p>
      <w:pPr>
        <w:adjustRightInd w:val="0"/>
        <w:snapToGrid w:val="0"/>
        <w:spacing w:line="360" w:lineRule="auto"/>
        <w:ind w:firstLine="480" w:firstLineChars="200"/>
        <w:outlineLvl w:val="4"/>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3.2 累计负载运行实际性能（或生产率）达不到合同规定；</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3.3 终验收原则上要求一次完成。若一次验收不成功，最多允许两次；如果出现第三次验收失败，重新作价或退货；</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3.4 终验收通过后买卖双方共同签署终验收报告，并移交、核对全部供货范围内物品。</w:t>
      </w:r>
    </w:p>
    <w:p>
      <w:pP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br w:type="page"/>
      </w:r>
    </w:p>
    <w:p>
      <w:pPr>
        <w:pStyle w:val="238"/>
        <w:spacing w:line="360" w:lineRule="auto"/>
        <w:outlineLvl w:val="1"/>
        <w:rPr>
          <w:rFonts w:eastAsia="宋体"/>
          <w:b/>
          <w:bCs w:val="0"/>
          <w:color w:val="000000" w:themeColor="text1"/>
          <w:sz w:val="28"/>
          <w:highlight w:val="none"/>
          <w14:textFill>
            <w14:solidFill>
              <w14:schemeClr w14:val="tx1"/>
            </w14:solidFill>
          </w14:textFill>
        </w:rPr>
      </w:pPr>
      <w:bookmarkStart w:id="27" w:name="_Toc465187647"/>
      <w:r>
        <w:rPr>
          <w:rFonts w:eastAsia="宋体"/>
          <w:b/>
          <w:bCs w:val="0"/>
          <w:color w:val="000000" w:themeColor="text1"/>
          <w:sz w:val="28"/>
          <w:highlight w:val="none"/>
          <w14:textFill>
            <w14:solidFill>
              <w14:schemeClr w14:val="tx1"/>
            </w14:solidFill>
          </w14:textFill>
        </w:rPr>
        <w:t>第六章  投标技术文件一般要求</w:t>
      </w:r>
      <w:bookmarkEnd w:id="27"/>
    </w:p>
    <w:p>
      <w:pPr>
        <w:pStyle w:val="237"/>
        <w:spacing w:line="36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一、技术文件一般内容要求</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4.投标技术文件至少应按照招标文件要求（或投标人建议）列明备品备件、易损件和专用耗材明细。</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6.投标的货物，应当根据其配置和备品备件、易损件、专用耗材情况，尽可能详细且分类填入下表：</w:t>
      </w:r>
    </w:p>
    <w:p>
      <w:pPr>
        <w:adjustRightInd w:val="0"/>
        <w:snapToGrid w:val="0"/>
        <w:spacing w:line="360" w:lineRule="auto"/>
        <w:ind w:firstLine="480" w:firstLineChars="200"/>
        <w:outlineLvl w:val="3"/>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6.1备品备件、易损件和专用耗材明细表：</w:t>
      </w:r>
    </w:p>
    <w:p>
      <w:pPr>
        <w:adjustRightInd w:val="0"/>
        <w:snapToGrid w:val="0"/>
        <w:spacing w:line="420" w:lineRule="exact"/>
        <w:ind w:firstLine="1890" w:firstLineChars="900"/>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备品备件、易损件和专用耗材明细表             单位：元</w:t>
      </w:r>
    </w:p>
    <w:tbl>
      <w:tblPr>
        <w:tblStyle w:val="48"/>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序号</w:t>
            </w:r>
          </w:p>
        </w:tc>
        <w:tc>
          <w:tcPr>
            <w:tcW w:w="1924"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名称</w:t>
            </w:r>
          </w:p>
        </w:tc>
        <w:tc>
          <w:tcPr>
            <w:tcW w:w="1236"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型号规格</w:t>
            </w:r>
          </w:p>
        </w:tc>
        <w:tc>
          <w:tcPr>
            <w:tcW w:w="720"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单位</w:t>
            </w:r>
          </w:p>
        </w:tc>
        <w:tc>
          <w:tcPr>
            <w:tcW w:w="720"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数量</w:t>
            </w:r>
          </w:p>
        </w:tc>
        <w:tc>
          <w:tcPr>
            <w:tcW w:w="720"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单价</w:t>
            </w:r>
          </w:p>
        </w:tc>
        <w:tc>
          <w:tcPr>
            <w:tcW w:w="720"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总价</w:t>
            </w:r>
          </w:p>
        </w:tc>
        <w:tc>
          <w:tcPr>
            <w:tcW w:w="2235"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p>
        </w:tc>
        <w:tc>
          <w:tcPr>
            <w:tcW w:w="1924" w:type="dxa"/>
          </w:tcPr>
          <w:p>
            <w:pPr>
              <w:adjustRightInd w:val="0"/>
              <w:snapToGrid w:val="0"/>
              <w:spacing w:line="360" w:lineRule="exact"/>
              <w:rPr>
                <w:rFonts w:ascii="宋体" w:hAnsi="宋体" w:eastAsia="宋体" w:cs="宋体"/>
                <w:color w:val="000000" w:themeColor="text1"/>
                <w:highlight w:val="none"/>
                <w14:textFill>
                  <w14:solidFill>
                    <w14:schemeClr w14:val="tx1"/>
                  </w14:solidFill>
                </w14:textFill>
              </w:rPr>
            </w:pPr>
          </w:p>
        </w:tc>
        <w:tc>
          <w:tcPr>
            <w:tcW w:w="1236" w:type="dxa"/>
          </w:tcPr>
          <w:p>
            <w:pPr>
              <w:adjustRightInd w:val="0"/>
              <w:snapToGrid w:val="0"/>
              <w:spacing w:line="360" w:lineRule="exact"/>
              <w:rPr>
                <w:rFonts w:ascii="宋体" w:hAnsi="宋体" w:eastAsia="宋体" w:cs="宋体"/>
                <w:color w:val="000000" w:themeColor="text1"/>
                <w:highlight w:val="none"/>
                <w14:textFill>
                  <w14:solidFill>
                    <w14:schemeClr w14:val="tx1"/>
                  </w14:solidFill>
                </w14:textFill>
              </w:rPr>
            </w:pPr>
          </w:p>
        </w:tc>
        <w:tc>
          <w:tcPr>
            <w:tcW w:w="720"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p>
        </w:tc>
        <w:tc>
          <w:tcPr>
            <w:tcW w:w="720"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p>
        </w:tc>
        <w:tc>
          <w:tcPr>
            <w:tcW w:w="720"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p>
        </w:tc>
        <w:tc>
          <w:tcPr>
            <w:tcW w:w="720"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p>
        </w:tc>
        <w:tc>
          <w:tcPr>
            <w:tcW w:w="2235" w:type="dxa"/>
          </w:tcPr>
          <w:p>
            <w:pPr>
              <w:adjustRightInd w:val="0"/>
              <w:snapToGrid w:val="0"/>
              <w:spacing w:line="360" w:lineRule="exact"/>
              <w:rPr>
                <w:rFonts w:ascii="宋体" w:hAnsi="宋体" w:eastAsia="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p>
        </w:tc>
        <w:tc>
          <w:tcPr>
            <w:tcW w:w="1924" w:type="dxa"/>
          </w:tcPr>
          <w:p>
            <w:pPr>
              <w:adjustRightInd w:val="0"/>
              <w:snapToGrid w:val="0"/>
              <w:spacing w:line="360" w:lineRule="exact"/>
              <w:rPr>
                <w:rFonts w:ascii="宋体" w:hAnsi="宋体" w:eastAsia="宋体" w:cs="宋体"/>
                <w:color w:val="000000" w:themeColor="text1"/>
                <w:highlight w:val="none"/>
                <w14:textFill>
                  <w14:solidFill>
                    <w14:schemeClr w14:val="tx1"/>
                  </w14:solidFill>
                </w14:textFill>
              </w:rPr>
            </w:pPr>
          </w:p>
        </w:tc>
        <w:tc>
          <w:tcPr>
            <w:tcW w:w="1236" w:type="dxa"/>
          </w:tcPr>
          <w:p>
            <w:pPr>
              <w:adjustRightInd w:val="0"/>
              <w:snapToGrid w:val="0"/>
              <w:spacing w:line="360" w:lineRule="exact"/>
              <w:rPr>
                <w:rFonts w:ascii="宋体" w:hAnsi="宋体" w:eastAsia="宋体" w:cs="宋体"/>
                <w:color w:val="000000" w:themeColor="text1"/>
                <w:highlight w:val="none"/>
                <w14:textFill>
                  <w14:solidFill>
                    <w14:schemeClr w14:val="tx1"/>
                  </w14:solidFill>
                </w14:textFill>
              </w:rPr>
            </w:pPr>
          </w:p>
        </w:tc>
        <w:tc>
          <w:tcPr>
            <w:tcW w:w="720"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p>
        </w:tc>
        <w:tc>
          <w:tcPr>
            <w:tcW w:w="720"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p>
        </w:tc>
        <w:tc>
          <w:tcPr>
            <w:tcW w:w="720"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p>
        </w:tc>
        <w:tc>
          <w:tcPr>
            <w:tcW w:w="720"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p>
        </w:tc>
        <w:tc>
          <w:tcPr>
            <w:tcW w:w="2235" w:type="dxa"/>
          </w:tcPr>
          <w:p>
            <w:pPr>
              <w:adjustRightInd w:val="0"/>
              <w:snapToGrid w:val="0"/>
              <w:spacing w:line="360" w:lineRule="exact"/>
              <w:rPr>
                <w:rFonts w:ascii="宋体" w:hAnsi="宋体" w:eastAsia="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p>
        </w:tc>
        <w:tc>
          <w:tcPr>
            <w:tcW w:w="1924" w:type="dxa"/>
          </w:tcPr>
          <w:p>
            <w:pPr>
              <w:adjustRightInd w:val="0"/>
              <w:snapToGrid w:val="0"/>
              <w:spacing w:line="360" w:lineRule="exact"/>
              <w:rPr>
                <w:rFonts w:ascii="宋体" w:hAnsi="宋体" w:eastAsia="宋体" w:cs="宋体"/>
                <w:color w:val="000000" w:themeColor="text1"/>
                <w:highlight w:val="none"/>
                <w14:textFill>
                  <w14:solidFill>
                    <w14:schemeClr w14:val="tx1"/>
                  </w14:solidFill>
                </w14:textFill>
              </w:rPr>
            </w:pPr>
          </w:p>
        </w:tc>
        <w:tc>
          <w:tcPr>
            <w:tcW w:w="1236" w:type="dxa"/>
          </w:tcPr>
          <w:p>
            <w:pPr>
              <w:adjustRightInd w:val="0"/>
              <w:snapToGrid w:val="0"/>
              <w:spacing w:line="360" w:lineRule="exact"/>
              <w:rPr>
                <w:rFonts w:ascii="宋体" w:hAnsi="宋体" w:eastAsia="宋体" w:cs="宋体"/>
                <w:color w:val="000000" w:themeColor="text1"/>
                <w:highlight w:val="none"/>
                <w14:textFill>
                  <w14:solidFill>
                    <w14:schemeClr w14:val="tx1"/>
                  </w14:solidFill>
                </w14:textFill>
              </w:rPr>
            </w:pPr>
          </w:p>
        </w:tc>
        <w:tc>
          <w:tcPr>
            <w:tcW w:w="720"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p>
        </w:tc>
        <w:tc>
          <w:tcPr>
            <w:tcW w:w="720"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p>
        </w:tc>
        <w:tc>
          <w:tcPr>
            <w:tcW w:w="720"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p>
        </w:tc>
        <w:tc>
          <w:tcPr>
            <w:tcW w:w="720"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p>
        </w:tc>
        <w:tc>
          <w:tcPr>
            <w:tcW w:w="2235" w:type="dxa"/>
          </w:tcPr>
          <w:p>
            <w:pPr>
              <w:adjustRightInd w:val="0"/>
              <w:snapToGrid w:val="0"/>
              <w:spacing w:line="360" w:lineRule="exact"/>
              <w:rPr>
                <w:rFonts w:ascii="宋体" w:hAnsi="宋体" w:eastAsia="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p>
        </w:tc>
        <w:tc>
          <w:tcPr>
            <w:tcW w:w="1924" w:type="dxa"/>
          </w:tcPr>
          <w:p>
            <w:pPr>
              <w:adjustRightInd w:val="0"/>
              <w:snapToGrid w:val="0"/>
              <w:spacing w:line="360" w:lineRule="exact"/>
              <w:rPr>
                <w:rFonts w:ascii="宋体" w:hAnsi="宋体" w:eastAsia="宋体" w:cs="宋体"/>
                <w:color w:val="000000" w:themeColor="text1"/>
                <w:highlight w:val="none"/>
                <w14:textFill>
                  <w14:solidFill>
                    <w14:schemeClr w14:val="tx1"/>
                  </w14:solidFill>
                </w14:textFill>
              </w:rPr>
            </w:pPr>
          </w:p>
        </w:tc>
        <w:tc>
          <w:tcPr>
            <w:tcW w:w="1236" w:type="dxa"/>
          </w:tcPr>
          <w:p>
            <w:pPr>
              <w:adjustRightInd w:val="0"/>
              <w:snapToGrid w:val="0"/>
              <w:spacing w:line="360" w:lineRule="exact"/>
              <w:rPr>
                <w:rFonts w:ascii="宋体" w:hAnsi="宋体" w:eastAsia="宋体" w:cs="宋体"/>
                <w:color w:val="000000" w:themeColor="text1"/>
                <w:highlight w:val="none"/>
                <w14:textFill>
                  <w14:solidFill>
                    <w14:schemeClr w14:val="tx1"/>
                  </w14:solidFill>
                </w14:textFill>
              </w:rPr>
            </w:pPr>
          </w:p>
        </w:tc>
        <w:tc>
          <w:tcPr>
            <w:tcW w:w="720"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p>
        </w:tc>
        <w:tc>
          <w:tcPr>
            <w:tcW w:w="720"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p>
        </w:tc>
        <w:tc>
          <w:tcPr>
            <w:tcW w:w="720"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p>
        </w:tc>
        <w:tc>
          <w:tcPr>
            <w:tcW w:w="720"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p>
        </w:tc>
        <w:tc>
          <w:tcPr>
            <w:tcW w:w="2235" w:type="dxa"/>
          </w:tcPr>
          <w:p>
            <w:pPr>
              <w:adjustRightInd w:val="0"/>
              <w:snapToGrid w:val="0"/>
              <w:spacing w:line="360" w:lineRule="exact"/>
              <w:rPr>
                <w:rFonts w:ascii="宋体" w:hAnsi="宋体" w:eastAsia="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p>
        </w:tc>
        <w:tc>
          <w:tcPr>
            <w:tcW w:w="1924" w:type="dxa"/>
          </w:tcPr>
          <w:p>
            <w:pPr>
              <w:adjustRightInd w:val="0"/>
              <w:snapToGrid w:val="0"/>
              <w:spacing w:line="360" w:lineRule="exact"/>
              <w:rPr>
                <w:rFonts w:ascii="宋体" w:hAnsi="宋体" w:eastAsia="宋体" w:cs="宋体"/>
                <w:color w:val="000000" w:themeColor="text1"/>
                <w:highlight w:val="none"/>
                <w14:textFill>
                  <w14:solidFill>
                    <w14:schemeClr w14:val="tx1"/>
                  </w14:solidFill>
                </w14:textFill>
              </w:rPr>
            </w:pPr>
          </w:p>
        </w:tc>
        <w:tc>
          <w:tcPr>
            <w:tcW w:w="1236" w:type="dxa"/>
          </w:tcPr>
          <w:p>
            <w:pPr>
              <w:adjustRightInd w:val="0"/>
              <w:snapToGrid w:val="0"/>
              <w:spacing w:line="360" w:lineRule="exact"/>
              <w:rPr>
                <w:rFonts w:ascii="宋体" w:hAnsi="宋体" w:eastAsia="宋体" w:cs="宋体"/>
                <w:color w:val="000000" w:themeColor="text1"/>
                <w:highlight w:val="none"/>
                <w14:textFill>
                  <w14:solidFill>
                    <w14:schemeClr w14:val="tx1"/>
                  </w14:solidFill>
                </w14:textFill>
              </w:rPr>
            </w:pPr>
          </w:p>
        </w:tc>
        <w:tc>
          <w:tcPr>
            <w:tcW w:w="720"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p>
        </w:tc>
        <w:tc>
          <w:tcPr>
            <w:tcW w:w="720"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p>
        </w:tc>
        <w:tc>
          <w:tcPr>
            <w:tcW w:w="720"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p>
        </w:tc>
        <w:tc>
          <w:tcPr>
            <w:tcW w:w="720"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p>
        </w:tc>
        <w:tc>
          <w:tcPr>
            <w:tcW w:w="2235" w:type="dxa"/>
          </w:tcPr>
          <w:p>
            <w:pPr>
              <w:adjustRightInd w:val="0"/>
              <w:snapToGrid w:val="0"/>
              <w:spacing w:line="360" w:lineRule="exact"/>
              <w:rPr>
                <w:rFonts w:ascii="宋体" w:hAnsi="宋体" w:eastAsia="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p>
        </w:tc>
        <w:tc>
          <w:tcPr>
            <w:tcW w:w="1924" w:type="dxa"/>
          </w:tcPr>
          <w:p>
            <w:pPr>
              <w:adjustRightInd w:val="0"/>
              <w:snapToGrid w:val="0"/>
              <w:spacing w:line="360" w:lineRule="exact"/>
              <w:rPr>
                <w:rFonts w:ascii="宋体" w:hAnsi="宋体" w:eastAsia="宋体" w:cs="宋体"/>
                <w:color w:val="000000" w:themeColor="text1"/>
                <w:highlight w:val="none"/>
                <w14:textFill>
                  <w14:solidFill>
                    <w14:schemeClr w14:val="tx1"/>
                  </w14:solidFill>
                </w14:textFill>
              </w:rPr>
            </w:pPr>
          </w:p>
        </w:tc>
        <w:tc>
          <w:tcPr>
            <w:tcW w:w="1236" w:type="dxa"/>
          </w:tcPr>
          <w:p>
            <w:pPr>
              <w:adjustRightInd w:val="0"/>
              <w:snapToGrid w:val="0"/>
              <w:spacing w:line="360" w:lineRule="exact"/>
              <w:rPr>
                <w:rFonts w:ascii="宋体" w:hAnsi="宋体" w:eastAsia="宋体" w:cs="宋体"/>
                <w:color w:val="000000" w:themeColor="text1"/>
                <w:highlight w:val="none"/>
                <w14:textFill>
                  <w14:solidFill>
                    <w14:schemeClr w14:val="tx1"/>
                  </w14:solidFill>
                </w14:textFill>
              </w:rPr>
            </w:pPr>
          </w:p>
        </w:tc>
        <w:tc>
          <w:tcPr>
            <w:tcW w:w="720"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p>
        </w:tc>
        <w:tc>
          <w:tcPr>
            <w:tcW w:w="720"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p>
        </w:tc>
        <w:tc>
          <w:tcPr>
            <w:tcW w:w="720"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p>
        </w:tc>
        <w:tc>
          <w:tcPr>
            <w:tcW w:w="720" w:type="dxa"/>
          </w:tcPr>
          <w:p>
            <w:pPr>
              <w:adjustRightInd w:val="0"/>
              <w:snapToGrid w:val="0"/>
              <w:spacing w:line="360" w:lineRule="exact"/>
              <w:jc w:val="center"/>
              <w:rPr>
                <w:rFonts w:ascii="宋体" w:hAnsi="宋体" w:eastAsia="宋体" w:cs="宋体"/>
                <w:color w:val="000000" w:themeColor="text1"/>
                <w:highlight w:val="none"/>
                <w14:textFill>
                  <w14:solidFill>
                    <w14:schemeClr w14:val="tx1"/>
                  </w14:solidFill>
                </w14:textFill>
              </w:rPr>
            </w:pPr>
          </w:p>
        </w:tc>
        <w:tc>
          <w:tcPr>
            <w:tcW w:w="2235" w:type="dxa"/>
          </w:tcPr>
          <w:p>
            <w:pPr>
              <w:adjustRightInd w:val="0"/>
              <w:snapToGrid w:val="0"/>
              <w:spacing w:line="360" w:lineRule="exact"/>
              <w:rPr>
                <w:rFonts w:ascii="宋体" w:hAnsi="宋体" w:eastAsia="宋体" w:cs="宋体"/>
                <w:color w:val="000000" w:themeColor="text1"/>
                <w:highlight w:val="none"/>
                <w14:textFill>
                  <w14:solidFill>
                    <w14:schemeClr w14:val="tx1"/>
                  </w14:solidFill>
                </w14:textFill>
              </w:rPr>
            </w:pPr>
          </w:p>
        </w:tc>
      </w:tr>
    </w:tbl>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6.3应当尽可能将货物的配置列全、列细，这将有助于投标人胜出；</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6.4单价与总价之间、总价与分类小计价之间、分类小计价与合计价之间数据应当齐全而且准确；</w:t>
      </w:r>
    </w:p>
    <w:p>
      <w:pPr>
        <w:spacing w:line="360" w:lineRule="auto"/>
        <w:ind w:firstLine="480" w:firstLineChars="200"/>
        <w:outlineLvl w:val="3"/>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6.5  本条款表格中的制造商，应当为全称或公认的简称。</w:t>
      </w:r>
    </w:p>
    <w:p>
      <w:pPr>
        <w:pStyle w:val="237"/>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二、技术文件中货物报价格式要求</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2.如果投标总报价与其它价格出现错误或不一致，将有可能导致废标。</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4.备品备件、易损件和专用耗材，招标人将可能与投标人按照投标价格另行签署供货合同。</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5.要求投标总报价、分项报价、明细报价之间应当具有相互间对应关系以及填报分项和明细报价，仅为便于评标而不妨碍投标人以最合适的形式签署合同。</w:t>
      </w:r>
    </w:p>
    <w:p>
      <w:pPr>
        <w:pStyle w:val="237"/>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三、验收标准及内容要求</w:t>
      </w:r>
    </w:p>
    <w:p>
      <w:pPr>
        <w:adjustRightInd w:val="0"/>
        <w:snapToGrid w:val="0"/>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除招标文件明确的验收标准或内容之外，投标人应当在投标文件中提供预验收（必要时）和终验收的标准以及规程；在合同签定之前，经投标人和招标人双方洽谈确认并签署，以作为验收标准执行。</w:t>
      </w:r>
    </w:p>
    <w:p>
      <w:pPr>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br w:type="page"/>
      </w:r>
    </w:p>
    <w:p>
      <w:pPr>
        <w:pStyle w:val="238"/>
        <w:outlineLvl w:val="1"/>
        <w:rPr>
          <w:rFonts w:ascii="宋体" w:hAnsi="宋体" w:eastAsia="宋体" w:cs="宋体"/>
          <w:b/>
          <w:bCs w:val="0"/>
          <w:color w:val="000000" w:themeColor="text1"/>
          <w:sz w:val="28"/>
          <w:szCs w:val="22"/>
          <w:highlight w:val="none"/>
          <w14:textFill>
            <w14:solidFill>
              <w14:schemeClr w14:val="tx1"/>
            </w14:solidFill>
          </w14:textFill>
        </w:rPr>
      </w:pPr>
      <w:r>
        <w:rPr>
          <w:rFonts w:hint="eastAsia" w:ascii="宋体" w:hAnsi="宋体" w:eastAsia="宋体" w:cs="宋体"/>
          <w:b/>
          <w:bCs w:val="0"/>
          <w:color w:val="000000" w:themeColor="text1"/>
          <w:sz w:val="28"/>
          <w:szCs w:val="22"/>
          <w:highlight w:val="none"/>
          <w14:textFill>
            <w14:solidFill>
              <w14:schemeClr w14:val="tx1"/>
            </w14:solidFill>
          </w14:textFill>
        </w:rPr>
        <w:t>第七章  其它要求及说明</w:t>
      </w:r>
    </w:p>
    <w:p>
      <w:pPr>
        <w:pStyle w:val="237"/>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一、要求</w:t>
      </w:r>
    </w:p>
    <w:p>
      <w:pPr>
        <w:pStyle w:val="27"/>
        <w:spacing w:after="0" w:line="360" w:lineRule="auto"/>
        <w:ind w:left="0" w:leftChars="0"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2.投标人应当是通过有关资格认证的法人。应当在投标文件中提供有效期内的资格认证证书，如：ISO9001、VDA6.1、QS9000等。</w:t>
      </w:r>
    </w:p>
    <w:p>
      <w:pPr>
        <w:spacing w:line="360" w:lineRule="auto"/>
        <w:ind w:firstLine="477" w:firstLineChars="199"/>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3.国产设备应附有采购货物（或设备）涉及的由“中国质量认证中心”颁发的《中国国家强制性产品认证证书》（CCC证书）。</w:t>
      </w:r>
    </w:p>
    <w:p>
      <w:pPr>
        <w:spacing w:line="360" w:lineRule="auto"/>
        <w:ind w:firstLine="477" w:firstLineChars="199"/>
        <w:outlineLvl w:val="3"/>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4.应附有其它与投标人、采购货物有关的荣誉证书或资料。</w:t>
      </w:r>
    </w:p>
    <w:p>
      <w:pPr>
        <w:spacing w:line="360" w:lineRule="auto"/>
        <w:ind w:firstLine="477" w:firstLineChars="199"/>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outlineLvl w:val="4"/>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5.1国家相关机构颁发的有效期之内所必需的《生产许可证》；</w:t>
      </w:r>
    </w:p>
    <w:p>
      <w:pPr>
        <w:spacing w:line="360" w:lineRule="auto"/>
        <w:ind w:firstLine="477" w:firstLineChars="199"/>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5.2产品（或技术）鉴定报告/证书、专利证书或专利许可证书、新技术成果证书等；</w:t>
      </w:r>
    </w:p>
    <w:p>
      <w:pPr>
        <w:spacing w:line="360" w:lineRule="auto"/>
        <w:ind w:firstLine="477" w:firstLineChars="199"/>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5.3产品相关检验、试验报告，如：型式试验检验报告、安全试验检验报告、电弧效应试验报告、噪声检测报告等；</w:t>
      </w:r>
    </w:p>
    <w:p>
      <w:pPr>
        <w:spacing w:line="360" w:lineRule="auto"/>
        <w:ind w:firstLine="477" w:firstLineChars="199"/>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5.4其它能够证明所供货物的质量水平、技术水平、安全性水平、节能性水平、环保性水平等相关的其它证明文件或资料、报告等；</w:t>
      </w:r>
    </w:p>
    <w:p>
      <w:pPr>
        <w:spacing w:line="360" w:lineRule="auto"/>
        <w:ind w:firstLine="477" w:firstLineChars="199"/>
        <w:outlineLvl w:val="4"/>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5.5该类报告或证明材料对于投标人胜出乃至中标极为重要！</w:t>
      </w:r>
    </w:p>
    <w:p>
      <w:pPr>
        <w:numPr>
          <w:ilvl w:val="255"/>
          <w:numId w:val="0"/>
        </w:numPr>
        <w:spacing w:line="360" w:lineRule="auto"/>
        <w:ind w:firstLine="482"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6.必须附有：</w:t>
      </w:r>
      <w:r>
        <w:rPr>
          <w:rFonts w:hint="eastAsia" w:ascii="宋体" w:hAnsi="宋体" w:eastAsia="宋体" w:cs="宋体"/>
          <w:color w:val="000000" w:themeColor="text1"/>
          <w:sz w:val="24"/>
          <w:highlight w:val="none"/>
          <w14:textFill>
            <w14:solidFill>
              <w14:schemeClr w14:val="tx1"/>
            </w14:solidFill>
          </w14:textFill>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Style w:val="237"/>
        <w:spacing w:line="360" w:lineRule="auto"/>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二、其他</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4.招标文件、投标文件、答疑文件、技术交流文件、技术标书等，在采购过程全部为有效文件，如有差异，以对招标人最有利的条款为准。</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5.为避免歧义，本技术标书涉及招投标环节的条款，均将潜在的卖方称为投标人、将买方称为招标人；定标后合同签署环节以及后续的合同执行环节条款，招标人称为买方、投标人中的中标方称为卖方。</w:t>
      </w:r>
    </w:p>
    <w:p>
      <w:pPr>
        <w:spacing w:line="360" w:lineRule="auto"/>
        <w:ind w:firstLine="480" w:firstLineChars="200"/>
        <w:rPr>
          <w:rFonts w:ascii="宋体" w:hAnsi="宋体" w:eastAsia="宋体" w:cs="宋体"/>
          <w:color w:val="000000" w:themeColor="text1"/>
          <w:sz w:val="24"/>
          <w:highlight w:val="none"/>
          <w14:textFill>
            <w14:solidFill>
              <w14:schemeClr w14:val="tx1"/>
            </w14:solidFill>
          </w14:textFill>
        </w:rPr>
      </w:pPr>
    </w:p>
    <w:p>
      <w:pPr>
        <w:rPr>
          <w:color w:val="000000" w:themeColor="text1"/>
          <w:highlight w:val="none"/>
          <w14:textFill>
            <w14:solidFill>
              <w14:schemeClr w14:val="tx1"/>
            </w14:solidFill>
          </w14:textFill>
        </w:rPr>
      </w:pPr>
    </w:p>
    <w:p>
      <w:pP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28" w:name="_Toc212369550"/>
      <w:bookmarkStart w:id="29" w:name="_Toc639004"/>
      <w:bookmarkStart w:id="30" w:name="_Toc25811"/>
      <w:bookmarkStart w:id="31" w:name="_Toc353881012"/>
      <w:r>
        <w:rPr>
          <w:rFonts w:hint="default" w:ascii="Times New Roman" w:hAnsi="Times New Roman" w:eastAsia="宋体" w:cs="Times New Roman"/>
          <w:b/>
          <w:bCs/>
          <w:color w:val="000000"/>
          <w:sz w:val="24"/>
          <w:szCs w:val="24"/>
        </w:rPr>
        <w:t xml:space="preserve"> 投标函</w:t>
      </w:r>
      <w:bookmarkEnd w:id="28"/>
      <w:bookmarkEnd w:id="29"/>
      <w:bookmarkEnd w:id="30"/>
      <w:bookmarkEnd w:id="31"/>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w:t>
      </w:r>
      <w:r>
        <w:rPr>
          <w:rFonts w:hint="eastAsia" w:ascii="Times New Roman" w:hAnsi="Times New Roman" w:eastAsia="宋体" w:cs="Times New Roman"/>
          <w:color w:val="000000"/>
          <w:sz w:val="24"/>
          <w:szCs w:val="24"/>
          <w:lang w:eastAsia="zh-CN"/>
        </w:rPr>
        <w:t>中国重汽集团济南动力有限公司</w:t>
      </w:r>
      <w:r>
        <w:rPr>
          <w:rFonts w:hint="default" w:ascii="Times New Roman" w:hAnsi="Times New Roman" w:eastAsia="宋体" w:cs="Times New Roman"/>
          <w:color w:val="000000"/>
          <w:sz w:val="24"/>
          <w:szCs w:val="24"/>
        </w:rPr>
        <w:t>：</w:t>
      </w:r>
    </w:p>
    <w:p>
      <w:pPr>
        <w:pStyle w:val="19"/>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pPr>
        <w:adjustRightInd w:val="0"/>
        <w:snapToGrid w:val="0"/>
        <w:spacing w:before="93" w:beforeLines="30" w:line="240" w:lineRule="exact"/>
        <w:jc w:val="center"/>
        <w:rPr>
          <w:rFonts w:hint="default" w:ascii="Times New Roman" w:hAnsi="Times New Roman" w:eastAsia="宋体" w:cs="Times New Roman"/>
          <w:sz w:val="24"/>
          <w:szCs w:val="20"/>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cs="Times New Roman"/>
          <w:b/>
          <w:bCs/>
          <w:color w:val="000000"/>
          <w:sz w:val="24"/>
          <w:szCs w:val="24"/>
          <w:u w:val="single"/>
          <w:lang w:val="en-US" w:eastAsia="zh-CN"/>
        </w:rPr>
        <w:t>6300T、3150T热模锻生产线复产项目-新增换模台车</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黑体" w:cs="Times New Roman"/>
          <w:b/>
          <w:bCs/>
          <w:color w:val="000000"/>
          <w:sz w:val="28"/>
          <w:szCs w:val="20"/>
        </w:rPr>
      </w:pPr>
    </w:p>
    <w:p>
      <w:pPr>
        <w:pStyle w:val="24"/>
        <w:rPr>
          <w:rFonts w:hint="default" w:ascii="Times New Roman" w:hAnsi="Times New Roman" w:eastAsia="黑体" w:cs="Times New Roman"/>
          <w:b/>
          <w:bCs/>
          <w:color w:val="000000"/>
          <w:sz w:val="28"/>
          <w:szCs w:val="20"/>
        </w:rPr>
      </w:pPr>
    </w:p>
    <w:p>
      <w:pPr>
        <w:rPr>
          <w:rFonts w:hint="default" w:ascii="Times New Roman" w:hAnsi="Times New Roman" w:cs="Times New Roman"/>
        </w:rPr>
        <w:sectPr>
          <w:footerReference r:id="rId5" w:type="first"/>
          <w:headerReference r:id="rId3" w:type="default"/>
          <w:footerReference r:id="rId4"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231"/>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231"/>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231"/>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231"/>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231"/>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pPr>
              <w:pStyle w:val="4"/>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pPr>
              <w:pStyle w:val="231"/>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31"/>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pPr>
              <w:pStyle w:val="231"/>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31"/>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pPr>
              <w:widowControl/>
              <w:rPr>
                <w:rFonts w:hint="default" w:ascii="Times New Roman" w:hAnsi="Times New Roman" w:eastAsia="仿宋_GB2312" w:cs="Times New Roman"/>
                <w:kern w:val="0"/>
                <w:szCs w:val="21"/>
                <w:lang w:bidi="ar"/>
              </w:rPr>
            </w:pPr>
          </w:p>
        </w:tc>
        <w:tc>
          <w:tcPr>
            <w:tcW w:w="1097" w:type="dxa"/>
          </w:tcPr>
          <w:p>
            <w:pPr>
              <w:pStyle w:val="231"/>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pPr>
              <w:pStyle w:val="231"/>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pPr>
              <w:pStyle w:val="231"/>
              <w:spacing w:before="158"/>
              <w:jc w:val="center"/>
              <w:rPr>
                <w:rFonts w:hint="default"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231"/>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pPr>
              <w:widowControl/>
              <w:textAlignment w:val="center"/>
              <w:rPr>
                <w:rFonts w:hint="default" w:ascii="Times New Roman" w:hAnsi="Times New Roman" w:eastAsia="宋体" w:cs="Times New Roman"/>
                <w:szCs w:val="21"/>
              </w:rPr>
            </w:pPr>
          </w:p>
        </w:tc>
        <w:tc>
          <w:tcPr>
            <w:tcW w:w="1530"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pPr>
              <w:widowControl/>
              <w:jc w:val="center"/>
              <w:textAlignment w:val="center"/>
              <w:rPr>
                <w:rFonts w:hint="default" w:ascii="Times New Roman" w:hAnsi="Times New Roman" w:eastAsia="宋体" w:cs="Times New Roman"/>
                <w:szCs w:val="21"/>
              </w:rPr>
            </w:pPr>
          </w:p>
        </w:tc>
        <w:tc>
          <w:tcPr>
            <w:tcW w:w="1097" w:type="dxa"/>
            <w:vAlign w:val="center"/>
          </w:tcPr>
          <w:p>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pPr>
              <w:widowControl/>
              <w:jc w:val="center"/>
              <w:textAlignment w:val="center"/>
              <w:rPr>
                <w:rFonts w:hint="default" w:ascii="Times New Roman" w:hAnsi="Times New Roman" w:eastAsia="宋体"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pPr>
              <w:widowControl/>
              <w:jc w:val="left"/>
              <w:rPr>
                <w:rFonts w:hint="default" w:ascii="Times New Roman" w:hAnsi="Times New Roman" w:eastAsia="宋体" w:cs="Times New Roman"/>
                <w:kern w:val="0"/>
                <w:szCs w:val="21"/>
                <w:lang w:bidi="ar"/>
              </w:rPr>
            </w:pPr>
          </w:p>
        </w:tc>
      </w:tr>
    </w:tbl>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4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年</w:t>
            </w:r>
          </w:p>
        </w:tc>
        <w:tc>
          <w:tcPr>
            <w:tcW w:w="2291"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070" w:type="dxa"/>
            <w:vAlign w:val="center"/>
          </w:tcPr>
          <w:p>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bl>
    <w:p>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cs="Times New Roman"/>
        </w:rPr>
        <w:sectPr>
          <w:footerReference r:id="rId7" w:type="first"/>
          <w:footerReference r:id="rId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pPr>
        <w:spacing w:line="240" w:lineRule="exact"/>
        <w:jc w:val="center"/>
        <w:rPr>
          <w:rFonts w:hint="default" w:ascii="Times New Roman" w:hAnsi="Times New Roman" w:eastAsia="宋体" w:cs="Times New Roman"/>
          <w:b/>
          <w:bCs/>
          <w:sz w:val="36"/>
          <w:szCs w:val="20"/>
        </w:rPr>
      </w:pP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6300T、3150T热模锻生产线复产项目-新增换模台车</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footerReference r:id="rId9" w:type="first"/>
          <w:footerReference r:id="rId8"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附件5 技术规格偏离表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6300T、3150T热模锻生产线复产项目-新增换模台车</w:t>
      </w:r>
      <w:r>
        <w:rPr>
          <w:rFonts w:hint="default" w:ascii="Times New Roman" w:hAnsi="Times New Roman" w:eastAsia="宋体" w:cs="Times New Roman"/>
          <w:color w:val="000000"/>
          <w:sz w:val="24"/>
          <w:szCs w:val="24"/>
        </w:rPr>
        <w:t xml:space="preserve"> </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bl>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pStyle w:val="24"/>
        <w:rPr>
          <w:rFonts w:hint="default" w:ascii="Times New Roman" w:hAnsi="Times New Roman" w:cs="Times New Roman"/>
        </w:rPr>
      </w:pPr>
    </w:p>
    <w:p>
      <w:pPr>
        <w:pStyle w:val="24"/>
        <w:rPr>
          <w:rFonts w:hint="default" w:ascii="Times New Roman" w:hAnsi="Times New Roman" w:cs="Times New Roman"/>
        </w:rPr>
      </w:pPr>
    </w:p>
    <w:p>
      <w:pPr>
        <w:pStyle w:val="24"/>
        <w:rPr>
          <w:rFonts w:hint="default" w:ascii="Times New Roman" w:hAnsi="Times New Roman" w:cs="Times New Roman"/>
        </w:rPr>
      </w:pPr>
    </w:p>
    <w:p>
      <w:pPr>
        <w:pStyle w:val="24"/>
        <w:rPr>
          <w:rFonts w:hint="default" w:ascii="Times New Roman" w:hAnsi="Times New Roman" w:cs="Times New Roman"/>
        </w:r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附件6 202</w:t>
      </w:r>
      <w:r>
        <w:rPr>
          <w:rFonts w:hint="eastAsia" w:cs="Times New Roman"/>
          <w:b/>
          <w:bCs/>
          <w:color w:val="000000"/>
          <w:sz w:val="24"/>
          <w:szCs w:val="24"/>
          <w:lang w:val="en-US" w:eastAsia="zh-CN"/>
        </w:rPr>
        <w:t>3</w:t>
      </w:r>
      <w:r>
        <w:rPr>
          <w:rFonts w:hint="default" w:ascii="Times New Roman" w:hAnsi="Times New Roman" w:eastAsia="宋体" w:cs="Times New Roman"/>
          <w:b/>
          <w:bCs/>
          <w:color w:val="000000"/>
          <w:sz w:val="24"/>
          <w:szCs w:val="24"/>
        </w:rPr>
        <w:t>年1月1日以来同类项目业绩一览表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6300T、3150T热模锻生产线复产项目-新增换模台车</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cs="Times New Roman"/>
                <w:b/>
                <w:szCs w:val="20"/>
                <w:lang w:val="en-US" w:eastAsia="zh-CN"/>
              </w:rPr>
              <w:t>3</w:t>
            </w:r>
            <w:r>
              <w:rPr>
                <w:rFonts w:hint="default" w:ascii="Times New Roman" w:hAnsi="Times New Roman" w:eastAsia="宋体" w:cs="Times New Roman"/>
                <w:b/>
                <w:szCs w:val="20"/>
              </w:rPr>
              <w:t>年1月1日至今所有业绩合同总额汇总（必填）</w:t>
            </w: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bl>
    <w:p>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ascii="Times New Roman" w:hAnsi="Times New Roman" w:eastAsia="宋体" w:cs="Times New Roman"/>
          <w:kern w:val="0"/>
          <w:sz w:val="24"/>
          <w:szCs w:val="20"/>
          <w:lang w:val="en-US" w:eastAsia="zh-CN"/>
        </w:rPr>
        <w:t>2</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pPr>
        <w:tabs>
          <w:tab w:val="left" w:pos="1578"/>
          <w:tab w:val="left" w:pos="10083"/>
        </w:tabs>
        <w:spacing w:line="500" w:lineRule="exact"/>
        <w:rPr>
          <w:rFonts w:hint="default" w:ascii="Times New Roman" w:hAnsi="Times New Roman" w:eastAsia="宋体" w:cs="Times New Roman"/>
          <w:sz w:val="24"/>
          <w:szCs w:val="20"/>
        </w:rPr>
      </w:pP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宋体" w:cs="Times New Roman"/>
          <w:sz w:val="24"/>
          <w:szCs w:val="20"/>
        </w:rPr>
      </w:pPr>
      <w:r>
        <w:rPr>
          <w:rFonts w:hint="default" w:ascii="Times New Roman" w:hAnsi="Times New Roman" w:eastAsia="宋体" w:cs="Times New Roman"/>
          <w:sz w:val="24"/>
          <w:szCs w:val="20"/>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附件7 设备质量承诺函</w:t>
      </w:r>
    </w:p>
    <w:p>
      <w:pPr>
        <w:spacing w:line="240" w:lineRule="exact"/>
        <w:rPr>
          <w:rFonts w:hint="default" w:ascii="Times New Roman" w:hAnsi="Times New Roman" w:eastAsia="宋体" w:cs="Times New Roman"/>
          <w:szCs w:val="20"/>
        </w:rPr>
      </w:pPr>
      <w:r>
        <w:rPr>
          <w:rFonts w:hint="default" w:ascii="Times New Roman" w:hAnsi="Times New Roman" w:eastAsia="宋体" w:cs="Times New Roman"/>
          <w:szCs w:val="20"/>
        </w:rPr>
        <w:t xml:space="preserve">                                               </w:t>
      </w: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 xml:space="preserve">项目名称: </w:t>
      </w:r>
      <w:r>
        <w:rPr>
          <w:rFonts w:hint="default" w:ascii="Times New Roman" w:hAnsi="Times New Roman" w:eastAsia="宋体" w:cs="Times New Roman"/>
          <w:b w:val="0"/>
          <w:bCs w:val="0"/>
          <w:sz w:val="24"/>
          <w:szCs w:val="20"/>
          <w:u w:val="single"/>
        </w:rPr>
        <w:t xml:space="preserve"> </w:t>
      </w:r>
      <w:r>
        <w:rPr>
          <w:rFonts w:hint="eastAsia" w:cs="Times New Roman"/>
          <w:b w:val="0"/>
          <w:bCs w:val="0"/>
          <w:color w:val="000000"/>
          <w:sz w:val="24"/>
          <w:szCs w:val="24"/>
          <w:u w:val="single"/>
          <w:lang w:val="en-US" w:eastAsia="zh-CN"/>
        </w:rPr>
        <w:t>6300T、3150T热模锻生产线复产项目-新增换模台车</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我代表(投标单位名称)为保证中标产品的质量特作如下承诺：</w:t>
      </w: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footerReference r:id="rId11" w:type="first"/>
          <w:footerReference r:id="rId10"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cs="Times New Roman"/>
          <w:color w:val="000000"/>
          <w:sz w:val="24"/>
          <w:szCs w:val="24"/>
          <w:highlight w:val="none"/>
          <w:u w:val="single"/>
          <w:lang w:eastAsia="zh-CN"/>
        </w:rPr>
        <w:t>6300T、3150T热模锻生产线复产项目-新增换模台车</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4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eastAsia" w:ascii="Times New Roman" w:hAnsi="Times New Roman" w:eastAsia="宋体" w:cs="Times New Roman"/>
                <w:b/>
                <w:szCs w:val="20"/>
                <w:lang w:eastAsia="zh-CN"/>
              </w:rPr>
            </w:pPr>
            <w:r>
              <w:rPr>
                <w:rFonts w:hint="eastAsia" w:cs="Times New Roman"/>
                <w:b/>
                <w:szCs w:val="20"/>
                <w:highlight w:val="none"/>
                <w:lang w:eastAsia="zh-CN"/>
              </w:rPr>
              <w:t>6300T、3150T热模锻生产线复产项目-新增换模台车</w:t>
            </w:r>
          </w:p>
        </w:tc>
        <w:tc>
          <w:tcPr>
            <w:tcW w:w="848" w:type="dxa"/>
            <w:vAlign w:val="center"/>
          </w:tcPr>
          <w:p>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2270"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numPr>
          <w:ilvl w:val="0"/>
          <w:numId w:val="9"/>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pPr>
        <w:numPr>
          <w:ilvl w:val="0"/>
          <w:numId w:val="9"/>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pPr>
        <w:numPr>
          <w:ilvl w:val="0"/>
          <w:numId w:val="9"/>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pPr>
        <w:numPr>
          <w:ilvl w:val="0"/>
          <w:numId w:val="9"/>
        </w:num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pPr>
        <w:pStyle w:val="24"/>
        <w:rPr>
          <w:rFonts w:hAnsi="宋体" w:eastAsia="宋体" w:cs="Times New Roman"/>
          <w:b/>
          <w:bCs/>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pStyle w:val="24"/>
        <w:rPr>
          <w:rFonts w:hint="eastAsia" w:ascii="宋体" w:hAnsi="宋体" w:eastAsia="宋体" w:cs="Times New Roman"/>
          <w:sz w:val="24"/>
          <w:szCs w:val="20"/>
        </w:rPr>
        <w:sectPr>
          <w:pgSz w:w="11906" w:h="16838"/>
          <w:pgMar w:top="1588" w:right="1418" w:bottom="1134" w:left="1418" w:header="851" w:footer="992" w:gutter="0"/>
          <w:cols w:space="720" w:num="1"/>
          <w:titlePg/>
          <w:docGrid w:type="lines" w:linePitch="312" w:charSpace="0"/>
        </w:sectPr>
      </w:pPr>
    </w:p>
    <w:p>
      <w:pPr>
        <w:pStyle w:val="4"/>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24"/>
        <w:jc w:val="center"/>
        <w:rPr>
          <w:rFonts w:hint="eastAsia" w:ascii="宋体" w:hAnsi="宋体" w:eastAsia="宋体" w:cs="Times New Roman"/>
          <w:sz w:val="24"/>
          <w:szCs w:val="20"/>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tbl>
      <w:tblPr>
        <w:tblStyle w:val="48"/>
        <w:tblW w:w="53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401"/>
        <w:gridCol w:w="1443"/>
        <w:gridCol w:w="823"/>
        <w:gridCol w:w="811"/>
        <w:gridCol w:w="1488"/>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486" w:type="pct"/>
            <w:vAlign w:val="center"/>
          </w:tcPr>
          <w:p>
            <w:pPr>
              <w:pStyle w:val="19"/>
              <w:bidi w:val="0"/>
              <w:jc w:val="center"/>
              <w:rPr>
                <w:rFonts w:hint="eastAsia"/>
                <w:highlight w:val="none"/>
              </w:rPr>
            </w:pPr>
            <w:r>
              <w:rPr>
                <w:rFonts w:hint="eastAsia"/>
                <w:highlight w:val="none"/>
              </w:rPr>
              <w:t>序号</w:t>
            </w:r>
          </w:p>
        </w:tc>
        <w:tc>
          <w:tcPr>
            <w:tcW w:w="1217" w:type="pct"/>
            <w:vAlign w:val="center"/>
          </w:tcPr>
          <w:p>
            <w:pPr>
              <w:pStyle w:val="19"/>
              <w:bidi w:val="0"/>
              <w:jc w:val="center"/>
              <w:rPr>
                <w:rFonts w:hint="eastAsia"/>
                <w:highlight w:val="none"/>
              </w:rPr>
            </w:pPr>
            <w:r>
              <w:rPr>
                <w:rFonts w:hint="eastAsia"/>
                <w:highlight w:val="none"/>
              </w:rPr>
              <w:t>名称</w:t>
            </w:r>
          </w:p>
        </w:tc>
        <w:tc>
          <w:tcPr>
            <w:tcW w:w="731" w:type="pct"/>
            <w:vAlign w:val="center"/>
          </w:tcPr>
          <w:p>
            <w:pPr>
              <w:pStyle w:val="19"/>
              <w:bidi w:val="0"/>
              <w:jc w:val="center"/>
              <w:rPr>
                <w:rFonts w:hint="default"/>
                <w:highlight w:val="none"/>
                <w:lang w:val="en-US" w:eastAsia="zh-CN"/>
              </w:rPr>
            </w:pPr>
            <w:r>
              <w:rPr>
                <w:rFonts w:hint="eastAsia"/>
                <w:highlight w:val="none"/>
                <w:lang w:val="en-US" w:eastAsia="zh-CN"/>
              </w:rPr>
              <w:t>未税单价（元）</w:t>
            </w:r>
          </w:p>
        </w:tc>
        <w:tc>
          <w:tcPr>
            <w:tcW w:w="417" w:type="pct"/>
            <w:vAlign w:val="center"/>
          </w:tcPr>
          <w:p>
            <w:pPr>
              <w:pStyle w:val="19"/>
              <w:bidi w:val="0"/>
              <w:jc w:val="center"/>
              <w:rPr>
                <w:rFonts w:hint="eastAsia"/>
                <w:highlight w:val="none"/>
              </w:rPr>
            </w:pPr>
            <w:r>
              <w:rPr>
                <w:rFonts w:hint="eastAsia"/>
                <w:highlight w:val="none"/>
              </w:rPr>
              <w:t>单位</w:t>
            </w:r>
          </w:p>
        </w:tc>
        <w:tc>
          <w:tcPr>
            <w:tcW w:w="411" w:type="pct"/>
            <w:vAlign w:val="center"/>
          </w:tcPr>
          <w:p>
            <w:pPr>
              <w:pStyle w:val="19"/>
              <w:bidi w:val="0"/>
              <w:jc w:val="center"/>
              <w:rPr>
                <w:rFonts w:hint="eastAsia"/>
                <w:highlight w:val="none"/>
              </w:rPr>
            </w:pPr>
            <w:r>
              <w:rPr>
                <w:rFonts w:hint="eastAsia"/>
                <w:highlight w:val="none"/>
              </w:rPr>
              <w:t>数量</w:t>
            </w:r>
          </w:p>
        </w:tc>
        <w:tc>
          <w:tcPr>
            <w:tcW w:w="754" w:type="pct"/>
            <w:vAlign w:val="center"/>
          </w:tcPr>
          <w:p>
            <w:pPr>
              <w:pStyle w:val="19"/>
              <w:bidi w:val="0"/>
              <w:jc w:val="center"/>
              <w:rPr>
                <w:rFonts w:hint="eastAsia"/>
                <w:highlight w:val="none"/>
              </w:rPr>
            </w:pPr>
            <w:r>
              <w:rPr>
                <w:rFonts w:hint="eastAsia"/>
                <w:highlight w:val="none"/>
                <w:lang w:val="en-US" w:eastAsia="zh-CN"/>
              </w:rPr>
              <w:t>未税总价（元）</w:t>
            </w:r>
          </w:p>
        </w:tc>
        <w:tc>
          <w:tcPr>
            <w:tcW w:w="981" w:type="pct"/>
            <w:vAlign w:val="center"/>
          </w:tcPr>
          <w:p>
            <w:pPr>
              <w:pStyle w:val="19"/>
              <w:bidi w:val="0"/>
              <w:jc w:val="center"/>
              <w:rPr>
                <w:rFonts w:hint="eastAsia"/>
                <w:highlight w:val="none"/>
              </w:rPr>
            </w:pPr>
            <w:r>
              <w:rPr>
                <w:rFonts w:hint="eastAsia"/>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投标方认为必须配备的其他内容</w:t>
            </w: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35" w:type="pct"/>
            <w:gridSpan w:val="3"/>
            <w:vAlign w:val="center"/>
          </w:tcPr>
          <w:p>
            <w:pPr>
              <w:widowControl/>
              <w:spacing w:line="0" w:lineRule="atLeast"/>
              <w:jc w:val="center"/>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未税合计</w:t>
            </w:r>
          </w:p>
        </w:tc>
        <w:tc>
          <w:tcPr>
            <w:tcW w:w="2564" w:type="pct"/>
            <w:gridSpan w:val="4"/>
            <w:tcBorders>
              <w:top w:val="single" w:color="auto" w:sz="4" w:space="0"/>
            </w:tcBorders>
            <w:vAlign w:val="center"/>
          </w:tcPr>
          <w:p>
            <w:pPr>
              <w:spacing w:line="360" w:lineRule="exact"/>
              <w:jc w:val="center"/>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435" w:type="pct"/>
            <w:gridSpan w:val="3"/>
            <w:vAlign w:val="center"/>
          </w:tcPr>
          <w:p>
            <w:pPr>
              <w:widowControl/>
              <w:spacing w:line="0" w:lineRule="atLeast"/>
              <w:jc w:val="center"/>
              <w:textAlignment w:val="cente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含税合计（税率</w:t>
            </w:r>
            <w:r>
              <w:rPr>
                <w:rFonts w:hint="eastAsia" w:asciiTheme="minorEastAsia" w:hAnsiTheme="minorEastAsia" w:eastAsiaTheme="minorEastAsia" w:cstheme="minorEastAsia"/>
                <w:sz w:val="24"/>
                <w:szCs w:val="24"/>
                <w:highlight w:val="none"/>
                <w:u w:val="single"/>
                <w:lang w:val="en-US" w:eastAsia="zh-CN"/>
              </w:rPr>
              <w:t xml:space="preserve">  </w:t>
            </w:r>
            <w:r>
              <w:rPr>
                <w:rFonts w:hint="eastAsia" w:asciiTheme="minorEastAsia" w:hAnsiTheme="minorEastAsia" w:eastAsiaTheme="minorEastAsia" w:cstheme="minorEastAsia"/>
                <w:sz w:val="24"/>
                <w:szCs w:val="24"/>
                <w:highlight w:val="none"/>
                <w:lang w:val="en-US" w:eastAsia="zh-CN"/>
              </w:rPr>
              <w:t>%）</w:t>
            </w:r>
          </w:p>
        </w:tc>
        <w:tc>
          <w:tcPr>
            <w:tcW w:w="2564" w:type="pct"/>
            <w:gridSpan w:val="4"/>
            <w:tcBorders>
              <w:top w:val="single" w:color="auto" w:sz="4" w:space="0"/>
            </w:tcBorders>
            <w:vAlign w:val="center"/>
          </w:tcPr>
          <w:p>
            <w:pPr>
              <w:spacing w:line="360" w:lineRule="exact"/>
              <w:jc w:val="center"/>
              <w:rPr>
                <w:rFonts w:hint="eastAsia" w:asciiTheme="minorEastAsia" w:hAnsiTheme="minorEastAsia" w:eastAsiaTheme="minorEastAsia" w:cstheme="minorEastAsia"/>
                <w:sz w:val="24"/>
                <w:szCs w:val="24"/>
                <w:highlight w:val="none"/>
              </w:rPr>
            </w:pPr>
          </w:p>
        </w:tc>
      </w:tr>
    </w:tbl>
    <w:p>
      <w:pPr>
        <w:spacing w:before="58" w:line="219" w:lineRule="auto"/>
        <w:ind w:left="8"/>
        <w:rPr>
          <w:rFonts w:ascii="宋体" w:hAnsi="宋体" w:eastAsia="宋体" w:cs="宋体"/>
          <w:spacing w:val="-8"/>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1.以上是各单体设备分项报价应包括的内容， 但不限于此，表中“总价合计”构成主机价格的一部分。</w:t>
      </w:r>
    </w:p>
    <w:p>
      <w:pPr>
        <w:spacing w:before="58" w:line="219" w:lineRule="auto"/>
        <w:ind w:left="8"/>
        <w:rPr>
          <w:rFonts w:ascii="宋体" w:hAnsi="宋体" w:eastAsia="宋体" w:cs="宋体"/>
          <w:spacing w:val="-8"/>
          <w:szCs w:val="21"/>
        </w:rPr>
      </w:pPr>
      <w:r>
        <w:rPr>
          <w:rFonts w:ascii="宋体" w:hAnsi="宋体" w:eastAsia="宋体" w:cs="宋体"/>
          <w:spacing w:val="-8"/>
          <w:szCs w:val="21"/>
        </w:rPr>
        <w:t>2.如果按单价计算的结果与总价不一致，以单价为准修正总价。</w:t>
      </w:r>
    </w:p>
    <w:p>
      <w:pPr>
        <w:spacing w:before="58" w:line="219" w:lineRule="auto"/>
        <w:ind w:left="8"/>
        <w:rPr>
          <w:rFonts w:ascii="宋体" w:hAnsi="宋体" w:eastAsia="宋体" w:cs="宋体"/>
          <w:spacing w:val="-8"/>
          <w:szCs w:val="21"/>
        </w:rPr>
      </w:pPr>
      <w:r>
        <w:rPr>
          <w:rFonts w:ascii="宋体" w:hAnsi="宋体" w:eastAsia="宋体" w:cs="宋体"/>
          <w:spacing w:val="-8"/>
          <w:szCs w:val="21"/>
        </w:rPr>
        <w:t>3.此分项报价，仅是为了方便招标人对投标文件进行分析比较，不作为限制订立合同的条件。</w:t>
      </w:r>
    </w:p>
    <w:p>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4.如上表中的有关费用投标人免费提供，请注明“免费”字样。</w:t>
      </w:r>
    </w:p>
    <w:p>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5.该明细表所有信息均为必填项，不得删减，价格部分不得合并，可细化可增加。</w:t>
      </w:r>
    </w:p>
    <w:p>
      <w:pPr>
        <w:spacing w:before="58" w:line="219" w:lineRule="auto"/>
        <w:ind w:left="8"/>
        <w:rPr>
          <w:rFonts w:hint="eastAsia" w:ascii="宋体" w:hAnsi="宋体" w:eastAsia="宋体" w:cs="宋体"/>
          <w:spacing w:val="-8"/>
          <w:szCs w:val="21"/>
        </w:rPr>
      </w:pPr>
      <w:r>
        <w:rPr>
          <w:rFonts w:hint="eastAsia" w:ascii="宋体" w:hAnsi="宋体" w:eastAsia="宋体" w:cs="宋体"/>
          <w:spacing w:val="-8"/>
          <w:szCs w:val="21"/>
        </w:rPr>
        <w:t>6.因填写不规范造成废标及终止招标的，责任由投标人自负。</w:t>
      </w:r>
    </w:p>
    <w:p>
      <w:pPr>
        <w:pStyle w:val="24"/>
        <w:rPr>
          <w:rFonts w:hint="eastAsia" w:ascii="宋体" w:hAnsi="宋体" w:eastAsia="宋体" w:cs="宋体"/>
          <w:spacing w:val="-6"/>
          <w:szCs w:val="21"/>
        </w:rPr>
      </w:pPr>
    </w:p>
    <w:p>
      <w:pPr>
        <w:pStyle w:val="24"/>
        <w:rPr>
          <w:rFonts w:hint="eastAsia" w:ascii="宋体" w:hAnsi="宋体" w:eastAsia="宋体" w:cs="宋体"/>
          <w:spacing w:val="-6"/>
          <w:szCs w:val="21"/>
        </w:rPr>
      </w:pPr>
    </w:p>
    <w:p>
      <w:pPr>
        <w:pStyle w:val="24"/>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pacing w:val="-4"/>
          <w:sz w:val="24"/>
          <w:szCs w:val="24"/>
        </w:rPr>
        <w:t xml:space="preserve">投标人(章)：         </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lang w:val="en-US" w:eastAsia="zh-CN"/>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w:t>
      </w:r>
      <w:r>
        <w:rPr>
          <w:rFonts w:hint="eastAsia" w:ascii="宋体" w:hAnsi="宋体" w:eastAsia="宋体" w:cs="宋体"/>
          <w:spacing w:val="-2"/>
          <w:sz w:val="24"/>
          <w:szCs w:val="24"/>
          <w:lang w:val="en-US" w:eastAsia="zh-CN"/>
        </w:rPr>
        <w:t>月   日</w:t>
      </w:r>
      <w:r>
        <w:rPr>
          <w:rFonts w:hint="eastAsia" w:ascii="宋体" w:hAnsi="宋体" w:eastAsia="宋体" w:cs="宋体"/>
          <w:spacing w:val="-2"/>
          <w:sz w:val="24"/>
          <w:szCs w:val="24"/>
        </w:rPr>
        <w:t xml:space="preserve"> </w:t>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附件10 商务条款偏离表</w:t>
      </w:r>
    </w:p>
    <w:p>
      <w:pPr>
        <w:rPr>
          <w:rFonts w:hint="default" w:ascii="Times New Roman" w:hAnsi="Times New Roman" w:eastAsia="宋体" w:cs="Times New Roman"/>
          <w:szCs w:val="20"/>
        </w:rPr>
      </w:pPr>
    </w:p>
    <w:tbl>
      <w:tblPr>
        <w:tblStyle w:val="4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注：为避免歧义，无偏离也应要提报该表，并注明“无”字。如无该表则即使在其它部分已反映，将也被视为“无偏离”。</w:t>
      </w:r>
    </w:p>
    <w:p>
      <w:pPr>
        <w:rPr>
          <w:rFonts w:hint="default" w:ascii="Times New Roman" w:hAnsi="Times New Roman" w:eastAsia="宋体" w:cs="Times New Roman"/>
          <w:szCs w:val="20"/>
        </w:rPr>
      </w:pP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headerReference r:id="rId12" w:type="defaul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spacing w:before="110" w:line="227" w:lineRule="auto"/>
        <w:ind w:left="29"/>
        <w:outlineLvl w:val="1"/>
        <w:rPr>
          <w:rFonts w:hint="default" w:ascii="Times New Roman" w:hAnsi="Times New Roman" w:eastAsia="宋体" w:cs="Times New Roman"/>
          <w:sz w:val="24"/>
          <w:szCs w:val="24"/>
        </w:rPr>
      </w:pPr>
      <w:r>
        <w:rPr>
          <w:rFonts w:hint="default" w:ascii="Times New Roman" w:hAnsi="Times New Roman" w:eastAsia="宋体" w:cs="Times New Roman"/>
          <w:b/>
          <w:bCs/>
          <w:color w:val="000000"/>
          <w:sz w:val="24"/>
          <w:szCs w:val="24"/>
        </w:rPr>
        <w:t>附件11 投标人承诺</w:t>
      </w:r>
    </w:p>
    <w:p>
      <w:pPr>
        <w:spacing w:line="272" w:lineRule="auto"/>
        <w:rPr>
          <w:rFonts w:hint="default" w:ascii="Times New Roman" w:hAnsi="Times New Roman" w:cs="Times New Roman"/>
        </w:rPr>
      </w:pPr>
    </w:p>
    <w:p>
      <w:pPr>
        <w:spacing w:before="75" w:line="228" w:lineRule="auto"/>
        <w:ind w:left="134"/>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eastAsia" w:cs="Times New Roman"/>
          <w:b w:val="0"/>
          <w:bCs w:val="0"/>
          <w:color w:val="000000"/>
          <w:sz w:val="24"/>
          <w:szCs w:val="24"/>
          <w:u w:val="single"/>
          <w:lang w:val="en-US" w:eastAsia="zh-CN"/>
        </w:rPr>
        <w:t>6300T、3150T热模锻生产线复产项目-新增换模台车</w:t>
      </w:r>
      <w:r>
        <w:rPr>
          <w:rFonts w:hint="default" w:ascii="Times New Roman" w:hAnsi="Times New Roman" w:eastAsia="宋体" w:cs="Times New Roman"/>
          <w:b w:val="0"/>
          <w:bCs w:val="0"/>
          <w:spacing w:val="-5"/>
          <w:sz w:val="24"/>
          <w:szCs w:val="24"/>
          <w:u w:val="single"/>
        </w:rPr>
        <w:t xml:space="preserve">  </w:t>
      </w:r>
    </w:p>
    <w:p>
      <w:pPr>
        <w:spacing w:before="306" w:line="227" w:lineRule="auto"/>
        <w:ind w:left="205"/>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pPr>
        <w:rPr>
          <w:rFonts w:hint="default" w:ascii="Times New Roman" w:hAnsi="Times New Roman" w:cs="Times New Roman"/>
        </w:rPr>
      </w:pPr>
    </w:p>
    <w:p>
      <w:pPr>
        <w:spacing w:line="109" w:lineRule="exact"/>
        <w:rPr>
          <w:rFonts w:hint="default" w:ascii="Times New Roman" w:hAnsi="Times New Roman" w:cs="Times New Roman"/>
        </w:rPr>
      </w:pPr>
    </w:p>
    <w:tbl>
      <w:tblPr>
        <w:tblStyle w:val="2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pPr>
        <w:keepNext/>
        <w:keepLines/>
        <w:rPr>
          <w:rFonts w:hint="default" w:ascii="Times New Roman" w:hAnsi="Times New Roman" w:eastAsia="宋体" w:cs="Times New Roman"/>
          <w:b/>
          <w:bCs/>
          <w:color w:val="000000"/>
          <w:sz w:val="24"/>
          <w:szCs w:val="24"/>
        </w:rPr>
      </w:pPr>
    </w:p>
    <w:p>
      <w:pPr>
        <w:spacing w:before="75" w:line="227" w:lineRule="auto"/>
        <w:ind w:left="135"/>
        <w:rPr>
          <w:rFonts w:hint="default" w:ascii="Times New Roman" w:hAnsi="Times New Roman" w:eastAsia="宋体" w:cs="Times New Roman"/>
          <w:spacing w:val="-2"/>
          <w:sz w:val="24"/>
          <w:szCs w:val="24"/>
        </w:rPr>
      </w:pPr>
    </w:p>
    <w:p>
      <w:pPr>
        <w:spacing w:before="75" w:line="227" w:lineRule="auto"/>
        <w:ind w:left="135"/>
        <w:rPr>
          <w:rFonts w:hint="default" w:ascii="Times New Roman" w:hAnsi="Times New Roman" w:eastAsia="宋体" w:cs="Times New Roman"/>
          <w:spacing w:val="-2"/>
          <w:sz w:val="24"/>
          <w:szCs w:val="24"/>
        </w:rPr>
      </w:pPr>
    </w:p>
    <w:p>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pPr>
        <w:rPr>
          <w:rFonts w:hint="default" w:ascii="Times New Roman" w:hAnsi="Times New Roman" w:cs="Times New Roman"/>
        </w:rPr>
        <w:sectPr>
          <w:footerReference r:id="rId14"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附件12 服务承诺函</w:t>
      </w:r>
    </w:p>
    <w:p>
      <w:pPr>
        <w:spacing w:line="240" w:lineRule="exact"/>
        <w:jc w:val="center"/>
        <w:rPr>
          <w:rFonts w:hint="default" w:ascii="Times New Roman" w:hAnsi="Times New Roman" w:eastAsia="宋体" w:cs="Times New Roman"/>
          <w:b/>
          <w:bCs/>
          <w:sz w:val="36"/>
          <w:szCs w:val="20"/>
        </w:rPr>
      </w:pP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6300T、3150T热模锻生产线复产项目-新增换模台车</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我代表（投标单位名称）对中标合同产品的服务作如下承诺：</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pPr>
        <w:rPr>
          <w:rFonts w:hint="default" w:ascii="Times New Roman" w:hAnsi="Times New Roman" w:eastAsia="宋体" w:cs="Times New Roman"/>
          <w:b/>
          <w:bCs/>
          <w:color w:val="000000"/>
          <w:sz w:val="28"/>
          <w:szCs w:val="20"/>
        </w:rPr>
      </w:pPr>
    </w:p>
    <w:p>
      <w:pPr>
        <w:pStyle w:val="24"/>
        <w:rPr>
          <w:rFonts w:hint="default" w:ascii="Times New Roman" w:hAnsi="Times New Roman" w:eastAsia="宋体" w:cs="Times New Roman"/>
          <w:b/>
          <w:bCs/>
          <w:color w:val="000000"/>
          <w:sz w:val="28"/>
          <w:szCs w:val="20"/>
        </w:rPr>
      </w:pPr>
    </w:p>
    <w:p>
      <w:pPr>
        <w:rPr>
          <w:rFonts w:hint="default" w:ascii="Times New Roman" w:hAnsi="Times New Roman" w:eastAsia="宋体" w:cs="Times New Roman"/>
          <w:b/>
          <w:bCs/>
          <w:color w:val="000000"/>
          <w:sz w:val="28"/>
          <w:szCs w:val="20"/>
        </w:rPr>
      </w:pPr>
    </w:p>
    <w:p>
      <w:pPr>
        <w:outlineLvl w:val="1"/>
        <w:rPr>
          <w:rFonts w:hint="default" w:ascii="Times New Roman" w:hAnsi="Times New Roman" w:eastAsia="宋体" w:cs="Times New Roman"/>
          <w:szCs w:val="20"/>
        </w:rPr>
      </w:pPr>
      <w:r>
        <w:rPr>
          <w:rFonts w:hint="default" w:ascii="Times New Roman" w:hAnsi="Times New Roman" w:eastAsia="宋体" w:cs="Times New Roman"/>
          <w:szCs w:val="20"/>
        </w:rPr>
        <w:br w:type="page"/>
      </w:r>
      <w:r>
        <w:rPr>
          <w:rFonts w:hint="default"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4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pPr>
              <w:rPr>
                <w:rFonts w:hint="default" w:ascii="Times New Roman" w:hAnsi="Times New Roman" w:eastAsia="等线" w:cs="Times New Roman"/>
                <w:b/>
                <w:sz w:val="30"/>
                <w:szCs w:val="30"/>
              </w:rPr>
            </w:pPr>
          </w:p>
          <w:p>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w:t>
            </w:r>
            <w:r>
              <w:rPr>
                <w:rFonts w:hint="default" w:ascii="Times New Roman" w:hAnsi="Times New Roman" w:eastAsia="等线" w:cs="Times New Roman"/>
                <w:b/>
                <w:sz w:val="30"/>
                <w:szCs w:val="30"/>
              </w:rPr>
              <w:t>1</w:t>
            </w:r>
            <w:r>
              <w:rPr>
                <w:rFonts w:hint="default" w:ascii="Times New Roman" w:hAnsi="Times New Roman" w:eastAsia="宋体" w:cs="Times New Roman"/>
                <w:b/>
                <w:sz w:val="30"/>
                <w:szCs w:val="30"/>
              </w:rPr>
              <w:t>正本）</w:t>
            </w:r>
          </w:p>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Cs w:val="20"/>
              </w:rPr>
            </w:pPr>
          </w:p>
          <w:p>
            <w:pPr>
              <w:jc w:val="center"/>
              <w:rPr>
                <w:rFonts w:hint="eastAsia" w:ascii="Times New Roman" w:hAnsi="Times New Roman" w:eastAsia="宋体" w:cs="Times New Roman"/>
                <w:b/>
                <w:szCs w:val="20"/>
                <w:lang w:eastAsia="zh-CN"/>
              </w:rPr>
            </w:pPr>
            <w:r>
              <w:rPr>
                <w:rFonts w:hint="default" w:ascii="Times New Roman" w:hAnsi="Times New Roman" w:eastAsia="宋体" w:cs="Times New Roman"/>
                <w:b/>
                <w:szCs w:val="20"/>
              </w:rPr>
              <w:t>项目名称：</w:t>
            </w:r>
            <w:r>
              <w:rPr>
                <w:rFonts w:hint="eastAsia" w:cs="Times New Roman"/>
                <w:b/>
                <w:szCs w:val="20"/>
                <w:lang w:val="en-US" w:eastAsia="zh-CN"/>
              </w:rPr>
              <w:t>6300T、3150T热模锻生产线复产项目-新增换模台车</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Cs w:val="20"/>
              </w:rPr>
            </w:pP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pPr>
        <w:rPr>
          <w:rFonts w:hint="default" w:ascii="Times New Roman" w:hAnsi="Times New Roman" w:cs="Times New Roman"/>
          <w:sz w:val="20"/>
          <w:szCs w:val="20"/>
        </w:rPr>
      </w:pPr>
      <w:r>
        <w:rPr>
          <w:rFonts w:hint="default" w:ascii="Times New Roman" w:hAnsi="Times New Roman" w:eastAsia="宋体" w:cs="Times New Roman"/>
          <w:color w:val="000000"/>
          <w:sz w:val="24"/>
          <w:szCs w:val="24"/>
        </w:rPr>
        <w:br w:type="page"/>
      </w:r>
    </w:p>
    <w:p>
      <w:pPr>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附件14技术标评分标准</w:t>
      </w:r>
    </w:p>
    <w:tbl>
      <w:tblPr>
        <w:tblStyle w:val="4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546"/>
        <w:gridCol w:w="549"/>
        <w:gridCol w:w="2515"/>
        <w:gridCol w:w="527"/>
        <w:gridCol w:w="4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352"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评价类型</w:t>
            </w:r>
          </w:p>
        </w:tc>
        <w:tc>
          <w:tcPr>
            <w:tcW w:w="294"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评审内容</w:t>
            </w:r>
          </w:p>
        </w:tc>
        <w:tc>
          <w:tcPr>
            <w:tcW w:w="296"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序号</w:t>
            </w:r>
          </w:p>
        </w:tc>
        <w:tc>
          <w:tcPr>
            <w:tcW w:w="1355"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内</w:t>
            </w:r>
            <w:r>
              <w:rPr>
                <w:rFonts w:ascii="宋体" w:hAnsi="宋体" w:cs="Times New Roman"/>
                <w:b/>
                <w:sz w:val="18"/>
                <w:szCs w:val="18"/>
                <w:highlight w:val="none"/>
              </w:rPr>
              <w:t xml:space="preserve">   </w:t>
            </w:r>
            <w:r>
              <w:rPr>
                <w:rFonts w:hint="eastAsia" w:ascii="宋体" w:hAnsi="宋体" w:cs="Times New Roman"/>
                <w:b/>
                <w:sz w:val="18"/>
                <w:szCs w:val="18"/>
                <w:highlight w:val="none"/>
              </w:rPr>
              <w:t>容</w:t>
            </w:r>
          </w:p>
        </w:tc>
        <w:tc>
          <w:tcPr>
            <w:tcW w:w="284"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标准分</w:t>
            </w:r>
          </w:p>
        </w:tc>
        <w:tc>
          <w:tcPr>
            <w:tcW w:w="2415"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2" w:type="pct"/>
            <w:vMerge w:val="restart"/>
            <w:vAlign w:val="center"/>
          </w:tcPr>
          <w:p>
            <w:pPr>
              <w:tabs>
                <w:tab w:val="left" w:pos="13965"/>
              </w:tabs>
              <w:jc w:val="center"/>
              <w:rPr>
                <w:rFonts w:ascii="宋体" w:hAnsi="宋体" w:eastAsia="等线" w:cs="Times New Roman"/>
                <w:b/>
                <w:bCs/>
                <w:sz w:val="18"/>
                <w:szCs w:val="18"/>
                <w:highlight w:val="none"/>
              </w:rPr>
            </w:pPr>
            <w:r>
              <w:rPr>
                <w:rFonts w:hint="eastAsia" w:ascii="宋体" w:hAnsi="宋体" w:cs="Times New Roman"/>
                <w:b/>
                <w:bCs/>
                <w:sz w:val="18"/>
                <w:szCs w:val="18"/>
                <w:highlight w:val="none"/>
              </w:rPr>
              <w:t>技术标</w:t>
            </w:r>
          </w:p>
          <w:p>
            <w:pPr>
              <w:tabs>
                <w:tab w:val="left" w:pos="13965"/>
              </w:tabs>
              <w:rPr>
                <w:rFonts w:ascii="宋体" w:hAnsi="宋体" w:cs="Times New Roman"/>
                <w:sz w:val="18"/>
                <w:szCs w:val="18"/>
                <w:highlight w:val="none"/>
              </w:rPr>
            </w:pPr>
            <w:r>
              <w:rPr>
                <w:rFonts w:ascii="宋体" w:hAnsi="宋体" w:cs="Times New Roman"/>
                <w:sz w:val="18"/>
                <w:szCs w:val="18"/>
                <w:highlight w:val="none"/>
              </w:rPr>
              <w:t>100</w:t>
            </w:r>
            <w:r>
              <w:rPr>
                <w:rFonts w:hint="eastAsia" w:ascii="宋体" w:hAnsi="宋体" w:cs="Times New Roman"/>
                <w:sz w:val="18"/>
                <w:szCs w:val="18"/>
                <w:highlight w:val="none"/>
              </w:rPr>
              <w:t>分</w:t>
            </w:r>
          </w:p>
        </w:tc>
        <w:tc>
          <w:tcPr>
            <w:tcW w:w="294" w:type="pct"/>
            <w:vAlign w:val="center"/>
          </w:tcPr>
          <w:p>
            <w:pPr>
              <w:tabs>
                <w:tab w:val="left" w:pos="13965"/>
              </w:tabs>
              <w:jc w:val="center"/>
              <w:rPr>
                <w:rFonts w:ascii="宋体" w:hAnsi="宋体" w:cs="Times New Roman"/>
                <w:sz w:val="18"/>
                <w:szCs w:val="18"/>
                <w:highlight w:val="none"/>
              </w:rPr>
            </w:pPr>
            <w:r>
              <w:rPr>
                <w:rFonts w:hint="eastAsia" w:ascii="宋体" w:hAnsi="宋体" w:cs="Times New Roman"/>
                <w:sz w:val="18"/>
                <w:szCs w:val="18"/>
                <w:highlight w:val="none"/>
              </w:rPr>
              <w:t>业绩</w:t>
            </w:r>
          </w:p>
        </w:tc>
        <w:tc>
          <w:tcPr>
            <w:tcW w:w="296" w:type="pct"/>
            <w:vAlign w:val="center"/>
          </w:tcPr>
          <w:p>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w:t>
            </w:r>
          </w:p>
        </w:tc>
        <w:tc>
          <w:tcPr>
            <w:tcW w:w="1355" w:type="pct"/>
            <w:vAlign w:val="center"/>
          </w:tcPr>
          <w:p>
            <w:pPr>
              <w:rPr>
                <w:rFonts w:ascii="宋体" w:hAnsi="宋体" w:cs="Times New Roman"/>
                <w:sz w:val="18"/>
                <w:szCs w:val="18"/>
                <w:highlight w:val="none"/>
              </w:rPr>
            </w:pPr>
            <w:r>
              <w:rPr>
                <w:rFonts w:hint="eastAsia" w:ascii="宋体" w:hAnsi="宋体" w:cs="Times New Roman"/>
                <w:sz w:val="18"/>
                <w:szCs w:val="18"/>
                <w:highlight w:val="none"/>
              </w:rPr>
              <w:t>设备制造商同类型项目业绩</w:t>
            </w:r>
          </w:p>
        </w:tc>
        <w:tc>
          <w:tcPr>
            <w:tcW w:w="284" w:type="pct"/>
            <w:vAlign w:val="center"/>
          </w:tcPr>
          <w:p>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10</w:t>
            </w:r>
          </w:p>
        </w:tc>
        <w:tc>
          <w:tcPr>
            <w:tcW w:w="241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10</w:t>
            </w:r>
            <w:r>
              <w:rPr>
                <w:rFonts w:hint="eastAsia" w:ascii="宋体" w:hAnsi="宋体" w:cs="Times New Roman"/>
                <w:bCs/>
                <w:sz w:val="18"/>
                <w:szCs w:val="18"/>
                <w:highlight w:val="none"/>
              </w:rPr>
              <w:t>分（时间以签订日期为准）。</w:t>
            </w:r>
          </w:p>
          <w:p>
            <w:pPr>
              <w:rPr>
                <w:rFonts w:ascii="宋体" w:hAnsi="宋体"/>
                <w:sz w:val="18"/>
                <w:szCs w:val="18"/>
                <w:highlight w:val="none"/>
              </w:rPr>
            </w:pPr>
            <w:r>
              <w:rPr>
                <w:rFonts w:hint="eastAsia" w:ascii="宋体" w:hAnsi="宋体" w:cs="Times New Roman"/>
                <w:bCs/>
                <w:sz w:val="18"/>
                <w:szCs w:val="18"/>
                <w:highlight w:val="none"/>
              </w:rPr>
              <w:t>投标人在20</w:t>
            </w:r>
            <w:r>
              <w:rPr>
                <w:rFonts w:ascii="宋体" w:hAnsi="宋体" w:cs="Times New Roman"/>
                <w:bCs/>
                <w:sz w:val="18"/>
                <w:szCs w:val="18"/>
                <w:highlight w:val="none"/>
              </w:rPr>
              <w:t>21</w:t>
            </w:r>
            <w:r>
              <w:rPr>
                <w:rFonts w:hint="eastAsia" w:ascii="宋体" w:hAnsi="宋体" w:cs="Times New Roman"/>
                <w:bCs/>
                <w:sz w:val="18"/>
                <w:szCs w:val="18"/>
                <w:highlight w:val="none"/>
              </w:rPr>
              <w:t>年1月1日以来在中国与本标同类规格产品的业绩，以合同复印件加盖公章为准（须有客户联系方式及联系人以供招标人核实确认）。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Merge w:val="restar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产品技术</w:t>
            </w:r>
          </w:p>
        </w:tc>
        <w:tc>
          <w:tcPr>
            <w:tcW w:w="296"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2</w:t>
            </w:r>
          </w:p>
        </w:tc>
        <w:tc>
          <w:tcPr>
            <w:tcW w:w="135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设备制造商装备制造能力、生产设备、加工工艺、完善程度</w:t>
            </w:r>
          </w:p>
        </w:tc>
        <w:tc>
          <w:tcPr>
            <w:tcW w:w="284"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15</w:t>
            </w:r>
          </w:p>
        </w:tc>
        <w:tc>
          <w:tcPr>
            <w:tcW w:w="2415" w:type="pct"/>
            <w:vAlign w:val="center"/>
          </w:tcPr>
          <w:p>
            <w:pPr>
              <w:rPr>
                <w:rFonts w:ascii="宋体" w:hAnsi="宋体" w:cs="Times New Roman"/>
                <w:sz w:val="18"/>
                <w:szCs w:val="18"/>
                <w:highlight w:val="none"/>
              </w:rPr>
            </w:pPr>
            <w:r>
              <w:rPr>
                <w:rFonts w:hint="eastAsia" w:ascii="宋体" w:hAnsi="宋体" w:cs="Times New Roman"/>
                <w:bCs/>
                <w:sz w:val="18"/>
                <w:szCs w:val="18"/>
                <w:highlight w:val="none"/>
              </w:rPr>
              <w:t>由评标委员会成员独立进行客观、公正的评价，按照优、良、一般进行赋分，最高1</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Merge w:val="continue"/>
            <w:vAlign w:val="center"/>
          </w:tcPr>
          <w:p>
            <w:pPr>
              <w:jc w:val="center"/>
              <w:rPr>
                <w:rFonts w:ascii="宋体" w:hAnsi="宋体" w:cs="Times New Roman"/>
                <w:sz w:val="18"/>
                <w:szCs w:val="18"/>
                <w:highlight w:val="none"/>
              </w:rPr>
            </w:pPr>
          </w:p>
        </w:tc>
        <w:tc>
          <w:tcPr>
            <w:tcW w:w="296"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3</w:t>
            </w:r>
          </w:p>
        </w:tc>
        <w:tc>
          <w:tcPr>
            <w:tcW w:w="135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产品方案技术先进、各系统完善、性能可靠，设备主要核心部件，具备自身技术优势</w:t>
            </w:r>
          </w:p>
        </w:tc>
        <w:tc>
          <w:tcPr>
            <w:tcW w:w="284"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40</w:t>
            </w:r>
          </w:p>
        </w:tc>
        <w:tc>
          <w:tcPr>
            <w:tcW w:w="2415" w:type="pct"/>
            <w:vAlign w:val="center"/>
          </w:tcPr>
          <w:p>
            <w:pPr>
              <w:rPr>
                <w:rFonts w:ascii="宋体" w:hAnsi="宋体" w:cs="Times New Roman"/>
                <w:bCs/>
                <w:sz w:val="18"/>
                <w:szCs w:val="18"/>
                <w:highlight w:val="none"/>
              </w:rPr>
            </w:pPr>
            <w:r>
              <w:rPr>
                <w:rFonts w:hint="eastAsia" w:ascii="宋体" w:hAnsi="宋体" w:cs="Times New Roman"/>
                <w:sz w:val="18"/>
                <w:szCs w:val="18"/>
                <w:highlight w:val="none"/>
              </w:rPr>
              <w:t>以下各项由评标委员会成员独立进行客观、公正的评价打分。</w:t>
            </w:r>
          </w:p>
          <w:p>
            <w:pPr>
              <w:rPr>
                <w:rFonts w:ascii="宋体" w:hAnsi="宋体" w:cs="Times New Roman"/>
                <w:sz w:val="18"/>
                <w:szCs w:val="18"/>
                <w:highlight w:val="none"/>
              </w:rPr>
            </w:pPr>
            <w:r>
              <w:rPr>
                <w:rFonts w:hint="eastAsia" w:ascii="宋体" w:hAnsi="宋体" w:cs="Times New Roman"/>
                <w:bCs/>
                <w:sz w:val="18"/>
                <w:szCs w:val="18"/>
                <w:highlight w:val="none"/>
              </w:rPr>
              <w:t>投标文件中技术方案、软硬件配置、处理工艺、设施明细、技术参数、综合性能、控制方案等的先进性、符合性、适用性进行分析比较、评议、综合打分，按照优、良、一般进行赋分，最高40分。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答疑</w:t>
            </w:r>
          </w:p>
        </w:tc>
        <w:tc>
          <w:tcPr>
            <w:tcW w:w="296"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4</w:t>
            </w:r>
          </w:p>
        </w:tc>
        <w:tc>
          <w:tcPr>
            <w:tcW w:w="135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现场答疑</w:t>
            </w:r>
          </w:p>
        </w:tc>
        <w:tc>
          <w:tcPr>
            <w:tcW w:w="284"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2415" w:type="pct"/>
            <w:vAlign w:val="center"/>
          </w:tcPr>
          <w:p>
            <w:pPr>
              <w:rPr>
                <w:rFonts w:ascii="宋体" w:hAnsi="宋体" w:cs="Times New Roman"/>
                <w:bCs/>
                <w:sz w:val="18"/>
                <w:szCs w:val="18"/>
                <w:highlight w:val="none"/>
              </w:rPr>
            </w:pPr>
            <w:r>
              <w:rPr>
                <w:rFonts w:hint="eastAsia" w:ascii="宋体" w:hAnsi="宋体" w:cs="Times New Roman"/>
                <w:sz w:val="18"/>
                <w:szCs w:val="18"/>
                <w:highlight w:val="none"/>
              </w:rPr>
              <w:t>投标人代表对方案、技术优势的讲解，以及就该项目难点回答评标专家现场提问，打分0-5分。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技术偏离</w:t>
            </w:r>
          </w:p>
        </w:tc>
        <w:tc>
          <w:tcPr>
            <w:tcW w:w="296"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1355" w:type="pct"/>
            <w:vAlign w:val="center"/>
          </w:tcPr>
          <w:p>
            <w:pPr>
              <w:rPr>
                <w:rFonts w:ascii="宋体" w:hAnsi="宋体" w:cs="Times New Roman"/>
                <w:sz w:val="18"/>
                <w:szCs w:val="18"/>
                <w:highlight w:val="none"/>
              </w:rPr>
            </w:pPr>
            <w:r>
              <w:rPr>
                <w:rFonts w:hint="eastAsia" w:ascii="宋体" w:hAnsi="宋体" w:cs="Times New Roman"/>
                <w:bCs/>
                <w:sz w:val="18"/>
                <w:szCs w:val="18"/>
                <w:highlight w:val="none"/>
              </w:rPr>
              <w:t>技术偏离</w:t>
            </w:r>
          </w:p>
        </w:tc>
        <w:tc>
          <w:tcPr>
            <w:tcW w:w="284"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15</w:t>
            </w:r>
          </w:p>
        </w:tc>
        <w:tc>
          <w:tcPr>
            <w:tcW w:w="2415" w:type="pct"/>
            <w:vAlign w:val="center"/>
          </w:tcPr>
          <w:p>
            <w:pPr>
              <w:jc w:val="left"/>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由评标委员会成员独立进行客观、公正的评价，根据各投标单位的核心产品的配置参数、技术偏离情况，在满足我司技术基本要求的前提下偏离，无偏离得满分</w:t>
            </w:r>
            <w:r>
              <w:rPr>
                <w:rFonts w:ascii="宋体" w:hAnsi="宋体" w:cs="Times New Roman"/>
                <w:bCs/>
                <w:sz w:val="18"/>
                <w:szCs w:val="18"/>
                <w:highlight w:val="none"/>
              </w:rPr>
              <w:t>15</w:t>
            </w:r>
            <w:r>
              <w:rPr>
                <w:rFonts w:hint="eastAsia" w:ascii="宋体" w:hAnsi="宋体" w:cs="Times New Roman"/>
                <w:bCs/>
                <w:sz w:val="18"/>
                <w:szCs w:val="18"/>
                <w:highlight w:val="none"/>
              </w:rPr>
              <w:t>分，较大偏离每一项扣</w:t>
            </w:r>
            <w:r>
              <w:rPr>
                <w:rFonts w:ascii="宋体" w:hAnsi="宋体" w:cs="Times New Roman"/>
                <w:bCs/>
                <w:sz w:val="18"/>
                <w:szCs w:val="18"/>
                <w:highlight w:val="none"/>
              </w:rPr>
              <w:t>3</w:t>
            </w:r>
            <w:r>
              <w:rPr>
                <w:rFonts w:hint="eastAsia" w:ascii="宋体" w:hAnsi="宋体" w:cs="Times New Roman"/>
                <w:bCs/>
                <w:sz w:val="18"/>
                <w:szCs w:val="18"/>
                <w:highlight w:val="none"/>
              </w:rPr>
              <w:t>分，一般偏离每一项扣</w:t>
            </w:r>
            <w:r>
              <w:rPr>
                <w:rFonts w:ascii="宋体" w:hAnsi="宋体" w:cs="Times New Roman"/>
                <w:bCs/>
                <w:sz w:val="18"/>
                <w:szCs w:val="18"/>
                <w:highlight w:val="none"/>
              </w:rPr>
              <w:t>2</w:t>
            </w:r>
            <w:r>
              <w:rPr>
                <w:rFonts w:hint="eastAsia" w:ascii="宋体" w:hAnsi="宋体" w:cs="Times New Roman"/>
                <w:bCs/>
                <w:sz w:val="18"/>
                <w:szCs w:val="18"/>
                <w:highlight w:val="none"/>
              </w:rPr>
              <w:t>分，最低得分</w:t>
            </w:r>
            <w:r>
              <w:rPr>
                <w:rFonts w:ascii="宋体" w:hAnsi="宋体" w:cs="Times New Roman"/>
                <w:bCs/>
                <w:sz w:val="18"/>
                <w:szCs w:val="18"/>
                <w:highlight w:val="none"/>
              </w:rPr>
              <w:t>0</w:t>
            </w:r>
            <w:r>
              <w:rPr>
                <w:rFonts w:hint="eastAsia" w:ascii="宋体" w:hAnsi="宋体" w:cs="Times New Roman"/>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Merge w:val="restar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售后服务</w:t>
            </w:r>
          </w:p>
        </w:tc>
        <w:tc>
          <w:tcPr>
            <w:tcW w:w="296"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6</w:t>
            </w:r>
          </w:p>
        </w:tc>
        <w:tc>
          <w:tcPr>
            <w:tcW w:w="1355" w:type="pct"/>
            <w:vAlign w:val="center"/>
          </w:tcPr>
          <w:p>
            <w:pPr>
              <w:rPr>
                <w:rFonts w:ascii="宋体" w:hAnsi="宋体" w:cs="Times New Roman"/>
                <w:sz w:val="18"/>
                <w:szCs w:val="18"/>
                <w:highlight w:val="none"/>
              </w:rPr>
            </w:pPr>
            <w:r>
              <w:rPr>
                <w:rFonts w:hint="eastAsia" w:ascii="宋体" w:hAnsi="宋体" w:cs="Times New Roman"/>
                <w:sz w:val="18"/>
                <w:szCs w:val="18"/>
                <w:highlight w:val="none"/>
              </w:rPr>
              <w:t>技术培训方案：对采购方人员的技术培训方案安排科学、合理、可行</w:t>
            </w:r>
          </w:p>
        </w:tc>
        <w:tc>
          <w:tcPr>
            <w:tcW w:w="284"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241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Merge w:val="continue"/>
            <w:vAlign w:val="center"/>
          </w:tcPr>
          <w:p>
            <w:pPr>
              <w:jc w:val="center"/>
              <w:rPr>
                <w:rFonts w:ascii="宋体" w:hAnsi="宋体" w:cs="Times New Roman"/>
                <w:sz w:val="18"/>
                <w:szCs w:val="18"/>
                <w:highlight w:val="none"/>
              </w:rPr>
            </w:pPr>
          </w:p>
        </w:tc>
        <w:tc>
          <w:tcPr>
            <w:tcW w:w="296"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7</w:t>
            </w:r>
          </w:p>
        </w:tc>
        <w:tc>
          <w:tcPr>
            <w:tcW w:w="1355" w:type="pct"/>
            <w:vAlign w:val="center"/>
          </w:tcPr>
          <w:p>
            <w:pPr>
              <w:rPr>
                <w:rFonts w:ascii="宋体" w:hAnsi="宋体" w:cs="Times New Roman"/>
                <w:sz w:val="18"/>
                <w:szCs w:val="18"/>
                <w:highlight w:val="none"/>
              </w:rPr>
            </w:pPr>
            <w:r>
              <w:rPr>
                <w:rFonts w:hint="eastAsia" w:ascii="宋体" w:hAnsi="宋体" w:cs="Times New Roman"/>
                <w:bCs/>
                <w:sz w:val="18"/>
                <w:szCs w:val="18"/>
                <w:highlight w:val="none"/>
              </w:rPr>
              <w:t>投标人在中国有常驻的专业技术力量的维保机构并具有实施本项目维保的专业技术人员：</w:t>
            </w:r>
          </w:p>
        </w:tc>
        <w:tc>
          <w:tcPr>
            <w:tcW w:w="284" w:type="pct"/>
            <w:vAlign w:val="center"/>
          </w:tcPr>
          <w:p>
            <w:pPr>
              <w:jc w:val="center"/>
              <w:rPr>
                <w:rFonts w:ascii="宋体" w:hAnsi="宋体" w:cs="Times New Roman"/>
                <w:sz w:val="18"/>
                <w:szCs w:val="18"/>
                <w:highlight w:val="none"/>
              </w:rPr>
            </w:pPr>
            <w:r>
              <w:rPr>
                <w:rFonts w:ascii="宋体" w:hAnsi="宋体" w:cs="Times New Roman"/>
                <w:bCs/>
                <w:sz w:val="18"/>
                <w:szCs w:val="18"/>
                <w:highlight w:val="none"/>
              </w:rPr>
              <w:t>5</w:t>
            </w:r>
          </w:p>
        </w:tc>
        <w:tc>
          <w:tcPr>
            <w:tcW w:w="241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Merge w:val="continue"/>
            <w:vAlign w:val="center"/>
          </w:tcPr>
          <w:p>
            <w:pPr>
              <w:jc w:val="center"/>
              <w:rPr>
                <w:rFonts w:ascii="宋体" w:hAnsi="宋体" w:cs="Times New Roman"/>
                <w:sz w:val="18"/>
                <w:szCs w:val="18"/>
                <w:highlight w:val="none"/>
              </w:rPr>
            </w:pPr>
          </w:p>
        </w:tc>
        <w:tc>
          <w:tcPr>
            <w:tcW w:w="296"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8</w:t>
            </w:r>
          </w:p>
        </w:tc>
        <w:tc>
          <w:tcPr>
            <w:tcW w:w="1355" w:type="pct"/>
            <w:vAlign w:val="center"/>
          </w:tcPr>
          <w:p>
            <w:pPr>
              <w:rPr>
                <w:rFonts w:ascii="宋体" w:hAnsi="宋体" w:cs="Times New Roman"/>
                <w:sz w:val="18"/>
                <w:szCs w:val="18"/>
                <w:highlight w:val="none"/>
              </w:rPr>
            </w:pPr>
            <w:r>
              <w:rPr>
                <w:rFonts w:hint="eastAsia" w:ascii="宋体" w:hAnsi="宋体" w:cs="Times New Roman"/>
                <w:sz w:val="18"/>
                <w:szCs w:val="18"/>
                <w:highlight w:val="none"/>
              </w:rPr>
              <w:t>售后服务及时周到，有相应的服务承诺和具体的保证措施</w:t>
            </w:r>
          </w:p>
        </w:tc>
        <w:tc>
          <w:tcPr>
            <w:tcW w:w="284"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5</w:t>
            </w:r>
          </w:p>
        </w:tc>
        <w:tc>
          <w:tcPr>
            <w:tcW w:w="241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jc w:val="center"/>
        </w:trPr>
        <w:tc>
          <w:tcPr>
            <w:tcW w:w="352" w:type="pct"/>
            <w:vAlign w:val="center"/>
          </w:tcPr>
          <w:p>
            <w:pPr>
              <w:jc w:val="center"/>
              <w:rPr>
                <w:rFonts w:ascii="宋体" w:hAnsi="宋体" w:eastAsia="等线" w:cs="Times New Roman"/>
                <w:sz w:val="18"/>
                <w:szCs w:val="18"/>
                <w:highlight w:val="none"/>
              </w:rPr>
            </w:pPr>
            <w:r>
              <w:rPr>
                <w:rFonts w:hint="eastAsia" w:ascii="宋体" w:hAnsi="宋体" w:cs="Times New Roman"/>
                <w:b/>
                <w:bCs/>
                <w:sz w:val="18"/>
                <w:szCs w:val="18"/>
                <w:highlight w:val="none"/>
              </w:rPr>
              <w:t>商务标</w:t>
            </w:r>
            <w:r>
              <w:rPr>
                <w:rFonts w:hint="eastAsia" w:ascii="宋体" w:hAnsi="宋体" w:cs="Times New Roman"/>
                <w:sz w:val="18"/>
                <w:szCs w:val="18"/>
                <w:highlight w:val="none"/>
              </w:rPr>
              <w:t>100分</w:t>
            </w:r>
          </w:p>
        </w:tc>
        <w:tc>
          <w:tcPr>
            <w:tcW w:w="4647" w:type="pct"/>
            <w:gridSpan w:val="5"/>
            <w:vAlign w:val="center"/>
          </w:tcPr>
          <w:p>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 xml:space="preserve">评标基准价： </w:t>
            </w:r>
          </w:p>
          <w:p>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1、评标基准价为所有合理有效的最终投标报价的最低价。</w:t>
            </w:r>
          </w:p>
          <w:p>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2、有效的评标基准价得100分；其他投标人的价格得分按下列公式计算：投标价格得分=100×（评标基准价/投标报价）。</w:t>
            </w:r>
          </w:p>
          <w:p>
            <w:pPr>
              <w:rPr>
                <w:rFonts w:ascii="宋体" w:hAnsi="宋体" w:cs="Times New Roman"/>
                <w:bCs/>
                <w:sz w:val="16"/>
                <w:szCs w:val="16"/>
                <w:highlight w:val="none"/>
              </w:rPr>
            </w:pPr>
            <w:r>
              <w:rPr>
                <w:rFonts w:hint="eastAsia" w:ascii="宋体" w:hAnsi="宋体" w:eastAsia="宋体" w:cs="Times New Roman"/>
                <w:bCs/>
                <w:sz w:val="22"/>
                <w:szCs w:val="22"/>
                <w:highlight w:val="none"/>
              </w:rPr>
              <w:t>注：得分值取小数点后两位，不足一个百分点的，按照四舍五入法计算。</w:t>
            </w:r>
            <w:r>
              <w:rPr>
                <w:rFonts w:ascii="宋体" w:hAnsi="宋体" w:eastAsia="宋体" w:cs="Times New Roman"/>
                <w:bCs/>
                <w:sz w:val="22"/>
                <w:szCs w:val="22"/>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352" w:type="pct"/>
            <w:vAlign w:val="center"/>
          </w:tcPr>
          <w:p>
            <w:pPr>
              <w:jc w:val="center"/>
              <w:rPr>
                <w:rFonts w:ascii="宋体" w:hAnsi="宋体" w:eastAsia="等线" w:cs="Times New Roman"/>
                <w:sz w:val="18"/>
                <w:szCs w:val="18"/>
                <w:highlight w:val="none"/>
              </w:rPr>
            </w:pPr>
            <w:r>
              <w:rPr>
                <w:rFonts w:hint="eastAsia" w:ascii="宋体" w:hAnsi="宋体" w:cs="Times New Roman"/>
                <w:b/>
                <w:bCs/>
                <w:sz w:val="20"/>
                <w:szCs w:val="20"/>
                <w:highlight w:val="none"/>
              </w:rPr>
              <w:t>综合得分</w:t>
            </w:r>
          </w:p>
        </w:tc>
        <w:tc>
          <w:tcPr>
            <w:tcW w:w="4647" w:type="pct"/>
            <w:gridSpan w:val="5"/>
            <w:vAlign w:val="center"/>
          </w:tcPr>
          <w:p>
            <w:pPr>
              <w:tabs>
                <w:tab w:val="left" w:pos="1654"/>
              </w:tabs>
              <w:rPr>
                <w:rFonts w:ascii="宋体" w:hAnsi="宋体" w:eastAsia="等线" w:cs="Times New Roman"/>
                <w:bCs/>
                <w:sz w:val="16"/>
                <w:szCs w:val="16"/>
                <w:highlight w:val="none"/>
              </w:rPr>
            </w:pPr>
            <w:r>
              <w:rPr>
                <w:rFonts w:hint="eastAsia" w:ascii="宋体" w:hAnsi="宋体" w:cs="Times New Roman"/>
                <w:bCs/>
                <w:sz w:val="16"/>
                <w:szCs w:val="16"/>
                <w:highlight w:val="none"/>
              </w:rPr>
              <w:tab/>
            </w:r>
            <w:r>
              <w:rPr>
                <w:rFonts w:hint="eastAsia" w:ascii="宋体" w:hAnsi="Times New Roman" w:eastAsia="宋体" w:cs="Times New Roman"/>
                <w:b/>
                <w:sz w:val="22"/>
                <w:szCs w:val="22"/>
                <w:highlight w:val="none"/>
              </w:rPr>
              <w:t>综合得分=技术标得分×</w:t>
            </w:r>
            <w:r>
              <w:rPr>
                <w:rFonts w:hint="eastAsia" w:ascii="宋体" w:cs="Times New Roman"/>
                <w:b/>
                <w:sz w:val="22"/>
                <w:szCs w:val="22"/>
                <w:highlight w:val="none"/>
                <w:lang w:val="en-US" w:eastAsia="zh-CN"/>
              </w:rPr>
              <w:t>3</w:t>
            </w:r>
            <w:r>
              <w:rPr>
                <w:rFonts w:hint="eastAsia" w:ascii="宋体" w:hAnsi="Times New Roman" w:eastAsia="宋体" w:cs="Times New Roman"/>
                <w:b/>
                <w:sz w:val="22"/>
                <w:szCs w:val="22"/>
                <w:highlight w:val="none"/>
              </w:rPr>
              <w:t>0%＋商务标得分×</w:t>
            </w:r>
            <w:r>
              <w:rPr>
                <w:rFonts w:hint="eastAsia" w:ascii="宋体" w:cs="Times New Roman"/>
                <w:b/>
                <w:sz w:val="22"/>
                <w:szCs w:val="22"/>
                <w:highlight w:val="none"/>
                <w:lang w:val="en-US" w:eastAsia="zh-CN"/>
              </w:rPr>
              <w:t>7</w:t>
            </w:r>
            <w:r>
              <w:rPr>
                <w:rFonts w:hint="eastAsia" w:ascii="宋体" w:hAnsi="Times New Roman" w:eastAsia="宋体" w:cs="Times New Roman"/>
                <w:b/>
                <w:sz w:val="22"/>
                <w:szCs w:val="22"/>
                <w:highlight w:val="none"/>
              </w:rPr>
              <w:t>0%</w:t>
            </w:r>
          </w:p>
        </w:tc>
      </w:tr>
    </w:tbl>
    <w:p>
      <w:pPr>
        <w:rPr>
          <w:rFonts w:ascii="宋体" w:hAnsi="宋体" w:eastAsia="宋体" w:cs="Times New Roman"/>
          <w:b/>
          <w:bCs/>
          <w:sz w:val="24"/>
          <w:highlight w:val="none"/>
        </w:rPr>
      </w:pPr>
    </w:p>
    <w:p>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pPr>
        <w:pStyle w:val="2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6"/>
                    <a:stretch>
                      <a:fillRect/>
                    </a:stretch>
                  </pic:blipFill>
                  <pic:spPr>
                    <a:xfrm>
                      <a:off x="0" y="0"/>
                      <a:ext cx="5758815" cy="27647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7" cstate="print"/>
                    <a:srcRect/>
                    <a:stretch>
                      <a:fillRect/>
                    </a:stretch>
                  </pic:blipFill>
                  <pic:spPr>
                    <a:xfrm>
                      <a:off x="0" y="0"/>
                      <a:ext cx="5760085" cy="2933065"/>
                    </a:xfrm>
                    <a:prstGeom prst="rect">
                      <a:avLst/>
                    </a:prstGeom>
                  </pic:spPr>
                </pic:pic>
              </a:graphicData>
            </a:graphic>
          </wp:inline>
        </w:drawing>
      </w:r>
    </w:p>
    <w:p>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pPr>
        <w:spacing w:line="360" w:lineRule="auto"/>
        <w:rPr>
          <w:rFonts w:ascii="宋体" w:hAnsi="宋体" w:eastAsia="宋体" w:cs="宋体"/>
          <w:sz w:val="24"/>
          <w:szCs w:val="28"/>
        </w:rPr>
      </w:pPr>
    </w:p>
    <w:p>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8"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9"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30" cstate="print"/>
                    <a:srcRect/>
                    <a:stretch>
                      <a:fillRect/>
                    </a:stretch>
                  </pic:blipFill>
                  <pic:spPr>
                    <a:xfrm>
                      <a:off x="0" y="0"/>
                      <a:ext cx="5760085" cy="2853055"/>
                    </a:xfrm>
                    <a:prstGeom prst="rect">
                      <a:avLst/>
                    </a:prstGeom>
                  </pic:spPr>
                </pic:pic>
              </a:graphicData>
            </a:graphic>
          </wp:inline>
        </w:drawing>
      </w:r>
    </w:p>
    <w:p>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1"/>
                    <a:stretch>
                      <a:fillRect/>
                    </a:stretch>
                  </pic:blipFill>
                  <pic:spPr>
                    <a:xfrm>
                      <a:off x="0" y="0"/>
                      <a:ext cx="5758180" cy="3058795"/>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32" cstate="print"/>
                    <a:srcRect/>
                    <a:stretch>
                      <a:fillRect/>
                    </a:stretch>
                  </pic:blipFill>
                  <pic:spPr>
                    <a:xfrm>
                      <a:off x="0" y="0"/>
                      <a:ext cx="5760085" cy="2809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工艺设备 / 工艺设备</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工艺研究院</w:t>
      </w:r>
      <w:r>
        <w:rPr>
          <w:rFonts w:hint="eastAsia" w:ascii="宋体" w:hAnsi="宋体" w:eastAsia="宋体" w:cs="宋体"/>
          <w:b/>
          <w:bCs/>
          <w:color w:val="000000"/>
          <w:sz w:val="24"/>
          <w:szCs w:val="28"/>
          <w:highlight w:val="none"/>
        </w:rPr>
        <w:t>”。</w:t>
      </w:r>
    </w:p>
    <w:p>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pPr>
        <w:outlineLvl w:val="9"/>
        <w:rPr>
          <w:rFonts w:hint="default"/>
          <w:lang w:val="en-US" w:eastAsia="zh-CN"/>
        </w:rPr>
        <w:sectPr>
          <w:headerReference r:id="rId16" w:type="first"/>
          <w:footerReference r:id="rId18" w:type="first"/>
          <w:headerReference r:id="rId15" w:type="default"/>
          <w:footerReference r:id="rId17"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3"/>
                    <a:stretch>
                      <a:fillRect/>
                    </a:stretch>
                  </pic:blipFill>
                  <pic:spPr>
                    <a:xfrm>
                      <a:off x="0" y="0"/>
                      <a:ext cx="5486400" cy="2661285"/>
                    </a:xfrm>
                    <a:prstGeom prst="rect">
                      <a:avLst/>
                    </a:prstGeom>
                    <a:noFill/>
                    <a:ln>
                      <a:noFill/>
                    </a:ln>
                  </pic:spPr>
                </pic:pic>
              </a:graphicData>
            </a:graphic>
          </wp:inline>
        </w:drawing>
      </w:r>
    </w:p>
    <w:p>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4" cstate="print"/>
                    <a:srcRect/>
                    <a:stretch>
                      <a:fillRect/>
                    </a:stretch>
                  </pic:blipFill>
                  <pic:spPr>
                    <a:xfrm>
                      <a:off x="0" y="0"/>
                      <a:ext cx="5760085" cy="2269490"/>
                    </a:xfrm>
                    <a:prstGeom prst="rect">
                      <a:avLst/>
                    </a:prstGeom>
                  </pic:spPr>
                </pic:pic>
              </a:graphicData>
            </a:graphic>
          </wp:inline>
        </w:drawing>
      </w:r>
    </w:p>
    <w:p>
      <w:pPr>
        <w:pStyle w:val="24"/>
      </w:pPr>
    </w:p>
    <w:p>
      <w:pPr>
        <w:pStyle w:val="24"/>
      </w:pPr>
      <w:r>
        <w:rPr>
          <w:rFonts w:hint="eastAsia" w:cs="Times New Roman"/>
          <w:b/>
          <w:bCs/>
          <w:highlight w:val="none"/>
          <w:lang w:val="en-US" w:eastAsia="zh-CN"/>
        </w:rPr>
        <w:t>2、应标页面否为代理商请如实选择，若为代理商应标，请在应标后联系商务联系人</w:t>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5" cstate="print"/>
                    <a:srcRect/>
                    <a:stretch>
                      <a:fillRect/>
                    </a:stretch>
                  </pic:blipFill>
                  <pic:spPr>
                    <a:xfrm>
                      <a:off x="0" y="0"/>
                      <a:ext cx="5760085" cy="2125345"/>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6" cstate="print"/>
                    <a:srcRect/>
                    <a:stretch>
                      <a:fillRect/>
                    </a:stretch>
                  </pic:blipFill>
                  <pic:spPr>
                    <a:xfrm>
                      <a:off x="0" y="0"/>
                      <a:ext cx="5490210" cy="266890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7" cstate="print"/>
                    <a:srcRect/>
                    <a:stretch>
                      <a:fillRect/>
                    </a:stretch>
                  </pic:blipFill>
                  <pic:spPr>
                    <a:xfrm>
                      <a:off x="0" y="0"/>
                      <a:ext cx="5490210" cy="199262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8" cstate="print"/>
                    <a:srcRect/>
                    <a:stretch>
                      <a:fillRect/>
                    </a:stretch>
                  </pic:blipFill>
                  <pic:spPr>
                    <a:xfrm>
                      <a:off x="0" y="0"/>
                      <a:ext cx="5490210" cy="254444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9" cstate="print"/>
                    <a:srcRect/>
                    <a:stretch>
                      <a:fillRect/>
                    </a:stretch>
                  </pic:blipFill>
                  <pic:spPr>
                    <a:xfrm>
                      <a:off x="0" y="0"/>
                      <a:ext cx="5760085" cy="1956435"/>
                    </a:xfrm>
                    <a:prstGeom prst="rect">
                      <a:avLst/>
                    </a:prstGeom>
                  </pic:spPr>
                </pic:pic>
              </a:graphicData>
            </a:graphic>
          </wp:inline>
        </w:drawing>
      </w:r>
    </w:p>
    <w:p>
      <w:pPr>
        <w:pStyle w:val="24"/>
        <w:rPr>
          <w:rFonts w:hAnsi="宋体" w:eastAsia="宋体" w:cs="Times New Roman"/>
          <w:b/>
          <w:color w:val="000000"/>
          <w:sz w:val="24"/>
          <w:szCs w:val="24"/>
        </w:rPr>
      </w:pPr>
    </w:p>
    <w:p>
      <w:pPr>
        <w:pStyle w:val="24"/>
        <w:rPr>
          <w:rFonts w:hAnsi="宋体" w:eastAsia="宋体" w:cs="Times New Roman"/>
          <w:b/>
          <w:color w:val="000000"/>
          <w:sz w:val="24"/>
          <w:szCs w:val="24"/>
        </w:rPr>
      </w:pPr>
    </w:p>
    <w:p>
      <w:pPr>
        <w:rPr>
          <w:rFonts w:hint="default" w:ascii="宋体" w:hAnsi="宋体" w:eastAsia="宋体" w:cs="宋体"/>
          <w:sz w:val="24"/>
          <w:szCs w:val="24"/>
          <w:lang w:val="en-US"/>
        </w:rPr>
      </w:pPr>
    </w:p>
    <w:p>
      <w:pPr>
        <w:pStyle w:val="223"/>
        <w:ind w:left="0" w:leftChars="0" w:right="960" w:firstLine="0" w:firstLineChars="0"/>
        <w:jc w:val="both"/>
        <w:rPr>
          <w:rFonts w:hint="eastAsia" w:asciiTheme="minorEastAsia" w:hAnsiTheme="minorEastAsia" w:eastAsiaTheme="minorEastAsia" w:cstheme="minorEastAsia"/>
        </w:rPr>
      </w:pPr>
    </w:p>
    <w:sectPr>
      <w:headerReference r:id="rId19" w:type="default"/>
      <w:footerReference r:id="rId20"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Tms Rmn">
    <w:altName w:val="Segoe Print"/>
    <w:panose1 w:val="02020603040505020304"/>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xAItAgAAWA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xvk0KtRaP0PgvUVo6N6ZDn0znHscRuJd5VT8ghKBH/oeL/qKLhAeL00n02kOF4dv2AA/&#10;e7xunQ/vhVEkGgV1KGDSlR02PvShQ0jMps26kTIVUWrSgsXrN3m6cPEAXGrkiCT6x0YrdNvuzGxr&#10;yiOIOdM3h7d83SD5hvlwxxy6AQ/GvIRbLJU0SGLOFiW1cV//dR7jUSR4KWnRXQXVGCZK5AeN4gEw&#10;DIYbjO1g6L26MWjXMebQ8mTiggtyMCtn1BcM0TLmgItpjkwFDYN5E/oOxxBysVymILSbZWGj7y2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SxAI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Ik7QtAgAAWA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OIk7Q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wJ8tctAgAAVw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p>
    <w:pPr>
      <w:pStyle w:val="3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B3AF5"/>
    <w:multiLevelType w:val="singleLevel"/>
    <w:tmpl w:val="891B3AF5"/>
    <w:lvl w:ilvl="0" w:tentative="0">
      <w:start w:val="1"/>
      <w:numFmt w:val="decimal"/>
      <w:lvlText w:val="%1."/>
      <w:lvlJc w:val="left"/>
      <w:pPr>
        <w:tabs>
          <w:tab w:val="left" w:pos="312"/>
        </w:tabs>
      </w:p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AF0723E"/>
    <w:multiLevelType w:val="singleLevel"/>
    <w:tmpl w:val="4AF0723E"/>
    <w:lvl w:ilvl="0" w:tentative="0">
      <w:start w:val="2"/>
      <w:numFmt w:val="chineseCounting"/>
      <w:suff w:val="nothing"/>
      <w:lvlText w:val="%1、"/>
      <w:lvlJc w:val="left"/>
      <w:rPr>
        <w:rFonts w:hint="eastAsia"/>
      </w:rPr>
    </w:lvl>
  </w:abstractNum>
  <w:abstractNum w:abstractNumId="8">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8"/>
  </w:num>
  <w:num w:numId="2">
    <w:abstractNumId w:val="4"/>
  </w:num>
  <w:num w:numId="3">
    <w:abstractNumId w:val="9"/>
  </w:num>
  <w:num w:numId="4">
    <w:abstractNumId w:val="1"/>
  </w:num>
  <w:num w:numId="5">
    <w:abstractNumId w:val="11"/>
  </w:num>
  <w:num w:numId="6">
    <w:abstractNumId w:val="6"/>
  </w:num>
  <w:num w:numId="7">
    <w:abstractNumId w:val="5"/>
  </w:num>
  <w:num w:numId="8">
    <w:abstractNumId w:val="10"/>
  </w:num>
  <w:num w:numId="9">
    <w:abstractNumId w:val="0"/>
  </w:num>
  <w:num w:numId="10">
    <w:abstractNumId w:val="3"/>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1F52FF1"/>
    <w:rsid w:val="0271589A"/>
    <w:rsid w:val="02E74D14"/>
    <w:rsid w:val="02FC5AB3"/>
    <w:rsid w:val="035E6B0B"/>
    <w:rsid w:val="04B15209"/>
    <w:rsid w:val="04D70225"/>
    <w:rsid w:val="05160EF2"/>
    <w:rsid w:val="0AD876A7"/>
    <w:rsid w:val="0BEB0202"/>
    <w:rsid w:val="0C22513B"/>
    <w:rsid w:val="0D326CC2"/>
    <w:rsid w:val="0E3B77DA"/>
    <w:rsid w:val="0EA03360"/>
    <w:rsid w:val="0F5B6CC7"/>
    <w:rsid w:val="1378147A"/>
    <w:rsid w:val="14CD4184"/>
    <w:rsid w:val="1868332D"/>
    <w:rsid w:val="18E23979"/>
    <w:rsid w:val="19355040"/>
    <w:rsid w:val="1DA82577"/>
    <w:rsid w:val="1E1170AC"/>
    <w:rsid w:val="1FB6553C"/>
    <w:rsid w:val="2273785F"/>
    <w:rsid w:val="22A44CDF"/>
    <w:rsid w:val="23C056A6"/>
    <w:rsid w:val="26E47A81"/>
    <w:rsid w:val="29C928E7"/>
    <w:rsid w:val="2A7C02EC"/>
    <w:rsid w:val="2A8F7CD5"/>
    <w:rsid w:val="2B3F4DD2"/>
    <w:rsid w:val="2B477C1E"/>
    <w:rsid w:val="2B9654FA"/>
    <w:rsid w:val="2D8F6E8D"/>
    <w:rsid w:val="2DB54478"/>
    <w:rsid w:val="2E7345D1"/>
    <w:rsid w:val="2E876652"/>
    <w:rsid w:val="353F5A8C"/>
    <w:rsid w:val="36DE1355"/>
    <w:rsid w:val="36E22E88"/>
    <w:rsid w:val="374E6C06"/>
    <w:rsid w:val="393D26BB"/>
    <w:rsid w:val="3A5B7C10"/>
    <w:rsid w:val="3D9C2881"/>
    <w:rsid w:val="3E516500"/>
    <w:rsid w:val="3F801B0E"/>
    <w:rsid w:val="4073010F"/>
    <w:rsid w:val="413C1020"/>
    <w:rsid w:val="41A55A6F"/>
    <w:rsid w:val="429D2840"/>
    <w:rsid w:val="44EF290E"/>
    <w:rsid w:val="48A82A9E"/>
    <w:rsid w:val="48EE2DDA"/>
    <w:rsid w:val="4A082E0A"/>
    <w:rsid w:val="4AC268B8"/>
    <w:rsid w:val="4CC51E60"/>
    <w:rsid w:val="4CD949FD"/>
    <w:rsid w:val="4F4A4FC8"/>
    <w:rsid w:val="508341B3"/>
    <w:rsid w:val="50D63321"/>
    <w:rsid w:val="51654692"/>
    <w:rsid w:val="52AB7D96"/>
    <w:rsid w:val="54D7260C"/>
    <w:rsid w:val="55176E8F"/>
    <w:rsid w:val="55B17EA6"/>
    <w:rsid w:val="57E02431"/>
    <w:rsid w:val="58055C15"/>
    <w:rsid w:val="58AE4B70"/>
    <w:rsid w:val="5A842C2A"/>
    <w:rsid w:val="5F377063"/>
    <w:rsid w:val="5FF411EE"/>
    <w:rsid w:val="62E50A5D"/>
    <w:rsid w:val="62EC1B86"/>
    <w:rsid w:val="62EE51EA"/>
    <w:rsid w:val="6314418E"/>
    <w:rsid w:val="633A3E82"/>
    <w:rsid w:val="643D185D"/>
    <w:rsid w:val="65E3187B"/>
    <w:rsid w:val="673F2C72"/>
    <w:rsid w:val="68C06BDA"/>
    <w:rsid w:val="69F8009E"/>
    <w:rsid w:val="6AB76068"/>
    <w:rsid w:val="6C9132F0"/>
    <w:rsid w:val="6D364707"/>
    <w:rsid w:val="6D5B701C"/>
    <w:rsid w:val="6D5E04BB"/>
    <w:rsid w:val="6E423C99"/>
    <w:rsid w:val="6EA13A8A"/>
    <w:rsid w:val="72276117"/>
    <w:rsid w:val="734D2DC8"/>
    <w:rsid w:val="736A2597"/>
    <w:rsid w:val="73751498"/>
    <w:rsid w:val="73E6120B"/>
    <w:rsid w:val="74995770"/>
    <w:rsid w:val="74D472B5"/>
    <w:rsid w:val="75CD3E17"/>
    <w:rsid w:val="7771624F"/>
    <w:rsid w:val="790C526F"/>
    <w:rsid w:val="7A8F4EBB"/>
    <w:rsid w:val="7B5D73F5"/>
    <w:rsid w:val="7B7D68D6"/>
    <w:rsid w:val="7B802C44"/>
    <w:rsid w:val="7EBF0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qFormat/>
    <w:uiPriority w:val="0"/>
    <w:pPr>
      <w:keepNext/>
      <w:keepLines/>
      <w:spacing w:before="340" w:after="330" w:line="576" w:lineRule="auto"/>
      <w:outlineLvl w:val="0"/>
    </w:pPr>
    <w:rPr>
      <w:b/>
      <w:kern w:val="44"/>
      <w:sz w:val="44"/>
      <w:lang w:val="zh-CN"/>
    </w:rPr>
  </w:style>
  <w:style w:type="paragraph" w:styleId="2">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link w:val="77"/>
    <w:qFormat/>
    <w:uiPriority w:val="99"/>
    <w:rPr>
      <w:sz w:val="24"/>
    </w:rPr>
  </w:style>
  <w:style w:type="paragraph" w:styleId="20">
    <w:name w:val="Body Text Indent"/>
    <w:basedOn w:val="1"/>
    <w:link w:val="110"/>
    <w:qFormat/>
    <w:uiPriority w:val="0"/>
    <w:pPr>
      <w:ind w:firstLine="360"/>
    </w:pPr>
    <w:rPr>
      <w:kern w:val="0"/>
      <w:sz w:val="28"/>
      <w:szCs w:val="24"/>
    </w:rPr>
  </w:style>
  <w:style w:type="paragraph" w:styleId="21">
    <w:name w:val="Block Text"/>
    <w:basedOn w:val="1"/>
    <w:qFormat/>
    <w:uiPriority w:val="0"/>
    <w:pPr>
      <w:ind w:left="-540" w:right="-1054"/>
    </w:pPr>
    <w:rPr>
      <w:sz w:val="28"/>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88"/>
    <w:qFormat/>
    <w:uiPriority w:val="99"/>
    <w:pPr>
      <w:overflowPunct w:val="0"/>
      <w:spacing w:line="360" w:lineRule="auto"/>
    </w:pPr>
    <w:rPr>
      <w:rFonts w:ascii="宋体" w:hAnsi="Courier New" w:eastAsia="仿宋_GB2312"/>
      <w:sz w:val="24"/>
      <w:lang w:val="zh-CN"/>
    </w:r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7"/>
    <w:next w:val="17"/>
    <w:link w:val="120"/>
    <w:qFormat/>
    <w:uiPriority w:val="0"/>
    <w:pPr>
      <w:adjustRightInd/>
      <w:spacing w:line="240" w:lineRule="auto"/>
      <w:textAlignment w:val="auto"/>
    </w:pPr>
  </w:style>
  <w:style w:type="paragraph" w:styleId="46">
    <w:name w:val="Body Text First Indent"/>
    <w:basedOn w:val="19"/>
    <w:link w:val="121"/>
    <w:qFormat/>
    <w:uiPriority w:val="0"/>
    <w:pPr>
      <w:spacing w:after="120"/>
      <w:ind w:firstLine="420" w:firstLineChars="100"/>
    </w:pPr>
    <w:rPr>
      <w:rFonts w:ascii="宋体" w:hAnsi="宋体"/>
      <w:color w:val="000000"/>
      <w:lang w:val="zh-CN"/>
    </w:rPr>
  </w:style>
  <w:style w:type="paragraph" w:styleId="47">
    <w:name w:val="Body Text First Indent 2"/>
    <w:basedOn w:val="20"/>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2"/>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4"/>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0"/>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2"/>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2"/>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4"/>
    <w:qFormat/>
    <w:uiPriority w:val="2"/>
    <w:pPr>
      <w:numPr>
        <w:ilvl w:val="0"/>
        <w:numId w:val="1"/>
      </w:numPr>
      <w:spacing w:line="360" w:lineRule="auto"/>
      <w:outlineLvl w:val="2"/>
    </w:pPr>
    <w:rPr>
      <w:b/>
    </w:rPr>
  </w:style>
  <w:style w:type="paragraph" w:customStyle="1" w:styleId="229">
    <w:name w:val="标书正文格式"/>
    <w:basedOn w:val="24"/>
    <w:qFormat/>
    <w:uiPriority w:val="0"/>
    <w:pPr>
      <w:spacing w:line="360" w:lineRule="auto"/>
      <w:ind w:firstLine="200" w:firstLineChars="200"/>
    </w:pPr>
    <w:rPr>
      <w:rFonts w:hAnsi="宋体"/>
      <w:color w:val="000000"/>
      <w:sz w:val="24"/>
      <w:szCs w:val="24"/>
    </w:rPr>
  </w:style>
  <w:style w:type="paragraph" w:customStyle="1" w:styleId="230">
    <w:name w:val="（4）级标题"/>
    <w:basedOn w:val="24"/>
    <w:qFormat/>
    <w:uiPriority w:val="8"/>
    <w:pPr>
      <w:numPr>
        <w:ilvl w:val="0"/>
        <w:numId w:val="2"/>
      </w:numPr>
      <w:spacing w:line="360" w:lineRule="auto"/>
      <w:outlineLvl w:val="4"/>
    </w:pPr>
  </w:style>
  <w:style w:type="paragraph" w:customStyle="1" w:styleId="231">
    <w:name w:val="Table Paragraph"/>
    <w:basedOn w:val="1"/>
    <w:qFormat/>
    <w:uiPriority w:val="1"/>
    <w:rPr>
      <w:rFonts w:ascii="宋体" w:hAnsi="宋体" w:eastAsia="宋体" w:cs="宋体"/>
    </w:rPr>
  </w:style>
  <w:style w:type="table" w:customStyle="1" w:styleId="232">
    <w:name w:val="Table Normal"/>
    <w:qFormat/>
    <w:uiPriority w:val="0"/>
    <w:tblPr>
      <w:tblCellMar>
        <w:top w:w="0" w:type="dxa"/>
        <w:left w:w="0" w:type="dxa"/>
        <w:bottom w:w="0" w:type="dxa"/>
        <w:right w:w="0" w:type="dxa"/>
      </w:tblCellMar>
    </w:tblPr>
  </w:style>
  <w:style w:type="paragraph" w:customStyle="1" w:styleId="233">
    <w:name w:val="HR正文表格"/>
    <w:basedOn w:val="1"/>
    <w:qFormat/>
    <w:uiPriority w:val="0"/>
    <w:pPr>
      <w:spacing w:beforeLines="25" w:afterLines="25" w:line="300" w:lineRule="auto"/>
    </w:pPr>
    <w:rPr>
      <w:szCs w:val="24"/>
    </w:rPr>
  </w:style>
  <w:style w:type="paragraph" w:customStyle="1" w:styleId="234">
    <w:name w:val="一级标题"/>
    <w:basedOn w:val="24"/>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4"/>
    <w:qFormat/>
    <w:uiPriority w:val="9"/>
    <w:pPr>
      <w:spacing w:line="360" w:lineRule="auto"/>
      <w:jc w:val="left"/>
    </w:pPr>
  </w:style>
  <w:style w:type="paragraph" w:customStyle="1" w:styleId="236">
    <w:name w:val="标书二级标题"/>
    <w:basedOn w:val="2"/>
    <w:qFormat/>
    <w:uiPriority w:val="0"/>
    <w:pPr>
      <w:spacing w:line="240" w:lineRule="auto"/>
      <w:jc w:val="left"/>
    </w:pPr>
    <w:rPr>
      <w:rFonts w:ascii="宋体" w:hAnsi="宋体" w:eastAsia="黑体"/>
      <w:b w:val="0"/>
      <w:sz w:val="28"/>
      <w:szCs w:val="30"/>
    </w:rPr>
  </w:style>
  <w:style w:type="paragraph" w:customStyle="1" w:styleId="237">
    <w:name w:val="标书三级标题"/>
    <w:basedOn w:val="4"/>
    <w:next w:val="229"/>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238">
    <w:name w:val="标书一级标题"/>
    <w:basedOn w:val="3"/>
    <w:qFormat/>
    <w:uiPriority w:val="0"/>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jpe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56</Pages>
  <Words>20473</Words>
  <Characters>21985</Characters>
  <Lines>52</Lines>
  <Paragraphs>14</Paragraphs>
  <TotalTime>3</TotalTime>
  <ScaleCrop>false</ScaleCrop>
  <LinksUpToDate>false</LinksUpToDate>
  <CharactersWithSpaces>22772</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李帅</cp:lastModifiedBy>
  <cp:lastPrinted>2020-01-08T06:44:00Z</cp:lastPrinted>
  <dcterms:modified xsi:type="dcterms:W3CDTF">2026-03-17T03:28:43Z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eyJoZGlkIjoiZTZkNDE3ZGE4Mjk4YmFlZDAwMWNlODJlYzdjMzk3YmQiLCJ1c2VySWQiOiI1MDMyNjc5ODcifQ==</vt:lpwstr>
  </property>
</Properties>
</file>