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1C507B11">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rPr>
      </w:pPr>
      <w:bookmarkStart w:id="0" w:name="_Toc15310"/>
      <w:bookmarkStart w:id="1" w:name="_Toc10987"/>
    </w:p>
    <w:p w14:paraId="314AB9FC">
      <w:pPr>
        <w:pStyle w:val="24"/>
        <w:rPr>
          <w:rFonts w:hint="eastAsia"/>
        </w:rPr>
      </w:pPr>
    </w:p>
    <w:p w14:paraId="009EA4D6">
      <w:pPr>
        <w:autoSpaceDE w:val="0"/>
        <w:autoSpaceDN w:val="0"/>
        <w:adjustRightInd w:val="0"/>
        <w:snapToGrid w:val="0"/>
        <w:spacing w:line="360" w:lineRule="auto"/>
        <w:ind w:firstLine="256" w:firstLineChars="49"/>
        <w:jc w:val="center"/>
        <w:rPr>
          <w:rFonts w:hint="default" w:asciiTheme="minorEastAsia" w:hAnsiTheme="minorEastAsia" w:eastAsiaTheme="minorEastAsia" w:cstheme="minorEastAsia"/>
          <w:b/>
          <w:sz w:val="52"/>
          <w:szCs w:val="52"/>
          <w:highlight w:val="yellow"/>
          <w:lang w:val="en-US"/>
        </w:rPr>
      </w:pPr>
      <w:r>
        <w:rPr>
          <w:rFonts w:hint="eastAsia" w:asciiTheme="minorEastAsia" w:hAnsiTheme="minorEastAsia" w:eastAsiaTheme="minorEastAsia" w:cstheme="minorEastAsia"/>
          <w:b/>
          <w:sz w:val="52"/>
          <w:szCs w:val="52"/>
          <w:lang w:val="en-US" w:eastAsia="zh-CN"/>
        </w:rPr>
        <w:t>中国重汽集团济南成型厂6300T、3150T热模锻生产线搬迁复产项目-新增石墨废水预处理站</w:t>
      </w:r>
    </w:p>
    <w:p w14:paraId="1511E7B3">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14:paraId="2DE21900">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14:paraId="6CB511C3">
      <w:pPr>
        <w:autoSpaceDE w:val="0"/>
        <w:autoSpaceDN w:val="0"/>
        <w:adjustRightInd w:val="0"/>
        <w:snapToGrid w:val="0"/>
        <w:spacing w:line="360" w:lineRule="auto"/>
        <w:ind w:firstLine="354" w:firstLineChars="49"/>
        <w:jc w:val="center"/>
        <w:rPr>
          <w:rFonts w:hint="eastAsia" w:asciiTheme="minorEastAsia" w:hAnsiTheme="minorEastAsia" w:eastAsiaTheme="minorEastAsia" w:cstheme="minorEastAsia"/>
          <w:b/>
          <w:w w:val="99"/>
          <w:sz w:val="30"/>
          <w:szCs w:val="30"/>
        </w:rPr>
      </w:pPr>
      <w:r>
        <w:rPr>
          <w:rFonts w:hint="eastAsia" w:asciiTheme="minorEastAsia" w:hAnsiTheme="minorEastAsia" w:eastAsiaTheme="minorEastAsia" w:cstheme="minorEastAsia"/>
          <w:b/>
          <w:sz w:val="72"/>
          <w:szCs w:val="72"/>
        </w:rPr>
        <w:t>招　标　文　件</w:t>
      </w:r>
      <w:r>
        <w:rPr>
          <w:rFonts w:hint="eastAsia" w:asciiTheme="minorEastAsia" w:hAnsiTheme="minorEastAsia" w:eastAsiaTheme="minorEastAsia" w:cstheme="minorEastAsia"/>
          <w:b/>
          <w:spacing w:val="-20"/>
          <w:sz w:val="28"/>
          <w:szCs w:val="28"/>
        </w:rPr>
        <w:t xml:space="preserve">                                       </w:t>
      </w:r>
    </w:p>
    <w:p w14:paraId="212D1AF2">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77C84754">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39E42F38">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2A0CDB6">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2B28BDA">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E6047A0">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4EB620A8">
      <w:pPr>
        <w:tabs>
          <w:tab w:val="left" w:pos="3885"/>
          <w:tab w:val="left" w:pos="6219"/>
        </w:tabs>
        <w:autoSpaceDE w:val="0"/>
        <w:autoSpaceDN w:val="0"/>
        <w:adjustRightInd w:val="0"/>
        <w:snapToGrid w:val="0"/>
        <w:spacing w:line="360" w:lineRule="auto"/>
        <w:ind w:firstLine="292" w:firstLineChars="98"/>
        <w:jc w:val="center"/>
        <w:rPr>
          <w:rFonts w:hint="default" w:asciiTheme="minorEastAsia" w:hAnsiTheme="minorEastAsia" w:eastAsiaTheme="minorEastAsia" w:cstheme="minorEastAsia"/>
          <w:b/>
          <w:sz w:val="30"/>
          <w:szCs w:val="30"/>
          <w:u w:val="single"/>
          <w:lang w:val="en-US" w:eastAsia="zh-CN"/>
        </w:rPr>
      </w:pPr>
      <w:r>
        <w:rPr>
          <w:rFonts w:hint="eastAsia" w:asciiTheme="minorEastAsia" w:hAnsiTheme="minorEastAsia" w:eastAsiaTheme="minorEastAsia" w:cstheme="minorEastAsia"/>
          <w:b/>
          <w:w w:val="99"/>
          <w:sz w:val="30"/>
          <w:szCs w:val="30"/>
        </w:rPr>
        <w:t>招   标  人：</w:t>
      </w:r>
      <w:r>
        <w:rPr>
          <w:rFonts w:hint="eastAsia" w:asciiTheme="minorEastAsia" w:hAnsiTheme="minorEastAsia" w:eastAsiaTheme="minorEastAsia" w:cstheme="minorEastAsia"/>
          <w:b/>
          <w:w w:val="99"/>
          <w:sz w:val="30"/>
          <w:szCs w:val="30"/>
          <w:lang w:val="en-US" w:eastAsia="zh-CN"/>
        </w:rPr>
        <w:t>中国重汽集团济南动力有限公司</w:t>
      </w:r>
    </w:p>
    <w:p w14:paraId="35DC8281">
      <w:pPr>
        <w:pStyle w:val="32"/>
        <w:tabs>
          <w:tab w:val="left" w:pos="900"/>
          <w:tab w:val="right" w:leader="dot" w:pos="9100"/>
        </w:tabs>
        <w:spacing w:line="360" w:lineRule="auto"/>
        <w:ind w:firstLine="600"/>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lang w:val="en-US" w:eastAsia="zh-CN"/>
        </w:rPr>
        <w:t>2025</w:t>
      </w:r>
      <w:r>
        <w:rPr>
          <w:rFonts w:hint="eastAsia" w:asciiTheme="minorEastAsia" w:hAnsiTheme="minorEastAsia" w:eastAsiaTheme="minorEastAsia" w:cstheme="minorEastAsia"/>
          <w:sz w:val="30"/>
          <w:szCs w:val="30"/>
        </w:rPr>
        <w:t>年</w:t>
      </w:r>
      <w:r>
        <w:rPr>
          <w:rFonts w:hint="eastAsia" w:asciiTheme="minorEastAsia" w:hAnsiTheme="minorEastAsia" w:eastAsiaTheme="minorEastAsia" w:cstheme="minorEastAsia"/>
          <w:sz w:val="30"/>
          <w:szCs w:val="30"/>
          <w:lang w:val="en-US" w:eastAsia="zh-CN"/>
        </w:rPr>
        <w:t>12</w:t>
      </w:r>
      <w:r>
        <w:rPr>
          <w:rFonts w:hint="eastAsia" w:asciiTheme="minorEastAsia" w:hAnsiTheme="minorEastAsia" w:eastAsiaTheme="minorEastAsia" w:cstheme="minorEastAsia"/>
          <w:sz w:val="30"/>
          <w:szCs w:val="30"/>
        </w:rPr>
        <w:t>月</w:t>
      </w:r>
    </w:p>
    <w:p w14:paraId="16E34025">
      <w:pPr>
        <w:ind w:firstLine="420"/>
        <w:rPr>
          <w:rFonts w:hint="eastAsia" w:asciiTheme="minorEastAsia" w:hAnsiTheme="minorEastAsia" w:eastAsiaTheme="minorEastAsia" w:cstheme="minorEastAsia"/>
        </w:rPr>
      </w:pPr>
    </w:p>
    <w:p w14:paraId="2B32D2B8">
      <w:pPr>
        <w:ind w:firstLine="420"/>
        <w:rPr>
          <w:rFonts w:hint="eastAsia" w:asciiTheme="minorEastAsia" w:hAnsiTheme="minorEastAsia" w:eastAsiaTheme="minorEastAsia" w:cstheme="minorEastAsia"/>
        </w:rPr>
      </w:pPr>
    </w:p>
    <w:bookmarkEnd w:id="0"/>
    <w:bookmarkEnd w:id="1"/>
    <w:p w14:paraId="029D6304">
      <w:pPr>
        <w:widowControl/>
        <w:ind w:firstLine="420"/>
        <w:jc w:val="left"/>
        <w:rPr>
          <w:rFonts w:hint="eastAsia" w:asciiTheme="minorEastAsia" w:hAnsiTheme="minorEastAsia" w:eastAsiaTheme="minorEastAsia" w:cstheme="minorEastAsia"/>
          <w:b/>
          <w:kern w:val="0"/>
          <w:sz w:val="32"/>
          <w:szCs w:val="32"/>
          <w:lang w:val="zh-CN"/>
        </w:rPr>
      </w:pPr>
      <w:bookmarkStart w:id="2" w:name="_Toc23462"/>
      <w:bookmarkStart w:id="3" w:name="_Toc131406235"/>
      <w:bookmarkStart w:id="4" w:name="_Toc16518"/>
      <w:r>
        <w:rPr>
          <w:rFonts w:hint="eastAsia" w:asciiTheme="minorEastAsia" w:hAnsiTheme="minorEastAsia" w:eastAsiaTheme="minorEastAsia" w:cstheme="minorEastAsia"/>
          <w:szCs w:val="32"/>
        </w:rPr>
        <w:br w:type="page"/>
      </w:r>
    </w:p>
    <w:p w14:paraId="16B17986">
      <w:pPr>
        <w:pStyle w:val="2"/>
        <w:snapToGrid w:val="0"/>
        <w:spacing w:before="0" w:after="0" w:line="360" w:lineRule="auto"/>
        <w:ind w:firstLine="64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szCs w:val="32"/>
        </w:rPr>
        <w:t>招标公告</w:t>
      </w:r>
      <w:bookmarkEnd w:id="2"/>
      <w:bookmarkEnd w:id="3"/>
      <w:bookmarkEnd w:id="4"/>
    </w:p>
    <w:p w14:paraId="04B3D246">
      <w:pPr>
        <w:widowControl/>
        <w:snapToGrid w:val="0"/>
        <w:spacing w:line="360" w:lineRule="auto"/>
        <w:jc w:val="left"/>
        <w:rPr>
          <w:rFonts w:hint="eastAsia" w:asciiTheme="minorEastAsia" w:hAnsiTheme="minorEastAsia" w:eastAsiaTheme="minorEastAsia" w:cstheme="minorEastAsia"/>
          <w:b/>
          <w:kern w:val="0"/>
          <w:sz w:val="24"/>
          <w:szCs w:val="24"/>
          <w:lang w:bidi="en-US"/>
        </w:rPr>
      </w:pPr>
      <w:r>
        <w:rPr>
          <w:rFonts w:hint="eastAsia" w:asciiTheme="minorEastAsia" w:hAnsiTheme="minorEastAsia" w:eastAsiaTheme="minorEastAsia" w:cstheme="minorEastAsia"/>
          <w:b/>
          <w:kern w:val="0"/>
          <w:sz w:val="24"/>
          <w:szCs w:val="24"/>
          <w:lang w:bidi="en-US"/>
        </w:rPr>
        <w:t>一、招标条件</w:t>
      </w:r>
    </w:p>
    <w:p w14:paraId="7826D7EA">
      <w:pPr>
        <w:widowControl/>
        <w:snapToGrid w:val="0"/>
        <w:spacing w:line="360" w:lineRule="auto"/>
        <w:ind w:firstLine="480" w:firstLineChars="200"/>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sz w:val="24"/>
          <w:szCs w:val="24"/>
          <w:highlight w:val="none"/>
          <w:u w:val="single"/>
          <w:lang w:val="en-US" w:eastAsia="zh-CN"/>
        </w:rPr>
        <w:t>中国重汽集团6300T、3150T热模锻生产线搬迁复产项目-新增石墨废水预处理站</w:t>
      </w:r>
      <w:r>
        <w:rPr>
          <w:rFonts w:hint="eastAsia" w:asciiTheme="minorEastAsia" w:hAnsiTheme="minorEastAsia" w:eastAsiaTheme="minorEastAsia" w:cstheme="minorEastAsia"/>
          <w:kern w:val="0"/>
          <w:sz w:val="24"/>
          <w:szCs w:val="24"/>
          <w:highlight w:val="none"/>
          <w:lang w:bidi="en-US"/>
        </w:rPr>
        <w:t>，以公开招标的方式进行采购。本项目业主为</w:t>
      </w:r>
      <w:r>
        <w:rPr>
          <w:rFonts w:hint="eastAsia" w:asciiTheme="minorEastAsia" w:hAnsiTheme="minorEastAsia" w:eastAsiaTheme="minorEastAsia" w:cstheme="minorEastAsia"/>
          <w:sz w:val="24"/>
          <w:szCs w:val="24"/>
          <w:highlight w:val="none"/>
          <w:u w:val="single"/>
          <w:lang w:val="en-US" w:eastAsia="zh-CN"/>
        </w:rPr>
        <w:t>中国重汽集团济南动力有限公司</w:t>
      </w:r>
      <w:r>
        <w:rPr>
          <w:rFonts w:hint="eastAsia" w:asciiTheme="minorEastAsia" w:hAnsiTheme="minorEastAsia" w:eastAsiaTheme="minorEastAsia" w:cstheme="minorEastAsia"/>
          <w:kern w:val="0"/>
          <w:sz w:val="24"/>
          <w:szCs w:val="24"/>
          <w:highlight w:val="none"/>
          <w:lang w:bidi="en-US"/>
        </w:rPr>
        <w:t>，项目资金来自</w:t>
      </w:r>
      <w:r>
        <w:rPr>
          <w:rFonts w:hint="eastAsia" w:asciiTheme="minorEastAsia" w:hAnsiTheme="minorEastAsia" w:eastAsiaTheme="minorEastAsia" w:cstheme="minorEastAsia"/>
          <w:kern w:val="0"/>
          <w:sz w:val="24"/>
          <w:szCs w:val="24"/>
          <w:highlight w:val="none"/>
          <w:u w:val="single"/>
          <w:lang w:bidi="en-US"/>
        </w:rPr>
        <w:t xml:space="preserve"> 企业自筹 </w:t>
      </w:r>
      <w:r>
        <w:rPr>
          <w:rFonts w:hint="eastAsia" w:asciiTheme="minorEastAsia" w:hAnsiTheme="minorEastAsia" w:eastAsiaTheme="minorEastAsia" w:cstheme="minorEastAsia"/>
          <w:kern w:val="0"/>
          <w:sz w:val="24"/>
          <w:szCs w:val="24"/>
          <w:highlight w:val="none"/>
          <w:lang w:bidi="en-US"/>
        </w:rPr>
        <w:t>，出资比例为</w:t>
      </w:r>
      <w:r>
        <w:rPr>
          <w:rFonts w:hint="eastAsia" w:asciiTheme="minorEastAsia" w:hAnsiTheme="minorEastAsia" w:eastAsiaTheme="minorEastAsia" w:cstheme="minorEastAsia"/>
          <w:kern w:val="0"/>
          <w:sz w:val="24"/>
          <w:szCs w:val="24"/>
          <w:highlight w:val="none"/>
          <w:u w:val="single"/>
          <w:lang w:bidi="en-US"/>
        </w:rPr>
        <w:t xml:space="preserve"> 100% </w:t>
      </w:r>
      <w:r>
        <w:rPr>
          <w:rFonts w:hint="eastAsia" w:asciiTheme="minorEastAsia" w:hAnsiTheme="minorEastAsia" w:eastAsiaTheme="minorEastAsia" w:cstheme="minorEastAsia"/>
          <w:kern w:val="0"/>
          <w:sz w:val="24"/>
          <w:szCs w:val="24"/>
          <w:highlight w:val="none"/>
          <w:lang w:bidi="en-US"/>
        </w:rPr>
        <w:t>。该项目现已具备招标条件，欢迎具备条件的潜在投标人参加投标。</w:t>
      </w:r>
    </w:p>
    <w:p w14:paraId="5E0E4D1D">
      <w:pPr>
        <w:widowControl/>
        <w:snapToGrid w:val="0"/>
        <w:spacing w:line="360" w:lineRule="auto"/>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b/>
          <w:bCs/>
          <w:kern w:val="0"/>
          <w:sz w:val="24"/>
          <w:szCs w:val="24"/>
          <w:highlight w:val="none"/>
          <w:lang w:bidi="en-US"/>
        </w:rPr>
        <w:t>二、项目概况与招标范围</w:t>
      </w:r>
    </w:p>
    <w:p w14:paraId="2ABEF8C0">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lang w:bidi="en-US"/>
        </w:rPr>
      </w:pPr>
      <w:bookmarkStart w:id="5" w:name="_Toc152042290"/>
      <w:bookmarkEnd w:id="5"/>
      <w:bookmarkStart w:id="6" w:name="_Toc152045514"/>
      <w:bookmarkEnd w:id="6"/>
      <w:bookmarkStart w:id="7" w:name="_Toc285809451"/>
      <w:bookmarkEnd w:id="7"/>
      <w:bookmarkStart w:id="8" w:name="_Toc179632530"/>
      <w:bookmarkEnd w:id="8"/>
      <w:bookmarkStart w:id="9" w:name="_Toc144974482"/>
      <w:bookmarkEnd w:id="9"/>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名称：</w:t>
      </w:r>
      <w:r>
        <w:rPr>
          <w:rFonts w:hint="eastAsia" w:asciiTheme="minorEastAsia" w:hAnsiTheme="minorEastAsia" w:eastAsiaTheme="minorEastAsia" w:cstheme="minorEastAsia"/>
          <w:kern w:val="0"/>
          <w:sz w:val="24"/>
          <w:szCs w:val="24"/>
          <w:highlight w:val="none"/>
          <w:u w:val="single"/>
          <w:lang w:val="en-US" w:eastAsia="zh-CN" w:bidi="en-US"/>
        </w:rPr>
        <w:t xml:space="preserve"> 6300T、3150T热模锻生产线搬迁复产项目-新增石墨废水预处理站  </w:t>
      </w:r>
    </w:p>
    <w:p w14:paraId="50F0AEDD">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lang w:bidi="en-US"/>
        </w:rPr>
        <w:t>采购形式编号：</w:t>
      </w:r>
      <w:r>
        <w:rPr>
          <w:rFonts w:hint="eastAsia" w:asciiTheme="minorEastAsia" w:hAnsiTheme="minorEastAsia" w:eastAsiaTheme="minorEastAsia" w:cstheme="minorEastAsia"/>
          <w:kern w:val="0"/>
          <w:sz w:val="24"/>
          <w:szCs w:val="24"/>
          <w:highlight w:val="none"/>
          <w:u w:val="single"/>
          <w:lang w:val="en-US" w:eastAsia="zh-CN" w:bidi="en-US"/>
        </w:rPr>
        <w:t>FSCZB2025120207</w:t>
      </w:r>
      <w:r>
        <w:rPr>
          <w:rFonts w:hint="eastAsia" w:asciiTheme="minorEastAsia" w:hAnsiTheme="minorEastAsia" w:eastAsiaTheme="minorEastAsia" w:cstheme="minorEastAsia"/>
          <w:kern w:val="0"/>
          <w:sz w:val="24"/>
          <w:szCs w:val="24"/>
          <w:highlight w:val="none"/>
          <w:lang w:bidi="en-US"/>
        </w:rPr>
        <w:t>；</w:t>
      </w:r>
    </w:p>
    <w:p w14:paraId="53F2CDA6">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imes New Roman" w:hAnsi="Times New Roman"/>
          <w:color w:val="000000"/>
        </w:rPr>
      </w:pP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地点：</w:t>
      </w:r>
      <w:r>
        <w:rPr>
          <w:rFonts w:hint="eastAsia" w:ascii="宋体" w:hAnsi="宋体" w:eastAsia="宋体" w:cs="宋体"/>
          <w:color w:val="000000"/>
          <w:sz w:val="24"/>
          <w:highlight w:val="none"/>
          <w:u w:val="single"/>
        </w:rPr>
        <w:t>济南成型厂</w:t>
      </w:r>
      <w:r>
        <w:rPr>
          <w:rFonts w:hint="eastAsia" w:ascii="宋体" w:hAnsi="宋体" w:eastAsia="宋体" w:cs="宋体"/>
          <w:color w:val="000000"/>
          <w:sz w:val="24"/>
          <w:highlight w:val="none"/>
          <w:u w:val="single"/>
          <w:lang w:val="en-US" w:eastAsia="zh-CN"/>
        </w:rPr>
        <w:t>党家庄厂区</w:t>
      </w:r>
      <w:r>
        <w:rPr>
          <w:rFonts w:hint="eastAsia" w:asciiTheme="minorEastAsia" w:hAnsiTheme="minorEastAsia" w:eastAsiaTheme="minorEastAsia" w:cstheme="minorEastAsia"/>
          <w:kern w:val="0"/>
          <w:sz w:val="24"/>
          <w:szCs w:val="24"/>
          <w:highlight w:val="none"/>
          <w:u w:val="single"/>
          <w:lang w:bidi="en-US"/>
        </w:rPr>
        <w:t>；</w:t>
      </w:r>
    </w:p>
    <w:p w14:paraId="57EEC458">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b w:val="0"/>
          <w:bCs w:val="0"/>
          <w:color w:val="000000"/>
          <w:sz w:val="24"/>
          <w:szCs w:val="24"/>
          <w:lang w:val="en-US" w:eastAsia="zh-CN" w:bidi="zh-CN"/>
        </w:rPr>
      </w:pPr>
      <w:r>
        <w:rPr>
          <w:rFonts w:hint="eastAsia" w:asciiTheme="minorEastAsia" w:hAnsiTheme="minorEastAsia" w:eastAsiaTheme="minorEastAsia" w:cstheme="minorEastAsia"/>
          <w:kern w:val="0"/>
          <w:sz w:val="24"/>
          <w:szCs w:val="24"/>
          <w:highlight w:val="none"/>
          <w:lang w:bidi="en-US"/>
        </w:rPr>
        <w:t>项目概况</w:t>
      </w:r>
      <w:r>
        <w:rPr>
          <w:rFonts w:hint="eastAsia" w:asciiTheme="minorEastAsia" w:hAnsiTheme="minorEastAsia" w:eastAsiaTheme="minorEastAsia" w:cstheme="minorEastAsia"/>
          <w:kern w:val="0"/>
          <w:sz w:val="24"/>
          <w:szCs w:val="24"/>
          <w:highlight w:val="none"/>
          <w:lang w:eastAsia="zh-CN" w:bidi="en-US"/>
        </w:rPr>
        <w:t>：</w:t>
      </w:r>
      <w:r>
        <w:rPr>
          <w:rFonts w:hint="eastAsia" w:asciiTheme="minorEastAsia" w:hAnsiTheme="minorEastAsia" w:eastAsiaTheme="minorEastAsia" w:cstheme="minorEastAsia"/>
          <w:kern w:val="0"/>
          <w:sz w:val="24"/>
          <w:szCs w:val="24"/>
          <w:highlight w:val="none"/>
          <w:u w:val="single"/>
          <w:lang w:val="en-US" w:eastAsia="zh-CN" w:bidi="en-US"/>
        </w:rPr>
        <w:t>济南成型厂6300T、3150T 热模锻生产线复产技改项目新增锻造生产线石墨废水预处理站一套。</w:t>
      </w:r>
      <w:r>
        <w:rPr>
          <w:rFonts w:hint="eastAsia" w:ascii="宋体" w:hAnsi="宋体"/>
          <w:b w:val="0"/>
          <w:bCs w:val="0"/>
          <w:color w:val="000000"/>
          <w:sz w:val="24"/>
          <w:szCs w:val="24"/>
          <w:lang w:val="en-US" w:eastAsia="zh-CN" w:bidi="zh-CN"/>
        </w:rPr>
        <w:t>技术要求详见“招标文件”</w:t>
      </w:r>
    </w:p>
    <w:p w14:paraId="1AEA1A1F">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u w:val="single"/>
          <w:lang w:bidi="en-US"/>
        </w:rPr>
      </w:pPr>
      <w:r>
        <w:rPr>
          <w:rFonts w:hint="eastAsia" w:asciiTheme="minorEastAsia" w:hAnsiTheme="minorEastAsia" w:eastAsiaTheme="minorEastAsia" w:cstheme="minorEastAsia"/>
          <w:kern w:val="0"/>
          <w:sz w:val="24"/>
          <w:szCs w:val="24"/>
          <w:lang w:bidi="en-US"/>
        </w:rPr>
        <w:t>资金来源：</w:t>
      </w:r>
      <w:r>
        <w:rPr>
          <w:rFonts w:hint="eastAsia" w:asciiTheme="minorEastAsia" w:hAnsiTheme="minorEastAsia" w:eastAsiaTheme="minorEastAsia" w:cstheme="minorEastAsia"/>
          <w:kern w:val="0"/>
          <w:sz w:val="24"/>
          <w:szCs w:val="24"/>
          <w:u w:val="single"/>
          <w:lang w:bidi="en-US"/>
        </w:rPr>
        <w:t>企业自筹，已落实</w:t>
      </w:r>
      <w:r>
        <w:rPr>
          <w:rFonts w:hint="eastAsia" w:asciiTheme="minorEastAsia" w:hAnsiTheme="minorEastAsia" w:eastAsiaTheme="minorEastAsia" w:cstheme="minorEastAsia"/>
          <w:kern w:val="0"/>
          <w:sz w:val="24"/>
          <w:szCs w:val="24"/>
          <w:lang w:bidi="en-US"/>
        </w:rPr>
        <w:t>；</w:t>
      </w:r>
    </w:p>
    <w:p w14:paraId="3FB5C2CC">
      <w:pPr>
        <w:widowControl/>
        <w:snapToGrid w:val="0"/>
        <w:spacing w:line="360" w:lineRule="auto"/>
        <w:jc w:val="left"/>
        <w:rPr>
          <w:rFonts w:hint="default" w:asciiTheme="minorEastAsia" w:hAnsiTheme="minorEastAsia" w:eastAsiaTheme="minorEastAsia" w:cstheme="minorEastAsia"/>
          <w:b/>
          <w:bCs/>
          <w:kern w:val="0"/>
          <w:sz w:val="24"/>
          <w:szCs w:val="24"/>
          <w:highlight w:val="none"/>
          <w:lang w:val="en-US" w:eastAsia="zh-CN" w:bidi="en-US"/>
        </w:rPr>
      </w:pPr>
      <w:r>
        <w:rPr>
          <w:rFonts w:hint="eastAsia" w:asciiTheme="minorEastAsia" w:hAnsiTheme="minorEastAsia" w:eastAsiaTheme="minorEastAsia" w:cstheme="minorEastAsia"/>
          <w:b/>
          <w:bCs/>
          <w:kern w:val="0"/>
          <w:sz w:val="24"/>
          <w:szCs w:val="24"/>
          <w:highlight w:val="none"/>
          <w:lang w:bidi="en-US"/>
        </w:rPr>
        <w:t>三、投标人资格要求</w:t>
      </w:r>
    </w:p>
    <w:p w14:paraId="5ACE68D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1.拟投标人必须是在中华人民共和国境内注册的独立法人机构，具有独立承担民事责任能力；注册资金不少于</w:t>
      </w:r>
      <w:r>
        <w:rPr>
          <w:rFonts w:hint="eastAsia" w:hAnsi="宋体" w:eastAsia="宋体" w:cs="宋体"/>
          <w:color w:val="000000"/>
          <w:sz w:val="24"/>
          <w:szCs w:val="24"/>
          <w:highlight w:val="none"/>
          <w:lang w:val="en-US" w:eastAsia="zh-CN"/>
        </w:rPr>
        <w:t>10</w:t>
      </w:r>
      <w:r>
        <w:rPr>
          <w:rFonts w:hint="eastAsia" w:hAnsi="宋体" w:eastAsia="宋体" w:cs="宋体"/>
          <w:color w:val="000000"/>
          <w:sz w:val="24"/>
          <w:szCs w:val="24"/>
          <w:highlight w:val="none"/>
        </w:rPr>
        <w:t>0万人民币(或等值其他货币);公司成立三年以上(以营业执照成立日期到开标当日满三年为准),且经营范围满足招标人需求；并在人员、设备、资金等方面具有承担本项目的能力；</w:t>
      </w:r>
    </w:p>
    <w:p w14:paraId="7A3A73D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2.拟投标人应提供三证合一的营业执照副本原件和扫描件(需盖章);</w:t>
      </w:r>
    </w:p>
    <w:p w14:paraId="7C1E8BF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3.拟投标人应提供法定代表人资格证明文件；</w:t>
      </w:r>
    </w:p>
    <w:p w14:paraId="2491183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4.拟投标人在工商行政管理局的《国家企业信用信息公示系统》中查询不存在不良记录；</w:t>
      </w:r>
    </w:p>
    <w:p w14:paraId="6622BDC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5.拟投标人不存在严重违规或被列入招标人“黑名单”的声明；</w:t>
      </w:r>
    </w:p>
    <w:p w14:paraId="04E59EE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6.拟投标人2022年1月1日至今经第三方审计的公司财务报表(资产负债表、损益表、现金流量表)未显示异常；（如投标人公司没有经审计的财务报告，可提供加盖公章的近三年财务报表，包括但不限于资产负债表、利润表、现金流量表）；</w:t>
      </w:r>
    </w:p>
    <w:p w14:paraId="1760F0D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7.拟投标人有与本次招标内容相同或类似项目业绩，且近3年内无因服务不当而造成重大事故；</w:t>
      </w:r>
    </w:p>
    <w:p w14:paraId="39EC51E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8.投标人三年内无违法及重大违规情况；</w:t>
      </w:r>
    </w:p>
    <w:p w14:paraId="5B2FBC7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9.投标人须认可招标人的工作指令，包括节、假日能正常开展工作的要求；</w:t>
      </w:r>
    </w:p>
    <w:p w14:paraId="66C5AC1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10.投标人最近半年纳税正常；</w:t>
      </w:r>
    </w:p>
    <w:p w14:paraId="1E9EAF1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11.投标人信用证明材料(征信报告)未显示异常；</w:t>
      </w:r>
    </w:p>
    <w:p w14:paraId="0848F7E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12.供方的直接或间接股东、法定代表人、董事、监事、高管非重汽员工及其亲属；</w:t>
      </w:r>
    </w:p>
    <w:p w14:paraId="0D72CB7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13.本项目不接受联合体投标，拟投标人必须是最终投标单位和签订合同单位，不得以任何理由将已中标项目以任何形式分包或转包给其他单位。</w:t>
      </w:r>
    </w:p>
    <w:p w14:paraId="1C29303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bCs/>
          <w:highlight w:val="none"/>
        </w:rPr>
      </w:pPr>
      <w:r>
        <w:rPr>
          <w:rFonts w:hint="eastAsia" w:hAnsi="宋体" w:eastAsia="宋体" w:cs="宋体"/>
          <w:color w:val="000000"/>
          <w:sz w:val="24"/>
          <w:szCs w:val="24"/>
          <w:highlight w:val="none"/>
        </w:rPr>
        <w:t>14.无招标违规、谎报年度报告信息、提供虚假资质资料等行为或其他行政处罚记录；近三年内在经营活动中无与本项目有关的违法及重大违规情况。</w:t>
      </w:r>
    </w:p>
    <w:p w14:paraId="2A19F322">
      <w:pPr>
        <w:widowControl/>
        <w:snapToGrid w:val="0"/>
        <w:spacing w:line="360" w:lineRule="auto"/>
        <w:jc w:val="left"/>
        <w:rPr>
          <w:rFonts w:hint="eastAsia" w:asciiTheme="minorEastAsia" w:hAnsiTheme="minorEastAsia" w:eastAsiaTheme="minorEastAsia" w:cstheme="minorEastAsia"/>
          <w:b/>
          <w:bCs/>
          <w:kern w:val="0"/>
          <w:sz w:val="24"/>
          <w:szCs w:val="24"/>
          <w:lang w:bidi="en-US"/>
        </w:rPr>
      </w:pPr>
      <w:r>
        <w:rPr>
          <w:rFonts w:hint="eastAsia" w:asciiTheme="minorEastAsia" w:hAnsiTheme="minorEastAsia" w:eastAsiaTheme="minorEastAsia" w:cstheme="minorEastAsia"/>
          <w:b/>
          <w:bCs/>
          <w:kern w:val="0"/>
          <w:sz w:val="24"/>
          <w:szCs w:val="24"/>
          <w:lang w:bidi="en-US"/>
        </w:rPr>
        <w:t>四、报名、投标</w:t>
      </w:r>
    </w:p>
    <w:p w14:paraId="51509281">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w:t>
      </w:r>
      <w:r>
        <w:rPr>
          <w:rFonts w:hint="eastAsia" w:ascii="宋体" w:hAnsi="宋体" w:cs="宋体"/>
          <w:b/>
          <w:bCs/>
          <w:color w:val="000000"/>
          <w:sz w:val="24"/>
          <w:szCs w:val="24"/>
          <w:highlight w:val="none"/>
          <w:lang w:val="en-US" w:eastAsia="zh-CN"/>
        </w:rPr>
        <w:t>应标</w:t>
      </w:r>
      <w:r>
        <w:rPr>
          <w:rFonts w:hint="eastAsia" w:ascii="宋体" w:hAnsi="宋体" w:eastAsia="宋体" w:cs="宋体"/>
          <w:b/>
          <w:bCs/>
          <w:color w:val="000000"/>
          <w:sz w:val="24"/>
          <w:szCs w:val="24"/>
          <w:highlight w:val="none"/>
        </w:rPr>
        <w:t>报名</w:t>
      </w:r>
    </w:p>
    <w:p w14:paraId="2234954F">
      <w:pPr>
        <w:keepNext/>
        <w:keepLines/>
        <w:spacing w:line="360" w:lineRule="auto"/>
        <w:ind w:firstLine="482" w:firstLineChars="200"/>
        <w:outlineLvl w:val="2"/>
        <w:rPr>
          <w:rFonts w:hint="default" w:ascii="宋体" w:hAnsi="宋体" w:eastAsia="宋体" w:cs="宋体"/>
          <w:b/>
          <w:bCs/>
          <w:color w:val="000000"/>
          <w:sz w:val="24"/>
          <w:szCs w:val="24"/>
          <w:highlight w:val="yellow"/>
          <w:lang w:val="en-US" w:eastAsia="zh-CN"/>
        </w:rPr>
      </w:pPr>
      <w:r>
        <w:rPr>
          <w:rFonts w:hint="eastAsia" w:ascii="宋体" w:hAnsi="宋体" w:cs="宋体"/>
          <w:b/>
          <w:bCs/>
          <w:color w:val="000000"/>
          <w:sz w:val="24"/>
          <w:szCs w:val="24"/>
          <w:highlight w:val="yellow"/>
          <w:lang w:val="en-US" w:eastAsia="zh-CN"/>
        </w:rPr>
        <w:t>应标报名截止时间：2025年12月24日17：00</w:t>
      </w:r>
    </w:p>
    <w:p w14:paraId="143D1741">
      <w:pPr>
        <w:pStyle w:val="235"/>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hint="eastAsia" w:eastAsia="宋体" w:cs="宋体"/>
          <w:sz w:val="24"/>
          <w:szCs w:val="24"/>
          <w:highlight w:val="none"/>
        </w:rPr>
        <w:t>拟投标人根据招标人在中国重汽官网</w:t>
      </w:r>
      <w:r>
        <w:rPr>
          <w:rFonts w:hint="eastAsia" w:eastAsia="宋体" w:cs="宋体"/>
          <w:sz w:val="24"/>
          <w:szCs w:val="24"/>
          <w:highlight w:val="none"/>
          <w:lang w:val="en-US" w:eastAsia="zh-CN"/>
        </w:rPr>
        <w:t>公开媒体</w:t>
      </w:r>
      <w:r>
        <w:rPr>
          <w:rFonts w:hint="eastAsia" w:eastAsia="宋体" w:cs="宋体"/>
          <w:sz w:val="24"/>
          <w:szCs w:val="24"/>
          <w:highlight w:val="none"/>
        </w:rPr>
        <w:t>上发布的招标信息，</w:t>
      </w:r>
      <w:r>
        <w:rPr>
          <w:rFonts w:hint="eastAsia" w:ascii="宋体" w:hAnsi="Courier New" w:eastAsia="宋体" w:cs="Times New Roman"/>
          <w:color w:val="000000"/>
          <w:sz w:val="24"/>
          <w:szCs w:val="24"/>
          <w:highlight w:val="none"/>
          <w:lang w:val="en-US" w:eastAsia="zh-CN"/>
        </w:rPr>
        <w:t>在“中国重汽e采通”平台</w:t>
      </w:r>
      <w:r>
        <w:rPr>
          <w:rFonts w:hint="eastAsia" w:ascii="宋体" w:hAnsi="Courier New" w:eastAsia="宋体" w:cs="Times New Roman"/>
          <w:color w:val="000000"/>
          <w:sz w:val="24"/>
          <w:szCs w:val="24"/>
          <w:highlight w:val="none"/>
        </w:rPr>
        <w:t>报名</w:t>
      </w:r>
      <w:r>
        <w:rPr>
          <w:rFonts w:hint="eastAsia" w:cs="Times New Roman"/>
          <w:color w:val="000000"/>
          <w:sz w:val="24"/>
          <w:szCs w:val="24"/>
          <w:highlight w:val="none"/>
          <w:lang w:eastAsia="zh-CN"/>
        </w:rPr>
        <w:t>，</w:t>
      </w:r>
      <w:r>
        <w:rPr>
          <w:rFonts w:hint="eastAsia" w:cs="Times New Roman"/>
          <w:color w:val="000000"/>
          <w:sz w:val="24"/>
          <w:szCs w:val="24"/>
          <w:highlight w:val="none"/>
          <w:lang w:val="en-US" w:eastAsia="zh-CN"/>
        </w:rPr>
        <w:t>具体流程如下：</w:t>
      </w:r>
      <w:r>
        <w:rPr>
          <w:rFonts w:ascii="宋体" w:hAnsi="宋体" w:eastAsia="宋体" w:cs="宋体"/>
          <w:sz w:val="24"/>
          <w:szCs w:val="24"/>
        </w:rPr>
        <w:br w:type="textWrapping"/>
      </w:r>
      <w:r>
        <w:rPr>
          <w:rFonts w:ascii="宋体" w:hAnsi="宋体" w:eastAsia="宋体" w:cs="宋体"/>
          <w:b/>
          <w:bCs/>
          <w:sz w:val="24"/>
          <w:szCs w:val="24"/>
        </w:rPr>
        <w:t>①系统注册与信息维护</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首次注册供应商</w:t>
      </w:r>
      <w:r>
        <w:rPr>
          <w:rFonts w:ascii="宋体" w:hAnsi="宋体" w:eastAsia="宋体" w:cs="宋体"/>
          <w:sz w:val="24"/>
          <w:szCs w:val="24"/>
        </w:rPr>
        <w:t>：请根据《SRM非生产供应商注册手册》（附件</w:t>
      </w:r>
      <w:r>
        <w:rPr>
          <w:rFonts w:hint="eastAsia" w:ascii="宋体" w:hAnsi="宋体" w:eastAsia="宋体" w:cs="宋体"/>
          <w:sz w:val="24"/>
          <w:szCs w:val="24"/>
          <w:lang w:val="en-US" w:eastAsia="zh-CN"/>
        </w:rPr>
        <w:t>一</w:t>
      </w:r>
      <w:r>
        <w:rPr>
          <w:rFonts w:ascii="宋体" w:hAnsi="宋体" w:eastAsia="宋体" w:cs="宋体"/>
          <w:sz w:val="24"/>
          <w:szCs w:val="24"/>
        </w:rPr>
        <w:t>）完成平台账号注册。</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已注册供应商</w:t>
      </w:r>
      <w:r>
        <w:rPr>
          <w:rFonts w:ascii="宋体" w:hAnsi="宋体" w:eastAsia="宋体" w:cs="宋体"/>
          <w:sz w:val="24"/>
          <w:szCs w:val="24"/>
        </w:rPr>
        <w:t>：请登录系统核对系统中2022-2024年度财务数据。如尚未填写或信息不全，请参照《SRM非生产供应商注册手册》（附件</w:t>
      </w:r>
      <w:r>
        <w:rPr>
          <w:rFonts w:hint="eastAsia" w:ascii="宋体" w:hAnsi="宋体" w:eastAsia="宋体" w:cs="宋体"/>
          <w:sz w:val="24"/>
          <w:szCs w:val="24"/>
          <w:lang w:val="en-US" w:eastAsia="zh-CN"/>
        </w:rPr>
        <w:t>二</w:t>
      </w:r>
      <w:r>
        <w:rPr>
          <w:rFonts w:ascii="宋体" w:hAnsi="宋体" w:eastAsia="宋体" w:cs="宋体"/>
          <w:sz w:val="24"/>
          <w:szCs w:val="24"/>
        </w:rPr>
        <w:t>）及时进行补充与更新，确保信息真实、完整。因供应商信息不全或错误导致的报名不成功，由投标人自行承担</w:t>
      </w:r>
      <w:r>
        <w:rPr>
          <w:rFonts w:hint="eastAsia" w:hAnsi="宋体" w:cs="宋体"/>
          <w:sz w:val="24"/>
          <w:szCs w:val="24"/>
          <w:lang w:eastAsia="zh-CN"/>
        </w:rPr>
        <w:t>。</w:t>
      </w:r>
      <w:r>
        <w:rPr>
          <w:rFonts w:ascii="宋体" w:hAnsi="宋体" w:eastAsia="宋体" w:cs="宋体"/>
          <w:sz w:val="24"/>
          <w:szCs w:val="24"/>
        </w:rPr>
        <w:br w:type="textWrapping"/>
      </w:r>
      <w:r>
        <w:rPr>
          <w:rFonts w:ascii="宋体" w:hAnsi="宋体" w:eastAsia="宋体" w:cs="宋体"/>
          <w:b/>
          <w:bCs/>
          <w:sz w:val="24"/>
          <w:szCs w:val="24"/>
        </w:rPr>
        <w:t>②应标流程</w:t>
      </w:r>
    </w:p>
    <w:p w14:paraId="1727E15B">
      <w:pPr>
        <w:pStyle w:val="235"/>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eastAsia" w:asciiTheme="minorEastAsia" w:hAnsiTheme="minorEastAsia" w:eastAsiaTheme="minorEastAsia" w:cstheme="minorEastAsia"/>
          <w:bCs/>
          <w:sz w:val="24"/>
          <w:szCs w:val="24"/>
        </w:rPr>
      </w:pPr>
      <w:r>
        <w:rPr>
          <w:rFonts w:ascii="宋体" w:hAnsi="宋体" w:eastAsia="宋体" w:cs="宋体"/>
          <w:sz w:val="24"/>
          <w:szCs w:val="24"/>
        </w:rPr>
        <w:t>注册及财务数据维护完成后，参照《SRM系统供应商用户手册》（附件</w:t>
      </w:r>
      <w:r>
        <w:rPr>
          <w:rFonts w:hint="eastAsia" w:ascii="宋体" w:hAnsi="宋体" w:eastAsia="宋体" w:cs="宋体"/>
          <w:sz w:val="24"/>
          <w:szCs w:val="24"/>
          <w:lang w:val="en-US" w:eastAsia="zh-CN"/>
        </w:rPr>
        <w:t>三</w:t>
      </w:r>
      <w:r>
        <w:rPr>
          <w:rFonts w:ascii="宋体" w:hAnsi="宋体" w:eastAsia="宋体" w:cs="宋体"/>
          <w:sz w:val="24"/>
          <w:szCs w:val="24"/>
        </w:rPr>
        <w:t>）登录平台，进入“供应商应标”模块，选择对应项目点击“应标”，并按照本公告</w:t>
      </w:r>
      <w:r>
        <w:rPr>
          <w:rFonts w:hint="eastAsia" w:hAnsi="宋体" w:cs="宋体"/>
          <w:sz w:val="24"/>
          <w:szCs w:val="24"/>
          <w:lang w:val="en-US" w:eastAsia="zh-CN"/>
        </w:rPr>
        <w:t>的</w:t>
      </w:r>
      <w:r>
        <w:rPr>
          <w:rFonts w:ascii="宋体" w:hAnsi="宋体" w:eastAsia="宋体" w:cs="宋体"/>
          <w:sz w:val="24"/>
          <w:szCs w:val="24"/>
        </w:rPr>
        <w:t>“应标文件编制”要求准备资料并上传。资质审查通过后，视为报名成功（是否为代理商请如实选择）。</w:t>
      </w:r>
    </w:p>
    <w:p w14:paraId="05229B6B">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sz w:val="24"/>
          <w:szCs w:val="24"/>
        </w:rPr>
        <w:t>投标人应按资质文件格式要求组成</w:t>
      </w:r>
      <w:r>
        <w:rPr>
          <w:rFonts w:hint="eastAsia" w:asciiTheme="minorEastAsia" w:hAnsiTheme="minorEastAsia" w:eastAsiaTheme="minorEastAsia" w:cstheme="minorEastAsia"/>
          <w:bCs/>
          <w:sz w:val="24"/>
          <w:szCs w:val="24"/>
          <w:lang w:val="en-US" w:eastAsia="zh-CN"/>
        </w:rPr>
        <w:t>应标</w:t>
      </w:r>
      <w:r>
        <w:rPr>
          <w:rFonts w:hint="eastAsia" w:asciiTheme="minorEastAsia" w:hAnsiTheme="minorEastAsia" w:eastAsiaTheme="minorEastAsia" w:cstheme="minorEastAsia"/>
          <w:bCs/>
          <w:sz w:val="24"/>
          <w:szCs w:val="24"/>
        </w:rPr>
        <w:t>资质文件（对以下所要求的投标文件如有任何一项未实质性响应，将可能导致其投标文件被拒绝）</w:t>
      </w:r>
      <w:r>
        <w:rPr>
          <w:rFonts w:hint="eastAsia" w:asciiTheme="minorEastAsia" w:hAnsiTheme="minorEastAsia" w:eastAsiaTheme="minorEastAsia" w:cstheme="minorEastAsia"/>
          <w:b/>
          <w:bCs w:val="0"/>
          <w:sz w:val="24"/>
          <w:szCs w:val="24"/>
          <w:lang w:val="en-US" w:eastAsia="zh-CN"/>
        </w:rPr>
        <w:t>要求每页都需加盖公章</w:t>
      </w:r>
      <w:r>
        <w:rPr>
          <w:rFonts w:hint="eastAsia" w:ascii="宋体" w:hAnsi="宋体" w:cs="宋体"/>
          <w:color w:val="000000"/>
          <w:sz w:val="24"/>
          <w:szCs w:val="24"/>
          <w:highlight w:val="none"/>
          <w:lang w:val="en-US" w:eastAsia="zh-CN"/>
        </w:rPr>
        <w:t>：</w:t>
      </w:r>
    </w:p>
    <w:p w14:paraId="1F46878D">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①营业执照复印件（需加盖公章）；</w:t>
      </w:r>
    </w:p>
    <w:p w14:paraId="65DFC697">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②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投标联系人及其联系方式；</w:t>
      </w:r>
    </w:p>
    <w:p w14:paraId="029EA2D9">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③2022年1月1日至今，企业近三年同类项目业绩证明，须提供用户清单、采购合同复印件；</w:t>
      </w:r>
    </w:p>
    <w:p w14:paraId="732A1B02">
      <w:pPr>
        <w:pStyle w:val="24"/>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④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14:paraId="141F34CC">
      <w:pPr>
        <w:pStyle w:val="24"/>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⑤投标人在国家企业信用信息公示系统中无与本项目有关的行政处罚、经营异常和失信信息的声明；（附投标当日系统内相关截图或报告）；</w:t>
      </w:r>
    </w:p>
    <w:p w14:paraId="47F9455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⑥</w:t>
      </w:r>
      <w:r>
        <w:rPr>
          <w:rFonts w:hint="eastAsia" w:ascii="宋体" w:hAnsi="宋体" w:eastAsia="宋体" w:cs="宋体"/>
          <w:color w:val="000000"/>
          <w:sz w:val="24"/>
          <w:szCs w:val="24"/>
          <w:highlight w:val="none"/>
        </w:rPr>
        <w:t>企业最近半年的完税证明，并附</w:t>
      </w:r>
      <w:r>
        <w:rPr>
          <w:rFonts w:ascii="宋体" w:hAnsi="宋体" w:eastAsia="宋体" w:cs="宋体"/>
          <w:sz w:val="24"/>
          <w:szCs w:val="24"/>
          <w:highlight w:val="none"/>
        </w:rPr>
        <w:t>年度纳税信用评价信息（可从电子税务局查询截图，需加盖公章）</w:t>
      </w:r>
    </w:p>
    <w:p w14:paraId="0680B4C3">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highlight w:val="none"/>
          <w:lang w:val="en-US" w:eastAsia="zh-CN"/>
        </w:rPr>
      </w:pPr>
      <w:r>
        <w:rPr>
          <w:rFonts w:hint="eastAsia"/>
          <w:highlight w:val="none"/>
          <w:lang w:val="en-US" w:eastAsia="zh-CN"/>
        </w:rPr>
        <w:t>⑦近三年内在经营活动中无与本项目有关的违法及重大违规行为的声明；</w:t>
      </w:r>
    </w:p>
    <w:p w14:paraId="62DF0F19">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highlight w:val="none"/>
          <w:lang w:val="en-US" w:eastAsia="zh-CN"/>
        </w:rPr>
        <w:t>⑧</w:t>
      </w:r>
      <w:r>
        <w:rPr>
          <w:rFonts w:ascii="宋体" w:hAnsi="宋体" w:eastAsia="宋体" w:cs="宋体"/>
          <w:sz w:val="24"/>
          <w:szCs w:val="24"/>
          <w:highlight w:val="none"/>
        </w:rPr>
        <w:t>企业对外担保说明（写明贵单位对外有无对外担保和质押业务，需加盖公章）</w:t>
      </w:r>
      <w:r>
        <w:rPr>
          <w:rFonts w:hint="eastAsia" w:ascii="宋体" w:hAnsi="宋体" w:eastAsia="宋体" w:cs="宋体"/>
          <w:color w:val="000000"/>
          <w:sz w:val="24"/>
          <w:szCs w:val="24"/>
          <w:highlight w:val="none"/>
        </w:rPr>
        <w:t>；</w:t>
      </w:r>
    </w:p>
    <w:p w14:paraId="5309388E">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cs="宋体"/>
          <w:color w:val="000000"/>
          <w:sz w:val="24"/>
          <w:szCs w:val="24"/>
          <w:highlight w:val="none"/>
          <w:lang w:val="en-US" w:eastAsia="zh-CN"/>
        </w:rPr>
        <w:t>⑨</w:t>
      </w:r>
      <w:r>
        <w:rPr>
          <w:rFonts w:hint="eastAsia" w:ascii="宋体" w:hAnsi="宋体" w:eastAsia="宋体" w:cs="宋体"/>
          <w:color w:val="000000"/>
          <w:sz w:val="24"/>
          <w:szCs w:val="24"/>
          <w:highlight w:val="none"/>
        </w:rPr>
        <w:t>企业信用证明材料（征信中心出具的信用报告）；</w:t>
      </w:r>
    </w:p>
    <w:p w14:paraId="10E42FDC">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default" w:ascii="宋体" w:hAnsi="宋体" w:eastAsia="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⑩</w:t>
      </w:r>
      <w:r>
        <w:rPr>
          <w:rFonts w:hint="eastAsia" w:ascii="宋体" w:hAnsi="宋体" w:eastAsia="宋体" w:cs="宋体"/>
          <w:color w:val="000000"/>
          <w:sz w:val="24"/>
          <w:szCs w:val="24"/>
          <w:highlight w:val="none"/>
        </w:rPr>
        <w:t>投标保证金缴纳凭证，同时正文描述付款账号、户名、开户行名称、开户行行号、保证金金额。</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lang w:val="en-US" w:eastAsia="zh-CN"/>
        </w:rPr>
        <w:t>应标时不做要求，投标时需随文件上传）</w:t>
      </w:r>
    </w:p>
    <w:p w14:paraId="5B06CD58">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Theme="minorEastAsia" w:hAnsiTheme="minorEastAsia" w:eastAsiaTheme="minorEastAsia" w:cstheme="minorEastAsia"/>
          <w:bCs/>
          <w:kern w:val="2"/>
          <w:sz w:val="24"/>
          <w:szCs w:val="24"/>
          <w:lang w:val="en-US" w:eastAsia="zh-CN" w:bidi="ar-SA"/>
        </w:rPr>
      </w:pPr>
      <w:r>
        <w:rPr>
          <w:rFonts w:hint="eastAsia" w:asciiTheme="minorEastAsia" w:hAnsiTheme="minorEastAsia" w:eastAsiaTheme="minorEastAsia" w:cstheme="minorEastAsia"/>
          <w:b/>
          <w:bCs w:val="0"/>
          <w:kern w:val="2"/>
          <w:sz w:val="24"/>
          <w:szCs w:val="24"/>
          <w:lang w:val="en-US" w:eastAsia="zh-CN" w:bidi="ar-SA"/>
        </w:rPr>
        <w:t>以上内容合定扫描到资质文件当中。投标人提供的以上材料必须真实有效，任何一项的虚假将导致其应标文件被拒绝</w:t>
      </w:r>
      <w:r>
        <w:rPr>
          <w:rFonts w:hint="eastAsia" w:asciiTheme="minorEastAsia" w:hAnsiTheme="minorEastAsia" w:eastAsiaTheme="minorEastAsia" w:cstheme="minorEastAsia"/>
          <w:bCs/>
          <w:kern w:val="2"/>
          <w:sz w:val="24"/>
          <w:szCs w:val="24"/>
          <w:lang w:val="en-US" w:eastAsia="zh-CN" w:bidi="ar-SA"/>
        </w:rPr>
        <w:t>.</w:t>
      </w:r>
    </w:p>
    <w:p w14:paraId="0A71FF1E">
      <w:pPr>
        <w:pStyle w:val="19"/>
        <w:rPr>
          <w:rFonts w:hint="eastAsia"/>
          <w:lang w:eastAsia="zh-CN"/>
        </w:rPr>
      </w:pPr>
    </w:p>
    <w:p w14:paraId="391D971A">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eastAsia" w:ascii="宋体" w:hAnsi="宋体" w:eastAsia="宋体" w:cs="宋体"/>
          <w:b/>
          <w:bCs/>
          <w:color w:val="000000"/>
          <w:kern w:val="2"/>
          <w:sz w:val="24"/>
          <w:szCs w:val="24"/>
          <w:highlight w:val="none"/>
          <w:lang w:val="en-US" w:eastAsia="zh-CN" w:bidi="ar-SA"/>
        </w:rPr>
      </w:pPr>
      <w:r>
        <w:rPr>
          <w:rFonts w:hint="eastAsia" w:ascii="宋体" w:hAnsi="宋体" w:cs="宋体"/>
          <w:b/>
          <w:bCs/>
          <w:color w:val="000000"/>
          <w:kern w:val="2"/>
          <w:sz w:val="24"/>
          <w:szCs w:val="24"/>
          <w:highlight w:val="none"/>
          <w:lang w:val="en-US" w:eastAsia="zh-CN" w:bidi="ar-SA"/>
        </w:rPr>
        <w:t>2.</w:t>
      </w:r>
      <w:r>
        <w:rPr>
          <w:rFonts w:hint="eastAsia" w:ascii="宋体" w:hAnsi="宋体" w:eastAsia="宋体" w:cs="宋体"/>
          <w:b/>
          <w:bCs/>
          <w:color w:val="000000"/>
          <w:kern w:val="2"/>
          <w:sz w:val="24"/>
          <w:szCs w:val="24"/>
          <w:highlight w:val="none"/>
          <w:lang w:val="en-US" w:eastAsia="zh-CN" w:bidi="ar-SA"/>
        </w:rPr>
        <w:t>投标</w:t>
      </w:r>
    </w:p>
    <w:p w14:paraId="06063258">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rPr>
        <w:t>投标人在重汽e采通网站上应标审批通过后需继续完成供应商投标，</w:t>
      </w:r>
      <w:r>
        <w:rPr>
          <w:rFonts w:hint="eastAsia" w:asciiTheme="minorEastAsia" w:hAnsiTheme="minorEastAsia" w:eastAsiaTheme="minorEastAsia" w:cstheme="minorEastAsia"/>
          <w:b/>
          <w:bCs/>
          <w:sz w:val="24"/>
          <w:szCs w:val="24"/>
        </w:rPr>
        <w:t>供应商需在投标截止时间前上传投标文件（电子版）至e采通网站投标</w:t>
      </w:r>
      <w:r>
        <w:rPr>
          <w:rFonts w:hint="eastAsia" w:asciiTheme="minorEastAsia" w:hAnsiTheme="minorEastAsia" w:eastAsiaTheme="minorEastAsia" w:cstheme="minorEastAsia"/>
          <w:bCs/>
          <w:sz w:val="24"/>
          <w:szCs w:val="24"/>
        </w:rPr>
        <w:t>，超过投标截止时间将视为参与失败。</w:t>
      </w:r>
    </w:p>
    <w:p w14:paraId="2DE510A0">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bCs/>
          <w:sz w:val="24"/>
          <w:szCs w:val="24"/>
          <w:highlight w:val="green"/>
        </w:rPr>
      </w:pPr>
      <w:r>
        <w:rPr>
          <w:rFonts w:hint="eastAsia" w:asciiTheme="minorEastAsia" w:hAnsiTheme="minorEastAsia" w:eastAsiaTheme="minorEastAsia" w:cstheme="minorEastAsia"/>
          <w:bCs/>
          <w:sz w:val="24"/>
          <w:szCs w:val="24"/>
        </w:rPr>
        <w:t>投标截止时间</w:t>
      </w:r>
      <w:r>
        <w:rPr>
          <w:rFonts w:hint="eastAsia" w:asciiTheme="minorEastAsia" w:hAnsiTheme="minorEastAsia" w:eastAsiaTheme="minorEastAsia" w:cstheme="minorEastAsia"/>
          <w:bCs/>
          <w:sz w:val="24"/>
          <w:szCs w:val="24"/>
          <w:highlight w:val="none"/>
          <w:lang w:eastAsia="zh-CN"/>
        </w:rPr>
        <w:t>：</w:t>
      </w:r>
      <w:r>
        <w:rPr>
          <w:rFonts w:hint="eastAsia" w:asciiTheme="minorEastAsia" w:hAnsiTheme="minorEastAsia" w:eastAsiaTheme="minorEastAsia" w:cstheme="minorEastAsia"/>
          <w:b/>
          <w:sz w:val="24"/>
          <w:szCs w:val="24"/>
          <w:highlight w:val="yellow"/>
        </w:rPr>
        <w:t>202</w:t>
      </w:r>
      <w:r>
        <w:rPr>
          <w:rFonts w:hint="eastAsia" w:asciiTheme="minorEastAsia" w:hAnsiTheme="minorEastAsia" w:eastAsiaTheme="minorEastAsia" w:cstheme="minorEastAsia"/>
          <w:b/>
          <w:sz w:val="24"/>
          <w:szCs w:val="24"/>
          <w:highlight w:val="yellow"/>
          <w:lang w:val="en-US" w:eastAsia="zh-CN"/>
        </w:rPr>
        <w:t>6</w:t>
      </w:r>
      <w:r>
        <w:rPr>
          <w:rFonts w:hint="eastAsia" w:asciiTheme="minorEastAsia" w:hAnsiTheme="minorEastAsia" w:eastAsiaTheme="minorEastAsia" w:cstheme="minorEastAsia"/>
          <w:b/>
          <w:sz w:val="24"/>
          <w:szCs w:val="24"/>
          <w:highlight w:val="yellow"/>
        </w:rPr>
        <w:t>年</w:t>
      </w:r>
      <w:r>
        <w:rPr>
          <w:rFonts w:hint="eastAsia" w:asciiTheme="minorEastAsia" w:hAnsiTheme="minorEastAsia" w:eastAsiaTheme="minorEastAsia" w:cstheme="minorEastAsia"/>
          <w:b/>
          <w:sz w:val="24"/>
          <w:szCs w:val="24"/>
          <w:highlight w:val="yellow"/>
          <w:lang w:val="en-US" w:eastAsia="zh-CN"/>
        </w:rPr>
        <w:t>1</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5</w:t>
      </w:r>
      <w:r>
        <w:rPr>
          <w:rFonts w:hint="eastAsia" w:asciiTheme="minorEastAsia" w:hAnsiTheme="minorEastAsia" w:eastAsiaTheme="minorEastAsia" w:cstheme="minorEastAsia"/>
          <w:b/>
          <w:sz w:val="24"/>
          <w:szCs w:val="24"/>
          <w:highlight w:val="yellow"/>
        </w:rPr>
        <w:t>日</w:t>
      </w:r>
      <w:r>
        <w:rPr>
          <w:rFonts w:hint="eastAsia" w:asciiTheme="minorEastAsia" w:hAnsiTheme="minorEastAsia" w:eastAsiaTheme="minorEastAsia" w:cstheme="minorEastAsia"/>
          <w:b/>
          <w:sz w:val="24"/>
          <w:szCs w:val="24"/>
          <w:highlight w:val="yellow"/>
          <w:lang w:val="en-US" w:eastAsia="zh-CN"/>
        </w:rPr>
        <w:t>9</w:t>
      </w:r>
      <w:r>
        <w:rPr>
          <w:rFonts w:hint="eastAsia" w:asciiTheme="minorEastAsia" w:hAnsiTheme="minorEastAsia" w:eastAsiaTheme="minorEastAsia" w:cstheme="minorEastAsia"/>
          <w:b/>
          <w:sz w:val="24"/>
          <w:szCs w:val="24"/>
          <w:highlight w:val="yellow"/>
        </w:rPr>
        <w:t>:</w:t>
      </w:r>
      <w:r>
        <w:rPr>
          <w:rFonts w:hint="eastAsia" w:asciiTheme="minorEastAsia" w:hAnsiTheme="minorEastAsia" w:eastAsiaTheme="minorEastAsia" w:cstheme="minorEastAsia"/>
          <w:b/>
          <w:sz w:val="24"/>
          <w:szCs w:val="24"/>
          <w:highlight w:val="yellow"/>
          <w:lang w:val="en-US" w:eastAsia="zh-CN"/>
        </w:rPr>
        <w:t>0</w:t>
      </w:r>
      <w:r>
        <w:rPr>
          <w:rFonts w:hint="eastAsia" w:asciiTheme="minorEastAsia" w:hAnsiTheme="minorEastAsia" w:eastAsiaTheme="minorEastAsia" w:cstheme="minorEastAsia"/>
          <w:b/>
          <w:sz w:val="24"/>
          <w:szCs w:val="24"/>
          <w:highlight w:val="yellow"/>
        </w:rPr>
        <w:t>0</w:t>
      </w:r>
    </w:p>
    <w:p w14:paraId="023E2FA8">
      <w:pPr>
        <w:tabs>
          <w:tab w:val="left" w:pos="1050"/>
          <w:tab w:val="left" w:pos="1470"/>
        </w:tabs>
        <w:autoSpaceDE w:val="0"/>
        <w:autoSpaceDN w:val="0"/>
        <w:adjustRightInd w:val="0"/>
        <w:snapToGrid w:val="0"/>
        <w:spacing w:line="360" w:lineRule="auto"/>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五、开标</w:t>
      </w:r>
    </w:p>
    <w:p w14:paraId="287316C8">
      <w:pPr>
        <w:pStyle w:val="151"/>
        <w:numPr>
          <w:ilvl w:val="0"/>
          <w:numId w:val="0"/>
        </w:numPr>
        <w:adjustRightInd w:val="0"/>
        <w:snapToGrid w:val="0"/>
        <w:spacing w:line="360" w:lineRule="auto"/>
        <w:ind w:leftChars="0"/>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Cs/>
          <w:sz w:val="24"/>
          <w:szCs w:val="24"/>
          <w:lang w:val="en-US" w:eastAsia="zh-CN"/>
        </w:rPr>
        <w:t>1.</w:t>
      </w:r>
      <w:r>
        <w:rPr>
          <w:rFonts w:hint="eastAsia" w:asciiTheme="minorEastAsia" w:hAnsiTheme="minorEastAsia" w:eastAsiaTheme="minorEastAsia" w:cstheme="minorEastAsia"/>
          <w:bCs/>
          <w:sz w:val="24"/>
          <w:szCs w:val="24"/>
        </w:rPr>
        <w:t>开标时间：</w:t>
      </w:r>
      <w:r>
        <w:rPr>
          <w:rFonts w:hint="eastAsia" w:asciiTheme="minorEastAsia" w:hAnsiTheme="minorEastAsia" w:eastAsiaTheme="minorEastAsia" w:cstheme="minorEastAsia"/>
          <w:b/>
          <w:sz w:val="24"/>
          <w:szCs w:val="24"/>
          <w:highlight w:val="yellow"/>
        </w:rPr>
        <w:t>202</w:t>
      </w:r>
      <w:r>
        <w:rPr>
          <w:rFonts w:hint="eastAsia" w:asciiTheme="minorEastAsia" w:hAnsiTheme="minorEastAsia" w:eastAsiaTheme="minorEastAsia" w:cstheme="minorEastAsia"/>
          <w:b/>
          <w:sz w:val="24"/>
          <w:szCs w:val="24"/>
          <w:highlight w:val="yellow"/>
          <w:lang w:val="en-US" w:eastAsia="zh-CN"/>
        </w:rPr>
        <w:t>6</w:t>
      </w:r>
      <w:r>
        <w:rPr>
          <w:rFonts w:hint="eastAsia" w:asciiTheme="minorEastAsia" w:hAnsiTheme="minorEastAsia" w:eastAsiaTheme="minorEastAsia" w:cstheme="minorEastAsia"/>
          <w:b/>
          <w:sz w:val="24"/>
          <w:szCs w:val="24"/>
          <w:highlight w:val="yellow"/>
        </w:rPr>
        <w:t>年</w:t>
      </w:r>
      <w:r>
        <w:rPr>
          <w:rFonts w:hint="eastAsia" w:asciiTheme="minorEastAsia" w:hAnsiTheme="minorEastAsia" w:eastAsiaTheme="minorEastAsia" w:cstheme="minorEastAsia"/>
          <w:b/>
          <w:sz w:val="24"/>
          <w:szCs w:val="24"/>
          <w:highlight w:val="yellow"/>
          <w:lang w:val="en-US" w:eastAsia="zh-CN"/>
        </w:rPr>
        <w:t>1</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5</w:t>
      </w:r>
      <w:r>
        <w:rPr>
          <w:rFonts w:hint="eastAsia" w:asciiTheme="minorEastAsia" w:hAnsiTheme="minorEastAsia" w:eastAsiaTheme="minorEastAsia" w:cstheme="minorEastAsia"/>
          <w:b/>
          <w:sz w:val="24"/>
          <w:szCs w:val="24"/>
          <w:highlight w:val="yellow"/>
        </w:rPr>
        <w:t>日</w:t>
      </w:r>
      <w:r>
        <w:rPr>
          <w:rFonts w:hint="eastAsia" w:asciiTheme="minorEastAsia" w:hAnsiTheme="minorEastAsia" w:eastAsiaTheme="minorEastAsia" w:cstheme="minorEastAsia"/>
          <w:b/>
          <w:sz w:val="24"/>
          <w:szCs w:val="24"/>
          <w:highlight w:val="yellow"/>
          <w:lang w:val="en-US" w:eastAsia="zh-CN"/>
        </w:rPr>
        <w:t>9</w:t>
      </w:r>
      <w:r>
        <w:rPr>
          <w:rFonts w:hint="eastAsia" w:asciiTheme="minorEastAsia" w:hAnsiTheme="minorEastAsia" w:eastAsiaTheme="minorEastAsia" w:cstheme="minorEastAsia"/>
          <w:b/>
          <w:sz w:val="24"/>
          <w:szCs w:val="24"/>
          <w:highlight w:val="yellow"/>
        </w:rPr>
        <w:t>:</w:t>
      </w:r>
      <w:r>
        <w:rPr>
          <w:rFonts w:hint="eastAsia" w:asciiTheme="minorEastAsia" w:hAnsiTheme="minorEastAsia" w:eastAsiaTheme="minorEastAsia" w:cstheme="minorEastAsia"/>
          <w:b/>
          <w:sz w:val="24"/>
          <w:szCs w:val="24"/>
          <w:highlight w:val="yellow"/>
          <w:lang w:val="en-US" w:eastAsia="zh-CN"/>
        </w:rPr>
        <w:t>0</w:t>
      </w:r>
      <w:r>
        <w:rPr>
          <w:rFonts w:hint="eastAsia" w:asciiTheme="minorEastAsia" w:hAnsiTheme="minorEastAsia" w:eastAsiaTheme="minorEastAsia" w:cstheme="minorEastAsia"/>
          <w:b/>
          <w:sz w:val="24"/>
          <w:szCs w:val="24"/>
          <w:highlight w:val="yellow"/>
        </w:rPr>
        <w:t>0时</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eastAsia="zh-CN"/>
        </w:rPr>
        <w:t>（</w:t>
      </w:r>
      <w:r>
        <w:rPr>
          <w:rFonts w:ascii="宋体" w:hAnsi="宋体" w:eastAsia="宋体" w:cs="宋体"/>
          <w:b/>
          <w:bCs/>
          <w:sz w:val="24"/>
          <w:szCs w:val="24"/>
        </w:rPr>
        <w:t>暂定，以实际通知为准</w:t>
      </w:r>
      <w:r>
        <w:rPr>
          <w:rFonts w:hint="eastAsia" w:asciiTheme="minorEastAsia" w:hAnsiTheme="minorEastAsia" w:eastAsiaTheme="minorEastAsia" w:cstheme="minorEastAsia"/>
          <w:b/>
          <w:sz w:val="24"/>
          <w:szCs w:val="24"/>
          <w:lang w:val="en-US" w:eastAsia="zh-CN"/>
        </w:rPr>
        <w:t>）</w:t>
      </w:r>
    </w:p>
    <w:p w14:paraId="17C83E03">
      <w:pPr>
        <w:pStyle w:val="151"/>
        <w:numPr>
          <w:ilvl w:val="0"/>
          <w:numId w:val="0"/>
        </w:numPr>
        <w:adjustRightInd w:val="0"/>
        <w:snapToGrid w:val="0"/>
        <w:spacing w:line="360" w:lineRule="auto"/>
        <w:ind w:leftChars="0"/>
        <w:rPr>
          <w:rFonts w:hint="default"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val="0"/>
          <w:bCs/>
          <w:sz w:val="24"/>
          <w:szCs w:val="24"/>
          <w:lang w:val="en-US" w:eastAsia="zh-CN"/>
        </w:rPr>
        <w:t>2.开标地点：</w:t>
      </w:r>
      <w:r>
        <w:rPr>
          <w:rFonts w:hint="eastAsia" w:asciiTheme="minorEastAsia" w:hAnsiTheme="minorEastAsia" w:eastAsiaTheme="minorEastAsia" w:cstheme="minorEastAsia"/>
          <w:b/>
          <w:sz w:val="24"/>
          <w:szCs w:val="24"/>
          <w:lang w:val="en-US" w:eastAsia="zh-CN"/>
        </w:rPr>
        <w:t>线上会议</w:t>
      </w:r>
      <w:r>
        <w:rPr>
          <w:rFonts w:hint="eastAsia" w:asciiTheme="minorEastAsia" w:hAnsiTheme="minorEastAsia" w:eastAsiaTheme="minorEastAsia" w:cstheme="minorEastAsia"/>
          <w:b/>
          <w:bCs w:val="0"/>
          <w:color w:val="auto"/>
          <w:sz w:val="24"/>
          <w:szCs w:val="24"/>
          <w:highlight w:val="yellow"/>
          <w:lang w:val="en-US" w:eastAsia="zh-CN"/>
        </w:rPr>
        <w:t>（</w:t>
      </w:r>
      <w:r>
        <w:rPr>
          <w:rFonts w:hint="eastAsia" w:ascii="宋体" w:hAnsi="宋体" w:eastAsia="宋体" w:cs="宋体"/>
          <w:b/>
          <w:bCs w:val="0"/>
          <w:color w:val="auto"/>
          <w:kern w:val="2"/>
          <w:sz w:val="24"/>
          <w:szCs w:val="24"/>
          <w:highlight w:val="yellow"/>
          <w:lang w:val="en-US" w:eastAsia="zh-CN" w:bidi="ar"/>
        </w:rPr>
        <w:t>投标方需要在开标前，将投标保证金</w:t>
      </w:r>
      <w:r>
        <w:rPr>
          <w:rFonts w:hint="eastAsia" w:ascii="宋体" w:hAnsi="宋体" w:cs="宋体"/>
          <w:b/>
          <w:bCs w:val="0"/>
          <w:color w:val="auto"/>
          <w:kern w:val="2"/>
          <w:sz w:val="24"/>
          <w:szCs w:val="24"/>
          <w:highlight w:val="yellow"/>
          <w:lang w:val="en-US" w:eastAsia="zh-CN" w:bidi="ar"/>
        </w:rPr>
        <w:t>缴纳凭证</w:t>
      </w:r>
      <w:r>
        <w:rPr>
          <w:rFonts w:hint="eastAsia" w:ascii="宋体" w:hAnsi="宋体" w:eastAsia="宋体" w:cs="宋体"/>
          <w:b/>
          <w:bCs w:val="0"/>
          <w:color w:val="auto"/>
          <w:kern w:val="2"/>
          <w:sz w:val="24"/>
          <w:szCs w:val="24"/>
          <w:highlight w:val="yellow"/>
          <w:lang w:val="en-US" w:eastAsia="zh-CN" w:bidi="ar"/>
        </w:rPr>
        <w:t>截图发给</w:t>
      </w:r>
      <w:r>
        <w:rPr>
          <w:rFonts w:hint="eastAsia" w:cs="宋体"/>
          <w:b/>
          <w:bCs w:val="0"/>
          <w:color w:val="auto"/>
          <w:kern w:val="2"/>
          <w:sz w:val="24"/>
          <w:szCs w:val="24"/>
          <w:highlight w:val="yellow"/>
          <w:lang w:val="en-US" w:eastAsia="zh-CN" w:bidi="ar"/>
        </w:rPr>
        <w:t>商务</w:t>
      </w:r>
      <w:r>
        <w:rPr>
          <w:rFonts w:hint="eastAsia" w:ascii="宋体" w:hAnsi="宋体" w:eastAsia="宋体" w:cs="宋体"/>
          <w:b/>
          <w:bCs w:val="0"/>
          <w:color w:val="auto"/>
          <w:kern w:val="2"/>
          <w:sz w:val="24"/>
          <w:szCs w:val="24"/>
          <w:highlight w:val="yellow"/>
          <w:lang w:val="en-US" w:eastAsia="zh-CN" w:bidi="ar"/>
        </w:rPr>
        <w:t>联系人</w:t>
      </w:r>
      <w:r>
        <w:rPr>
          <w:rFonts w:hint="eastAsia" w:cs="宋体"/>
          <w:b/>
          <w:bCs w:val="0"/>
          <w:color w:val="auto"/>
          <w:kern w:val="2"/>
          <w:sz w:val="24"/>
          <w:szCs w:val="24"/>
          <w:highlight w:val="yellow"/>
          <w:lang w:val="en-US" w:eastAsia="zh-CN" w:bidi="ar"/>
        </w:rPr>
        <w:t>黄嘉豪，</w:t>
      </w:r>
      <w:r>
        <w:rPr>
          <w:rFonts w:hint="eastAsia" w:ascii="宋体" w:hAnsi="宋体" w:eastAsia="宋体" w:cs="宋体"/>
          <w:b/>
          <w:bCs w:val="0"/>
          <w:color w:val="auto"/>
          <w:kern w:val="2"/>
          <w:sz w:val="24"/>
          <w:szCs w:val="24"/>
          <w:highlight w:val="yellow"/>
          <w:lang w:val="en-US" w:eastAsia="zh-CN" w:bidi="ar"/>
        </w:rPr>
        <w:t>微信号</w:t>
      </w:r>
      <w:r>
        <w:rPr>
          <w:rFonts w:hint="eastAsia" w:cs="宋体"/>
          <w:b/>
          <w:bCs w:val="0"/>
          <w:color w:val="auto"/>
          <w:kern w:val="2"/>
          <w:sz w:val="24"/>
          <w:szCs w:val="24"/>
          <w:highlight w:val="yellow"/>
          <w:lang w:val="en-US" w:eastAsia="zh-CN" w:bidi="ar"/>
        </w:rPr>
        <w:t>17860606327</w:t>
      </w:r>
      <w:r>
        <w:rPr>
          <w:rFonts w:hint="eastAsia" w:ascii="宋体" w:hAnsi="宋体" w:eastAsia="宋体" w:cs="宋体"/>
          <w:b/>
          <w:bCs w:val="0"/>
          <w:color w:val="auto"/>
          <w:kern w:val="2"/>
          <w:sz w:val="24"/>
          <w:szCs w:val="24"/>
          <w:highlight w:val="yellow"/>
          <w:lang w:val="en-US" w:eastAsia="zh-CN" w:bidi="ar"/>
        </w:rPr>
        <w:t>，</w:t>
      </w:r>
      <w:r>
        <w:rPr>
          <w:rFonts w:hint="eastAsia" w:ascii="宋体" w:hAnsi="宋体" w:cs="宋体"/>
          <w:b/>
          <w:bCs w:val="0"/>
          <w:color w:val="auto"/>
          <w:kern w:val="2"/>
          <w:sz w:val="24"/>
          <w:szCs w:val="24"/>
          <w:highlight w:val="yellow"/>
          <w:lang w:val="en-US" w:eastAsia="zh-CN" w:bidi="ar"/>
        </w:rPr>
        <w:t>获取会议链接）</w:t>
      </w:r>
    </w:p>
    <w:p w14:paraId="18593B7F">
      <w:pPr>
        <w:pStyle w:val="151"/>
        <w:numPr>
          <w:ilvl w:val="0"/>
          <w:numId w:val="0"/>
        </w:numPr>
        <w:adjustRightInd w:val="0"/>
        <w:snapToGrid w:val="0"/>
        <w:spacing w:line="360" w:lineRule="auto"/>
        <w:ind w:leftChars="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3.商务</w:t>
      </w:r>
      <w:r>
        <w:rPr>
          <w:rFonts w:hint="eastAsia" w:asciiTheme="minorEastAsia" w:hAnsiTheme="minorEastAsia" w:eastAsiaTheme="minorEastAsia" w:cstheme="minorEastAsia"/>
          <w:sz w:val="24"/>
          <w:szCs w:val="24"/>
        </w:rPr>
        <w:t>联系人：</w:t>
      </w:r>
      <w:r>
        <w:rPr>
          <w:rFonts w:hint="eastAsia" w:asciiTheme="minorEastAsia" w:hAnsiTheme="minorEastAsia" w:eastAsiaTheme="minorEastAsia" w:cstheme="minorEastAsia"/>
          <w:sz w:val="24"/>
          <w:szCs w:val="24"/>
          <w:lang w:val="en-US" w:eastAsia="zh-CN"/>
        </w:rPr>
        <w:t>黄老师 17860606327</w:t>
      </w:r>
    </w:p>
    <w:p w14:paraId="439DE341">
      <w:pPr>
        <w:pStyle w:val="151"/>
        <w:numPr>
          <w:ilvl w:val="0"/>
          <w:numId w:val="0"/>
        </w:numPr>
        <w:adjustRightInd w:val="0"/>
        <w:snapToGrid w:val="0"/>
        <w:spacing w:line="360" w:lineRule="auto"/>
        <w:ind w:firstLine="240" w:firstLineChars="10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技术联系人：侯</w:t>
      </w:r>
      <w:r>
        <w:rPr>
          <w:rFonts w:hint="eastAsia" w:asciiTheme="minorEastAsia" w:hAnsiTheme="minorEastAsia" w:eastAsiaTheme="minorEastAsia" w:cstheme="minorEastAsia"/>
          <w:sz w:val="24"/>
          <w:szCs w:val="24"/>
          <w:highlight w:val="none"/>
          <w:lang w:val="en-US" w:eastAsia="zh-CN"/>
        </w:rPr>
        <w:t>老师 15269194886</w:t>
      </w:r>
    </w:p>
    <w:p w14:paraId="303FC02B">
      <w:pPr>
        <w:adjustRightInd w:val="0"/>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六、评标办法</w:t>
      </w:r>
    </w:p>
    <w:p w14:paraId="18A0C9F4">
      <w:pPr>
        <w:adjustRightInd w:val="0"/>
        <w:snapToGrid w:val="0"/>
        <w:spacing w:line="360" w:lineRule="auto"/>
        <w:ind w:firstLine="480" w:firstLineChars="200"/>
        <w:rPr>
          <w:rFonts w:hint="eastAsia" w:asciiTheme="minorEastAsia" w:hAnsiTheme="minorEastAsia" w:eastAsiaTheme="minorEastAsia" w:cstheme="minorEastAsia"/>
          <w:sz w:val="24"/>
          <w:szCs w:val="24"/>
          <w:highlight w:val="yellow"/>
        </w:rPr>
      </w:pPr>
      <w:r>
        <w:rPr>
          <w:rFonts w:hint="eastAsia" w:asciiTheme="minorEastAsia" w:hAnsiTheme="minorEastAsia" w:eastAsiaTheme="minorEastAsia" w:cstheme="minorEastAsia"/>
          <w:sz w:val="24"/>
          <w:szCs w:val="24"/>
          <w:highlight w:val="none"/>
        </w:rPr>
        <w:t>本项目采用</w:t>
      </w:r>
      <w:r>
        <w:rPr>
          <w:rFonts w:hint="eastAsia" w:asciiTheme="minorEastAsia" w:hAnsiTheme="minorEastAsia" w:eastAsiaTheme="minorEastAsia" w:cstheme="minorEastAsia"/>
          <w:sz w:val="24"/>
          <w:szCs w:val="24"/>
          <w:highlight w:val="none"/>
          <w:lang w:eastAsia="zh-CN"/>
        </w:rPr>
        <w:t>综合评标法</w:t>
      </w:r>
      <w:r>
        <w:rPr>
          <w:rFonts w:hint="eastAsia" w:asciiTheme="minorEastAsia" w:hAnsiTheme="minorEastAsia" w:eastAsiaTheme="minorEastAsia" w:cstheme="minorEastAsia"/>
          <w:sz w:val="24"/>
          <w:szCs w:val="24"/>
          <w:highlight w:val="none"/>
          <w:lang w:val="en-US" w:eastAsia="zh-CN"/>
        </w:rPr>
        <w:t>中标</w:t>
      </w:r>
      <w:r>
        <w:rPr>
          <w:rFonts w:hint="eastAsia" w:asciiTheme="minorEastAsia" w:hAnsiTheme="minorEastAsia" w:eastAsiaTheme="minorEastAsia" w:cstheme="minorEastAsia"/>
          <w:sz w:val="24"/>
          <w:szCs w:val="24"/>
          <w:highlight w:val="none"/>
        </w:rPr>
        <w:t>，在满足招标人</w:t>
      </w:r>
      <w:r>
        <w:rPr>
          <w:rFonts w:hint="eastAsia" w:asciiTheme="minorEastAsia" w:hAnsiTheme="minorEastAsia" w:eastAsiaTheme="minorEastAsia" w:cstheme="minorEastAsia"/>
          <w:sz w:val="24"/>
          <w:szCs w:val="24"/>
          <w:highlight w:val="none"/>
          <w:lang w:val="en-US" w:eastAsia="zh-CN"/>
        </w:rPr>
        <w:t>资格和</w:t>
      </w:r>
      <w:r>
        <w:rPr>
          <w:rFonts w:hint="eastAsia" w:asciiTheme="minorEastAsia" w:hAnsiTheme="minorEastAsia" w:eastAsiaTheme="minorEastAsia" w:cstheme="minorEastAsia"/>
          <w:sz w:val="24"/>
          <w:szCs w:val="24"/>
          <w:highlight w:val="none"/>
        </w:rPr>
        <w:t>技术要求的前提下</w:t>
      </w:r>
      <w:r>
        <w:rPr>
          <w:rFonts w:hint="eastAsia" w:asciiTheme="minorEastAsia" w:hAnsiTheme="minorEastAsia" w:eastAsiaTheme="minorEastAsia" w:cstheme="minorEastAsia"/>
          <w:bCs/>
          <w:kern w:val="2"/>
          <w:sz w:val="24"/>
          <w:szCs w:val="24"/>
          <w:highlight w:val="none"/>
          <w:lang w:val="en-US" w:eastAsia="zh-CN" w:bidi="ar-SA"/>
        </w:rPr>
        <w:t>。</w:t>
      </w:r>
      <w:r>
        <w:rPr>
          <w:rFonts w:hint="eastAsia" w:asciiTheme="minorEastAsia" w:hAnsiTheme="minorEastAsia" w:eastAsiaTheme="minorEastAsia" w:cstheme="minorEastAsia"/>
          <w:sz w:val="24"/>
          <w:szCs w:val="24"/>
          <w:highlight w:val="none"/>
        </w:rPr>
        <w:t>选取商务谈判后议定总价</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lang w:val="en-US" w:eastAsia="zh-CN"/>
        </w:rPr>
        <w:t>综合得分最高的</w:t>
      </w:r>
      <w:r>
        <w:rPr>
          <w:rFonts w:hint="eastAsia" w:asciiTheme="minorEastAsia" w:hAnsiTheme="minorEastAsia" w:eastAsiaTheme="minorEastAsia" w:cstheme="minorEastAsia"/>
          <w:sz w:val="24"/>
          <w:szCs w:val="24"/>
          <w:highlight w:val="none"/>
        </w:rPr>
        <w:t>为本项目中标人。</w:t>
      </w:r>
    </w:p>
    <w:p w14:paraId="6912DE52">
      <w:pPr>
        <w:pStyle w:val="151"/>
        <w:numPr>
          <w:ilvl w:val="0"/>
          <w:numId w:val="0"/>
        </w:numPr>
        <w:adjustRightInd w:val="0"/>
        <w:snapToGrid w:val="0"/>
        <w:spacing w:line="360" w:lineRule="auto"/>
        <w:ind w:left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本次评标</w:t>
      </w:r>
      <w:r>
        <w:rPr>
          <w:rFonts w:hint="eastAsia" w:asciiTheme="minorEastAsia" w:hAnsiTheme="minorEastAsia" w:eastAsiaTheme="minorEastAsia" w:cstheme="minorEastAsia"/>
          <w:sz w:val="24"/>
          <w:szCs w:val="24"/>
          <w:lang w:val="en-US" w:eastAsia="zh-CN"/>
        </w:rPr>
        <w:t>e采通上</w:t>
      </w:r>
      <w:r>
        <w:rPr>
          <w:rFonts w:hint="eastAsia" w:asciiTheme="minorEastAsia" w:hAnsiTheme="minorEastAsia" w:eastAsiaTheme="minorEastAsia" w:cstheme="minorEastAsia"/>
          <w:sz w:val="24"/>
          <w:szCs w:val="24"/>
        </w:rPr>
        <w:t>进行报价，评标专家组将与投标人进行多轮商务谈判，每轮谈判价格不得高于上一轮报价。</w:t>
      </w:r>
    </w:p>
    <w:p w14:paraId="68D214F0">
      <w:pPr>
        <w:pStyle w:val="151"/>
        <w:numPr>
          <w:ilvl w:val="0"/>
          <w:numId w:val="0"/>
        </w:numPr>
        <w:adjustRightInd w:val="0"/>
        <w:snapToGrid w:val="0"/>
        <w:spacing w:line="360" w:lineRule="auto"/>
        <w:ind w:left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招标人不接受任何选择性报价，对投标人的每一种投标方案只允许有一个投标价。所有投标价均以人民币报价。</w:t>
      </w:r>
    </w:p>
    <w:p w14:paraId="76148A0C">
      <w:pPr>
        <w:tabs>
          <w:tab w:val="left" w:pos="1134"/>
        </w:tabs>
        <w:snapToGrid w:val="0"/>
        <w:spacing w:line="360" w:lineRule="auto"/>
        <w:rPr>
          <w:rFonts w:asciiTheme="majorEastAsia" w:hAnsiTheme="majorEastAsia" w:eastAsiaTheme="majorEastAsia"/>
          <w:sz w:val="24"/>
          <w:szCs w:val="24"/>
        </w:rPr>
      </w:pPr>
      <w:r>
        <w:rPr>
          <w:rFonts w:hint="eastAsia" w:asciiTheme="minorEastAsia" w:hAnsiTheme="minorEastAsia" w:eastAsiaTheme="minorEastAsia" w:cstheme="minorEastAsia"/>
          <w:b/>
          <w:sz w:val="24"/>
          <w:szCs w:val="24"/>
        </w:rPr>
        <w:t>七、</w:t>
      </w:r>
      <w:r>
        <w:rPr>
          <w:rFonts w:hint="eastAsia" w:asciiTheme="majorEastAsia" w:hAnsiTheme="majorEastAsia" w:eastAsiaTheme="majorEastAsia"/>
          <w:b/>
          <w:sz w:val="24"/>
          <w:szCs w:val="24"/>
        </w:rPr>
        <w:t>技术要求</w:t>
      </w:r>
    </w:p>
    <w:p w14:paraId="1DB345D9">
      <w:pPr>
        <w:spacing w:line="360" w:lineRule="auto"/>
        <w:ind w:firstLine="482" w:firstLineChars="200"/>
        <w:rPr>
          <w:rFonts w:hint="default" w:asciiTheme="minorEastAsia" w:hAnsiTheme="minorEastAsia" w:eastAsiaTheme="minorEastAsia" w:cstheme="minorEastAsia"/>
          <w:b/>
          <w:sz w:val="24"/>
          <w:szCs w:val="24"/>
          <w:lang w:val="en-US" w:eastAsia="zh-CN"/>
        </w:rPr>
      </w:pPr>
      <w:r>
        <w:rPr>
          <w:rFonts w:hint="eastAsia" w:ascii="宋体" w:hAnsi="宋体"/>
          <w:b/>
          <w:bCs/>
          <w:color w:val="000000"/>
          <w:sz w:val="24"/>
          <w:szCs w:val="24"/>
          <w:lang w:val="en-US" w:eastAsia="zh-CN" w:bidi="zh-CN"/>
        </w:rPr>
        <w:t>技术要求详见</w:t>
      </w:r>
      <w:r>
        <w:rPr>
          <w:rFonts w:hint="eastAsia" w:ascii="宋体" w:hAnsi="宋体"/>
          <w:b/>
          <w:bCs/>
          <w:color w:val="000000"/>
          <w:sz w:val="24"/>
          <w:szCs w:val="24"/>
          <w:highlight w:val="none"/>
          <w:lang w:val="en-US" w:eastAsia="zh-CN" w:bidi="zh-CN"/>
        </w:rPr>
        <w:t>“技术文件”</w:t>
      </w:r>
    </w:p>
    <w:p w14:paraId="53E9E309">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八</w:t>
      </w:r>
      <w:r>
        <w:rPr>
          <w:rFonts w:hint="eastAsia" w:asciiTheme="minorEastAsia" w:hAnsiTheme="minorEastAsia" w:eastAsiaTheme="minorEastAsia" w:cstheme="minorEastAsia"/>
          <w:b/>
          <w:sz w:val="24"/>
          <w:szCs w:val="24"/>
        </w:rPr>
        <w:t>、投标文件</w:t>
      </w:r>
    </w:p>
    <w:p w14:paraId="11BBF338">
      <w:pPr>
        <w:tabs>
          <w:tab w:val="left" w:pos="454"/>
        </w:tabs>
        <w:snapToGrid w:val="0"/>
        <w:spacing w:line="360" w:lineRule="auto"/>
        <w:ind w:firstLine="480"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投标方的投标文件由资格证明文件、商务标书构成。</w:t>
      </w:r>
      <w:r>
        <w:rPr>
          <w:rFonts w:hint="eastAsia" w:asciiTheme="minorEastAsia" w:hAnsiTheme="minorEastAsia" w:eastAsiaTheme="minorEastAsia" w:cstheme="minorEastAsia"/>
          <w:b/>
          <w:sz w:val="24"/>
          <w:szCs w:val="24"/>
        </w:rPr>
        <w:t>投标人需在投标截止时间前上传完</w:t>
      </w:r>
      <w:r>
        <w:rPr>
          <w:rFonts w:hint="eastAsia" w:asciiTheme="minorEastAsia" w:hAnsiTheme="minorEastAsia" w:eastAsiaTheme="minorEastAsia" w:cstheme="minorEastAsia"/>
          <w:b/>
          <w:bCs/>
          <w:sz w:val="24"/>
          <w:szCs w:val="24"/>
        </w:rPr>
        <w:t>整的投标文件（电子版）至e采通网站投标。</w:t>
      </w:r>
    </w:p>
    <w:p w14:paraId="525A03C0">
      <w:pPr>
        <w:pStyle w:val="151"/>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rPr>
        <w:t>资格证明文件</w:t>
      </w:r>
      <w:r>
        <w:rPr>
          <w:rFonts w:hint="eastAsia" w:asciiTheme="minorEastAsia" w:hAnsiTheme="minorEastAsia" w:eastAsiaTheme="minorEastAsia" w:cstheme="minorEastAsia"/>
          <w:sz w:val="24"/>
          <w:szCs w:val="24"/>
          <w:highlight w:val="none"/>
        </w:rPr>
        <w:t>包括（以下文件均需加盖公章）：</w:t>
      </w:r>
    </w:p>
    <w:p w14:paraId="0A0B792F">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①营业执照复印件（需加盖公章）；</w:t>
      </w:r>
    </w:p>
    <w:p w14:paraId="33A67AA6">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②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投标联系人及其联系方式；</w:t>
      </w:r>
    </w:p>
    <w:p w14:paraId="691EAC56">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③2022年1月1日至今，企业近三年同类项目业绩证明，须提供用户清单、采购合同复印件；</w:t>
      </w:r>
    </w:p>
    <w:p w14:paraId="756C6696">
      <w:pPr>
        <w:pStyle w:val="24"/>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④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14:paraId="2074757E">
      <w:pPr>
        <w:pStyle w:val="24"/>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⑤投标人在国家企业信用信息公示系统中无与本项目有关的行政处罚、经营异常和失信信息的声明；（附投标当日系统内相关截图或报告）；</w:t>
      </w:r>
    </w:p>
    <w:p w14:paraId="505254B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⑥</w:t>
      </w:r>
      <w:r>
        <w:rPr>
          <w:rFonts w:hint="eastAsia" w:ascii="宋体" w:hAnsi="宋体" w:eastAsia="宋体" w:cs="宋体"/>
          <w:color w:val="000000"/>
          <w:sz w:val="24"/>
          <w:szCs w:val="24"/>
          <w:highlight w:val="none"/>
        </w:rPr>
        <w:t>企业最近半年的完税证明，并附</w:t>
      </w:r>
      <w:r>
        <w:rPr>
          <w:rFonts w:ascii="宋体" w:hAnsi="宋体" w:eastAsia="宋体" w:cs="宋体"/>
          <w:sz w:val="24"/>
          <w:szCs w:val="24"/>
          <w:highlight w:val="none"/>
        </w:rPr>
        <w:t>年度纳税信用评价信息（可从电子税务局查询截图，需加盖公章）</w:t>
      </w:r>
    </w:p>
    <w:p w14:paraId="498C7C56">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highlight w:val="none"/>
          <w:lang w:val="en-US" w:eastAsia="zh-CN"/>
        </w:rPr>
      </w:pPr>
      <w:r>
        <w:rPr>
          <w:rFonts w:hint="eastAsia"/>
          <w:highlight w:val="none"/>
          <w:lang w:val="en-US" w:eastAsia="zh-CN"/>
        </w:rPr>
        <w:t>⑦近三年内在经营活动中无与本项目有关的违法及重大违规行为的声明；</w:t>
      </w:r>
    </w:p>
    <w:p w14:paraId="1950AD13">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highlight w:val="none"/>
          <w:lang w:val="en-US" w:eastAsia="zh-CN"/>
        </w:rPr>
        <w:t>⑧</w:t>
      </w:r>
      <w:r>
        <w:rPr>
          <w:rFonts w:ascii="宋体" w:hAnsi="宋体" w:eastAsia="宋体" w:cs="宋体"/>
          <w:sz w:val="24"/>
          <w:szCs w:val="24"/>
          <w:highlight w:val="none"/>
        </w:rPr>
        <w:t>企业对外担保说明（写明贵单位对外有无对外担保和质押业务，需加盖公章）</w:t>
      </w:r>
      <w:r>
        <w:rPr>
          <w:rFonts w:hint="eastAsia" w:ascii="宋体" w:hAnsi="宋体" w:eastAsia="宋体" w:cs="宋体"/>
          <w:color w:val="000000"/>
          <w:sz w:val="24"/>
          <w:szCs w:val="24"/>
          <w:highlight w:val="none"/>
        </w:rPr>
        <w:t>；</w:t>
      </w:r>
    </w:p>
    <w:p w14:paraId="15954DFF">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cs="宋体"/>
          <w:color w:val="000000"/>
          <w:sz w:val="24"/>
          <w:szCs w:val="24"/>
          <w:highlight w:val="none"/>
          <w:lang w:val="en-US" w:eastAsia="zh-CN"/>
        </w:rPr>
        <w:t>⑨</w:t>
      </w:r>
      <w:r>
        <w:rPr>
          <w:rFonts w:hint="eastAsia" w:ascii="宋体" w:hAnsi="宋体" w:eastAsia="宋体" w:cs="宋体"/>
          <w:color w:val="000000"/>
          <w:sz w:val="24"/>
          <w:szCs w:val="24"/>
          <w:highlight w:val="none"/>
        </w:rPr>
        <w:t>企业信用证明材料（征信中心出具的信用报告）；</w:t>
      </w:r>
    </w:p>
    <w:p w14:paraId="28B3310B">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cs="宋体"/>
          <w:color w:val="000000"/>
          <w:sz w:val="24"/>
          <w:szCs w:val="24"/>
          <w:highlight w:val="none"/>
          <w:lang w:val="en-US" w:eastAsia="zh-CN"/>
        </w:rPr>
        <w:t>⑩</w:t>
      </w:r>
      <w:r>
        <w:rPr>
          <w:rFonts w:hint="eastAsia" w:ascii="宋体" w:hAnsi="宋体" w:eastAsia="宋体" w:cs="宋体"/>
          <w:color w:val="000000"/>
          <w:sz w:val="24"/>
          <w:szCs w:val="24"/>
          <w:highlight w:val="none"/>
        </w:rPr>
        <w:t>投标保证金缴纳凭证，同时正文描述付款账号、户名、开户行名称、开户行行号、保证金金额。</w:t>
      </w:r>
    </w:p>
    <w:p w14:paraId="2053A769">
      <w:pPr>
        <w:pStyle w:val="151"/>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val="en-US" w:eastAsia="zh-CN"/>
        </w:rPr>
        <w:t>技术</w:t>
      </w:r>
      <w:r>
        <w:rPr>
          <w:rFonts w:hint="eastAsia" w:asciiTheme="minorEastAsia" w:hAnsiTheme="minorEastAsia" w:eastAsiaTheme="minorEastAsia" w:cstheme="minorEastAsia"/>
          <w:b/>
          <w:bCs/>
          <w:sz w:val="24"/>
          <w:szCs w:val="24"/>
        </w:rPr>
        <w:t>标书</w:t>
      </w:r>
    </w:p>
    <w:p w14:paraId="718E0CAA">
      <w:pPr>
        <w:spacing w:line="360" w:lineRule="auto"/>
        <w:ind w:firstLine="480" w:firstLineChars="200"/>
        <w:rPr>
          <w:rFonts w:hint="default" w:ascii="Times New Roman" w:hAnsi="Times New Roman" w:eastAsia="宋体" w:cs="Times New Roman"/>
          <w:highlight w:val="yellow"/>
        </w:rPr>
      </w:pPr>
      <w:r>
        <w:rPr>
          <w:rFonts w:hint="default" w:ascii="Times New Roman" w:hAnsi="Times New Roman" w:eastAsia="宋体" w:cs="Times New Roman"/>
          <w:color w:val="000000"/>
          <w:sz w:val="24"/>
          <w:szCs w:val="24"/>
        </w:rPr>
        <w:t>2.1技术规格偏离表（附件5），</w:t>
      </w:r>
      <w:r>
        <w:rPr>
          <w:rFonts w:hint="default" w:ascii="Times New Roman" w:hAnsi="Times New Roman" w:eastAsia="宋体" w:cs="Times New Roman"/>
          <w:b/>
          <w:color w:val="000000"/>
          <w:sz w:val="24"/>
          <w:szCs w:val="24"/>
        </w:rPr>
        <w:t>必须先进行两列要求一一对照，不允许直接写无偏离；</w:t>
      </w:r>
    </w:p>
    <w:p w14:paraId="1A04EE8D">
      <w:pPr>
        <w:spacing w:line="360" w:lineRule="auto"/>
        <w:ind w:firstLine="480" w:firstLineChars="200"/>
        <w:rPr>
          <w:rFonts w:hint="default" w:ascii="Times New Roman" w:hAnsi="Times New Roman" w:eastAsia="宋体" w:cs="Times New Roman"/>
          <w:b/>
          <w:color w:val="000000"/>
          <w:sz w:val="24"/>
          <w:szCs w:val="24"/>
        </w:rPr>
      </w:pPr>
      <w:r>
        <w:rPr>
          <w:rFonts w:hint="default" w:ascii="Times New Roman" w:hAnsi="Times New Roman" w:eastAsia="宋体" w:cs="Times New Roman"/>
          <w:bCs/>
          <w:color w:val="000000"/>
          <w:sz w:val="24"/>
          <w:szCs w:val="24"/>
        </w:rPr>
        <w:t>2.3</w:t>
      </w:r>
      <w:r>
        <w:rPr>
          <w:rFonts w:hint="default" w:ascii="Times New Roman" w:hAnsi="Times New Roman" w:eastAsia="宋体" w:cs="Times New Roman"/>
          <w:color w:val="000000"/>
          <w:sz w:val="24"/>
          <w:szCs w:val="24"/>
        </w:rPr>
        <w:t>提供</w:t>
      </w:r>
      <w:r>
        <w:rPr>
          <w:rFonts w:hint="default" w:ascii="Times New Roman" w:hAnsi="Times New Roman" w:eastAsia="宋体" w:cs="Times New Roman"/>
          <w:color w:val="000000"/>
          <w:sz w:val="24"/>
          <w:szCs w:val="24"/>
          <w:highlight w:val="yellow"/>
        </w:rPr>
        <w:t>202</w:t>
      </w:r>
      <w:r>
        <w:rPr>
          <w:rFonts w:hint="eastAsia" w:ascii="Times New Roman" w:hAnsi="Times New Roman" w:eastAsia="宋体" w:cs="Times New Roman"/>
          <w:color w:val="000000"/>
          <w:sz w:val="24"/>
          <w:szCs w:val="24"/>
          <w:highlight w:val="yellow"/>
          <w:lang w:val="en-US" w:eastAsia="zh-CN"/>
        </w:rPr>
        <w:t>2</w:t>
      </w:r>
      <w:r>
        <w:rPr>
          <w:rFonts w:hint="default" w:ascii="Times New Roman" w:hAnsi="Times New Roman" w:eastAsia="宋体" w:cs="Times New Roman"/>
          <w:color w:val="000000"/>
          <w:sz w:val="24"/>
          <w:szCs w:val="24"/>
          <w:highlight w:val="yellow"/>
        </w:rPr>
        <w:t>年1月1日</w:t>
      </w:r>
      <w:r>
        <w:rPr>
          <w:rFonts w:hint="default" w:ascii="Times New Roman" w:hAnsi="Times New Roman" w:eastAsia="宋体" w:cs="Times New Roman"/>
          <w:color w:val="000000"/>
          <w:sz w:val="24"/>
          <w:szCs w:val="24"/>
        </w:rPr>
        <w:t>以来同类产品的制造销售业绩（用户名单、联系方式），并附合同复印件。该同类项目业绩一览表必</w:t>
      </w:r>
      <w:r>
        <w:rPr>
          <w:rFonts w:hint="default" w:ascii="Times New Roman" w:hAnsi="Times New Roman" w:eastAsia="宋体" w:cs="Times New Roman"/>
          <w:b/>
          <w:bCs/>
          <w:color w:val="000000"/>
          <w:sz w:val="24"/>
          <w:szCs w:val="24"/>
        </w:rPr>
        <w:t>须如实填写，应全尽全</w:t>
      </w:r>
      <w:r>
        <w:rPr>
          <w:rFonts w:hint="default" w:ascii="Times New Roman" w:hAnsi="Times New Roman" w:eastAsia="宋体" w:cs="Times New Roman"/>
          <w:color w:val="000000"/>
          <w:sz w:val="24"/>
          <w:szCs w:val="24"/>
        </w:rPr>
        <w:t>；</w:t>
      </w:r>
      <w:r>
        <w:rPr>
          <w:rFonts w:hint="default" w:ascii="Times New Roman" w:hAnsi="Times New Roman" w:eastAsia="宋体" w:cs="Times New Roman"/>
          <w:b/>
          <w:bCs/>
          <w:color w:val="000000"/>
          <w:sz w:val="24"/>
          <w:szCs w:val="24"/>
        </w:rPr>
        <w:t>一览表最终的所有业绩合同总额汇总必填</w:t>
      </w:r>
      <w:r>
        <w:rPr>
          <w:rFonts w:hint="default" w:ascii="Times New Roman" w:hAnsi="Times New Roman" w:eastAsia="宋体" w:cs="Times New Roman"/>
          <w:color w:val="000000"/>
          <w:sz w:val="24"/>
          <w:szCs w:val="24"/>
        </w:rPr>
        <w:t>，数据将影响现场评标专家组对投标单位的业绩考评。</w:t>
      </w:r>
      <w:r>
        <w:rPr>
          <w:rFonts w:hint="default" w:ascii="Times New Roman" w:hAnsi="Times New Roman" w:eastAsia="宋体" w:cs="Times New Roman"/>
          <w:b/>
          <w:bCs/>
          <w:color w:val="000000"/>
          <w:sz w:val="24"/>
          <w:szCs w:val="24"/>
        </w:rPr>
        <w:t>若未提供相应业绩证明，根据技术标评分规则，将影响现场评标专家组对投标单位业绩判定打分</w:t>
      </w:r>
      <w:r>
        <w:rPr>
          <w:rFonts w:hint="default" w:ascii="Times New Roman" w:hAnsi="Times New Roman" w:eastAsia="宋体" w:cs="Times New Roman"/>
          <w:b/>
          <w:color w:val="000000"/>
          <w:sz w:val="24"/>
          <w:szCs w:val="24"/>
        </w:rPr>
        <w:t>；</w:t>
      </w:r>
    </w:p>
    <w:p w14:paraId="6C8F6D0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2.4供货期及保证措施；</w:t>
      </w:r>
    </w:p>
    <w:p w14:paraId="0786096A">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2.5产品的技术服务和售后服务内容及措施；</w:t>
      </w:r>
    </w:p>
    <w:p w14:paraId="2BCA97DC">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2.6交货进度及计划；</w:t>
      </w:r>
    </w:p>
    <w:p w14:paraId="16844033">
      <w:pPr>
        <w:spacing w:line="360" w:lineRule="auto"/>
        <w:ind w:firstLine="480" w:firstLineChars="200"/>
        <w:rPr>
          <w:rFonts w:hint="default" w:ascii="Times New Roman" w:hAnsi="Times New Roman" w:eastAsia="宋体" w:cs="Times New Roman"/>
          <w:color w:val="000000"/>
          <w:sz w:val="24"/>
          <w:szCs w:val="24"/>
        </w:rPr>
      </w:pPr>
      <w:bookmarkStart w:id="10" w:name="_Toc536542319"/>
      <w:r>
        <w:rPr>
          <w:rFonts w:hint="default" w:ascii="Times New Roman" w:hAnsi="Times New Roman" w:eastAsia="宋体" w:cs="Times New Roman"/>
          <w:color w:val="000000"/>
          <w:sz w:val="24"/>
          <w:szCs w:val="24"/>
        </w:rPr>
        <w:t>2.7投标产品技术支持材料</w:t>
      </w:r>
      <w:bookmarkEnd w:id="10"/>
      <w:r>
        <w:rPr>
          <w:rFonts w:hint="default" w:ascii="Times New Roman" w:hAnsi="Times New Roman" w:eastAsia="宋体" w:cs="Times New Roman"/>
          <w:color w:val="000000"/>
          <w:sz w:val="24"/>
          <w:szCs w:val="24"/>
        </w:rPr>
        <w:t>，投标人所投标设备详细技术资料清单；</w:t>
      </w:r>
    </w:p>
    <w:p w14:paraId="3AE893DC">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2.8设备质量承诺函（附件7）；</w:t>
      </w:r>
    </w:p>
    <w:p w14:paraId="292B669E">
      <w:pPr>
        <w:pStyle w:val="19"/>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rPr>
      </w:pPr>
      <w:r>
        <w:rPr>
          <w:rFonts w:hint="default" w:ascii="Times New Roman" w:hAnsi="Times New Roman" w:eastAsia="宋体" w:cs="Times New Roman"/>
          <w:color w:val="000000"/>
          <w:sz w:val="24"/>
          <w:szCs w:val="24"/>
        </w:rPr>
        <w:t>2.9投标人需提交的其它资料。</w:t>
      </w:r>
    </w:p>
    <w:p w14:paraId="79AB9F34">
      <w:pPr>
        <w:pStyle w:val="19"/>
        <w:rPr>
          <w:rFonts w:hint="eastAsia"/>
          <w:lang w:val="en-US" w:eastAsia="zh-CN"/>
        </w:rPr>
      </w:pPr>
    </w:p>
    <w:p w14:paraId="701083CD">
      <w:pPr>
        <w:pStyle w:val="151"/>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商务标书</w:t>
      </w:r>
    </w:p>
    <w:p w14:paraId="2890E6F4">
      <w:pPr>
        <w:spacing w:line="360" w:lineRule="auto"/>
        <w:ind w:firstLine="480" w:firstLineChars="200"/>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3.1开标一览表（附件8）；</w:t>
      </w:r>
    </w:p>
    <w:p w14:paraId="16BE520B">
      <w:pPr>
        <w:spacing w:line="360" w:lineRule="auto"/>
        <w:ind w:firstLine="480" w:firstLineChars="200"/>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3.2投标报价明细表（附件9-1至9-5）</w:t>
      </w:r>
      <w:r>
        <w:rPr>
          <w:rFonts w:hint="default" w:ascii="Times New Roman" w:hAnsi="Times New Roman" w:eastAsia="宋体" w:cs="Times New Roman"/>
          <w:b/>
          <w:color w:val="000000"/>
          <w:sz w:val="24"/>
          <w:szCs w:val="24"/>
          <w:highlight w:val="none"/>
        </w:rPr>
        <w:t>；</w:t>
      </w:r>
    </w:p>
    <w:p w14:paraId="4F9AAAFA">
      <w:pPr>
        <w:spacing w:line="360" w:lineRule="auto"/>
        <w:ind w:firstLine="480" w:firstLineChars="200"/>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3.3商务条款偏离表（附件10）</w:t>
      </w:r>
      <w:bookmarkStart w:id="11" w:name="OLE_LINK18"/>
      <w:bookmarkStart w:id="12" w:name="OLE_LINK19"/>
      <w:r>
        <w:rPr>
          <w:rFonts w:hint="default" w:ascii="Times New Roman" w:hAnsi="Times New Roman" w:eastAsia="宋体" w:cs="Times New Roman"/>
          <w:b/>
          <w:color w:val="000000"/>
          <w:sz w:val="24"/>
          <w:szCs w:val="24"/>
          <w:highlight w:val="none"/>
        </w:rPr>
        <w:t>；</w:t>
      </w:r>
      <w:bookmarkEnd w:id="11"/>
      <w:bookmarkEnd w:id="12"/>
      <w:r>
        <w:rPr>
          <w:rFonts w:hint="default" w:ascii="Times New Roman" w:hAnsi="Times New Roman" w:eastAsia="宋体" w:cs="Times New Roman"/>
          <w:color w:val="000000"/>
          <w:sz w:val="24"/>
          <w:szCs w:val="24"/>
          <w:highlight w:val="none"/>
        </w:rPr>
        <w:t xml:space="preserve"> </w:t>
      </w:r>
    </w:p>
    <w:p w14:paraId="1B579993">
      <w:pPr>
        <w:spacing w:line="360" w:lineRule="auto"/>
        <w:ind w:firstLine="480" w:firstLineChars="200"/>
        <w:rPr>
          <w:rFonts w:hint="default" w:ascii="Times New Roman" w:hAnsi="Times New Roman" w:eastAsia="宋体" w:cs="Times New Roman"/>
          <w:b/>
          <w:color w:val="000000"/>
          <w:sz w:val="24"/>
          <w:szCs w:val="24"/>
          <w:highlight w:val="none"/>
        </w:rPr>
      </w:pPr>
      <w:r>
        <w:rPr>
          <w:rFonts w:hint="default" w:ascii="Times New Roman" w:hAnsi="Times New Roman" w:eastAsia="宋体" w:cs="Times New Roman"/>
          <w:color w:val="000000"/>
          <w:sz w:val="24"/>
          <w:szCs w:val="24"/>
          <w:highlight w:val="none"/>
        </w:rPr>
        <w:t>3.4投标人承诺（附件11）</w:t>
      </w:r>
      <w:r>
        <w:rPr>
          <w:rFonts w:hint="default" w:ascii="Times New Roman" w:hAnsi="Times New Roman" w:eastAsia="宋体" w:cs="Times New Roman"/>
          <w:b/>
          <w:color w:val="000000"/>
          <w:sz w:val="24"/>
          <w:szCs w:val="24"/>
          <w:highlight w:val="none"/>
        </w:rPr>
        <w:t>；</w:t>
      </w:r>
    </w:p>
    <w:p w14:paraId="763448DD">
      <w:pPr>
        <w:spacing w:line="360" w:lineRule="auto"/>
        <w:ind w:firstLine="480" w:firstLineChars="200"/>
        <w:rPr>
          <w:rFonts w:hint="default" w:ascii="Times New Roman" w:hAnsi="Times New Roman" w:eastAsia="宋体" w:cs="Times New Roman"/>
          <w:b/>
          <w:color w:val="000000"/>
          <w:sz w:val="24"/>
          <w:szCs w:val="24"/>
          <w:highlight w:val="none"/>
        </w:rPr>
      </w:pPr>
      <w:r>
        <w:rPr>
          <w:rFonts w:hint="default" w:ascii="Times New Roman" w:hAnsi="Times New Roman" w:eastAsia="宋体" w:cs="Times New Roman"/>
          <w:color w:val="000000"/>
          <w:sz w:val="24"/>
          <w:szCs w:val="24"/>
          <w:highlight w:val="none"/>
        </w:rPr>
        <w:t>3.5服务承诺函（附件12），</w:t>
      </w:r>
      <w:r>
        <w:rPr>
          <w:rFonts w:hint="default" w:ascii="Times New Roman" w:hAnsi="Times New Roman" w:eastAsia="宋体" w:cs="Times New Roman"/>
          <w:b/>
          <w:color w:val="000000"/>
          <w:sz w:val="24"/>
          <w:szCs w:val="24"/>
          <w:highlight w:val="none"/>
        </w:rPr>
        <w:t>需写明质保期以外服务费用情况</w:t>
      </w:r>
      <w:r>
        <w:rPr>
          <w:rFonts w:hint="default" w:ascii="Times New Roman" w:hAnsi="Times New Roman" w:eastAsia="宋体" w:cs="Times New Roman"/>
          <w:color w:val="000000"/>
          <w:sz w:val="24"/>
          <w:szCs w:val="24"/>
          <w:highlight w:val="none"/>
        </w:rPr>
        <w:t>；</w:t>
      </w:r>
    </w:p>
    <w:p w14:paraId="4F3F2DBB">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highlight w:val="none"/>
          <w:lang w:eastAsia="zh-CN"/>
        </w:rPr>
      </w:pPr>
      <w:r>
        <w:rPr>
          <w:rFonts w:hint="default" w:ascii="Times New Roman" w:hAnsi="Times New Roman" w:eastAsia="宋体" w:cs="Times New Roman"/>
          <w:color w:val="000000"/>
          <w:sz w:val="24"/>
          <w:szCs w:val="24"/>
          <w:highlight w:val="none"/>
        </w:rPr>
        <w:t>3.6按招标文件投标人须知和技术规格书中要求提供的有关文件</w:t>
      </w:r>
      <w:r>
        <w:rPr>
          <w:rFonts w:hint="eastAsia" w:asciiTheme="minorEastAsia" w:hAnsiTheme="minorEastAsia" w:eastAsiaTheme="minorEastAsia" w:cstheme="minorEastAsia"/>
          <w:bCs/>
          <w:sz w:val="24"/>
          <w:szCs w:val="24"/>
          <w:highlight w:val="none"/>
          <w:lang w:eastAsia="zh-CN"/>
        </w:rPr>
        <w:t>。</w:t>
      </w:r>
    </w:p>
    <w:p w14:paraId="09FF6115">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2、证明投标人所提供的货物及/或服务的合格性和符合招标文件规定的文件，包括但不限于：对招标技术文件的逐项应答、产品彩页，对于某项指标的数据存在证明文件内容不一致的情况，取指标较低的为准。</w:t>
      </w:r>
    </w:p>
    <w:p w14:paraId="3D46A543">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lang w:val="en-US" w:eastAsia="zh-CN"/>
        </w:rPr>
        <w:t>3</w:t>
      </w:r>
      <w:r>
        <w:rPr>
          <w:rFonts w:hint="eastAsia" w:asciiTheme="minorEastAsia" w:hAnsiTheme="minorEastAsia" w:eastAsiaTheme="minorEastAsia" w:cstheme="minorEastAsia"/>
          <w:bCs/>
          <w:sz w:val="24"/>
          <w:szCs w:val="24"/>
        </w:rPr>
        <w:t>、商务文件至少应对招标设备（或材料）“商务偏离”做出有无说明，若有，应予以详细填写和说明</w:t>
      </w:r>
      <w:r>
        <w:rPr>
          <w:rFonts w:hint="eastAsia" w:asciiTheme="minorEastAsia" w:hAnsiTheme="minorEastAsia" w:eastAsiaTheme="minorEastAsia" w:cstheme="minorEastAsia"/>
          <w:bCs/>
          <w:sz w:val="24"/>
          <w:szCs w:val="24"/>
          <w:highlight w:val="none"/>
        </w:rPr>
        <w:t>。</w:t>
      </w:r>
    </w:p>
    <w:p w14:paraId="4F22B7B1">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highlight w:val="none"/>
          <w:lang w:val="en-US" w:eastAsia="zh-CN"/>
        </w:rPr>
        <w:t>4</w:t>
      </w:r>
      <w:r>
        <w:rPr>
          <w:rFonts w:hint="eastAsia" w:asciiTheme="minorEastAsia" w:hAnsiTheme="minorEastAsia" w:eastAsiaTheme="minorEastAsia" w:cstheme="minorEastAsia"/>
          <w:bCs/>
          <w:sz w:val="24"/>
          <w:szCs w:val="24"/>
          <w:highlight w:val="none"/>
        </w:rPr>
        <w:t>、投标文件不得涂改和增删，如有修改</w:t>
      </w:r>
      <w:r>
        <w:rPr>
          <w:rFonts w:hint="eastAsia" w:asciiTheme="minorEastAsia" w:hAnsiTheme="minorEastAsia" w:eastAsiaTheme="minorEastAsia" w:cstheme="minorEastAsia"/>
          <w:bCs/>
          <w:sz w:val="24"/>
          <w:szCs w:val="24"/>
        </w:rPr>
        <w:t>错漏的地方，必须由法人代表或授权代表签字或盖章。</w:t>
      </w:r>
    </w:p>
    <w:p w14:paraId="22E389DD">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lang w:val="en-US" w:eastAsia="zh-CN"/>
        </w:rPr>
        <w:t>5</w:t>
      </w:r>
      <w:r>
        <w:rPr>
          <w:rFonts w:hint="eastAsia" w:asciiTheme="minorEastAsia" w:hAnsiTheme="minorEastAsia" w:eastAsiaTheme="minorEastAsia" w:cstheme="minorEastAsia"/>
          <w:bCs/>
          <w:sz w:val="24"/>
          <w:szCs w:val="24"/>
        </w:rPr>
        <w:t>、投标文件因字迹潦草或表达不清所引起的后果由投标人负责。</w:t>
      </w:r>
    </w:p>
    <w:p w14:paraId="5A405031">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九、付款方式</w:t>
      </w:r>
    </w:p>
    <w:p w14:paraId="0F962BF0">
      <w:pPr>
        <w:pStyle w:val="24"/>
        <w:spacing w:line="360" w:lineRule="auto"/>
        <w:ind w:left="660" w:leftChars="200" w:hanging="240" w:hangingChars="100"/>
        <w:rPr>
          <w:rFonts w:hint="eastAsia"/>
          <w:highlight w:val="none"/>
        </w:rPr>
      </w:pPr>
      <w:r>
        <w:rPr>
          <w:rFonts w:hint="eastAsia" w:hAnsi="宋体"/>
          <w:highlight w:val="none"/>
        </w:rPr>
        <w:t>⑴</w:t>
      </w:r>
      <w:r>
        <w:rPr>
          <w:rFonts w:hint="eastAsia"/>
          <w:highlight w:val="none"/>
        </w:rPr>
        <w:t>本次招标为公开招标，报价应为：</w:t>
      </w:r>
    </w:p>
    <w:p w14:paraId="191654E4">
      <w:pPr>
        <w:pStyle w:val="24"/>
        <w:spacing w:line="360" w:lineRule="auto"/>
        <w:ind w:firstLine="480" w:firstLineChars="200"/>
        <w:rPr>
          <w:rFonts w:hint="eastAsia"/>
          <w:highlight w:val="none"/>
        </w:rPr>
      </w:pPr>
      <w:r>
        <w:rPr>
          <w:rFonts w:hint="eastAsia"/>
          <w:highlight w:val="none"/>
        </w:rPr>
        <w:t>经与招标人或其指派的答疑人员充分沟通确认基础上，由投标人在满足招标人所提出的、与本项目所有相关环节有关的所有费用；</w:t>
      </w:r>
    </w:p>
    <w:p w14:paraId="1BC3FE32">
      <w:pPr>
        <w:pStyle w:val="24"/>
        <w:spacing w:line="360" w:lineRule="auto"/>
        <w:ind w:firstLine="480" w:firstLineChars="200"/>
        <w:rPr>
          <w:rFonts w:hint="eastAsia"/>
          <w:highlight w:val="none"/>
        </w:rPr>
      </w:pPr>
      <w:r>
        <w:rPr>
          <w:rFonts w:hint="eastAsia" w:hAnsi="宋体"/>
          <w:highlight w:val="none"/>
        </w:rPr>
        <w:t>⑵</w:t>
      </w:r>
      <w:r>
        <w:rPr>
          <w:rFonts w:hint="eastAsia"/>
          <w:highlight w:val="none"/>
        </w:rPr>
        <w:t>所有报价货币单位为：</w:t>
      </w:r>
      <w:r>
        <w:rPr>
          <w:rFonts w:hint="eastAsia"/>
          <w:highlight w:val="none"/>
          <w:lang w:val="en-US" w:eastAsia="zh-CN"/>
        </w:rPr>
        <w:t>万</w:t>
      </w:r>
      <w:r>
        <w:rPr>
          <w:rFonts w:hint="eastAsia"/>
          <w:highlight w:val="none"/>
        </w:rPr>
        <w:t>元（人民币），</w:t>
      </w:r>
      <w:r>
        <w:rPr>
          <w:rFonts w:hint="eastAsia"/>
          <w:b/>
          <w:bCs/>
          <w:highlight w:val="none"/>
        </w:rPr>
        <w:t>含税</w:t>
      </w:r>
      <w:r>
        <w:rPr>
          <w:rFonts w:hint="eastAsia"/>
          <w:highlight w:val="none"/>
        </w:rPr>
        <w:t>；</w:t>
      </w:r>
    </w:p>
    <w:p w14:paraId="77FDD41D">
      <w:pPr>
        <w:pStyle w:val="24"/>
        <w:keepNext w:val="0"/>
        <w:keepLines w:val="0"/>
        <w:pageBreakBefore w:val="0"/>
        <w:widowControl w:val="0"/>
        <w:kinsoku/>
        <w:wordWrap/>
        <w:topLinePunct w:val="0"/>
        <w:autoSpaceDE/>
        <w:autoSpaceDN/>
        <w:bidi w:val="0"/>
        <w:adjustRightInd w:val="0"/>
        <w:snapToGrid w:val="0"/>
        <w:spacing w:line="300" w:lineRule="auto"/>
        <w:ind w:firstLine="480" w:firstLineChars="200"/>
        <w:textAlignment w:val="auto"/>
        <w:rPr>
          <w:rFonts w:hint="eastAsia" w:asciiTheme="minorEastAsia" w:hAnsiTheme="minorEastAsia" w:eastAsiaTheme="minorEastAsia" w:cstheme="minorEastAsia"/>
          <w:color w:val="000000"/>
          <w:kern w:val="0"/>
          <w:sz w:val="24"/>
          <w:szCs w:val="24"/>
          <w:lang w:val="en-US" w:eastAsia="zh-CN" w:bidi="ar"/>
        </w:rPr>
      </w:pPr>
      <w:r>
        <w:rPr>
          <w:rFonts w:hint="eastAsia" w:hAnsi="宋体"/>
          <w:highlight w:val="none"/>
        </w:rPr>
        <w:t>⑶付款</w:t>
      </w:r>
      <w:r>
        <w:rPr>
          <w:rFonts w:hint="eastAsia"/>
          <w:highlight w:val="none"/>
        </w:rPr>
        <w:t>结算方式：</w:t>
      </w:r>
      <w:r>
        <w:rPr>
          <w:rFonts w:hint="eastAsia" w:asciiTheme="minorEastAsia" w:hAnsiTheme="minorEastAsia" w:eastAsiaTheme="minorEastAsia" w:cstheme="minorEastAsia"/>
          <w:b/>
          <w:bCs/>
          <w:color w:val="000000"/>
          <w:kern w:val="0"/>
          <w:sz w:val="24"/>
          <w:szCs w:val="24"/>
          <w:lang w:val="en-US" w:eastAsia="zh-CN" w:bidi="ar"/>
        </w:rPr>
        <w:t>半年期商业汇票(包括银行承兑汇票和商业承兑汇票)</w:t>
      </w:r>
    </w:p>
    <w:p w14:paraId="2572BC76">
      <w:pPr>
        <w:pStyle w:val="19"/>
        <w:keepNext w:val="0"/>
        <w:keepLines w:val="0"/>
        <w:pageBreakBefore w:val="0"/>
        <w:widowControl w:val="0"/>
        <w:kinsoku/>
        <w:wordWrap/>
        <w:topLinePunct w:val="0"/>
        <w:autoSpaceDE/>
        <w:autoSpaceDN/>
        <w:bidi w:val="0"/>
        <w:adjustRightInd w:val="0"/>
        <w:snapToGrid w:val="0"/>
        <w:spacing w:line="300" w:lineRule="auto"/>
        <w:ind w:left="273" w:right="150" w:firstLine="480" w:firstLineChars="200"/>
        <w:textAlignment w:val="auto"/>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A.设备全部到货后，中标人提供合同价款30%的增值税专用发票,经招标人依照财务制度审核通过后30日支付；</w:t>
      </w:r>
    </w:p>
    <w:p w14:paraId="64BA189A">
      <w:pPr>
        <w:pStyle w:val="19"/>
        <w:keepNext w:val="0"/>
        <w:keepLines w:val="0"/>
        <w:pageBreakBefore w:val="0"/>
        <w:widowControl w:val="0"/>
        <w:kinsoku/>
        <w:wordWrap/>
        <w:topLinePunct w:val="0"/>
        <w:autoSpaceDE/>
        <w:autoSpaceDN/>
        <w:bidi w:val="0"/>
        <w:adjustRightInd w:val="0"/>
        <w:snapToGrid w:val="0"/>
        <w:spacing w:line="300" w:lineRule="auto"/>
        <w:ind w:left="273" w:right="149" w:firstLine="480" w:firstLineChars="200"/>
        <w:textAlignment w:val="auto"/>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B. 设备验收合格后，中标人提供合同价款70%的增值税专用发 票,经招标人依照财务制度审核通过后30日支付合同价款的60%；</w:t>
      </w:r>
    </w:p>
    <w:p w14:paraId="026F300A">
      <w:pPr>
        <w:pStyle w:val="19"/>
        <w:keepNext w:val="0"/>
        <w:keepLines w:val="0"/>
        <w:pageBreakBefore w:val="0"/>
        <w:widowControl w:val="0"/>
        <w:kinsoku/>
        <w:wordWrap/>
        <w:topLinePunct w:val="0"/>
        <w:autoSpaceDE/>
        <w:autoSpaceDN/>
        <w:bidi w:val="0"/>
        <w:adjustRightInd w:val="0"/>
        <w:snapToGrid w:val="0"/>
        <w:spacing w:line="300" w:lineRule="auto"/>
        <w:ind w:left="283" w:firstLine="480" w:firstLineChars="200"/>
        <w:textAlignment w:val="auto"/>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C.合同总价款的10%作为本合同约定设备的质量保证金，质量保证金在质量保证期内不计利息。质保期届满后支付。</w:t>
      </w:r>
    </w:p>
    <w:p w14:paraId="47C9794E">
      <w:pPr>
        <w:pStyle w:val="24"/>
        <w:keepNext w:val="0"/>
        <w:keepLines w:val="0"/>
        <w:pageBreakBefore w:val="0"/>
        <w:widowControl w:val="0"/>
        <w:kinsoku/>
        <w:wordWrap/>
        <w:topLinePunct w:val="0"/>
        <w:autoSpaceDE/>
        <w:autoSpaceDN/>
        <w:bidi w:val="0"/>
        <w:adjustRightInd w:val="0"/>
        <w:snapToGrid w:val="0"/>
        <w:spacing w:line="300" w:lineRule="auto"/>
        <w:ind w:firstLine="482" w:firstLineChars="200"/>
        <w:textAlignment w:val="auto"/>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具体以双方最终签署的合同为准。</w:t>
      </w:r>
    </w:p>
    <w:p w14:paraId="128C40A5">
      <w:pPr>
        <w:pStyle w:val="24"/>
        <w:keepNext w:val="0"/>
        <w:keepLines w:val="0"/>
        <w:pageBreakBefore w:val="0"/>
        <w:widowControl w:val="0"/>
        <w:kinsoku/>
        <w:wordWrap/>
        <w:topLinePunct w:val="0"/>
        <w:bidi w:val="0"/>
        <w:adjustRightInd w:val="0"/>
        <w:snapToGrid w:val="0"/>
        <w:spacing w:line="300" w:lineRule="auto"/>
        <w:ind w:firstLine="480" w:firstLineChars="200"/>
        <w:textAlignment w:val="auto"/>
        <w:rPr>
          <w:rFonts w:hint="default" w:hAnsi="宋体"/>
          <w:highlight w:val="none"/>
          <w:lang w:val="en-US" w:eastAsia="zh-CN"/>
        </w:rPr>
      </w:pPr>
      <w:r>
        <w:rPr>
          <w:rFonts w:hint="eastAsia" w:hAnsi="宋体"/>
          <w:highlight w:val="none"/>
          <w:lang w:eastAsia="zh-CN"/>
        </w:rPr>
        <w:t>（</w:t>
      </w:r>
      <w:r>
        <w:rPr>
          <w:rFonts w:hint="eastAsia" w:hAnsi="宋体"/>
          <w:highlight w:val="none"/>
          <w:lang w:val="en-US" w:eastAsia="zh-CN"/>
        </w:rPr>
        <w:t>4</w:t>
      </w:r>
      <w:r>
        <w:rPr>
          <w:rFonts w:hint="eastAsia" w:hAnsi="宋体"/>
          <w:highlight w:val="none"/>
          <w:lang w:eastAsia="zh-CN"/>
        </w:rPr>
        <w:t>）</w:t>
      </w:r>
      <w:r>
        <w:rPr>
          <w:rFonts w:hint="eastAsia" w:hAnsi="宋体"/>
          <w:highlight w:val="none"/>
          <w:lang w:val="en-US" w:eastAsia="zh-CN"/>
        </w:rPr>
        <w:t>项目限价：含税15.86万元，超过投标限价无法投标。</w:t>
      </w:r>
    </w:p>
    <w:p w14:paraId="0D771EB5">
      <w:pPr>
        <w:pStyle w:val="57"/>
        <w:keepNext w:val="0"/>
        <w:keepLines w:val="0"/>
        <w:pageBreakBefore w:val="0"/>
        <w:widowControl w:val="0"/>
        <w:kinsoku/>
        <w:wordWrap/>
        <w:overflowPunct/>
        <w:topLinePunct w:val="0"/>
        <w:autoSpaceDE w:val="0"/>
        <w:autoSpaceDN w:val="0"/>
        <w:bidi w:val="0"/>
        <w:adjustRightInd w:val="0"/>
        <w:snapToGrid w:val="0"/>
        <w:spacing w:line="300" w:lineRule="auto"/>
        <w:ind w:firstLine="482" w:firstLineChars="200"/>
        <w:textAlignment w:val="auto"/>
        <w:rPr>
          <w:rFonts w:hint="default" w:asciiTheme="minorEastAsia" w:hAnsiTheme="minorEastAsia" w:eastAsiaTheme="minorEastAsia" w:cstheme="minorEastAsia"/>
          <w:b/>
          <w:bCs w:val="0"/>
          <w:color w:val="auto"/>
          <w:kern w:val="2"/>
          <w:sz w:val="24"/>
          <w:szCs w:val="24"/>
          <w:highlight w:val="none"/>
          <w:lang w:val="en-US" w:eastAsia="zh-CN" w:bidi="ar-SA"/>
        </w:rPr>
      </w:pPr>
      <w:r>
        <w:rPr>
          <w:rFonts w:hint="eastAsia" w:asciiTheme="minorEastAsia" w:hAnsiTheme="minorEastAsia" w:eastAsiaTheme="minorEastAsia" w:cstheme="minorEastAsia"/>
          <w:b/>
          <w:bCs w:val="0"/>
          <w:color w:val="auto"/>
          <w:kern w:val="2"/>
          <w:sz w:val="24"/>
          <w:szCs w:val="24"/>
          <w:highlight w:val="none"/>
          <w:lang w:val="en-US" w:eastAsia="zh-CN" w:bidi="ar-SA"/>
        </w:rPr>
        <w:t>注：付款方式和付款比例不允许偏离。</w:t>
      </w:r>
    </w:p>
    <w:p w14:paraId="34F2058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十、投标保证金</w:t>
      </w:r>
    </w:p>
    <w:p w14:paraId="491AFF5D">
      <w:pPr>
        <w:pStyle w:val="151"/>
        <w:numPr>
          <w:ilvl w:val="0"/>
          <w:numId w:val="6"/>
        </w:numPr>
        <w:tabs>
          <w:tab w:val="left" w:pos="454"/>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eastAsia="宋体" w:cs="宋体"/>
          <w:b/>
          <w:bCs/>
          <w:sz w:val="24"/>
          <w:szCs w:val="24"/>
          <w:highlight w:val="none"/>
        </w:rPr>
        <w:t>投标保证金的缴纳形式：</w:t>
      </w:r>
      <w:r>
        <w:rPr>
          <w:rFonts w:hint="eastAsia" w:ascii="宋体" w:hAnsi="宋体" w:eastAsia="宋体" w:cs="宋体"/>
          <w:sz w:val="24"/>
          <w:szCs w:val="24"/>
          <w:highlight w:val="none"/>
          <w:lang w:val="en-US" w:eastAsia="zh-CN"/>
        </w:rPr>
        <w:t>银行基本账户转账</w:t>
      </w:r>
      <w:r>
        <w:rPr>
          <w:rFonts w:hint="eastAsia" w:asciiTheme="minorEastAsia" w:hAnsiTheme="minorEastAsia" w:eastAsiaTheme="minorEastAsia" w:cstheme="minorEastAsia"/>
          <w:color w:val="000000"/>
          <w:sz w:val="24"/>
          <w:szCs w:val="24"/>
        </w:rPr>
        <w:t>。</w:t>
      </w:r>
    </w:p>
    <w:p w14:paraId="14301353">
      <w:pPr>
        <w:pStyle w:val="151"/>
        <w:keepNext w:val="0"/>
        <w:keepLines w:val="0"/>
        <w:pageBreakBefore w:val="0"/>
        <w:widowControl w:val="0"/>
        <w:numPr>
          <w:ilvl w:val="0"/>
          <w:numId w:val="6"/>
        </w:numPr>
        <w:tabs>
          <w:tab w:val="left" w:pos="454"/>
        </w:tabs>
        <w:kinsoku/>
        <w:wordWrap/>
        <w:overflowPunct/>
        <w:topLinePunct w:val="0"/>
        <w:autoSpaceDE/>
        <w:autoSpaceDN/>
        <w:bidi w:val="0"/>
        <w:adjustRightInd/>
        <w:snapToGrid w:val="0"/>
        <w:spacing w:line="360" w:lineRule="auto"/>
        <w:ind w:firstLine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w:t>
      </w:r>
      <w:r>
        <w:rPr>
          <w:rFonts w:hint="eastAsia" w:asciiTheme="minorEastAsia" w:hAnsiTheme="minorEastAsia" w:eastAsiaTheme="minorEastAsia" w:cstheme="minorEastAsia"/>
          <w:color w:val="000000"/>
          <w:sz w:val="24"/>
          <w:szCs w:val="24"/>
          <w:lang w:val="en-US" w:eastAsia="zh-CN"/>
        </w:rPr>
        <w:t>缴纳截止</w:t>
      </w:r>
      <w:r>
        <w:rPr>
          <w:rFonts w:hint="eastAsia" w:asciiTheme="minorEastAsia" w:hAnsiTheme="minorEastAsia" w:eastAsiaTheme="minorEastAsia" w:cstheme="minorEastAsia"/>
          <w:color w:val="000000"/>
          <w:sz w:val="24"/>
          <w:szCs w:val="24"/>
        </w:rPr>
        <w:t>时间</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b/>
          <w:bCs/>
          <w:color w:val="000000"/>
          <w:sz w:val="24"/>
          <w:szCs w:val="24"/>
          <w:highlight w:val="yellow"/>
          <w:u w:val="single"/>
        </w:rPr>
        <w:t>202</w:t>
      </w:r>
      <w:r>
        <w:rPr>
          <w:rFonts w:hint="eastAsia" w:asciiTheme="minorEastAsia" w:hAnsiTheme="minorEastAsia" w:eastAsiaTheme="minorEastAsia" w:cstheme="minorEastAsia"/>
          <w:b/>
          <w:bCs/>
          <w:color w:val="000000"/>
          <w:sz w:val="24"/>
          <w:szCs w:val="24"/>
          <w:highlight w:val="yellow"/>
          <w:u w:val="single"/>
          <w:lang w:val="en-US" w:eastAsia="zh-CN"/>
        </w:rPr>
        <w:t>6</w:t>
      </w:r>
      <w:bookmarkStart w:id="32" w:name="_GoBack"/>
      <w:bookmarkEnd w:id="32"/>
      <w:r>
        <w:rPr>
          <w:rFonts w:hint="eastAsia" w:asciiTheme="minorEastAsia" w:hAnsiTheme="minorEastAsia" w:eastAsiaTheme="minorEastAsia" w:cstheme="minorEastAsia"/>
          <w:b/>
          <w:bCs/>
          <w:color w:val="000000"/>
          <w:sz w:val="24"/>
          <w:szCs w:val="24"/>
          <w:highlight w:val="yellow"/>
          <w:u w:val="single"/>
        </w:rPr>
        <w:t>年</w:t>
      </w:r>
      <w:r>
        <w:rPr>
          <w:rFonts w:hint="eastAsia" w:asciiTheme="minorEastAsia" w:hAnsiTheme="minorEastAsia" w:eastAsiaTheme="minorEastAsia" w:cstheme="minorEastAsia"/>
          <w:b/>
          <w:bCs/>
          <w:color w:val="000000"/>
          <w:sz w:val="24"/>
          <w:szCs w:val="24"/>
          <w:highlight w:val="yellow"/>
          <w:u w:val="single"/>
          <w:lang w:val="en-US" w:eastAsia="zh-CN"/>
        </w:rPr>
        <w:t>1</w:t>
      </w:r>
      <w:r>
        <w:rPr>
          <w:rFonts w:hint="eastAsia" w:asciiTheme="minorEastAsia" w:hAnsiTheme="minorEastAsia" w:eastAsiaTheme="minorEastAsia" w:cstheme="minorEastAsia"/>
          <w:b/>
          <w:bCs/>
          <w:color w:val="000000"/>
          <w:sz w:val="24"/>
          <w:szCs w:val="24"/>
          <w:highlight w:val="yellow"/>
          <w:u w:val="single"/>
        </w:rPr>
        <w:t>月</w:t>
      </w:r>
      <w:r>
        <w:rPr>
          <w:rFonts w:hint="eastAsia" w:asciiTheme="minorEastAsia" w:hAnsiTheme="minorEastAsia" w:eastAsiaTheme="minorEastAsia" w:cstheme="minorEastAsia"/>
          <w:b/>
          <w:bCs/>
          <w:color w:val="000000"/>
          <w:sz w:val="24"/>
          <w:szCs w:val="24"/>
          <w:highlight w:val="yellow"/>
          <w:u w:val="single"/>
          <w:lang w:val="en-US" w:eastAsia="zh-CN"/>
        </w:rPr>
        <w:t>5</w:t>
      </w:r>
      <w:r>
        <w:rPr>
          <w:rFonts w:hint="eastAsia" w:asciiTheme="minorEastAsia" w:hAnsiTheme="minorEastAsia" w:eastAsiaTheme="minorEastAsia" w:cstheme="minorEastAsia"/>
          <w:b/>
          <w:bCs/>
          <w:color w:val="000000"/>
          <w:sz w:val="24"/>
          <w:szCs w:val="24"/>
          <w:highlight w:val="yellow"/>
          <w:u w:val="single"/>
        </w:rPr>
        <w:t>日</w:t>
      </w:r>
      <w:r>
        <w:rPr>
          <w:rFonts w:hint="eastAsia" w:asciiTheme="minorEastAsia" w:hAnsiTheme="minorEastAsia" w:eastAsiaTheme="minorEastAsia" w:cstheme="minorEastAsia"/>
          <w:b/>
          <w:bCs/>
          <w:color w:val="000000"/>
          <w:sz w:val="24"/>
          <w:szCs w:val="24"/>
          <w:highlight w:val="yellow"/>
          <w:u w:val="single"/>
          <w:lang w:val="en-US" w:eastAsia="zh-CN"/>
        </w:rPr>
        <w:t>9</w:t>
      </w:r>
      <w:r>
        <w:rPr>
          <w:rFonts w:hint="eastAsia" w:asciiTheme="minorEastAsia" w:hAnsiTheme="minorEastAsia" w:eastAsiaTheme="minorEastAsia" w:cstheme="minorEastAsia"/>
          <w:b/>
          <w:bCs/>
          <w:color w:val="000000"/>
          <w:sz w:val="24"/>
          <w:szCs w:val="24"/>
          <w:highlight w:val="yellow"/>
          <w:u w:val="single"/>
        </w:rPr>
        <w:t xml:space="preserve">:00 </w:t>
      </w:r>
      <w:r>
        <w:rPr>
          <w:rFonts w:hint="eastAsia" w:asciiTheme="minorEastAsia" w:hAnsiTheme="minorEastAsia" w:eastAsiaTheme="minorEastAsia" w:cstheme="minorEastAsia"/>
          <w:b/>
          <w:color w:val="000000"/>
          <w:sz w:val="24"/>
          <w:szCs w:val="24"/>
          <w:highlight w:val="yellow"/>
          <w:u w:val="single"/>
        </w:rPr>
        <w:t>。</w:t>
      </w:r>
      <w:r>
        <w:rPr>
          <w:rFonts w:hint="eastAsia" w:asciiTheme="minorEastAsia" w:hAnsiTheme="minorEastAsia" w:eastAsiaTheme="minorEastAsia" w:cstheme="minorEastAsia"/>
          <w:b w:val="0"/>
          <w:bCs/>
          <w:color w:val="000000"/>
          <w:sz w:val="24"/>
          <w:szCs w:val="24"/>
          <w:highlight w:val="none"/>
          <w:u w:val="single"/>
          <w:lang w:val="en-US" w:eastAsia="zh-CN"/>
        </w:rPr>
        <w:t>投标方</w:t>
      </w:r>
      <w:r>
        <w:rPr>
          <w:rFonts w:hint="eastAsia" w:ascii="宋体" w:hAnsi="宋体" w:cs="宋体"/>
          <w:sz w:val="24"/>
          <w:szCs w:val="24"/>
          <w:highlight w:val="none"/>
        </w:rPr>
        <w:t>应充分考虑银行信息交换时间，由此带来的保证金不能按时到帐的责任由</w:t>
      </w:r>
      <w:r>
        <w:rPr>
          <w:rFonts w:hint="eastAsia" w:ascii="宋体" w:hAnsi="宋体" w:cs="宋体"/>
          <w:sz w:val="24"/>
          <w:szCs w:val="24"/>
          <w:highlight w:val="none"/>
          <w:lang w:val="en-US" w:eastAsia="zh-CN"/>
        </w:rPr>
        <w:t>投标方</w:t>
      </w:r>
      <w:r>
        <w:rPr>
          <w:rFonts w:hint="eastAsia" w:ascii="宋体" w:hAnsi="宋体" w:cs="宋体"/>
          <w:sz w:val="24"/>
          <w:szCs w:val="24"/>
          <w:highlight w:val="none"/>
        </w:rPr>
        <w:t>自行承担。</w:t>
      </w:r>
    </w:p>
    <w:p w14:paraId="01266C7C">
      <w:pPr>
        <w:keepNext w:val="0"/>
        <w:keepLines w:val="0"/>
        <w:pageBreakBefore w:val="0"/>
        <w:widowControl w:val="0"/>
        <w:tabs>
          <w:tab w:val="left" w:pos="932"/>
        </w:tabs>
        <w:kinsoku/>
        <w:wordWrap/>
        <w:overflowPunct/>
        <w:topLinePunct w:val="0"/>
        <w:autoSpaceDE/>
        <w:autoSpaceDN/>
        <w:bidi w:val="0"/>
        <w:adjustRightInd/>
        <w:spacing w:line="360" w:lineRule="auto"/>
        <w:ind w:firstLine="482" w:firstLineChars="200"/>
        <w:textAlignment w:val="auto"/>
        <w:rPr>
          <w:rFonts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b w:val="0"/>
          <w:bCs w:val="0"/>
          <w:sz w:val="24"/>
          <w:szCs w:val="24"/>
          <w:highlight w:val="yellow"/>
        </w:rPr>
        <w:t>人民币</w:t>
      </w:r>
      <w:r>
        <w:rPr>
          <w:rFonts w:hint="eastAsia" w:ascii="宋体" w:hAnsi="宋体" w:cs="宋体"/>
          <w:b w:val="0"/>
          <w:bCs w:val="0"/>
          <w:sz w:val="24"/>
          <w:szCs w:val="24"/>
          <w:highlight w:val="yellow"/>
          <w:lang w:val="en-US" w:eastAsia="zh-CN"/>
        </w:rPr>
        <w:t>5</w:t>
      </w:r>
      <w:r>
        <w:rPr>
          <w:rFonts w:hint="eastAsia" w:ascii="宋体" w:hAnsi="宋体" w:eastAsia="宋体" w:cs="宋体"/>
          <w:b w:val="0"/>
          <w:bCs w:val="0"/>
          <w:sz w:val="24"/>
          <w:szCs w:val="24"/>
          <w:highlight w:val="yellow"/>
        </w:rPr>
        <w:t>000元</w:t>
      </w:r>
    </w:p>
    <w:p w14:paraId="3D4FC5E2">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单位名称：中国重汽集团济南动力有限公司</w:t>
      </w:r>
    </w:p>
    <w:p w14:paraId="0B1F02A0">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收款账号：37001616508050150300</w:t>
      </w:r>
    </w:p>
    <w:p w14:paraId="18B238D6">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开户行名称：中国建设银行股份有限公司济南天桥支行</w:t>
      </w:r>
    </w:p>
    <w:p w14:paraId="349D56FF">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开户行行号：105451000362</w:t>
      </w:r>
    </w:p>
    <w:p w14:paraId="1E137B95">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14:paraId="5C4359FB">
      <w:pPr>
        <w:pStyle w:val="151"/>
        <w:keepNext w:val="0"/>
        <w:keepLines w:val="0"/>
        <w:pageBreakBefore w:val="0"/>
        <w:widowControl w:val="0"/>
        <w:tabs>
          <w:tab w:val="left" w:pos="454"/>
          <w:tab w:val="left" w:pos="2433"/>
        </w:tabs>
        <w:kinsoku/>
        <w:wordWrap/>
        <w:overflowPunct/>
        <w:topLinePunct w:val="0"/>
        <w:autoSpaceDE/>
        <w:autoSpaceDN/>
        <w:bidi w:val="0"/>
        <w:adjustRightInd/>
        <w:snapToGrid w:val="0"/>
        <w:spacing w:line="360" w:lineRule="auto"/>
        <w:textAlignment w:val="auto"/>
        <w:rPr>
          <w:rFonts w:hint="eastAsia" w:asciiTheme="minorEastAsia" w:hAnsiTheme="minorEastAsia" w:eastAsiaTheme="minorEastAsia" w:cstheme="minorEastAsia"/>
          <w:color w:val="000000"/>
          <w:sz w:val="24"/>
          <w:szCs w:val="24"/>
        </w:rPr>
      </w:pPr>
      <w:r>
        <w:rPr>
          <w:rFonts w:hint="eastAsia" w:eastAsia="宋体" w:cs="Times New Roman"/>
          <w:sz w:val="24"/>
          <w:szCs w:val="28"/>
          <w:highlight w:val="none"/>
        </w:rPr>
        <w:t>转账附言：</w:t>
      </w:r>
      <w:r>
        <w:rPr>
          <w:rFonts w:hint="eastAsia" w:eastAsia="宋体" w:cs="Times New Roman"/>
          <w:b/>
          <w:bCs/>
          <w:sz w:val="24"/>
          <w:szCs w:val="28"/>
          <w:highlight w:val="none"/>
        </w:rPr>
        <w:t>公司名称+</w:t>
      </w:r>
      <w:r>
        <w:rPr>
          <w:rFonts w:hint="eastAsia" w:eastAsia="宋体" w:cs="Times New Roman"/>
          <w:b/>
          <w:bCs/>
          <w:sz w:val="24"/>
          <w:szCs w:val="28"/>
          <w:highlight w:val="none"/>
          <w:lang w:val="en-US" w:eastAsia="zh-CN"/>
        </w:rPr>
        <w:t>项目</w:t>
      </w:r>
      <w:r>
        <w:rPr>
          <w:rFonts w:hint="eastAsia" w:cs="Times New Roman"/>
          <w:b/>
          <w:bCs/>
          <w:sz w:val="24"/>
          <w:szCs w:val="28"/>
          <w:highlight w:val="none"/>
          <w:lang w:val="en-US" w:eastAsia="zh-CN"/>
        </w:rPr>
        <w:t>名称+</w:t>
      </w:r>
      <w:r>
        <w:rPr>
          <w:rFonts w:hint="eastAsia" w:eastAsia="宋体" w:cs="Times New Roman"/>
          <w:b/>
          <w:bCs/>
          <w:sz w:val="24"/>
          <w:szCs w:val="28"/>
          <w:highlight w:val="none"/>
        </w:rPr>
        <w:t>投标保证金</w:t>
      </w:r>
      <w:r>
        <w:rPr>
          <w:rFonts w:hint="eastAsia" w:eastAsia="宋体" w:cs="Times New Roman"/>
          <w:sz w:val="24"/>
          <w:szCs w:val="28"/>
          <w:highlight w:val="none"/>
        </w:rPr>
        <w:t>。</w:t>
      </w:r>
    </w:p>
    <w:p w14:paraId="0C755D3A">
      <w:pPr>
        <w:pStyle w:val="151"/>
        <w:numPr>
          <w:ilvl w:val="0"/>
          <w:numId w:val="6"/>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投标保证金的退还</w:t>
      </w:r>
    </w:p>
    <w:p w14:paraId="05EAF43D">
      <w:pPr>
        <w:pStyle w:val="151"/>
        <w:numPr>
          <w:ilvl w:val="0"/>
          <w:numId w:val="7"/>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cs="宋体"/>
          <w:sz w:val="24"/>
          <w:szCs w:val="24"/>
          <w:highlight w:val="none"/>
        </w:rPr>
        <w:t>对于没有中标的投标人，投标保证金将于招标人内部完成中标人评审并确认最终中标人后在</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内予以原路返还（无息）；对于中标方，投标保证金将在签订合同后</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内原路返还（无息）。</w:t>
      </w:r>
    </w:p>
    <w:p w14:paraId="32B77242">
      <w:pPr>
        <w:pStyle w:val="229"/>
        <w:ind w:left="0" w:leftChars="0" w:firstLine="0" w:firstLineChars="0"/>
        <w:rPr>
          <w:rFonts w:eastAsia="宋体" w:cs="宋体"/>
          <w:highlight w:val="none"/>
        </w:rPr>
      </w:pPr>
      <w:r>
        <w:rPr>
          <w:rFonts w:hint="eastAsia" w:eastAsia="宋体" w:cs="宋体"/>
          <w:highlight w:val="none"/>
          <w:lang w:val="en-US" w:eastAsia="zh-CN"/>
        </w:rPr>
        <w:t>4.</w:t>
      </w:r>
      <w:r>
        <w:rPr>
          <w:rFonts w:hint="eastAsia" w:eastAsia="宋体" w:cs="宋体"/>
          <w:highlight w:val="none"/>
        </w:rPr>
        <w:t>发生以下情况时，招标人有权没收保证金：</w:t>
      </w:r>
    </w:p>
    <w:p w14:paraId="42A715F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1</w:t>
      </w:r>
      <w:r>
        <w:rPr>
          <w:rFonts w:hint="eastAsia" w:eastAsia="宋体" w:cs="宋体"/>
          <w:highlight w:val="none"/>
          <w:lang w:eastAsia="zh-CN"/>
        </w:rPr>
        <w:t>）</w:t>
      </w:r>
      <w:r>
        <w:rPr>
          <w:rFonts w:hint="eastAsia" w:eastAsia="宋体" w:cs="宋体"/>
          <w:highlight w:val="none"/>
        </w:rPr>
        <w:t xml:space="preserve"> 截至开标前3天，投标人无正当理由且未以书面形式递交说明而在投标截止日不来投标的；</w:t>
      </w:r>
    </w:p>
    <w:p w14:paraId="1F032D61">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2</w:t>
      </w:r>
      <w:r>
        <w:rPr>
          <w:rFonts w:hint="eastAsia" w:eastAsia="宋体" w:cs="宋体"/>
          <w:highlight w:val="none"/>
          <w:lang w:eastAsia="zh-CN"/>
        </w:rPr>
        <w:t>）</w:t>
      </w:r>
      <w:r>
        <w:rPr>
          <w:rFonts w:hint="eastAsia" w:eastAsia="宋体" w:cs="宋体"/>
          <w:highlight w:val="none"/>
        </w:rPr>
        <w:t>投标人递送投标文件后，无正当理由放弃投标的；</w:t>
      </w:r>
    </w:p>
    <w:p w14:paraId="57F0AAFE">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3</w:t>
      </w:r>
      <w:r>
        <w:rPr>
          <w:rFonts w:hint="eastAsia" w:eastAsia="宋体" w:cs="宋体"/>
          <w:highlight w:val="none"/>
          <w:lang w:eastAsia="zh-CN"/>
        </w:rPr>
        <w:t>）</w:t>
      </w:r>
      <w:r>
        <w:rPr>
          <w:rFonts w:hint="eastAsia" w:eastAsia="宋体" w:cs="宋体"/>
          <w:highlight w:val="none"/>
        </w:rPr>
        <w:t>若为视频开标，招标过程中澄清函等资料原件未按要求提交的；</w:t>
      </w:r>
    </w:p>
    <w:p w14:paraId="46DCBA6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4</w:t>
      </w:r>
      <w:r>
        <w:rPr>
          <w:rFonts w:hint="eastAsia" w:eastAsia="宋体" w:cs="宋体"/>
          <w:highlight w:val="none"/>
          <w:lang w:eastAsia="zh-CN"/>
        </w:rPr>
        <w:t>）</w:t>
      </w:r>
      <w:r>
        <w:rPr>
          <w:rFonts w:hint="eastAsia" w:eastAsia="宋体" w:cs="宋体"/>
          <w:highlight w:val="none"/>
        </w:rPr>
        <w:t>4自中标通知书发出之日起30日内，中标人无正当理由不签订合同的；</w:t>
      </w:r>
    </w:p>
    <w:p w14:paraId="1CE8AD82">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5</w:t>
      </w:r>
      <w:r>
        <w:rPr>
          <w:rFonts w:hint="eastAsia" w:eastAsia="宋体" w:cs="宋体"/>
          <w:highlight w:val="none"/>
          <w:lang w:eastAsia="zh-CN"/>
        </w:rPr>
        <w:t>）</w:t>
      </w:r>
      <w:r>
        <w:rPr>
          <w:rFonts w:hint="eastAsia" w:eastAsia="宋体" w:cs="宋体"/>
          <w:highlight w:val="none"/>
        </w:rPr>
        <w:t>投标人在投标过程中被查实有串标、围标、陪标等违规违纪行为的；</w:t>
      </w:r>
    </w:p>
    <w:p w14:paraId="46D6A965">
      <w:pPr>
        <w:pStyle w:val="229"/>
        <w:spacing w:line="360" w:lineRule="auto"/>
        <w:ind w:firstLine="480"/>
        <w:rPr>
          <w:rFonts w:hint="eastAsia" w:ascii="宋体" w:hAnsi="宋体" w:eastAsia="宋体" w:cs="宋体"/>
          <w:color w:val="000000"/>
          <w:sz w:val="24"/>
          <w:szCs w:val="24"/>
          <w:highlight w:val="none"/>
        </w:rPr>
      </w:pPr>
      <w:r>
        <w:rPr>
          <w:rFonts w:hint="eastAsia" w:eastAsia="宋体" w:cs="宋体"/>
          <w:color w:val="000000"/>
          <w:sz w:val="24"/>
          <w:szCs w:val="24"/>
          <w:highlight w:val="none"/>
          <w:lang w:eastAsia="zh-CN"/>
        </w:rPr>
        <w:t>（</w:t>
      </w:r>
      <w:r>
        <w:rPr>
          <w:rFonts w:hint="eastAsia" w:eastAsia="宋体" w:cs="宋体"/>
          <w:color w:val="000000"/>
          <w:sz w:val="24"/>
          <w:szCs w:val="24"/>
          <w:highlight w:val="none"/>
          <w:lang w:val="en-US" w:eastAsia="zh-CN"/>
        </w:rPr>
        <w:t>6</w:t>
      </w:r>
      <w:r>
        <w:rPr>
          <w:rFonts w:hint="eastAsia" w:eastAsia="宋体" w:cs="宋体"/>
          <w:color w:val="000000"/>
          <w:sz w:val="24"/>
          <w:szCs w:val="24"/>
          <w:highlight w:val="none"/>
          <w:lang w:eastAsia="zh-CN"/>
        </w:rPr>
        <w:t>）</w:t>
      </w:r>
      <w:r>
        <w:rPr>
          <w:rFonts w:hint="eastAsia" w:ascii="宋体" w:hAnsi="宋体" w:eastAsia="宋体" w:cs="宋体"/>
          <w:color w:val="000000"/>
          <w:sz w:val="24"/>
          <w:szCs w:val="24"/>
          <w:highlight w:val="none"/>
        </w:rPr>
        <w:t>投标人有违约违规行为或被投诉、举报的，在调查处理期间，保证金暂不退还，待调查处理结束后按有关规定处理。</w:t>
      </w:r>
    </w:p>
    <w:p w14:paraId="3C1C317D">
      <w:pPr>
        <w:pStyle w:val="229"/>
        <w:spacing w:line="360" w:lineRule="auto"/>
        <w:ind w:firstLine="480"/>
        <w:rPr>
          <w:rFonts w:hint="eastAsia" w:ascii="宋体" w:hAnsi="宋体" w:eastAsia="宋体" w:cs="宋体"/>
          <w:sz w:val="24"/>
          <w:szCs w:val="24"/>
          <w:highlight w:val="none"/>
        </w:rPr>
      </w:pPr>
      <w:r>
        <w:rPr>
          <w:rFonts w:hint="eastAsia" w:eastAsia="宋体" w:cs="宋体"/>
          <w:sz w:val="24"/>
          <w:szCs w:val="24"/>
          <w:highlight w:val="none"/>
          <w:lang w:val="en-US" w:eastAsia="zh-CN"/>
        </w:rPr>
        <w:t>（7）</w:t>
      </w:r>
      <w:r>
        <w:rPr>
          <w:rFonts w:hint="eastAsia" w:ascii="宋体" w:hAnsi="宋体" w:eastAsia="宋体" w:cs="宋体"/>
          <w:color w:val="000000"/>
          <w:sz w:val="24"/>
          <w:szCs w:val="24"/>
          <w:highlight w:val="none"/>
        </w:rPr>
        <w:t>供应商与采购人、其他供应商或者采购代理机构恶意串通、围标、陪标的</w:t>
      </w:r>
      <w:r>
        <w:rPr>
          <w:rFonts w:hint="eastAsia" w:ascii="宋体" w:hAnsi="宋体" w:eastAsia="宋体" w:cs="宋体"/>
          <w:sz w:val="24"/>
          <w:szCs w:val="24"/>
          <w:highlight w:val="none"/>
        </w:rPr>
        <w:t>；</w:t>
      </w:r>
    </w:p>
    <w:p w14:paraId="5A2EA0D9">
      <w:pPr>
        <w:spacing w:line="360" w:lineRule="auto"/>
        <w:ind w:right="2"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（8）</w:t>
      </w:r>
      <w:r>
        <w:rPr>
          <w:rFonts w:hint="eastAsia" w:ascii="宋体" w:hAnsi="宋体" w:eastAsia="宋体" w:cs="宋体"/>
          <w:color w:val="000000"/>
          <w:sz w:val="24"/>
          <w:szCs w:val="24"/>
          <w:highlight w:val="none"/>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14:paraId="65A1E946">
      <w:pPr>
        <w:spacing w:line="360" w:lineRule="auto"/>
        <w:ind w:right="2" w:firstLine="480" w:firstLineChars="200"/>
        <w:rPr>
          <w:rFonts w:hint="eastAsia" w:ascii="宋体" w:hAnsi="宋体" w:cs="宋体"/>
          <w:sz w:val="24"/>
          <w:szCs w:val="24"/>
          <w:highlight w:val="none"/>
        </w:rPr>
      </w:pPr>
      <w:r>
        <w:rPr>
          <w:rFonts w:hint="eastAsia" w:ascii="宋体" w:hAnsi="宋体" w:cs="宋体"/>
          <w:color w:val="000000"/>
          <w:sz w:val="24"/>
          <w:szCs w:val="24"/>
          <w:highlight w:val="none"/>
          <w:lang w:val="en-US" w:eastAsia="zh-CN"/>
        </w:rPr>
        <w:t>（9）</w:t>
      </w:r>
      <w:r>
        <w:rPr>
          <w:rFonts w:hint="eastAsia" w:ascii="宋体" w:hAnsi="宋体" w:eastAsia="宋体" w:cs="宋体"/>
          <w:color w:val="000000"/>
          <w:sz w:val="24"/>
          <w:szCs w:val="24"/>
          <w:highlight w:val="none"/>
        </w:rPr>
        <w:t>采购文件规定的其他情形。</w:t>
      </w:r>
    </w:p>
    <w:p w14:paraId="20D7D000">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一</w:t>
      </w:r>
      <w:r>
        <w:rPr>
          <w:rFonts w:hint="eastAsia" w:asciiTheme="minorEastAsia" w:hAnsiTheme="minorEastAsia" w:eastAsiaTheme="minorEastAsia" w:cstheme="minorEastAsia"/>
          <w:b/>
          <w:sz w:val="24"/>
          <w:szCs w:val="24"/>
        </w:rPr>
        <w:t>、中标</w:t>
      </w:r>
    </w:p>
    <w:p w14:paraId="3E8C097B">
      <w:pPr>
        <w:pStyle w:val="151"/>
        <w:numPr>
          <w:ilvl w:val="0"/>
          <w:numId w:val="8"/>
        </w:numPr>
        <w:adjustRightInd w:val="0"/>
        <w:snapToGrid w:val="0"/>
        <w:spacing w:line="360" w:lineRule="auto"/>
        <w:ind w:left="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评标定标后，招标人将以</w:t>
      </w:r>
      <w:r>
        <w:rPr>
          <w:rFonts w:hint="eastAsia" w:asciiTheme="minorEastAsia" w:hAnsiTheme="minorEastAsia" w:eastAsiaTheme="minorEastAsia" w:cstheme="minorEastAsia"/>
          <w:sz w:val="24"/>
          <w:szCs w:val="24"/>
          <w:lang w:val="en-US" w:eastAsia="zh-CN"/>
        </w:rPr>
        <w:t>书面</w:t>
      </w:r>
      <w:r>
        <w:rPr>
          <w:rFonts w:hint="eastAsia" w:asciiTheme="minorEastAsia" w:hAnsiTheme="minorEastAsia" w:eastAsiaTheme="minorEastAsia" w:cstheme="minorEastAsia"/>
          <w:sz w:val="24"/>
          <w:szCs w:val="24"/>
        </w:rPr>
        <w:t>通知的形式通知中标单位。</w:t>
      </w:r>
    </w:p>
    <w:p w14:paraId="605836FD">
      <w:pPr>
        <w:pStyle w:val="151"/>
        <w:numPr>
          <w:ilvl w:val="0"/>
          <w:numId w:val="8"/>
        </w:numPr>
        <w:adjustRightInd w:val="0"/>
        <w:snapToGrid w:val="0"/>
        <w:spacing w:line="360" w:lineRule="auto"/>
        <w:ind w:left="420" w:firstLineChars="0"/>
        <w:jc w:val="left"/>
        <w:rPr>
          <w:rFonts w:hint="eastAsia"/>
        </w:rPr>
      </w:pPr>
      <w:r>
        <w:rPr>
          <w:rFonts w:hint="eastAsia" w:asciiTheme="minorEastAsia" w:hAnsiTheme="minorEastAsia" w:eastAsiaTheme="minorEastAsia" w:cstheme="minorEastAsia"/>
          <w:sz w:val="24"/>
          <w:szCs w:val="24"/>
        </w:rPr>
        <w:t>中标人收到中标通知后，应在30个工作日内与招标人签订合同，中标人无正当理由不与招标人订立合同，或在签订合同时向招标人提出附加条件，取消其中标资格。</w:t>
      </w:r>
    </w:p>
    <w:p w14:paraId="67556CA5">
      <w:pPr>
        <w:pStyle w:val="151"/>
        <w:numPr>
          <w:ilvl w:val="0"/>
          <w:numId w:val="8"/>
        </w:numPr>
        <w:adjustRightInd w:val="0"/>
        <w:snapToGrid w:val="0"/>
        <w:spacing w:line="360" w:lineRule="auto"/>
        <w:ind w:left="420" w:firstLineChars="0"/>
        <w:jc w:val="left"/>
        <w:rPr>
          <w:rFonts w:hint="eastAsia" w:asciiTheme="minorEastAsia" w:hAnsiTheme="minorEastAsia" w:eastAsiaTheme="minorEastAsia" w:cstheme="minorEastAsia"/>
          <w:b/>
          <w:sz w:val="24"/>
          <w:szCs w:val="24"/>
        </w:rPr>
      </w:pPr>
      <w:r>
        <w:rPr>
          <w:rFonts w:hint="eastAsia" w:ascii="Times New Roman" w:hAnsi="Times New Roman"/>
          <w:b/>
          <w:color w:val="FF0000"/>
        </w:rPr>
        <w:t>若投标人已成为意向中标人，投标人必须无条件配合招标人完成核价流程的工作。</w:t>
      </w:r>
    </w:p>
    <w:p w14:paraId="669188A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二</w:t>
      </w:r>
      <w:r>
        <w:rPr>
          <w:rFonts w:hint="eastAsia" w:asciiTheme="minorEastAsia" w:hAnsiTheme="minorEastAsia" w:eastAsiaTheme="minorEastAsia" w:cstheme="minorEastAsia"/>
          <w:b/>
          <w:sz w:val="24"/>
          <w:szCs w:val="24"/>
        </w:rPr>
        <w:t>、中标人瑕疵滞后发现的处理原则</w:t>
      </w:r>
    </w:p>
    <w:p w14:paraId="0047BD74">
      <w:pPr>
        <w:snapToGrid w:val="0"/>
        <w:spacing w:line="360" w:lineRule="auto"/>
        <w:ind w:firstLine="482" w:firstLineChars="20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无论基于何种原因，各项本应作为拒绝处理的情形，即便未被及时发现而使该中标人通过了资格审核、初评、现场复审、终评或其他所有相关程序，包括已签订合同，招标人有权取消其中标资格，一旦中标人被拒绝或该中标人此前的评议结果被取消，因招标产生的相关的费用以及一切损失均由中标人承担。已签订合同的，招标人有权单方解除合同，瑕疵中标人不得以此为由向招标人主张任何权利和请求。</w:t>
      </w:r>
    </w:p>
    <w:p w14:paraId="01E903F2">
      <w:pPr>
        <w:keepNext/>
        <w:keepLines/>
        <w:spacing w:line="360" w:lineRule="auto"/>
        <w:outlineLvl w:val="1"/>
        <w:rPr>
          <w:rFonts w:ascii="宋体" w:hAnsi="宋体" w:eastAsia="宋体" w:cs="宋体"/>
          <w:b/>
          <w:bCs/>
          <w:sz w:val="24"/>
          <w:szCs w:val="24"/>
          <w:highlight w:val="none"/>
        </w:rPr>
      </w:pPr>
      <w:r>
        <w:rPr>
          <w:rFonts w:hint="eastAsia" w:asciiTheme="minorEastAsia" w:hAnsiTheme="minorEastAsia" w:eastAsiaTheme="minorEastAsia" w:cstheme="minorEastAsia"/>
          <w:b/>
          <w:sz w:val="24"/>
          <w:szCs w:val="24"/>
          <w:u w:val="single"/>
        </w:rPr>
        <w:t>十</w:t>
      </w:r>
      <w:r>
        <w:rPr>
          <w:rFonts w:hint="eastAsia" w:asciiTheme="minorEastAsia" w:hAnsiTheme="minorEastAsia" w:eastAsiaTheme="minorEastAsia" w:cstheme="minorEastAsia"/>
          <w:b/>
          <w:sz w:val="24"/>
          <w:szCs w:val="24"/>
          <w:u w:val="single"/>
          <w:lang w:val="en-US" w:eastAsia="zh-CN"/>
        </w:rPr>
        <w:t>三</w:t>
      </w:r>
      <w:r>
        <w:rPr>
          <w:rFonts w:hint="eastAsia" w:asciiTheme="minorEastAsia" w:hAnsiTheme="minorEastAsia" w:eastAsiaTheme="minorEastAsia" w:cstheme="minorEastAsia"/>
          <w:b/>
          <w:sz w:val="24"/>
          <w:szCs w:val="24"/>
          <w:u w:val="single"/>
        </w:rPr>
        <w:t>、</w:t>
      </w:r>
      <w:r>
        <w:rPr>
          <w:rFonts w:hint="eastAsia" w:ascii="宋体" w:hAnsi="宋体" w:eastAsia="宋体" w:cs="宋体"/>
          <w:b/>
          <w:bCs/>
          <w:sz w:val="24"/>
          <w:szCs w:val="24"/>
          <w:highlight w:val="none"/>
        </w:rPr>
        <w:t>废标及终止招标</w:t>
      </w:r>
    </w:p>
    <w:p w14:paraId="44A3044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51766ED">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（1）投标人提供的有关资格、资质证明文件不合格、不真实或提供虚假投标材料；</w:t>
      </w:r>
    </w:p>
    <w:p w14:paraId="418FEDA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（2）投标人在报价有效期内撤回投标；</w:t>
      </w:r>
    </w:p>
    <w:p w14:paraId="722D8073">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（3）在整个评标过程中，投标人有企图影响评标结果公正性的任何活动；</w:t>
      </w:r>
    </w:p>
    <w:p w14:paraId="43312A9F">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（4）投标人以任何方式诋毁其他投标人；</w:t>
      </w:r>
    </w:p>
    <w:p w14:paraId="200465A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（5）投标人串通投标；</w:t>
      </w:r>
    </w:p>
    <w:p w14:paraId="60961DD1">
      <w:pPr>
        <w:pStyle w:val="24"/>
        <w:spacing w:line="360" w:lineRule="auto"/>
        <w:rPr>
          <w:rFonts w:hAnsi="宋体" w:eastAsia="宋体" w:cs="宋体"/>
          <w:sz w:val="24"/>
          <w:szCs w:val="24"/>
          <w:highlight w:val="none"/>
        </w:rPr>
      </w:pPr>
      <w:r>
        <w:rPr>
          <w:rFonts w:hint="eastAsia" w:hAnsi="宋体" w:eastAsia="宋体" w:cs="宋体"/>
          <w:color w:val="000000"/>
          <w:sz w:val="24"/>
          <w:szCs w:val="24"/>
          <w:highlight w:val="none"/>
        </w:rPr>
        <w:t xml:space="preserve">    （6）投标人被举报、检举，并经招标人查实无误的；</w:t>
      </w:r>
    </w:p>
    <w:p w14:paraId="5CFB61D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（7）以他人名义投标或者以其他方式弄虚作假，骗取中标的；</w:t>
      </w:r>
    </w:p>
    <w:p w14:paraId="6C60DD75">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（8）投标人负责人为同一人或者存在控股、管理关系的不同单位；</w:t>
      </w:r>
    </w:p>
    <w:p w14:paraId="04118637">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（9）有效投标不足三家；</w:t>
      </w:r>
    </w:p>
    <w:p w14:paraId="7E5ED1D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（10）未按要求填报商务报价资料，对招标开展造成较大影响；</w:t>
      </w:r>
    </w:p>
    <w:p w14:paraId="45E6A3B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sz w:val="24"/>
          <w:szCs w:val="24"/>
          <w:highlight w:val="none"/>
        </w:rPr>
        <w:t>1）未按照招标人规定的时间内在中国重汽e采通完成投标的；</w:t>
      </w:r>
    </w:p>
    <w:p w14:paraId="57E79D8A">
      <w:pPr>
        <w:pStyle w:val="24"/>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（12）不同投标人的投标文件异常一致；</w:t>
      </w:r>
    </w:p>
    <w:p w14:paraId="3FA4CD7E">
      <w:pPr>
        <w:pStyle w:val="24"/>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（13）投标报价呈规律性差异的；</w:t>
      </w:r>
    </w:p>
    <w:p w14:paraId="7430E91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hAnsi="宋体" w:eastAsia="宋体" w:cs="宋体"/>
          <w:color w:val="000000"/>
          <w:sz w:val="24"/>
          <w:szCs w:val="24"/>
          <w:highlight w:val="none"/>
        </w:rPr>
        <w:t>4</w:t>
      </w:r>
      <w:r>
        <w:rPr>
          <w:rFonts w:hint="eastAsia" w:ascii="宋体" w:hAnsi="宋体" w:eastAsia="宋体" w:cs="宋体"/>
          <w:color w:val="000000"/>
          <w:sz w:val="24"/>
          <w:szCs w:val="24"/>
          <w:highlight w:val="none"/>
        </w:rPr>
        <w:t>）法律、法规规定的其他情况。</w:t>
      </w:r>
    </w:p>
    <w:p w14:paraId="60183050">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2.出现下列情形之一，招标人有权否决所有投标人的投标，并终止招标。</w:t>
      </w:r>
    </w:p>
    <w:p w14:paraId="1B025717">
      <w:pPr>
        <w:spacing w:line="360" w:lineRule="auto"/>
        <w:ind w:right="2" w:firstLine="480" w:firstLineChars="200"/>
        <w:rPr>
          <w:rFonts w:ascii="宋体" w:hAnsi="宋体" w:eastAsia="宋体" w:cs="宋体"/>
          <w:b/>
          <w:sz w:val="24"/>
          <w:szCs w:val="24"/>
          <w:highlight w:val="none"/>
        </w:rPr>
      </w:pPr>
      <w:r>
        <w:rPr>
          <w:rFonts w:hint="eastAsia" w:ascii="宋体" w:hAnsi="宋体" w:eastAsia="宋体" w:cs="宋体"/>
          <w:sz w:val="24"/>
          <w:szCs w:val="24"/>
          <w:highlight w:val="none"/>
        </w:rPr>
        <w:t>（1）符合条件的投标人或者对招标文件做实质响应的投标人不足三家的；</w:t>
      </w:r>
    </w:p>
    <w:p w14:paraId="43D3C1A8">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14:paraId="2DB91BA1">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14:paraId="3165C1E9">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（4）因重大变故，采购任务取消的</w:t>
      </w:r>
      <w:bookmarkStart w:id="13" w:name="OLE_LINK28"/>
      <w:bookmarkStart w:id="14" w:name="OLE_LINK27"/>
      <w:bookmarkStart w:id="15" w:name="OLE_LINK26"/>
      <w:bookmarkStart w:id="16" w:name="OLE_LINK29"/>
      <w:bookmarkStart w:id="17" w:name="OLE_LINK25"/>
      <w:r>
        <w:rPr>
          <w:rFonts w:hint="eastAsia" w:ascii="宋体" w:hAnsi="宋体" w:eastAsia="宋体" w:cs="宋体"/>
          <w:bCs/>
          <w:sz w:val="24"/>
          <w:szCs w:val="24"/>
          <w:highlight w:val="none"/>
        </w:rPr>
        <w:t>；</w:t>
      </w:r>
      <w:bookmarkEnd w:id="13"/>
      <w:bookmarkEnd w:id="14"/>
      <w:bookmarkEnd w:id="15"/>
      <w:bookmarkEnd w:id="16"/>
      <w:bookmarkEnd w:id="17"/>
    </w:p>
    <w:p w14:paraId="27CCD9FE">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（5）投标人承诺同意由于招标人公司政策变化引起的随时终止项目的要求并承担由此带来的一切损失；</w:t>
      </w:r>
    </w:p>
    <w:p w14:paraId="78D3B0A6">
      <w:pPr>
        <w:pStyle w:val="24"/>
        <w:spacing w:line="360" w:lineRule="auto"/>
        <w:ind w:firstLine="480" w:firstLineChars="200"/>
        <w:rPr>
          <w:rFonts w:hAnsi="宋体" w:eastAsia="宋体" w:cs="宋体"/>
          <w:bCs/>
          <w:sz w:val="24"/>
          <w:szCs w:val="24"/>
          <w:highlight w:val="none"/>
        </w:rPr>
      </w:pPr>
      <w:r>
        <w:rPr>
          <w:rFonts w:hint="eastAsia" w:hAnsi="宋体" w:eastAsia="宋体" w:cs="宋体"/>
          <w:bCs/>
          <w:sz w:val="24"/>
          <w:szCs w:val="24"/>
          <w:highlight w:val="none"/>
        </w:rPr>
        <w:t>（6）招标人认为其他应终止招标的情形。</w:t>
      </w:r>
    </w:p>
    <w:p w14:paraId="31D63219">
      <w:pPr>
        <w:snapToGrid w:val="0"/>
        <w:spacing w:line="360" w:lineRule="auto"/>
        <w:jc w:val="left"/>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四</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val="en-US" w:eastAsia="zh-CN"/>
        </w:rPr>
        <w:t>本次招标最终解释权归中国重型汽车集团有限公司。</w:t>
      </w:r>
    </w:p>
    <w:p w14:paraId="78CE263F">
      <w:pPr>
        <w:pStyle w:val="234"/>
        <w:keepNext w:val="0"/>
        <w:keepLines w:val="0"/>
        <w:pageBreakBefore w:val="0"/>
        <w:widowControl w:val="0"/>
        <w:numPr>
          <w:ilvl w:val="0"/>
          <w:numId w:val="0"/>
        </w:numPr>
        <w:kinsoku/>
        <w:wordWrap/>
        <w:overflowPunct/>
        <w:topLinePunct w:val="0"/>
        <w:autoSpaceDE/>
        <w:autoSpaceDN/>
        <w:bidi w:val="0"/>
        <w:adjustRightInd/>
        <w:snapToGrid/>
        <w:ind w:leftChars="0" w:firstLine="482" w:firstLineChars="200"/>
        <w:textAlignment w:val="auto"/>
        <w:rPr>
          <w:rFonts w:hint="eastAsia" w:ascii="宋体" w:hAnsi="宋体" w:eastAsia="宋体" w:cs="宋体"/>
          <w:sz w:val="24"/>
          <w:szCs w:val="24"/>
          <w:lang w:val="en-US" w:eastAsia="zh-CN"/>
        </w:rPr>
      </w:pPr>
      <w:r>
        <w:rPr>
          <w:rFonts w:ascii="宋体" w:hAnsi="宋体" w:eastAsia="宋体" w:cs="宋体"/>
          <w:sz w:val="24"/>
          <w:szCs w:val="24"/>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4"/>
          <w:szCs w:val="24"/>
          <w:lang w:eastAsia="zh-CN"/>
        </w:rPr>
        <w:t>。</w:t>
      </w:r>
    </w:p>
    <w:p w14:paraId="43F23AEF">
      <w:pPr>
        <w:snapToGrid w:val="0"/>
        <w:spacing w:line="360" w:lineRule="auto"/>
        <w:jc w:val="left"/>
        <w:rPr>
          <w:rFonts w:hint="eastAsia" w:ascii="宋体" w:hAnsi="宋体" w:eastAsia="宋体" w:cs="宋体"/>
          <w:b/>
          <w:color w:val="auto"/>
          <w:sz w:val="44"/>
          <w:szCs w:val="36"/>
          <w:highlight w:val="none"/>
          <w:lang w:val="en-US" w:eastAsia="zh-CN"/>
        </w:rPr>
      </w:pPr>
      <w:r>
        <w:rPr>
          <w:rFonts w:hint="eastAsia" w:ascii="宋体" w:hAnsi="宋体" w:eastAsia="宋体" w:cs="宋体"/>
          <w:b/>
          <w:color w:val="auto"/>
          <w:sz w:val="44"/>
          <w:szCs w:val="36"/>
          <w:highlight w:val="none"/>
          <w:lang w:val="en-US" w:eastAsia="zh-CN"/>
        </w:rPr>
        <w:br w:type="page"/>
      </w:r>
    </w:p>
    <w:p w14:paraId="1DAE0226">
      <w:pPr>
        <w:autoSpaceDE w:val="0"/>
        <w:autoSpaceDN w:val="0"/>
        <w:adjustRightInd w:val="0"/>
        <w:snapToGrid w:val="0"/>
        <w:spacing w:line="360" w:lineRule="auto"/>
        <w:jc w:val="center"/>
        <w:rPr>
          <w:rFonts w:hint="default" w:ascii="宋体" w:hAnsi="宋体" w:eastAsia="宋体" w:cs="宋体"/>
          <w:b/>
          <w:bCs/>
          <w:color w:val="000000"/>
          <w:sz w:val="44"/>
          <w:szCs w:val="44"/>
          <w:highlight w:val="none"/>
          <w:u w:val="none"/>
          <w:lang w:val="en-US" w:eastAsia="zh-CN" w:bidi="zh-CN"/>
        </w:rPr>
      </w:pPr>
      <w:r>
        <w:rPr>
          <w:rFonts w:hint="eastAsia" w:ascii="宋体" w:hAnsi="宋体" w:eastAsia="宋体" w:cs="宋体"/>
          <w:b/>
          <w:color w:val="auto"/>
          <w:sz w:val="44"/>
          <w:szCs w:val="36"/>
          <w:highlight w:val="none"/>
          <w:lang w:val="en-US" w:eastAsia="zh-CN"/>
        </w:rPr>
        <w:t>第二部分</w:t>
      </w:r>
      <w:r>
        <w:rPr>
          <w:rFonts w:hint="eastAsia" w:ascii="宋体" w:hAnsi="宋体" w:cs="宋体"/>
          <w:b/>
          <w:color w:val="auto"/>
          <w:sz w:val="44"/>
          <w:szCs w:val="36"/>
          <w:highlight w:val="none"/>
          <w:lang w:val="en-US" w:eastAsia="zh-CN"/>
        </w:rPr>
        <w:t xml:space="preserve"> </w:t>
      </w:r>
      <w:r>
        <w:rPr>
          <w:rFonts w:hint="eastAsia" w:ascii="宋体" w:hAnsi="宋体" w:eastAsia="宋体" w:cs="宋体"/>
          <w:b/>
          <w:bCs/>
          <w:color w:val="000000"/>
          <w:sz w:val="44"/>
          <w:szCs w:val="44"/>
          <w:highlight w:val="none"/>
          <w:u w:val="none"/>
          <w:lang w:val="en-US" w:eastAsia="zh-CN" w:bidi="zh-CN"/>
        </w:rPr>
        <w:t>技术要求</w:t>
      </w:r>
    </w:p>
    <w:p w14:paraId="7A288619">
      <w:pPr>
        <w:keepNext/>
        <w:keepLines/>
        <w:pageBreakBefore w:val="0"/>
        <w:kinsoku/>
        <w:wordWrap/>
        <w:overflowPunct/>
        <w:topLinePunct w:val="0"/>
        <w:autoSpaceDE/>
        <w:autoSpaceDN/>
        <w:bidi w:val="0"/>
        <w:adjustRightInd/>
        <w:snapToGrid/>
        <w:spacing w:line="360" w:lineRule="auto"/>
        <w:ind w:left="0" w:leftChars="0" w:right="0" w:firstLine="0" w:firstLineChars="0"/>
        <w:jc w:val="center"/>
        <w:outlineLvl w:val="1"/>
        <w:rPr>
          <w:rFonts w:ascii="宋体" w:hAnsi="Calibri" w:eastAsia="宋体" w:cs="Times New Roman"/>
          <w:b/>
          <w:bCs/>
          <w:kern w:val="44"/>
          <w:sz w:val="28"/>
          <w:szCs w:val="28"/>
          <w:highlight w:val="none"/>
        </w:rPr>
      </w:pPr>
      <w:bookmarkStart w:id="18" w:name="_Toc169605877"/>
      <w:r>
        <w:rPr>
          <w:rFonts w:hint="eastAsia" w:ascii="宋体" w:hAnsi="宋体" w:eastAsia="宋体" w:cs="Times New Roman"/>
          <w:b/>
          <w:bCs/>
          <w:kern w:val="44"/>
          <w:sz w:val="28"/>
          <w:szCs w:val="28"/>
          <w:highlight w:val="none"/>
        </w:rPr>
        <w:t>第一章</w:t>
      </w:r>
      <w:r>
        <w:rPr>
          <w:rFonts w:ascii="宋体" w:hAnsi="宋体" w:eastAsia="宋体" w:cs="Times New Roman"/>
          <w:b/>
          <w:bCs/>
          <w:kern w:val="44"/>
          <w:sz w:val="28"/>
          <w:szCs w:val="28"/>
          <w:highlight w:val="none"/>
        </w:rPr>
        <w:t xml:space="preserve">  </w:t>
      </w:r>
      <w:r>
        <w:rPr>
          <w:rFonts w:hint="eastAsia" w:ascii="宋体" w:hAnsi="宋体" w:eastAsia="宋体" w:cs="Times New Roman"/>
          <w:b/>
          <w:bCs/>
          <w:kern w:val="44"/>
          <w:sz w:val="28"/>
          <w:szCs w:val="28"/>
          <w:highlight w:val="none"/>
        </w:rPr>
        <w:t>采购货物概况</w:t>
      </w:r>
      <w:bookmarkEnd w:id="18"/>
    </w:p>
    <w:p w14:paraId="398AE03A">
      <w:pPr>
        <w:keepNext/>
        <w:keepLines/>
        <w:pageBreakBefore w:val="0"/>
        <w:kinsoku/>
        <w:wordWrap/>
        <w:overflowPunct/>
        <w:topLinePunct w:val="0"/>
        <w:autoSpaceDE/>
        <w:autoSpaceDN/>
        <w:bidi w:val="0"/>
        <w:adjustRightInd/>
        <w:snapToGrid/>
        <w:spacing w:line="360" w:lineRule="auto"/>
        <w:ind w:left="0" w:leftChars="0" w:right="0" w:firstLine="0" w:firstLineChars="0"/>
        <w:jc w:val="center"/>
        <w:outlineLvl w:val="2"/>
        <w:rPr>
          <w:rFonts w:ascii="Arial" w:hAnsi="Arial" w:eastAsia="宋体" w:cs="Times New Roman"/>
          <w:b/>
          <w:bCs/>
          <w:sz w:val="24"/>
          <w:highlight w:val="none"/>
        </w:rPr>
      </w:pPr>
      <w:bookmarkStart w:id="19" w:name="_Toc169605878"/>
      <w:r>
        <w:rPr>
          <w:rFonts w:hint="eastAsia" w:ascii="Arial" w:hAnsi="Arial" w:eastAsia="宋体" w:cs="Times New Roman"/>
          <w:b/>
          <w:bCs/>
          <w:sz w:val="24"/>
          <w:highlight w:val="none"/>
        </w:rPr>
        <w:t>第一节</w:t>
      </w:r>
      <w:r>
        <w:rPr>
          <w:rFonts w:ascii="Arial" w:hAnsi="Arial" w:eastAsia="宋体" w:cs="Times New Roman"/>
          <w:b/>
          <w:bCs/>
          <w:sz w:val="24"/>
          <w:highlight w:val="none"/>
        </w:rPr>
        <w:t xml:space="preserve">  </w:t>
      </w:r>
      <w:r>
        <w:rPr>
          <w:rFonts w:hint="eastAsia" w:ascii="Arial" w:hAnsi="Arial" w:eastAsia="宋体" w:cs="Times New Roman"/>
          <w:b/>
          <w:bCs/>
          <w:sz w:val="24"/>
          <w:highlight w:val="none"/>
        </w:rPr>
        <w:t>使用环境</w:t>
      </w:r>
      <w:bookmarkEnd w:id="19"/>
    </w:p>
    <w:p w14:paraId="58500D60">
      <w:pPr>
        <w:pageBreakBefore w:val="0"/>
        <w:kinsoku/>
        <w:wordWrap/>
        <w:overflowPunct/>
        <w:topLinePunct w:val="0"/>
        <w:autoSpaceDE/>
        <w:autoSpaceDN/>
        <w:bidi w:val="0"/>
        <w:adjustRightInd/>
        <w:snapToGrid/>
        <w:spacing w:line="360" w:lineRule="auto"/>
        <w:ind w:left="0" w:leftChars="0" w:right="0" w:firstLine="0" w:firstLineChars="0"/>
        <w:outlineLvl w:val="3"/>
        <w:rPr>
          <w:rFonts w:hint="eastAsia" w:ascii="宋体" w:hAnsi="宋体" w:eastAsia="宋体" w:cs="宋体"/>
          <w:sz w:val="24"/>
          <w:highlight w:val="none"/>
          <w:u w:val="single"/>
          <w:lang w:val="en-US" w:eastAsia="zh-CN"/>
        </w:rPr>
      </w:pPr>
      <w:r>
        <w:rPr>
          <w:rFonts w:hint="eastAsia" w:ascii="宋体" w:hAnsi="宋体" w:eastAsia="宋体" w:cs="宋体"/>
          <w:sz w:val="24"/>
          <w:highlight w:val="none"/>
        </w:rPr>
        <w:t>一、项目名称：</w:t>
      </w:r>
      <w:r>
        <w:rPr>
          <w:rFonts w:hint="eastAsia" w:ascii="宋体" w:hAnsi="宋体" w:eastAsia="宋体" w:cs="宋体"/>
          <w:sz w:val="24"/>
          <w:highlight w:val="none"/>
          <w:u w:val="single"/>
          <w:lang w:val="en-US" w:eastAsia="zh-CN"/>
        </w:rPr>
        <w:t>6300T、3150T热模锻生产线搬迁复产项目-新增石墨废水预处理站</w:t>
      </w:r>
    </w:p>
    <w:p w14:paraId="015137E8">
      <w:pPr>
        <w:pageBreakBefore w:val="0"/>
        <w:kinsoku/>
        <w:wordWrap/>
        <w:overflowPunct/>
        <w:topLinePunct w:val="0"/>
        <w:autoSpaceDE/>
        <w:autoSpaceDN/>
        <w:bidi w:val="0"/>
        <w:adjustRightInd/>
        <w:snapToGrid/>
        <w:spacing w:line="360" w:lineRule="auto"/>
        <w:ind w:left="0" w:leftChars="0" w:right="0" w:firstLine="0" w:firstLineChars="0"/>
        <w:outlineLvl w:val="3"/>
        <w:rPr>
          <w:rFonts w:ascii="宋体" w:hAnsi="宋体" w:eastAsia="宋体" w:cs="宋体"/>
          <w:sz w:val="24"/>
          <w:highlight w:val="none"/>
          <w:shd w:val="pct10" w:color="auto" w:fill="FFFFFF"/>
        </w:rPr>
      </w:pPr>
      <w:r>
        <w:rPr>
          <w:rFonts w:hint="eastAsia" w:ascii="宋体" w:hAnsi="宋体" w:eastAsia="宋体" w:cs="宋体"/>
          <w:sz w:val="24"/>
          <w:highlight w:val="none"/>
        </w:rPr>
        <w:t>二、建设地点：</w:t>
      </w:r>
      <w:r>
        <w:rPr>
          <w:rFonts w:hint="eastAsia" w:ascii="宋体" w:hAnsi="宋体" w:eastAsia="宋体" w:cs="宋体"/>
          <w:color w:val="000000"/>
          <w:sz w:val="24"/>
          <w:highlight w:val="none"/>
        </w:rPr>
        <w:t>济南成型厂</w:t>
      </w:r>
      <w:r>
        <w:rPr>
          <w:rFonts w:hint="eastAsia" w:ascii="宋体" w:hAnsi="宋体" w:eastAsia="宋体" w:cs="宋体"/>
          <w:color w:val="000000"/>
          <w:sz w:val="24"/>
          <w:highlight w:val="none"/>
          <w:lang w:val="en-US" w:eastAsia="zh-CN"/>
        </w:rPr>
        <w:t>党家庄厂区机锻车间</w:t>
      </w:r>
      <w:r>
        <w:rPr>
          <w:rFonts w:hint="eastAsia" w:ascii="宋体" w:hAnsi="宋体" w:eastAsia="宋体" w:cs="宋体"/>
          <w:color w:val="000000"/>
          <w:sz w:val="24"/>
          <w:highlight w:val="none"/>
        </w:rPr>
        <w:t>。</w:t>
      </w:r>
    </w:p>
    <w:p w14:paraId="1290C31A">
      <w:pPr>
        <w:pageBreakBefore w:val="0"/>
        <w:kinsoku/>
        <w:wordWrap/>
        <w:overflowPunct/>
        <w:topLinePunct w:val="0"/>
        <w:autoSpaceDE/>
        <w:autoSpaceDN/>
        <w:bidi w:val="0"/>
        <w:adjustRightInd/>
        <w:snapToGrid/>
        <w:spacing w:line="360" w:lineRule="auto"/>
        <w:ind w:left="0" w:leftChars="0" w:right="0" w:firstLine="0" w:firstLineChars="0"/>
        <w:outlineLvl w:val="3"/>
        <w:rPr>
          <w:rFonts w:ascii="宋体" w:hAnsi="宋体" w:eastAsia="宋体" w:cs="宋体"/>
          <w:sz w:val="24"/>
          <w:highlight w:val="none"/>
        </w:rPr>
      </w:pPr>
      <w:r>
        <w:rPr>
          <w:rFonts w:hint="eastAsia" w:ascii="宋体" w:hAnsi="宋体" w:eastAsia="宋体" w:cs="宋体"/>
          <w:sz w:val="24"/>
          <w:highlight w:val="none"/>
        </w:rPr>
        <w:t>三、使用地点：</w:t>
      </w:r>
      <w:r>
        <w:rPr>
          <w:rFonts w:hint="eastAsia" w:ascii="宋体" w:hAnsi="宋体" w:eastAsia="宋体" w:cs="宋体"/>
          <w:color w:val="000000"/>
          <w:sz w:val="24"/>
          <w:highlight w:val="none"/>
        </w:rPr>
        <w:t>济南成型厂</w:t>
      </w:r>
      <w:r>
        <w:rPr>
          <w:rFonts w:hint="eastAsia" w:ascii="宋体" w:hAnsi="宋体" w:eastAsia="宋体" w:cs="宋体"/>
          <w:color w:val="000000"/>
          <w:sz w:val="24"/>
          <w:highlight w:val="none"/>
          <w:lang w:val="en-US" w:eastAsia="zh-CN"/>
        </w:rPr>
        <w:t>党家庄厂区机锻车间</w:t>
      </w:r>
      <w:r>
        <w:rPr>
          <w:rFonts w:hint="eastAsia" w:ascii="宋体" w:hAnsi="宋体" w:eastAsia="宋体" w:cs="宋体"/>
          <w:color w:val="000000"/>
          <w:sz w:val="24"/>
          <w:highlight w:val="none"/>
        </w:rPr>
        <w:t>。</w:t>
      </w:r>
    </w:p>
    <w:p w14:paraId="46E22DF8">
      <w:pPr>
        <w:pageBreakBefore w:val="0"/>
        <w:kinsoku/>
        <w:wordWrap/>
        <w:overflowPunct/>
        <w:topLinePunct w:val="0"/>
        <w:autoSpaceDE/>
        <w:autoSpaceDN/>
        <w:bidi w:val="0"/>
        <w:adjustRightInd/>
        <w:snapToGrid/>
        <w:spacing w:line="360" w:lineRule="auto"/>
        <w:ind w:left="0" w:leftChars="0" w:right="0" w:firstLine="0" w:firstLineChars="0"/>
        <w:outlineLvl w:val="3"/>
        <w:rPr>
          <w:rFonts w:ascii="宋体" w:hAnsi="宋体" w:eastAsia="宋体" w:cs="宋体"/>
          <w:bCs/>
          <w:sz w:val="24"/>
          <w:highlight w:val="none"/>
        </w:rPr>
      </w:pPr>
      <w:r>
        <w:rPr>
          <w:rFonts w:hint="eastAsia" w:ascii="宋体" w:hAnsi="宋体" w:eastAsia="宋体" w:cs="宋体"/>
          <w:sz w:val="24"/>
          <w:highlight w:val="none"/>
        </w:rPr>
        <w:t>四、工作制度：</w:t>
      </w:r>
      <w:r>
        <w:rPr>
          <w:rFonts w:hint="eastAsia" w:ascii="宋体" w:hAnsi="宋体" w:eastAsia="宋体" w:cs="宋体"/>
          <w:bCs/>
          <w:sz w:val="24"/>
          <w:highlight w:val="none"/>
        </w:rPr>
        <w:t>全年工作365天、双班制、设备年时基数</w:t>
      </w:r>
      <w:r>
        <w:rPr>
          <w:rFonts w:hint="eastAsia" w:ascii="宋体" w:hAnsi="宋体" w:eastAsia="宋体" w:cs="宋体"/>
          <w:bCs/>
          <w:sz w:val="24"/>
          <w:highlight w:val="none"/>
          <w:lang w:val="en-US" w:eastAsia="zh-CN"/>
        </w:rPr>
        <w:t>7200</w:t>
      </w:r>
      <w:r>
        <w:rPr>
          <w:rFonts w:hint="eastAsia" w:ascii="宋体" w:hAnsi="宋体" w:eastAsia="宋体" w:cs="宋体"/>
          <w:bCs/>
          <w:sz w:val="24"/>
          <w:highlight w:val="none"/>
        </w:rPr>
        <w:t>小时。</w:t>
      </w:r>
    </w:p>
    <w:p w14:paraId="43323651">
      <w:pPr>
        <w:pageBreakBefore w:val="0"/>
        <w:kinsoku/>
        <w:wordWrap/>
        <w:overflowPunct/>
        <w:topLinePunct w:val="0"/>
        <w:autoSpaceDE/>
        <w:autoSpaceDN/>
        <w:bidi w:val="0"/>
        <w:adjustRightInd/>
        <w:snapToGrid/>
        <w:spacing w:line="360" w:lineRule="auto"/>
        <w:ind w:left="0" w:leftChars="0" w:right="0" w:firstLine="0" w:firstLineChars="0"/>
        <w:outlineLvl w:val="3"/>
        <w:rPr>
          <w:rFonts w:ascii="宋体" w:hAnsi="宋体" w:eastAsia="宋体" w:cs="宋体"/>
          <w:sz w:val="24"/>
          <w:highlight w:val="none"/>
        </w:rPr>
      </w:pPr>
      <w:r>
        <w:rPr>
          <w:rFonts w:hint="eastAsia" w:ascii="宋体" w:hAnsi="宋体" w:eastAsia="宋体" w:cs="宋体"/>
          <w:sz w:val="24"/>
          <w:highlight w:val="none"/>
        </w:rPr>
        <w:t>五、使用地点区域自然环境：</w:t>
      </w:r>
    </w:p>
    <w:p w14:paraId="370965A9">
      <w:pPr>
        <w:pageBreakBefore w:val="0"/>
        <w:kinsoku/>
        <w:wordWrap/>
        <w:overflowPunct/>
        <w:topLinePunct w:val="0"/>
        <w:autoSpaceDE/>
        <w:autoSpaceDN/>
        <w:bidi w:val="0"/>
        <w:adjustRightInd/>
        <w:snapToGrid/>
        <w:spacing w:line="360" w:lineRule="auto"/>
        <w:ind w:left="0" w:leftChars="0" w:right="0" w:firstLine="0" w:firstLineChars="0"/>
        <w:rPr>
          <w:rFonts w:ascii="宋体" w:hAnsi="宋体" w:eastAsia="宋体" w:cs="宋体"/>
          <w:bCs/>
          <w:sz w:val="24"/>
          <w:highlight w:val="none"/>
        </w:rPr>
      </w:pPr>
      <w:r>
        <w:rPr>
          <w:rFonts w:hint="eastAsia" w:ascii="宋体" w:hAnsi="宋体" w:eastAsia="宋体" w:cs="宋体"/>
          <w:bCs/>
          <w:sz w:val="24"/>
          <w:highlight w:val="none"/>
        </w:rPr>
        <w:t>5.1.海拔高度：1000m以下。</w:t>
      </w:r>
    </w:p>
    <w:p w14:paraId="4ED30EF5">
      <w:pPr>
        <w:pageBreakBefore w:val="0"/>
        <w:kinsoku/>
        <w:wordWrap/>
        <w:overflowPunct/>
        <w:topLinePunct w:val="0"/>
        <w:autoSpaceDE/>
        <w:autoSpaceDN/>
        <w:bidi w:val="0"/>
        <w:adjustRightInd/>
        <w:snapToGrid/>
        <w:spacing w:line="360" w:lineRule="auto"/>
        <w:ind w:left="0" w:leftChars="0" w:right="0" w:firstLine="0" w:firstLineChars="0"/>
        <w:rPr>
          <w:rFonts w:ascii="宋体" w:hAnsi="宋体" w:eastAsia="宋体" w:cs="宋体"/>
          <w:bCs/>
          <w:sz w:val="24"/>
          <w:highlight w:val="none"/>
        </w:rPr>
      </w:pPr>
      <w:r>
        <w:rPr>
          <w:rFonts w:hint="eastAsia" w:ascii="宋体" w:hAnsi="宋体" w:eastAsia="宋体" w:cs="宋体"/>
          <w:bCs/>
          <w:sz w:val="24"/>
          <w:highlight w:val="none"/>
        </w:rPr>
        <w:t>5.2.环境温度：室外极端最低温度-</w:t>
      </w:r>
      <w:r>
        <w:rPr>
          <w:rFonts w:ascii="宋体" w:hAnsi="宋体" w:eastAsia="宋体" w:cs="宋体"/>
          <w:bCs/>
          <w:sz w:val="24"/>
          <w:highlight w:val="none"/>
        </w:rPr>
        <w:t>20</w:t>
      </w:r>
      <w:r>
        <w:rPr>
          <w:rFonts w:hint="eastAsia" w:ascii="宋体" w:hAnsi="宋体" w:eastAsia="宋体" w:cs="宋体"/>
          <w:bCs/>
          <w:sz w:val="24"/>
          <w:highlight w:val="none"/>
        </w:rPr>
        <w:t>℃、极端最高温度50℃，昼夜最大温差25℃；室内温度-10～42℃。</w:t>
      </w:r>
    </w:p>
    <w:p w14:paraId="781289E1">
      <w:pPr>
        <w:pageBreakBefore w:val="0"/>
        <w:kinsoku/>
        <w:wordWrap/>
        <w:overflowPunct/>
        <w:topLinePunct w:val="0"/>
        <w:autoSpaceDE/>
        <w:autoSpaceDN/>
        <w:bidi w:val="0"/>
        <w:adjustRightInd/>
        <w:snapToGrid/>
        <w:spacing w:line="360" w:lineRule="auto"/>
        <w:ind w:left="0" w:leftChars="0" w:right="0" w:firstLine="0" w:firstLineChars="0"/>
        <w:rPr>
          <w:rFonts w:ascii="宋体" w:hAnsi="宋体" w:eastAsia="宋体" w:cs="宋体"/>
          <w:bCs/>
          <w:sz w:val="24"/>
          <w:highlight w:val="none"/>
        </w:rPr>
      </w:pPr>
      <w:r>
        <w:rPr>
          <w:rFonts w:hint="eastAsia" w:ascii="宋体" w:hAnsi="宋体" w:eastAsia="宋体" w:cs="宋体"/>
          <w:bCs/>
          <w:sz w:val="24"/>
          <w:highlight w:val="none"/>
        </w:rPr>
        <w:t>5.3.相对湿度：年平均59%，最大95%、最小15%。</w:t>
      </w:r>
    </w:p>
    <w:p w14:paraId="4FBE3CC7">
      <w:pPr>
        <w:pageBreakBefore w:val="0"/>
        <w:kinsoku/>
        <w:wordWrap/>
        <w:overflowPunct/>
        <w:topLinePunct w:val="0"/>
        <w:autoSpaceDE/>
        <w:autoSpaceDN/>
        <w:bidi w:val="0"/>
        <w:adjustRightInd/>
        <w:snapToGrid/>
        <w:spacing w:line="360" w:lineRule="auto"/>
        <w:ind w:left="0" w:leftChars="0" w:right="0" w:firstLine="0" w:firstLineChars="0"/>
        <w:rPr>
          <w:rFonts w:ascii="宋体" w:hAnsi="宋体" w:eastAsia="宋体" w:cs="宋体"/>
          <w:bCs/>
          <w:sz w:val="24"/>
          <w:highlight w:val="none"/>
        </w:rPr>
      </w:pPr>
      <w:r>
        <w:rPr>
          <w:rFonts w:hint="eastAsia" w:ascii="宋体" w:hAnsi="宋体" w:eastAsia="宋体" w:cs="宋体"/>
          <w:bCs/>
          <w:sz w:val="24"/>
          <w:highlight w:val="none"/>
        </w:rPr>
        <w:t>5.4  降雨量：日最大降雨量298.4mm、年总降雨量685mm。</w:t>
      </w:r>
    </w:p>
    <w:p w14:paraId="1901D4E1">
      <w:pPr>
        <w:pageBreakBefore w:val="0"/>
        <w:kinsoku/>
        <w:wordWrap/>
        <w:overflowPunct/>
        <w:topLinePunct w:val="0"/>
        <w:autoSpaceDE/>
        <w:autoSpaceDN/>
        <w:bidi w:val="0"/>
        <w:adjustRightInd/>
        <w:snapToGrid/>
        <w:spacing w:line="360" w:lineRule="auto"/>
        <w:ind w:left="0" w:leftChars="0" w:right="0" w:firstLine="0" w:firstLineChars="0"/>
        <w:rPr>
          <w:rFonts w:ascii="宋体" w:hAnsi="宋体" w:eastAsia="宋体" w:cs="宋体"/>
          <w:bCs/>
          <w:sz w:val="24"/>
          <w:highlight w:val="none"/>
        </w:rPr>
      </w:pPr>
      <w:r>
        <w:rPr>
          <w:rFonts w:hint="eastAsia" w:ascii="宋体" w:hAnsi="宋体" w:eastAsia="宋体" w:cs="宋体"/>
          <w:bCs/>
          <w:sz w:val="24"/>
          <w:highlight w:val="none"/>
        </w:rPr>
        <w:t>5.5  最大风速：15m/s。</w:t>
      </w:r>
    </w:p>
    <w:p w14:paraId="64FF086C">
      <w:pPr>
        <w:pageBreakBefore w:val="0"/>
        <w:kinsoku/>
        <w:wordWrap/>
        <w:overflowPunct/>
        <w:topLinePunct w:val="0"/>
        <w:autoSpaceDE/>
        <w:autoSpaceDN/>
        <w:bidi w:val="0"/>
        <w:adjustRightInd/>
        <w:snapToGrid/>
        <w:spacing w:line="360" w:lineRule="auto"/>
        <w:ind w:left="0" w:leftChars="0" w:right="0" w:firstLine="0" w:firstLineChars="0"/>
        <w:rPr>
          <w:rFonts w:ascii="宋体" w:hAnsi="宋体" w:eastAsia="宋体" w:cs="宋体"/>
          <w:bCs/>
          <w:sz w:val="24"/>
          <w:highlight w:val="none"/>
        </w:rPr>
      </w:pPr>
      <w:r>
        <w:rPr>
          <w:rFonts w:hint="eastAsia" w:ascii="宋体" w:hAnsi="宋体" w:eastAsia="宋体" w:cs="宋体"/>
          <w:bCs/>
          <w:sz w:val="24"/>
          <w:highlight w:val="none"/>
        </w:rPr>
        <w:t>5.6  最大积雪厚度：190mm。</w:t>
      </w:r>
    </w:p>
    <w:p w14:paraId="58005FB2">
      <w:pPr>
        <w:pageBreakBefore w:val="0"/>
        <w:kinsoku/>
        <w:wordWrap/>
        <w:overflowPunct/>
        <w:topLinePunct w:val="0"/>
        <w:autoSpaceDE/>
        <w:autoSpaceDN/>
        <w:bidi w:val="0"/>
        <w:adjustRightInd/>
        <w:snapToGrid/>
        <w:spacing w:line="360" w:lineRule="auto"/>
        <w:ind w:left="0" w:leftChars="0" w:right="0" w:firstLine="0" w:firstLineChars="0"/>
        <w:rPr>
          <w:rFonts w:ascii="宋体" w:hAnsi="宋体" w:eastAsia="宋体" w:cs="宋体"/>
          <w:bCs/>
          <w:sz w:val="24"/>
          <w:highlight w:val="none"/>
        </w:rPr>
      </w:pPr>
      <w:r>
        <w:rPr>
          <w:rFonts w:hint="eastAsia" w:ascii="宋体" w:hAnsi="宋体" w:eastAsia="宋体" w:cs="宋体"/>
          <w:bCs/>
          <w:sz w:val="24"/>
          <w:highlight w:val="none"/>
        </w:rPr>
        <w:t>5.7  地震烈度：七度。</w:t>
      </w:r>
    </w:p>
    <w:p w14:paraId="6C8401E1">
      <w:pPr>
        <w:pageBreakBefore w:val="0"/>
        <w:kinsoku/>
        <w:wordWrap/>
        <w:overflowPunct/>
        <w:topLinePunct w:val="0"/>
        <w:autoSpaceDE/>
        <w:autoSpaceDN/>
        <w:bidi w:val="0"/>
        <w:adjustRightInd/>
        <w:snapToGrid/>
        <w:spacing w:line="360" w:lineRule="auto"/>
        <w:ind w:left="0" w:leftChars="0" w:right="0" w:firstLine="0" w:firstLineChars="0"/>
        <w:outlineLvl w:val="3"/>
        <w:rPr>
          <w:rFonts w:ascii="宋体" w:hAnsi="宋体" w:eastAsia="宋体" w:cs="宋体"/>
          <w:sz w:val="24"/>
          <w:highlight w:val="none"/>
        </w:rPr>
      </w:pPr>
      <w:r>
        <w:rPr>
          <w:rFonts w:hint="eastAsia" w:ascii="宋体" w:hAnsi="宋体" w:eastAsia="宋体" w:cs="宋体"/>
          <w:sz w:val="24"/>
          <w:highlight w:val="none"/>
        </w:rPr>
        <w:t xml:space="preserve">六、能源环境： </w:t>
      </w:r>
    </w:p>
    <w:p w14:paraId="2907D65F">
      <w:pPr>
        <w:pageBreakBefore w:val="0"/>
        <w:kinsoku/>
        <w:wordWrap/>
        <w:overflowPunct/>
        <w:topLinePunct w:val="0"/>
        <w:autoSpaceDE/>
        <w:autoSpaceDN/>
        <w:bidi w:val="0"/>
        <w:adjustRightInd/>
        <w:snapToGrid/>
        <w:spacing w:line="360" w:lineRule="auto"/>
        <w:ind w:left="0" w:leftChars="0" w:right="0" w:firstLine="0" w:firstLineChars="0"/>
        <w:rPr>
          <w:rFonts w:ascii="宋体" w:hAnsi="宋体" w:eastAsia="宋体" w:cs="宋体"/>
          <w:bCs/>
          <w:sz w:val="24"/>
          <w:highlight w:val="none"/>
        </w:rPr>
      </w:pPr>
      <w:r>
        <w:rPr>
          <w:rFonts w:hint="eastAsia" w:ascii="宋体" w:hAnsi="宋体" w:eastAsia="宋体" w:cs="宋体"/>
          <w:bCs/>
          <w:sz w:val="24"/>
          <w:highlight w:val="none"/>
        </w:rPr>
        <w:t>6.1  电力：中国制式，供电电压380V±15%/220V±15%，供电频率50Hz±2%。</w:t>
      </w:r>
    </w:p>
    <w:p w14:paraId="04FAFFA6">
      <w:pPr>
        <w:pageBreakBefore w:val="0"/>
        <w:kinsoku/>
        <w:wordWrap/>
        <w:overflowPunct/>
        <w:topLinePunct w:val="0"/>
        <w:autoSpaceDE/>
        <w:autoSpaceDN/>
        <w:bidi w:val="0"/>
        <w:adjustRightInd/>
        <w:snapToGrid/>
        <w:spacing w:line="360" w:lineRule="auto"/>
        <w:ind w:left="0" w:leftChars="0" w:right="0" w:firstLine="0" w:firstLineChars="0"/>
        <w:rPr>
          <w:rFonts w:ascii="宋体" w:hAnsi="宋体" w:eastAsia="宋体" w:cs="宋体"/>
          <w:bCs/>
          <w:sz w:val="24"/>
          <w:highlight w:val="none"/>
        </w:rPr>
      </w:pPr>
      <w:r>
        <w:rPr>
          <w:rFonts w:hint="eastAsia" w:ascii="宋体" w:hAnsi="宋体" w:eastAsia="宋体" w:cs="宋体"/>
          <w:bCs/>
          <w:sz w:val="24"/>
          <w:highlight w:val="none"/>
        </w:rPr>
        <w:t>6.2  给水：市政自来水，0.20 MPa。</w:t>
      </w:r>
    </w:p>
    <w:p w14:paraId="5AB5C0EB">
      <w:pPr>
        <w:pageBreakBefore w:val="0"/>
        <w:kinsoku/>
        <w:wordWrap/>
        <w:overflowPunct/>
        <w:topLinePunct w:val="0"/>
        <w:autoSpaceDE/>
        <w:autoSpaceDN/>
        <w:bidi w:val="0"/>
        <w:adjustRightInd/>
        <w:snapToGrid/>
        <w:spacing w:line="360" w:lineRule="auto"/>
        <w:ind w:left="0" w:leftChars="0" w:right="0" w:firstLine="0" w:firstLineChars="0"/>
        <w:rPr>
          <w:rFonts w:ascii="宋体" w:hAnsi="宋体" w:eastAsia="宋体" w:cs="宋体"/>
          <w:bCs/>
          <w:sz w:val="24"/>
          <w:highlight w:val="none"/>
        </w:rPr>
      </w:pPr>
      <w:r>
        <w:rPr>
          <w:rFonts w:hint="eastAsia" w:ascii="宋体" w:hAnsi="宋体" w:eastAsia="宋体" w:cs="宋体"/>
          <w:bCs/>
          <w:sz w:val="24"/>
          <w:highlight w:val="none"/>
        </w:rPr>
        <w:t>6.3  蒸汽：市政蒸汽，0.6 MPa±0.1。</w:t>
      </w:r>
    </w:p>
    <w:p w14:paraId="3260F70C">
      <w:pPr>
        <w:pageBreakBefore w:val="0"/>
        <w:kinsoku/>
        <w:wordWrap/>
        <w:overflowPunct/>
        <w:topLinePunct w:val="0"/>
        <w:autoSpaceDE/>
        <w:autoSpaceDN/>
        <w:bidi w:val="0"/>
        <w:adjustRightInd/>
        <w:snapToGrid/>
        <w:spacing w:line="360" w:lineRule="auto"/>
        <w:ind w:left="0" w:leftChars="0" w:right="0" w:firstLine="0" w:firstLineChars="0"/>
        <w:rPr>
          <w:rFonts w:ascii="宋体" w:hAnsi="宋体" w:eastAsia="宋体" w:cs="宋体"/>
          <w:bCs/>
          <w:sz w:val="24"/>
          <w:highlight w:val="none"/>
        </w:rPr>
      </w:pPr>
      <w:r>
        <w:rPr>
          <w:rFonts w:hint="eastAsia" w:ascii="宋体" w:hAnsi="宋体" w:eastAsia="宋体" w:cs="宋体"/>
          <w:bCs/>
          <w:sz w:val="24"/>
          <w:highlight w:val="none"/>
        </w:rPr>
        <w:t>6.4  压缩空气：自备空压机自产压缩空气，0.5-0.7MPa。</w:t>
      </w:r>
    </w:p>
    <w:p w14:paraId="592BC888">
      <w:pPr>
        <w:keepNext/>
        <w:keepLines/>
        <w:pageBreakBefore w:val="0"/>
        <w:kinsoku/>
        <w:wordWrap/>
        <w:overflowPunct/>
        <w:topLinePunct w:val="0"/>
        <w:autoSpaceDE/>
        <w:autoSpaceDN/>
        <w:bidi w:val="0"/>
        <w:adjustRightInd/>
        <w:snapToGrid/>
        <w:spacing w:line="360" w:lineRule="auto"/>
        <w:ind w:left="0" w:leftChars="0" w:right="0" w:firstLine="0" w:firstLineChars="0"/>
        <w:jc w:val="center"/>
        <w:outlineLvl w:val="2"/>
        <w:rPr>
          <w:rFonts w:hint="eastAsia" w:ascii="宋体" w:hAnsi="宋体" w:eastAsia="宋体" w:cs="Times New Roman"/>
          <w:b/>
          <w:bCs/>
          <w:sz w:val="24"/>
          <w:szCs w:val="24"/>
        </w:rPr>
      </w:pPr>
    </w:p>
    <w:p w14:paraId="7FD4353E">
      <w:pPr>
        <w:keepNext/>
        <w:keepLines/>
        <w:pageBreakBefore w:val="0"/>
        <w:kinsoku/>
        <w:wordWrap/>
        <w:overflowPunct/>
        <w:topLinePunct w:val="0"/>
        <w:autoSpaceDE/>
        <w:autoSpaceDN/>
        <w:bidi w:val="0"/>
        <w:adjustRightInd/>
        <w:snapToGrid/>
        <w:spacing w:line="360" w:lineRule="auto"/>
        <w:ind w:left="0" w:leftChars="0" w:right="0" w:firstLine="0" w:firstLineChars="0"/>
        <w:jc w:val="center"/>
        <w:outlineLvl w:val="2"/>
        <w:rPr>
          <w:rFonts w:ascii="宋体" w:hAnsi="Arial" w:eastAsia="宋体" w:cs="Times New Roman"/>
          <w:b/>
          <w:bCs/>
          <w:sz w:val="24"/>
          <w:szCs w:val="24"/>
        </w:rPr>
      </w:pPr>
      <w:r>
        <w:rPr>
          <w:rFonts w:hint="eastAsia" w:ascii="宋体" w:hAnsi="宋体" w:eastAsia="宋体" w:cs="Times New Roman"/>
          <w:b/>
          <w:bCs/>
          <w:sz w:val="24"/>
          <w:szCs w:val="24"/>
        </w:rPr>
        <w:t>第二节</w:t>
      </w:r>
      <w:r>
        <w:rPr>
          <w:rFonts w:ascii="宋体" w:hAnsi="宋体" w:eastAsia="宋体" w:cs="Times New Roman"/>
          <w:b/>
          <w:bCs/>
          <w:sz w:val="24"/>
          <w:szCs w:val="24"/>
        </w:rPr>
        <w:t xml:space="preserve">  </w:t>
      </w:r>
      <w:r>
        <w:rPr>
          <w:rFonts w:hint="eastAsia" w:ascii="宋体" w:hAnsi="宋体" w:eastAsia="宋体" w:cs="Times New Roman"/>
          <w:b/>
          <w:bCs/>
          <w:sz w:val="24"/>
          <w:szCs w:val="24"/>
        </w:rPr>
        <w:t>采购货物概况</w:t>
      </w:r>
    </w:p>
    <w:p w14:paraId="6CFC5184">
      <w:pPr>
        <w:pageBreakBefore w:val="0"/>
        <w:kinsoku/>
        <w:wordWrap/>
        <w:overflowPunct/>
        <w:topLinePunct w:val="0"/>
        <w:autoSpaceDE/>
        <w:autoSpaceDN/>
        <w:bidi w:val="0"/>
        <w:adjustRightInd/>
        <w:snapToGrid/>
        <w:spacing w:line="360" w:lineRule="auto"/>
        <w:ind w:left="0" w:leftChars="0" w:right="0" w:firstLine="0" w:firstLineChars="0"/>
        <w:outlineLvl w:val="3"/>
        <w:rPr>
          <w:rFonts w:ascii="宋体" w:hAnsi="宋体" w:eastAsia="宋体" w:cs="宋体"/>
          <w:b w:val="0"/>
          <w:bCs/>
          <w:sz w:val="24"/>
          <w:szCs w:val="24"/>
          <w:u w:val="single"/>
          <w:shd w:val="pct10" w:color="auto" w:fill="FFFFFF"/>
        </w:rPr>
      </w:pPr>
      <w:r>
        <w:rPr>
          <w:rFonts w:hint="eastAsia" w:ascii="宋体" w:hAnsi="宋体" w:eastAsia="宋体" w:cs="宋体"/>
          <w:b w:val="0"/>
          <w:bCs/>
          <w:sz w:val="24"/>
          <w:szCs w:val="24"/>
        </w:rPr>
        <w:t>一、货物名称：</w:t>
      </w:r>
      <w:r>
        <w:rPr>
          <w:rFonts w:hint="eastAsia" w:ascii="宋体" w:hAnsi="宋体" w:eastAsia="宋体" w:cs="宋体"/>
          <w:b w:val="0"/>
          <w:bCs/>
          <w:sz w:val="24"/>
          <w:szCs w:val="24"/>
          <w:u w:val="single"/>
          <w:lang w:val="en-US" w:eastAsia="zh-CN"/>
        </w:rPr>
        <w:t>新增石墨废水预处理站</w:t>
      </w:r>
    </w:p>
    <w:p w14:paraId="77D684D5">
      <w:pPr>
        <w:pageBreakBefore w:val="0"/>
        <w:kinsoku/>
        <w:wordWrap/>
        <w:overflowPunct/>
        <w:topLinePunct w:val="0"/>
        <w:autoSpaceDE/>
        <w:autoSpaceDN/>
        <w:bidi w:val="0"/>
        <w:adjustRightInd/>
        <w:snapToGrid/>
        <w:spacing w:line="360" w:lineRule="auto"/>
        <w:ind w:left="0" w:leftChars="0" w:right="0" w:firstLine="0" w:firstLineChars="0"/>
        <w:outlineLvl w:val="3"/>
        <w:rPr>
          <w:rFonts w:ascii="宋体" w:hAnsi="宋体" w:eastAsia="宋体" w:cs="宋体"/>
          <w:b w:val="0"/>
          <w:bCs/>
          <w:sz w:val="24"/>
          <w:szCs w:val="24"/>
        </w:rPr>
      </w:pPr>
      <w:r>
        <w:rPr>
          <w:rFonts w:hint="eastAsia" w:ascii="宋体" w:hAnsi="宋体" w:eastAsia="宋体" w:cs="宋体"/>
          <w:b w:val="0"/>
          <w:bCs/>
          <w:sz w:val="24"/>
          <w:szCs w:val="24"/>
        </w:rPr>
        <w:t>二、货物数量：</w:t>
      </w:r>
      <w:r>
        <w:rPr>
          <w:rFonts w:hint="eastAsia" w:ascii="宋体" w:hAnsi="宋体" w:eastAsia="宋体" w:cs="宋体"/>
          <w:b w:val="0"/>
          <w:bCs/>
          <w:sz w:val="24"/>
          <w:szCs w:val="24"/>
          <w:u w:val="single"/>
        </w:rPr>
        <w:t>1</w:t>
      </w:r>
      <w:r>
        <w:rPr>
          <w:rFonts w:hint="eastAsia" w:ascii="宋体" w:hAnsi="宋体" w:eastAsia="宋体" w:cs="宋体"/>
          <w:b w:val="0"/>
          <w:bCs/>
          <w:sz w:val="24"/>
          <w:szCs w:val="24"/>
          <w:u w:val="single"/>
          <w:lang w:val="en-US" w:eastAsia="zh-CN"/>
        </w:rPr>
        <w:t>套</w:t>
      </w:r>
      <w:r>
        <w:rPr>
          <w:rFonts w:hint="eastAsia" w:ascii="宋体" w:hAnsi="宋体" w:eastAsia="宋体" w:cs="宋体"/>
          <w:b w:val="0"/>
          <w:bCs/>
          <w:sz w:val="24"/>
          <w:szCs w:val="24"/>
        </w:rPr>
        <w:t>（详见下表）</w:t>
      </w:r>
    </w:p>
    <w:p w14:paraId="4FE84456">
      <w:pPr>
        <w:pageBreakBefore w:val="0"/>
        <w:kinsoku/>
        <w:wordWrap/>
        <w:overflowPunct/>
        <w:topLinePunct w:val="0"/>
        <w:autoSpaceDE/>
        <w:autoSpaceDN/>
        <w:bidi w:val="0"/>
        <w:adjustRightInd/>
        <w:snapToGrid/>
        <w:spacing w:line="360" w:lineRule="auto"/>
        <w:ind w:left="0" w:leftChars="0" w:right="0" w:firstLine="0" w:firstLineChars="0"/>
        <w:outlineLvl w:val="3"/>
        <w:rPr>
          <w:rFonts w:ascii="宋体" w:hAnsi="宋体" w:eastAsia="宋体" w:cs="宋体"/>
          <w:b/>
          <w:sz w:val="24"/>
          <w:szCs w:val="24"/>
        </w:rPr>
      </w:pPr>
      <w:r>
        <w:rPr>
          <w:rFonts w:hint="eastAsia" w:ascii="宋体" w:hAnsi="宋体" w:eastAsia="宋体" w:cs="宋体"/>
          <w:b/>
          <w:sz w:val="24"/>
          <w:szCs w:val="24"/>
        </w:rPr>
        <w:t>三、分投分中：不允许</w:t>
      </w:r>
    </w:p>
    <w:p w14:paraId="5EF139AF">
      <w:pPr>
        <w:pageBreakBefore w:val="0"/>
        <w:kinsoku/>
        <w:wordWrap/>
        <w:overflowPunct/>
        <w:topLinePunct w:val="0"/>
        <w:autoSpaceDE/>
        <w:autoSpaceDN/>
        <w:bidi w:val="0"/>
        <w:adjustRightInd/>
        <w:snapToGrid/>
        <w:spacing w:line="360" w:lineRule="auto"/>
        <w:ind w:left="0" w:leftChars="0" w:right="0" w:firstLine="0" w:firstLineChars="0"/>
        <w:jc w:val="center"/>
        <w:rPr>
          <w:rFonts w:ascii="宋体" w:hAnsi="宋体" w:eastAsia="宋体" w:cs="宋体"/>
          <w:sz w:val="24"/>
          <w:szCs w:val="24"/>
        </w:rPr>
      </w:pPr>
      <w:r>
        <w:rPr>
          <w:rFonts w:hint="eastAsia" w:ascii="宋体" w:hAnsi="宋体" w:eastAsia="宋体" w:cs="宋体"/>
          <w:color w:val="000000"/>
          <w:sz w:val="24"/>
          <w:szCs w:val="24"/>
        </w:rPr>
        <w:t>采购货物主要构成</w:t>
      </w:r>
      <w:r>
        <w:rPr>
          <w:rFonts w:hint="eastAsia" w:ascii="宋体" w:hAnsi="宋体" w:eastAsia="宋体" w:cs="宋体"/>
          <w:sz w:val="24"/>
          <w:szCs w:val="24"/>
        </w:rPr>
        <w:t>一览表：</w:t>
      </w:r>
    </w:p>
    <w:tbl>
      <w:tblPr>
        <w:tblStyle w:val="48"/>
        <w:tblW w:w="5139"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23"/>
        <w:gridCol w:w="1056"/>
        <w:gridCol w:w="3727"/>
        <w:gridCol w:w="1214"/>
        <w:gridCol w:w="760"/>
        <w:gridCol w:w="590"/>
        <w:gridCol w:w="1575"/>
      </w:tblGrid>
      <w:tr w14:paraId="6CB2E9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14:paraId="619141FA">
            <w:pPr>
              <w:snapToGrid/>
              <w:spacing w:before="0" w:after="0" w:line="240" w:lineRule="auto"/>
              <w:ind w:left="0" w:leftChars="0" w:right="0" w:rightChars="0" w:firstLine="0" w:firstLineChars="0"/>
              <w:jc w:val="center"/>
              <w:rPr>
                <w:rFonts w:hint="eastAsia" w:ascii="仿宋" w:hAnsi="仿宋" w:eastAsia="仿宋" w:cs="仿宋"/>
                <w:b/>
                <w:bCs/>
                <w:i w:val="0"/>
                <w:iCs w:val="0"/>
                <w:color w:val="000000"/>
                <w:sz w:val="20"/>
                <w:szCs w:val="20"/>
                <w:u w:val="none"/>
              </w:rPr>
            </w:pPr>
            <w:r>
              <w:rPr>
                <w:rFonts w:hint="eastAsia" w:ascii="宋体" w:hAnsi="宋体" w:eastAsia="宋体" w:cs="宋体"/>
                <w:b/>
                <w:i w:val="0"/>
                <w:strike w:val="0"/>
                <w:color w:val="000000"/>
                <w:spacing w:val="0"/>
                <w:sz w:val="20"/>
                <w:u w:val="none"/>
                <w:vertAlign w:val="baseline"/>
              </w:rPr>
              <w:t>序号</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54C930EA">
            <w:pPr>
              <w:snapToGrid/>
              <w:spacing w:before="0" w:after="0" w:line="240" w:lineRule="auto"/>
              <w:ind w:left="0" w:leftChars="0" w:right="0" w:rightChars="0" w:firstLine="0" w:firstLineChars="0"/>
              <w:jc w:val="center"/>
              <w:rPr>
                <w:rFonts w:hint="eastAsia" w:ascii="仿宋" w:hAnsi="仿宋" w:eastAsia="仿宋" w:cs="仿宋"/>
                <w:b/>
                <w:bCs/>
                <w:i w:val="0"/>
                <w:iCs w:val="0"/>
                <w:color w:val="000000"/>
                <w:sz w:val="20"/>
                <w:szCs w:val="20"/>
                <w:u w:val="none"/>
              </w:rPr>
            </w:pPr>
            <w:r>
              <w:rPr>
                <w:rFonts w:hint="eastAsia" w:ascii="宋体" w:hAnsi="宋体" w:eastAsia="宋体" w:cs="宋体"/>
                <w:b/>
                <w:i w:val="0"/>
                <w:strike w:val="0"/>
                <w:color w:val="000000"/>
                <w:spacing w:val="0"/>
                <w:sz w:val="20"/>
                <w:u w:val="none"/>
                <w:vertAlign w:val="baseline"/>
              </w:rPr>
              <w:t>设备名称</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14:paraId="3C013477">
            <w:pPr>
              <w:snapToGrid/>
              <w:spacing w:before="0" w:after="0" w:line="240" w:lineRule="auto"/>
              <w:ind w:left="0" w:leftChars="0" w:right="0" w:firstLine="0" w:firstLineChars="0"/>
              <w:jc w:val="center"/>
              <w:rPr>
                <w:rFonts w:hint="eastAsia" w:ascii="宋体" w:hAnsi="宋体" w:eastAsia="宋体" w:cs="宋体"/>
              </w:rPr>
            </w:pPr>
            <w:r>
              <w:rPr>
                <w:rFonts w:hint="eastAsia" w:ascii="宋体" w:hAnsi="宋体" w:eastAsia="宋体" w:cs="宋体"/>
                <w:b/>
                <w:i w:val="0"/>
                <w:strike w:val="0"/>
                <w:color w:val="000000"/>
                <w:spacing w:val="0"/>
                <w:sz w:val="20"/>
                <w:u w:val="none"/>
                <w:vertAlign w:val="baseline"/>
              </w:rPr>
              <w:t>具体参数</w:t>
            </w:r>
          </w:p>
          <w:p w14:paraId="78675CD9">
            <w:pPr>
              <w:snapToGrid/>
              <w:spacing w:before="0" w:after="0" w:line="240" w:lineRule="auto"/>
              <w:ind w:left="0" w:leftChars="0" w:right="0" w:rightChars="0" w:firstLine="0" w:firstLineChars="0"/>
              <w:jc w:val="center"/>
              <w:rPr>
                <w:rFonts w:hint="eastAsia" w:ascii="仿宋" w:hAnsi="仿宋" w:eastAsia="仿宋" w:cs="仿宋"/>
                <w:b/>
                <w:bCs/>
                <w:i w:val="0"/>
                <w:iCs w:val="0"/>
                <w:color w:val="000000"/>
                <w:sz w:val="20"/>
                <w:szCs w:val="20"/>
                <w:u w:val="none"/>
              </w:rPr>
            </w:pPr>
            <w:r>
              <w:rPr>
                <w:rFonts w:hint="eastAsia" w:ascii="宋体" w:hAnsi="宋体" w:eastAsia="宋体" w:cs="宋体"/>
                <w:b/>
                <w:i w:val="0"/>
                <w:strike w:val="0"/>
                <w:color w:val="000000"/>
                <w:spacing w:val="0"/>
                <w:sz w:val="20"/>
                <w:u w:val="none"/>
                <w:vertAlign w:val="baseline"/>
              </w:rPr>
              <w:t>（规格型号的描述）</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14:paraId="2584917D">
            <w:pPr>
              <w:snapToGrid/>
              <w:spacing w:before="0" w:after="0" w:line="240" w:lineRule="auto"/>
              <w:ind w:left="0" w:leftChars="0" w:right="0" w:rightChars="0" w:firstLine="0" w:firstLineChars="0"/>
              <w:jc w:val="center"/>
              <w:rPr>
                <w:rFonts w:hint="eastAsia" w:ascii="仿宋" w:hAnsi="仿宋" w:eastAsia="仿宋" w:cs="仿宋"/>
                <w:b/>
                <w:bCs/>
                <w:i w:val="0"/>
                <w:iCs w:val="0"/>
                <w:color w:val="000000"/>
                <w:sz w:val="20"/>
                <w:szCs w:val="20"/>
                <w:u w:val="none"/>
              </w:rPr>
            </w:pPr>
            <w:r>
              <w:rPr>
                <w:rFonts w:hint="eastAsia" w:ascii="宋体" w:hAnsi="宋体" w:eastAsia="宋体" w:cs="宋体"/>
                <w:b/>
                <w:i w:val="0"/>
                <w:strike w:val="0"/>
                <w:color w:val="000000"/>
                <w:spacing w:val="0"/>
                <w:sz w:val="20"/>
                <w:u w:val="none"/>
                <w:vertAlign w:val="baseline"/>
                <w:lang w:val="en-US" w:eastAsia="zh-CN"/>
              </w:rPr>
              <w:t>参考</w:t>
            </w:r>
            <w:r>
              <w:rPr>
                <w:rFonts w:hint="eastAsia" w:ascii="宋体" w:hAnsi="宋体" w:eastAsia="宋体" w:cs="宋体"/>
                <w:b/>
                <w:i w:val="0"/>
                <w:strike w:val="0"/>
                <w:color w:val="000000"/>
                <w:spacing w:val="0"/>
                <w:sz w:val="20"/>
                <w:u w:val="none"/>
                <w:vertAlign w:val="baseline"/>
              </w:rPr>
              <w:t>品牌</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7B503F14">
            <w:pPr>
              <w:snapToGrid/>
              <w:spacing w:before="0" w:after="0" w:line="240" w:lineRule="auto"/>
              <w:ind w:left="0" w:leftChars="0" w:right="0" w:rightChars="0" w:firstLine="0" w:firstLineChars="0"/>
              <w:jc w:val="center"/>
              <w:rPr>
                <w:rFonts w:hint="eastAsia" w:ascii="仿宋" w:hAnsi="仿宋" w:eastAsia="仿宋" w:cs="仿宋"/>
                <w:b/>
                <w:bCs/>
                <w:i w:val="0"/>
                <w:iCs w:val="0"/>
                <w:color w:val="000000"/>
                <w:sz w:val="20"/>
                <w:szCs w:val="20"/>
                <w:u w:val="none"/>
              </w:rPr>
            </w:pPr>
            <w:r>
              <w:rPr>
                <w:rFonts w:hint="eastAsia" w:ascii="宋体" w:hAnsi="宋体" w:eastAsia="宋体" w:cs="宋体"/>
                <w:b/>
                <w:i w:val="0"/>
                <w:strike w:val="0"/>
                <w:color w:val="000000"/>
                <w:spacing w:val="0"/>
                <w:sz w:val="20"/>
                <w:u w:val="none"/>
                <w:vertAlign w:val="baseline"/>
              </w:rPr>
              <w:t>计量单位</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6B214814">
            <w:pPr>
              <w:snapToGrid/>
              <w:spacing w:before="0" w:after="0" w:line="240" w:lineRule="auto"/>
              <w:ind w:left="0" w:leftChars="0" w:right="0" w:rightChars="0" w:firstLine="0" w:firstLineChars="0"/>
              <w:jc w:val="center"/>
              <w:rPr>
                <w:rFonts w:hint="eastAsia" w:ascii="仿宋" w:hAnsi="仿宋" w:eastAsia="仿宋" w:cs="仿宋"/>
                <w:b/>
                <w:bCs/>
                <w:i w:val="0"/>
                <w:iCs w:val="0"/>
                <w:color w:val="000000"/>
                <w:sz w:val="20"/>
                <w:szCs w:val="20"/>
                <w:u w:val="none"/>
              </w:rPr>
            </w:pPr>
            <w:r>
              <w:rPr>
                <w:rFonts w:hint="eastAsia" w:ascii="宋体" w:hAnsi="宋体" w:eastAsia="宋体" w:cs="宋体"/>
                <w:b/>
                <w:i w:val="0"/>
                <w:strike w:val="0"/>
                <w:color w:val="000000"/>
                <w:spacing w:val="0"/>
                <w:sz w:val="20"/>
                <w:u w:val="none"/>
                <w:vertAlign w:val="baseline"/>
              </w:rPr>
              <w:t>数量</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14:paraId="462354C3">
            <w:pPr>
              <w:snapToGrid/>
              <w:spacing w:before="0" w:after="0" w:line="240" w:lineRule="auto"/>
              <w:ind w:left="0" w:leftChars="0" w:right="0" w:rightChars="0" w:firstLine="0" w:firstLineChars="0"/>
              <w:jc w:val="center"/>
              <w:rPr>
                <w:rFonts w:hint="eastAsia" w:ascii="仿宋" w:hAnsi="仿宋" w:eastAsia="仿宋" w:cs="仿宋"/>
                <w:b/>
                <w:bCs/>
                <w:i w:val="0"/>
                <w:iCs w:val="0"/>
                <w:color w:val="000000"/>
                <w:sz w:val="20"/>
                <w:szCs w:val="20"/>
                <w:u w:val="none"/>
              </w:rPr>
            </w:pPr>
            <w:r>
              <w:rPr>
                <w:rFonts w:hint="eastAsia" w:ascii="宋体" w:hAnsi="宋体" w:eastAsia="宋体" w:cs="宋体"/>
                <w:b/>
                <w:i w:val="0"/>
                <w:strike w:val="0"/>
                <w:color w:val="000000"/>
                <w:spacing w:val="0"/>
                <w:sz w:val="20"/>
                <w:u w:val="none"/>
                <w:vertAlign w:val="baseline"/>
              </w:rPr>
              <w:t>备注</w:t>
            </w:r>
          </w:p>
        </w:tc>
      </w:tr>
      <w:tr w14:paraId="681033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14:paraId="04D389C6">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1DFF4DB2">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综合调节池</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14:paraId="3D41BFA4">
            <w:pPr>
              <w:snapToGrid/>
              <w:spacing w:before="0" w:after="0" w:line="240" w:lineRule="auto"/>
              <w:ind w:left="0" w:leftChars="0" w:right="0" w:firstLine="0" w:firstLineChars="0"/>
              <w:jc w:val="center"/>
              <w:rPr>
                <w:rFonts w:hint="eastAsia" w:ascii="宋体" w:hAnsi="宋体" w:eastAsia="宋体" w:cs="宋体"/>
                <w:color w:val="auto"/>
              </w:rPr>
            </w:pPr>
            <w:r>
              <w:rPr>
                <w:rFonts w:hint="eastAsia" w:ascii="宋体" w:hAnsi="宋体" w:eastAsia="宋体" w:cs="宋体"/>
                <w:i w:val="0"/>
                <w:strike w:val="0"/>
                <w:color w:val="auto"/>
                <w:spacing w:val="0"/>
                <w:sz w:val="20"/>
                <w:u w:val="none"/>
                <w:vertAlign w:val="baseline"/>
              </w:rPr>
              <w:t>材质碳钢（内部防腐处理，外部刷漆）</w:t>
            </w:r>
          </w:p>
          <w:p w14:paraId="167E8392">
            <w:pPr>
              <w:pBdr>
                <w:bottom w:val="none" w:color="auto" w:sz="0" w:space="0"/>
              </w:pBd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尺寸：长3m×宽2m×高2m，有效水深1.8m，池板厚度：5mm</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14:paraId="263F63C0">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lang w:val="en-US" w:eastAsia="zh-CN"/>
              </w:rPr>
            </w:pPr>
            <w:r>
              <w:rPr>
                <w:rFonts w:hint="eastAsia" w:ascii="宋体" w:hAnsi="宋体" w:eastAsia="宋体" w:cs="宋体"/>
                <w:i w:val="0"/>
                <w:strike w:val="0"/>
                <w:color w:val="auto"/>
                <w:spacing w:val="0"/>
                <w:sz w:val="20"/>
                <w:u w:val="none"/>
                <w:vertAlign w:val="baseline"/>
              </w:rPr>
              <w:t>定制</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2AF11034">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台</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1CD17460">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14:paraId="08D1CEF6">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eastAsia="zh-CN"/>
              </w:rPr>
              <w:t>防腐采用</w:t>
            </w:r>
            <w:r>
              <w:rPr>
                <w:rFonts w:hint="eastAsia" w:ascii="宋体" w:hAnsi="宋体" w:eastAsia="宋体" w:cs="宋体"/>
                <w:i w:val="0"/>
                <w:strike w:val="0"/>
                <w:color w:val="auto"/>
                <w:spacing w:val="0"/>
                <w:sz w:val="20"/>
                <w:u w:val="none"/>
                <w:lang w:val="en-US" w:eastAsia="zh-CN"/>
              </w:rPr>
              <w:t>2布3油：</w:t>
            </w:r>
            <w:r>
              <w:rPr>
                <w:rFonts w:hint="eastAsia" w:ascii="宋体" w:hAnsi="宋体" w:eastAsia="宋体" w:cs="宋体"/>
                <w:i w:val="0"/>
                <w:strike w:val="0"/>
                <w:color w:val="auto"/>
                <w:spacing w:val="0"/>
                <w:sz w:val="20"/>
                <w:u w:val="none"/>
                <w:lang w:eastAsia="zh-CN"/>
              </w:rPr>
              <w:t>玻璃</w:t>
            </w:r>
            <w:r>
              <w:rPr>
                <w:rFonts w:hint="eastAsia" w:ascii="宋体" w:hAnsi="宋体" w:eastAsia="宋体" w:cs="宋体"/>
                <w:i w:val="0"/>
                <w:strike w:val="0"/>
                <w:color w:val="auto"/>
                <w:spacing w:val="0"/>
                <w:sz w:val="20"/>
                <w:u w:val="none"/>
                <w:lang w:val="en-US" w:eastAsia="zh-CN"/>
              </w:rPr>
              <w:t>纤维+</w:t>
            </w:r>
            <w:r>
              <w:rPr>
                <w:rFonts w:hint="eastAsia" w:ascii="宋体" w:hAnsi="宋体" w:eastAsia="宋体" w:cs="宋体"/>
                <w:i w:val="0"/>
                <w:strike w:val="0"/>
                <w:color w:val="auto"/>
                <w:spacing w:val="0"/>
                <w:sz w:val="20"/>
                <w:u w:val="none"/>
                <w:lang w:eastAsia="zh-CN"/>
              </w:rPr>
              <w:t>环氧树脂涂料</w:t>
            </w:r>
          </w:p>
        </w:tc>
      </w:tr>
      <w:tr w14:paraId="5034D8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14:paraId="44EE9747">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2</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2E92AD43">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斜板沉淀池</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14:paraId="38D00E24">
            <w:pPr>
              <w:snapToGrid/>
              <w:spacing w:before="0" w:after="0" w:line="240" w:lineRule="auto"/>
              <w:ind w:left="0" w:leftChars="0" w:right="0" w:firstLine="0" w:firstLineChars="0"/>
              <w:jc w:val="center"/>
              <w:rPr>
                <w:rFonts w:hint="eastAsia" w:ascii="宋体" w:hAnsi="宋体" w:eastAsia="宋体" w:cs="宋体"/>
                <w:color w:val="auto"/>
              </w:rPr>
            </w:pPr>
            <w:r>
              <w:rPr>
                <w:rFonts w:hint="eastAsia" w:ascii="宋体" w:hAnsi="宋体" w:eastAsia="宋体" w:cs="宋体"/>
                <w:i w:val="0"/>
                <w:strike w:val="0"/>
                <w:color w:val="auto"/>
                <w:spacing w:val="0"/>
                <w:sz w:val="20"/>
                <w:u w:val="none"/>
                <w:vertAlign w:val="baseline"/>
              </w:rPr>
              <w:t>材质碳钢（内部防腐处理，外部刷漆）</w:t>
            </w:r>
          </w:p>
          <w:p w14:paraId="7C175272">
            <w:pPr>
              <w:pBdr>
                <w:bottom w:val="none" w:color="auto" w:sz="0" w:space="0"/>
              </w:pBd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尺寸：长2m×宽2m×高2m，有效水深1.8m，池板厚度：5mm</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14:paraId="7AA33A95">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lang w:val="en-US" w:eastAsia="zh-CN"/>
              </w:rPr>
            </w:pPr>
            <w:r>
              <w:rPr>
                <w:rFonts w:hint="eastAsia" w:ascii="宋体" w:hAnsi="宋体" w:eastAsia="宋体" w:cs="宋体"/>
                <w:i w:val="0"/>
                <w:strike w:val="0"/>
                <w:color w:val="auto"/>
                <w:spacing w:val="0"/>
                <w:sz w:val="20"/>
                <w:u w:val="none"/>
                <w:vertAlign w:val="baseline"/>
              </w:rPr>
              <w:t>定制</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0B75B2A2">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台</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26749D38">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14:paraId="72F565A8">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eastAsia="zh-CN"/>
              </w:rPr>
              <w:t>防腐采用</w:t>
            </w:r>
            <w:r>
              <w:rPr>
                <w:rFonts w:hint="eastAsia" w:ascii="宋体" w:hAnsi="宋体" w:eastAsia="宋体" w:cs="宋体"/>
                <w:i w:val="0"/>
                <w:strike w:val="0"/>
                <w:color w:val="auto"/>
                <w:spacing w:val="0"/>
                <w:sz w:val="20"/>
                <w:u w:val="none"/>
                <w:lang w:val="en-US" w:eastAsia="zh-CN"/>
              </w:rPr>
              <w:t>2布3油：</w:t>
            </w:r>
            <w:r>
              <w:rPr>
                <w:rFonts w:hint="eastAsia" w:ascii="宋体" w:hAnsi="宋体" w:eastAsia="宋体" w:cs="宋体"/>
                <w:i w:val="0"/>
                <w:strike w:val="0"/>
                <w:color w:val="auto"/>
                <w:spacing w:val="0"/>
                <w:sz w:val="20"/>
                <w:u w:val="none"/>
                <w:lang w:eastAsia="zh-CN"/>
              </w:rPr>
              <w:t>玻璃</w:t>
            </w:r>
            <w:r>
              <w:rPr>
                <w:rFonts w:hint="eastAsia" w:ascii="宋体" w:hAnsi="宋体" w:eastAsia="宋体" w:cs="宋体"/>
                <w:i w:val="0"/>
                <w:strike w:val="0"/>
                <w:color w:val="auto"/>
                <w:spacing w:val="0"/>
                <w:sz w:val="20"/>
                <w:u w:val="none"/>
                <w:lang w:val="en-US" w:eastAsia="zh-CN"/>
              </w:rPr>
              <w:t>纤维+</w:t>
            </w:r>
            <w:r>
              <w:rPr>
                <w:rFonts w:hint="eastAsia" w:ascii="宋体" w:hAnsi="宋体" w:eastAsia="宋体" w:cs="宋体"/>
                <w:i w:val="0"/>
                <w:strike w:val="0"/>
                <w:color w:val="auto"/>
                <w:spacing w:val="0"/>
                <w:sz w:val="20"/>
                <w:u w:val="none"/>
                <w:lang w:eastAsia="zh-CN"/>
              </w:rPr>
              <w:t>环氧树脂涂料</w:t>
            </w:r>
          </w:p>
        </w:tc>
      </w:tr>
      <w:tr w14:paraId="5ACAAD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14:paraId="183A9E0A">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3</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25990313">
            <w:pPr>
              <w:snapToGrid/>
              <w:spacing w:before="0" w:after="0" w:line="240" w:lineRule="auto"/>
              <w:ind w:left="0" w:leftChars="0" w:right="0" w:rightChars="0" w:firstLine="0" w:firstLineChars="0"/>
              <w:jc w:val="center"/>
              <w:rPr>
                <w:rFonts w:hint="default" w:ascii="仿宋" w:hAnsi="仿宋" w:eastAsia="仿宋" w:cs="仿宋"/>
                <w:i w:val="0"/>
                <w:iCs w:val="0"/>
                <w:color w:val="000000"/>
                <w:sz w:val="20"/>
                <w:szCs w:val="20"/>
                <w:u w:val="none"/>
                <w:lang w:val="en-US"/>
              </w:rPr>
            </w:pPr>
            <w:r>
              <w:rPr>
                <w:rFonts w:hint="eastAsia" w:ascii="宋体" w:hAnsi="宋体" w:eastAsia="宋体" w:cs="宋体"/>
                <w:i w:val="0"/>
                <w:strike w:val="0"/>
                <w:color w:val="auto"/>
                <w:spacing w:val="0"/>
                <w:sz w:val="20"/>
                <w:u w:val="none"/>
                <w:vertAlign w:val="baseline"/>
              </w:rPr>
              <w:t>隔膜式电动计量泵</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14:paraId="505BC1A5">
            <w:pPr>
              <w:snapToGrid/>
              <w:spacing w:before="0" w:after="0" w:line="240" w:lineRule="auto"/>
              <w:ind w:left="0" w:leftChars="0" w:right="0" w:rightChars="0" w:firstLine="0" w:firstLineChars="0"/>
              <w:jc w:val="center"/>
              <w:rPr>
                <w:rFonts w:hint="default" w:ascii="仿宋" w:hAnsi="仿宋" w:eastAsia="仿宋" w:cs="仿宋"/>
                <w:i w:val="0"/>
                <w:iCs w:val="0"/>
                <w:color w:val="000000"/>
                <w:sz w:val="20"/>
                <w:szCs w:val="20"/>
                <w:u w:val="none"/>
                <w:lang w:val="en-US"/>
              </w:rPr>
            </w:pPr>
            <w:r>
              <w:rPr>
                <w:rFonts w:hint="eastAsia" w:ascii="宋体" w:hAnsi="宋体" w:eastAsia="宋体" w:cs="宋体"/>
                <w:i w:val="0"/>
                <w:strike w:val="0"/>
                <w:color w:val="auto"/>
                <w:spacing w:val="0"/>
                <w:sz w:val="20"/>
                <w:u w:val="none"/>
                <w:vertAlign w:val="baseline"/>
              </w:rPr>
              <w:t>Q=170L/h</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14:paraId="040E04C8">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东铠泵业、上海沂洺</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5B7A94FF">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48FA0599">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4</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14:paraId="38BBA213">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同等及以上品牌</w:t>
            </w:r>
          </w:p>
        </w:tc>
      </w:tr>
      <w:tr w14:paraId="6E4A10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14:paraId="6E62A1B1">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4</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13FE4A15">
            <w:pPr>
              <w:snapToGrid/>
              <w:spacing w:before="0" w:after="0" w:line="240" w:lineRule="auto"/>
              <w:ind w:left="0" w:leftChars="0" w:right="0" w:rightChars="0" w:firstLine="0" w:firstLineChars="0"/>
              <w:jc w:val="center"/>
              <w:rPr>
                <w:rFonts w:hint="default" w:ascii="仿宋" w:hAnsi="仿宋" w:eastAsia="仿宋" w:cs="仿宋"/>
                <w:i w:val="0"/>
                <w:iCs w:val="0"/>
                <w:color w:val="000000"/>
                <w:sz w:val="20"/>
                <w:szCs w:val="20"/>
                <w:u w:val="none"/>
                <w:lang w:val="en-US"/>
              </w:rPr>
            </w:pPr>
            <w:r>
              <w:rPr>
                <w:rFonts w:hint="eastAsia" w:ascii="宋体" w:hAnsi="宋体" w:eastAsia="宋体" w:cs="宋体"/>
                <w:i w:val="0"/>
                <w:strike w:val="0"/>
                <w:color w:val="auto"/>
                <w:spacing w:val="0"/>
                <w:sz w:val="20"/>
                <w:u w:val="none"/>
                <w:vertAlign w:val="baseline"/>
              </w:rPr>
              <w:t>加药箱搅拌器</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14:paraId="7B0E7992">
            <w:pPr>
              <w:snapToGrid/>
              <w:spacing w:before="0" w:after="0" w:line="240" w:lineRule="auto"/>
              <w:ind w:left="0" w:leftChars="0" w:right="0" w:rightChars="0" w:firstLine="0" w:firstLineChars="0"/>
              <w:jc w:val="center"/>
              <w:rPr>
                <w:rFonts w:hint="default" w:ascii="仿宋" w:hAnsi="仿宋" w:eastAsia="仿宋" w:cs="仿宋"/>
                <w:i w:val="0"/>
                <w:iCs w:val="0"/>
                <w:color w:val="000000"/>
                <w:sz w:val="20"/>
                <w:szCs w:val="20"/>
                <w:u w:val="none"/>
                <w:lang w:val="en-US"/>
              </w:rPr>
            </w:pPr>
            <w:r>
              <w:rPr>
                <w:rFonts w:hint="eastAsia" w:ascii="宋体" w:hAnsi="宋体" w:eastAsia="宋体" w:cs="宋体"/>
                <w:i w:val="0"/>
                <w:strike w:val="0"/>
                <w:color w:val="auto"/>
                <w:spacing w:val="0"/>
                <w:sz w:val="20"/>
                <w:u w:val="none"/>
              </w:rPr>
              <w:t>配套摆线减速机，I=0.75Kw，配套叶轮和连接杆为304不锈钢，连接杆0.9m</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14:paraId="3D29E605">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东铠泵业、上海沂洺</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6842A154">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53BA81CB">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4</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14:paraId="51EAE5C6">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同等及以上品牌</w:t>
            </w:r>
          </w:p>
        </w:tc>
      </w:tr>
      <w:tr w14:paraId="0C3A63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14:paraId="4CA8604C">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5</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031920F2">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加药箱</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14:paraId="0BC4F76E">
            <w:pPr>
              <w:snapToGrid/>
              <w:spacing w:before="0" w:after="0" w:line="240" w:lineRule="auto"/>
              <w:ind w:left="0" w:leftChars="0" w:right="0" w:firstLine="0" w:firstLineChars="0"/>
              <w:jc w:val="center"/>
              <w:rPr>
                <w:rFonts w:hint="eastAsia" w:ascii="宋体" w:hAnsi="宋体" w:eastAsia="宋体" w:cs="宋体"/>
                <w:color w:val="auto"/>
              </w:rPr>
            </w:pPr>
            <w:r>
              <w:rPr>
                <w:rFonts w:hint="eastAsia" w:ascii="宋体" w:hAnsi="宋体" w:eastAsia="宋体" w:cs="宋体"/>
                <w:i w:val="0"/>
                <w:strike w:val="0"/>
                <w:color w:val="auto"/>
                <w:spacing w:val="0"/>
                <w:sz w:val="20"/>
                <w:u w:val="none"/>
                <w:vertAlign w:val="baseline"/>
              </w:rPr>
              <w:t>材质碳钢（内部防腐处理，外部刷漆）</w:t>
            </w:r>
          </w:p>
          <w:p w14:paraId="5EE9E999">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尺寸：长1m×宽1m×高1m，有效水深0.9m</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14:paraId="621BB7FA">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lang w:val="en-US" w:eastAsia="zh-CN"/>
              </w:rPr>
            </w:pPr>
            <w:r>
              <w:rPr>
                <w:rFonts w:hint="eastAsia" w:ascii="宋体" w:hAnsi="宋体" w:eastAsia="宋体" w:cs="宋体"/>
                <w:i w:val="0"/>
                <w:strike w:val="0"/>
                <w:color w:val="auto"/>
                <w:spacing w:val="0"/>
                <w:sz w:val="20"/>
                <w:u w:val="none"/>
                <w:vertAlign w:val="baseline"/>
              </w:rPr>
              <w:t>定制</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47446A12">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0BE8B536">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4</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14:paraId="5F196010">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eastAsia="zh-CN"/>
              </w:rPr>
              <w:t>防腐采用</w:t>
            </w:r>
            <w:r>
              <w:rPr>
                <w:rFonts w:hint="eastAsia" w:ascii="宋体" w:hAnsi="宋体" w:eastAsia="宋体" w:cs="宋体"/>
                <w:i w:val="0"/>
                <w:strike w:val="0"/>
                <w:color w:val="auto"/>
                <w:spacing w:val="0"/>
                <w:sz w:val="20"/>
                <w:u w:val="none"/>
                <w:lang w:val="en-US" w:eastAsia="zh-CN"/>
              </w:rPr>
              <w:t>2布3油：</w:t>
            </w:r>
            <w:r>
              <w:rPr>
                <w:rFonts w:hint="eastAsia" w:ascii="宋体" w:hAnsi="宋体" w:eastAsia="宋体" w:cs="宋体"/>
                <w:i w:val="0"/>
                <w:strike w:val="0"/>
                <w:color w:val="auto"/>
                <w:spacing w:val="0"/>
                <w:sz w:val="20"/>
                <w:u w:val="none"/>
                <w:lang w:eastAsia="zh-CN"/>
              </w:rPr>
              <w:t>玻璃</w:t>
            </w:r>
            <w:r>
              <w:rPr>
                <w:rFonts w:hint="eastAsia" w:ascii="宋体" w:hAnsi="宋体" w:eastAsia="宋体" w:cs="宋体"/>
                <w:i w:val="0"/>
                <w:strike w:val="0"/>
                <w:color w:val="auto"/>
                <w:spacing w:val="0"/>
                <w:sz w:val="20"/>
                <w:u w:val="none"/>
                <w:lang w:val="en-US" w:eastAsia="zh-CN"/>
              </w:rPr>
              <w:t>纤维+</w:t>
            </w:r>
            <w:r>
              <w:rPr>
                <w:rFonts w:hint="eastAsia" w:ascii="宋体" w:hAnsi="宋体" w:eastAsia="宋体" w:cs="宋体"/>
                <w:i w:val="0"/>
                <w:strike w:val="0"/>
                <w:color w:val="auto"/>
                <w:spacing w:val="0"/>
                <w:sz w:val="20"/>
                <w:u w:val="none"/>
                <w:lang w:eastAsia="zh-CN"/>
              </w:rPr>
              <w:t>环氧树脂涂料</w:t>
            </w:r>
          </w:p>
        </w:tc>
      </w:tr>
      <w:tr w14:paraId="4EE8C3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14:paraId="592CA9A2">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6</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2A52EB37">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反应槽</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14:paraId="70341B0A">
            <w:pPr>
              <w:snapToGrid/>
              <w:spacing w:before="0" w:after="0" w:line="240" w:lineRule="auto"/>
              <w:ind w:left="0" w:leftChars="0" w:right="0" w:firstLine="0" w:firstLineChars="0"/>
              <w:jc w:val="center"/>
              <w:rPr>
                <w:rFonts w:hint="eastAsia" w:ascii="宋体" w:hAnsi="宋体" w:eastAsia="宋体" w:cs="宋体"/>
                <w:color w:val="auto"/>
              </w:rPr>
            </w:pPr>
            <w:r>
              <w:rPr>
                <w:rFonts w:hint="eastAsia" w:ascii="宋体" w:hAnsi="宋体" w:eastAsia="宋体" w:cs="宋体"/>
                <w:i w:val="0"/>
                <w:strike w:val="0"/>
                <w:color w:val="auto"/>
                <w:spacing w:val="0"/>
                <w:sz w:val="20"/>
                <w:u w:val="none"/>
                <w:vertAlign w:val="baseline"/>
              </w:rPr>
              <w:t>材质碳钢（内部防腐处理，外部刷漆）</w:t>
            </w:r>
          </w:p>
          <w:p w14:paraId="47D9D15E">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尺寸：长1m×宽1m×高</w:t>
            </w:r>
            <w:r>
              <w:rPr>
                <w:rFonts w:hint="eastAsia" w:ascii="宋体" w:hAnsi="宋体" w:eastAsia="宋体" w:cs="宋体"/>
                <w:i w:val="0"/>
                <w:strike w:val="0"/>
                <w:color w:val="auto"/>
                <w:spacing w:val="0"/>
                <w:sz w:val="20"/>
                <w:u w:val="none"/>
                <w:vertAlign w:val="baseline"/>
                <w:lang w:val="en-US" w:eastAsia="zh-CN"/>
              </w:rPr>
              <w:t>1.2</w:t>
            </w:r>
            <w:r>
              <w:rPr>
                <w:rFonts w:hint="eastAsia" w:ascii="宋体" w:hAnsi="宋体" w:eastAsia="宋体" w:cs="宋体"/>
                <w:i w:val="0"/>
                <w:strike w:val="0"/>
                <w:color w:val="auto"/>
                <w:spacing w:val="0"/>
                <w:sz w:val="20"/>
                <w:u w:val="none"/>
                <w:vertAlign w:val="baseline"/>
              </w:rPr>
              <w:t>m，有效水深1.1m</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14:paraId="68601CBB">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定制</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538438A9">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3CC7DA4E">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4</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14:paraId="6686F70C">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eastAsia="zh-CN"/>
              </w:rPr>
              <w:t>防腐采用</w:t>
            </w:r>
            <w:r>
              <w:rPr>
                <w:rFonts w:hint="eastAsia" w:ascii="宋体" w:hAnsi="宋体" w:eastAsia="宋体" w:cs="宋体"/>
                <w:i w:val="0"/>
                <w:strike w:val="0"/>
                <w:color w:val="auto"/>
                <w:spacing w:val="0"/>
                <w:sz w:val="20"/>
                <w:u w:val="none"/>
                <w:lang w:val="en-US" w:eastAsia="zh-CN"/>
              </w:rPr>
              <w:t>2布3油：</w:t>
            </w:r>
            <w:r>
              <w:rPr>
                <w:rFonts w:hint="eastAsia" w:ascii="宋体" w:hAnsi="宋体" w:eastAsia="宋体" w:cs="宋体"/>
                <w:i w:val="0"/>
                <w:strike w:val="0"/>
                <w:color w:val="auto"/>
                <w:spacing w:val="0"/>
                <w:sz w:val="20"/>
                <w:u w:val="none"/>
                <w:lang w:eastAsia="zh-CN"/>
              </w:rPr>
              <w:t>玻璃</w:t>
            </w:r>
            <w:r>
              <w:rPr>
                <w:rFonts w:hint="eastAsia" w:ascii="宋体" w:hAnsi="宋体" w:eastAsia="宋体" w:cs="宋体"/>
                <w:i w:val="0"/>
                <w:strike w:val="0"/>
                <w:color w:val="auto"/>
                <w:spacing w:val="0"/>
                <w:sz w:val="20"/>
                <w:u w:val="none"/>
                <w:lang w:val="en-US" w:eastAsia="zh-CN"/>
              </w:rPr>
              <w:t>纤维+</w:t>
            </w:r>
            <w:r>
              <w:rPr>
                <w:rFonts w:hint="eastAsia" w:ascii="宋体" w:hAnsi="宋体" w:eastAsia="宋体" w:cs="宋体"/>
                <w:i w:val="0"/>
                <w:strike w:val="0"/>
                <w:color w:val="auto"/>
                <w:spacing w:val="0"/>
                <w:sz w:val="20"/>
                <w:u w:val="none"/>
                <w:lang w:eastAsia="zh-CN"/>
              </w:rPr>
              <w:t>环氧树脂涂料</w:t>
            </w:r>
          </w:p>
        </w:tc>
      </w:tr>
      <w:tr w14:paraId="12E62E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14:paraId="212911F1">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7</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60C500C4">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反应槽搅拌器</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14:paraId="04CE6C86">
            <w:pPr>
              <w:snapToGrid/>
              <w:spacing w:before="0" w:after="0" w:line="240" w:lineRule="auto"/>
              <w:ind w:left="0" w:leftChars="0" w:right="0" w:rightChars="0" w:firstLine="0" w:firstLineChars="0"/>
              <w:jc w:val="center"/>
              <w:rPr>
                <w:rFonts w:hint="default" w:ascii="仿宋" w:hAnsi="仿宋" w:eastAsia="仿宋" w:cs="仿宋"/>
                <w:i w:val="0"/>
                <w:iCs w:val="0"/>
                <w:color w:val="000000"/>
                <w:sz w:val="20"/>
                <w:szCs w:val="20"/>
                <w:u w:val="none"/>
                <w:lang w:val="en-US"/>
              </w:rPr>
            </w:pPr>
            <w:r>
              <w:rPr>
                <w:rFonts w:hint="eastAsia" w:ascii="宋体" w:hAnsi="宋体" w:eastAsia="宋体" w:cs="宋体"/>
                <w:i w:val="0"/>
                <w:strike w:val="0"/>
                <w:color w:val="auto"/>
                <w:spacing w:val="0"/>
                <w:sz w:val="20"/>
                <w:u w:val="none"/>
                <w:vertAlign w:val="baseline"/>
              </w:rPr>
              <w:t>配套摆线减速机，I=1.5Kw，配套叶轮和连接杆为304不锈钢，连接杆1.1m</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14:paraId="070F52D7">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潍坊森胜、 上海沂洺</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71322663">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11AB07CB">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4</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14:paraId="226AD99B">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同等及以上品牌</w:t>
            </w:r>
          </w:p>
        </w:tc>
      </w:tr>
      <w:tr w14:paraId="408AAB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14:paraId="5D90B16F">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8</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2777C175">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lang w:val="en-US" w:eastAsia="zh-CN"/>
              </w:rPr>
            </w:pPr>
            <w:r>
              <w:rPr>
                <w:rFonts w:hint="eastAsia" w:ascii="宋体" w:hAnsi="宋体" w:eastAsia="宋体" w:cs="宋体"/>
                <w:i w:val="0"/>
                <w:strike w:val="0"/>
                <w:color w:val="auto"/>
                <w:spacing w:val="0"/>
                <w:sz w:val="20"/>
                <w:u w:val="none"/>
                <w:vertAlign w:val="baseline"/>
              </w:rPr>
              <w:t>潜污泵</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14:paraId="06DA52D6">
            <w:pPr>
              <w:snapToGrid/>
              <w:spacing w:before="0" w:after="0" w:line="240" w:lineRule="auto"/>
              <w:ind w:left="0" w:leftChars="0" w:right="0" w:rightChars="0" w:firstLine="0" w:firstLineChars="0"/>
              <w:jc w:val="center"/>
              <w:rPr>
                <w:rFonts w:hint="default" w:ascii="仿宋" w:hAnsi="仿宋" w:eastAsia="仿宋" w:cs="仿宋"/>
                <w:i w:val="0"/>
                <w:iCs w:val="0"/>
                <w:color w:val="000000"/>
                <w:sz w:val="20"/>
                <w:szCs w:val="20"/>
                <w:u w:val="none"/>
                <w:lang w:val="en-US"/>
              </w:rPr>
            </w:pPr>
            <w:r>
              <w:rPr>
                <w:rFonts w:hint="eastAsia" w:ascii="宋体" w:hAnsi="宋体" w:eastAsia="宋体" w:cs="宋体"/>
                <w:i w:val="0"/>
                <w:strike w:val="0"/>
                <w:color w:val="auto"/>
                <w:spacing w:val="0"/>
                <w:sz w:val="20"/>
                <w:u w:val="none"/>
                <w:vertAlign w:val="baseline"/>
              </w:rPr>
              <w:t>Q=20m³/h，H=15m，I=2.2Kw</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14:paraId="678C03B8">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中国进越、新界</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2EBB3F9C">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25B8FC63">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lang w:val="en-US" w:eastAsia="zh-CN"/>
              </w:rPr>
            </w:pPr>
            <w:r>
              <w:rPr>
                <w:rFonts w:hint="eastAsia" w:ascii="宋体" w:hAnsi="宋体" w:eastAsia="宋体" w:cs="宋体"/>
                <w:i w:val="0"/>
                <w:strike w:val="0"/>
                <w:color w:val="auto"/>
                <w:spacing w:val="0"/>
                <w:sz w:val="20"/>
                <w:u w:val="none"/>
                <w:vertAlign w:val="baseline"/>
              </w:rPr>
              <w:t>3</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14:paraId="3FD2E694">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同等及以上品牌</w:t>
            </w:r>
          </w:p>
        </w:tc>
      </w:tr>
      <w:tr w14:paraId="2017D1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14:paraId="3BC05E6C">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9</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741DBFD5">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污泥螺杆泵</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14:paraId="778BB3E6">
            <w:pPr>
              <w:snapToGrid/>
              <w:spacing w:before="0" w:after="0" w:line="240" w:lineRule="auto"/>
              <w:ind w:left="0" w:leftChars="0" w:right="0" w:rightChars="0" w:firstLine="0" w:firstLineChars="0"/>
              <w:jc w:val="center"/>
              <w:rPr>
                <w:rFonts w:hint="default" w:ascii="仿宋" w:hAnsi="仿宋" w:eastAsia="仿宋" w:cs="仿宋"/>
                <w:i w:val="0"/>
                <w:iCs w:val="0"/>
                <w:color w:val="000000"/>
                <w:sz w:val="20"/>
                <w:szCs w:val="20"/>
                <w:u w:val="none"/>
                <w:lang w:val="en-US"/>
              </w:rPr>
            </w:pPr>
            <w:r>
              <w:rPr>
                <w:rFonts w:hint="eastAsia" w:ascii="宋体" w:hAnsi="宋体" w:eastAsia="宋体" w:cs="宋体"/>
                <w:i w:val="0"/>
                <w:strike w:val="0"/>
                <w:color w:val="auto"/>
                <w:spacing w:val="0"/>
                <w:sz w:val="20"/>
                <w:u w:val="none"/>
                <w:vertAlign w:val="baseline"/>
              </w:rPr>
              <w:t>泵体304不锈钢，Q=2m³/h，I=2.2Kw</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14:paraId="21BA01C4">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上海韦森、浙江亿迪</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1A42C560">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29CE43E6">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14:paraId="5D94E1FF">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同等及以上品牌</w:t>
            </w:r>
          </w:p>
        </w:tc>
      </w:tr>
      <w:tr w14:paraId="3AD0DB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14:paraId="4FF84E01">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10</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0C60C91C">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污水回流泵</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14:paraId="2A465FA9">
            <w:pPr>
              <w:snapToGrid/>
              <w:spacing w:before="0" w:after="0" w:line="240" w:lineRule="auto"/>
              <w:ind w:left="0" w:leftChars="0" w:right="0" w:rightChars="0" w:firstLine="0" w:firstLineChars="0"/>
              <w:jc w:val="center"/>
              <w:rPr>
                <w:rFonts w:hint="default" w:ascii="仿宋" w:hAnsi="仿宋" w:eastAsia="仿宋" w:cs="仿宋"/>
                <w:i w:val="0"/>
                <w:iCs w:val="0"/>
                <w:color w:val="000000"/>
                <w:sz w:val="20"/>
                <w:szCs w:val="20"/>
                <w:u w:val="none"/>
                <w:lang w:val="en-US"/>
              </w:rPr>
            </w:pPr>
            <w:r>
              <w:rPr>
                <w:rFonts w:hint="eastAsia" w:ascii="宋体" w:hAnsi="宋体" w:eastAsia="宋体" w:cs="宋体"/>
                <w:i w:val="0"/>
                <w:strike w:val="0"/>
                <w:color w:val="auto"/>
                <w:spacing w:val="0"/>
                <w:sz w:val="20"/>
                <w:u w:val="none"/>
                <w:vertAlign w:val="baseline"/>
              </w:rPr>
              <w:t>泵体304不锈钢，Q=25m³/h，H=10m，I=1.5Kw</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14:paraId="1A2026A8">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中国进越、浙江亿迪</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276300B1">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176D5BD1">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14:paraId="62881533">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同等及以上品牌</w:t>
            </w:r>
          </w:p>
        </w:tc>
      </w:tr>
      <w:tr w14:paraId="2F19E6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14:paraId="616DCE87">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11</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78379664">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板框压滤机</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14:paraId="5059C675">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外形尺寸1850×845×950mm，压滤面积10平滤板厚度50mm，进料压力＜0.6Mpa，滤板尺寸500*500mm</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14:paraId="6A41D143">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山东泰合、潍坊鑫诚</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55851319">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台</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7555302F">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14:paraId="2F0DCDB0">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同等及以上品牌</w:t>
            </w:r>
          </w:p>
        </w:tc>
      </w:tr>
      <w:tr w14:paraId="13E19B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14:paraId="5DF5DA31">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12</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1361AA30">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斜板沉淀池填料</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14:paraId="42645D0F">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聚丙烯填料直径</w:t>
            </w:r>
            <w:r>
              <w:rPr>
                <w:rFonts w:hint="eastAsia" w:ascii="宋体" w:hAnsi="宋体" w:eastAsia="宋体" w:cs="宋体"/>
                <w:i w:val="0"/>
                <w:strike w:val="0"/>
                <w:color w:val="auto"/>
                <w:spacing w:val="0"/>
                <w:sz w:val="20"/>
                <w:u w:val="none"/>
                <w:vertAlign w:val="baseline"/>
                <w:lang w:val="en-US" w:eastAsia="zh-CN"/>
              </w:rPr>
              <w:t>50</w:t>
            </w:r>
            <w:r>
              <w:rPr>
                <w:rFonts w:hint="eastAsia" w:ascii="宋体" w:hAnsi="宋体" w:eastAsia="宋体" w:cs="宋体"/>
                <w:i w:val="0"/>
                <w:strike w:val="0"/>
                <w:color w:val="auto"/>
                <w:spacing w:val="0"/>
                <w:sz w:val="20"/>
                <w:u w:val="none"/>
                <w:vertAlign w:val="baseline"/>
              </w:rPr>
              <w:t>mm，比表面积300m/m,堆积个数22500n/m，堆积密度49KG/㎡</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14:paraId="0D4FB1F7">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山东泰合、潍坊鑫诚</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40FD3F02">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台</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1B4B697B">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14:paraId="20FC1714">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同等及以上品牌</w:t>
            </w:r>
          </w:p>
        </w:tc>
      </w:tr>
      <w:tr w14:paraId="6CB2B7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14:paraId="509BB17D">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13</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201CC52B">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平台楼梯</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14:paraId="7951041F">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lang w:val="en-US" w:eastAsia="zh-CN"/>
              </w:rPr>
              <w:t>材质Q235，</w:t>
            </w:r>
            <w:r>
              <w:rPr>
                <w:rFonts w:hint="eastAsia" w:ascii="宋体" w:hAnsi="宋体" w:eastAsia="宋体" w:cs="宋体"/>
                <w:i w:val="0"/>
                <w:strike w:val="0"/>
                <w:color w:val="auto"/>
                <w:spacing w:val="0"/>
                <w:sz w:val="20"/>
                <w:u w:val="none"/>
                <w:vertAlign w:val="baseline"/>
              </w:rPr>
              <w:t>铁板，厚5mm</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14:paraId="3D78BD8F">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lang w:val="en-US" w:eastAsia="zh-CN"/>
              </w:rPr>
              <w:t>定制</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531CB656">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78A074EA">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14:paraId="2B6B2FE1">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p>
        </w:tc>
      </w:tr>
      <w:tr w14:paraId="0DF700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14:paraId="3496249A">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14</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02CEBC8D">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lang w:val="en-US" w:eastAsia="zh-CN"/>
              </w:rPr>
              <w:t>电磁流量计</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14:paraId="238CDCD8">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lang w:val="en-US" w:eastAsia="zh-CN"/>
              </w:rPr>
              <w:t>DN65，法兰连接；公称压力:PN16；连接材质及本体材质:碳钢CS；准确度:0.5级；输出及供电电源:4-20mA+脉冲+RS485，220VAC</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14:paraId="5421B65C">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lang w:val="en-US" w:eastAsia="zh-CN"/>
              </w:rPr>
            </w:pPr>
            <w:r>
              <w:rPr>
                <w:rFonts w:hint="eastAsia" w:ascii="宋体" w:hAnsi="宋体" w:eastAsia="宋体" w:cs="宋体"/>
                <w:i w:val="0"/>
                <w:strike w:val="0"/>
                <w:color w:val="auto"/>
                <w:spacing w:val="0"/>
                <w:sz w:val="20"/>
                <w:u w:val="none"/>
                <w:vertAlign w:val="baseline"/>
                <w:lang w:val="en-US" w:eastAsia="zh-CN"/>
              </w:rPr>
              <w:t>格乐普、美控</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71B4DA54">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7627DF35">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1</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14:paraId="18FC0CF5">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同等及以上品牌</w:t>
            </w:r>
          </w:p>
        </w:tc>
      </w:tr>
      <w:tr w14:paraId="2CB0EA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14:paraId="531B8758">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15</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528CF75F">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立柱</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14:paraId="0D090DB1">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池体支架材质Q235,50mm方管</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14:paraId="7B9E5F25">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定制</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6A55DE47">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根</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125E27F1">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12</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14:paraId="1A9E0440">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p>
        </w:tc>
      </w:tr>
      <w:tr w14:paraId="5A3661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14:paraId="04CCDA4B">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16</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46C351CE">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管道</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14:paraId="5608C994">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加药管道采用，PVC:DN25-DN100；</w:t>
            </w:r>
          </w:p>
          <w:p w14:paraId="3BDE2E54">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污泥输送管道采用，PVC：DN65</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14:paraId="2A924D6D">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日丰、华亚</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0B2F53EB">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米</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50981C74">
            <w:pPr>
              <w:snapToGrid/>
              <w:spacing w:before="0" w:after="0" w:line="240" w:lineRule="auto"/>
              <w:ind w:left="0" w:leftChars="0" w:right="0" w:rightChars="0" w:firstLine="0" w:firstLineChars="0"/>
              <w:jc w:val="center"/>
              <w:rPr>
                <w:rFonts w:hint="default"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若干</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14:paraId="79912A9C">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同等及以上品牌</w:t>
            </w:r>
          </w:p>
        </w:tc>
      </w:tr>
      <w:tr w14:paraId="46954D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14:paraId="7744A179">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17</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2CC74682">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辅料</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14:paraId="402B126C">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五金辅材</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14:paraId="627B5B3A">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3815E161">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0ABBA160">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若干</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14:paraId="1FE4C5F6">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国标</w:t>
            </w:r>
          </w:p>
        </w:tc>
      </w:tr>
      <w:tr w14:paraId="2AEE30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14:paraId="674A9238">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lang w:val="en-US" w:eastAsia="zh-CN"/>
              </w:rPr>
              <w:t>18</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456ACA6C">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lang w:val="en-US" w:eastAsia="zh-CN"/>
              </w:rPr>
              <w:t>电线</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14:paraId="60CAD1B2">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低压电力电缆</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14:paraId="1EB9625C">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华凌、阳谷</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77A02550">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米</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227BDE90">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若干</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14:paraId="785D74E8">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同等及以上品牌</w:t>
            </w:r>
          </w:p>
        </w:tc>
      </w:tr>
      <w:tr w14:paraId="61F835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14:paraId="55C56E2D">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lang w:val="en-US" w:eastAsia="zh-CN"/>
              </w:rPr>
              <w:t>19</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08062CDA">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lang w:val="en-US" w:eastAsia="zh-CN"/>
              </w:rPr>
              <w:t>穿线管</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14:paraId="0A5C629C">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镀锌管，Ф20</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14:paraId="4C3438B3">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友发、正元</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29550EB5">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米</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5A696C15">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若干</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14:paraId="01814320">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同等及以上品牌</w:t>
            </w:r>
          </w:p>
        </w:tc>
      </w:tr>
      <w:tr w14:paraId="2E738C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14:paraId="0C1EF5DD">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lang w:val="en-US" w:eastAsia="zh-CN"/>
              </w:rPr>
              <w:t>20</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6E30BA94">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lang w:val="en-US" w:eastAsia="zh-CN"/>
              </w:rPr>
              <w:t>曝气管</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14:paraId="1D764234">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PVC：DN50</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14:paraId="368CB8AD">
            <w:pPr>
              <w:snapToGrid/>
              <w:spacing w:before="0" w:after="0" w:line="240" w:lineRule="auto"/>
              <w:ind w:left="0" w:leftChars="0" w:right="0" w:rightChars="0" w:firstLine="0" w:firstLineChars="0"/>
              <w:jc w:val="center"/>
              <w:rPr>
                <w:rFonts w:hint="default"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日丰、华亚</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1602E4DD">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6C0D265D">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若干</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14:paraId="429CD32F">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同等及以上品牌</w:t>
            </w:r>
          </w:p>
        </w:tc>
      </w:tr>
      <w:tr w14:paraId="6691CD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14:paraId="32BA626F">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kern w:val="2"/>
                <w:sz w:val="20"/>
                <w:u w:val="none"/>
                <w:vertAlign w:val="baseline"/>
                <w:lang w:val="en-US" w:eastAsia="zh-CN" w:bidi="ar-SA"/>
              </w:rPr>
            </w:pPr>
            <w:r>
              <w:rPr>
                <w:rFonts w:hint="eastAsia" w:ascii="宋体" w:hAnsi="宋体" w:eastAsia="宋体" w:cs="宋体"/>
                <w:i w:val="0"/>
                <w:strike w:val="0"/>
                <w:color w:val="auto"/>
                <w:spacing w:val="0"/>
                <w:sz w:val="20"/>
                <w:u w:val="none"/>
                <w:vertAlign w:val="baseline"/>
                <w:lang w:val="en-US" w:eastAsia="zh-CN"/>
              </w:rPr>
              <w:t>21</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3B1377AF">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kern w:val="2"/>
                <w:sz w:val="20"/>
                <w:u w:val="none"/>
                <w:vertAlign w:val="baseline"/>
                <w:lang w:val="en-US" w:eastAsia="zh-CN" w:bidi="ar-SA"/>
              </w:rPr>
            </w:pPr>
            <w:r>
              <w:rPr>
                <w:rFonts w:hint="eastAsia" w:ascii="宋体" w:hAnsi="宋体" w:eastAsia="宋体" w:cs="宋体"/>
                <w:i w:val="0"/>
                <w:strike w:val="0"/>
                <w:color w:val="auto"/>
                <w:spacing w:val="0"/>
                <w:sz w:val="20"/>
                <w:u w:val="none"/>
                <w:vertAlign w:val="baseline"/>
                <w:lang w:val="en-US" w:eastAsia="zh-CN"/>
              </w:rPr>
              <w:t>电控柜</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14:paraId="0795826A">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IP65</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14:paraId="5826F89F">
            <w:pPr>
              <w:snapToGrid/>
              <w:spacing w:before="0" w:after="0" w:line="240" w:lineRule="auto"/>
              <w:ind w:left="0" w:leftChars="0" w:right="0" w:rightChars="0" w:firstLine="0" w:firstLineChars="0"/>
              <w:jc w:val="center"/>
              <w:rPr>
                <w:rFonts w:hint="default"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61BE44F6">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58D08548">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1</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14:paraId="78EB6A43">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国内知名品牌</w:t>
            </w:r>
          </w:p>
        </w:tc>
      </w:tr>
      <w:tr w14:paraId="393BE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14:paraId="2B60AA7B">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kern w:val="2"/>
                <w:sz w:val="20"/>
                <w:u w:val="none"/>
                <w:vertAlign w:val="baseline"/>
                <w:lang w:val="en-US" w:eastAsia="zh-CN" w:bidi="ar-SA"/>
              </w:rPr>
            </w:pPr>
            <w:r>
              <w:rPr>
                <w:rFonts w:hint="eastAsia" w:ascii="宋体" w:hAnsi="宋体" w:eastAsia="宋体" w:cs="宋体"/>
                <w:i w:val="0"/>
                <w:strike w:val="0"/>
                <w:color w:val="auto"/>
                <w:spacing w:val="0"/>
                <w:sz w:val="20"/>
                <w:u w:val="none"/>
                <w:vertAlign w:val="baseline"/>
                <w:lang w:val="en-US" w:eastAsia="zh-CN"/>
              </w:rPr>
              <w:t>22</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0ECDB9B8">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kern w:val="2"/>
                <w:sz w:val="20"/>
                <w:u w:val="none"/>
                <w:vertAlign w:val="baseline"/>
                <w:lang w:val="en-US" w:eastAsia="zh-CN" w:bidi="ar-SA"/>
              </w:rPr>
            </w:pPr>
            <w:r>
              <w:rPr>
                <w:rFonts w:hint="eastAsia" w:ascii="宋体" w:hAnsi="宋体" w:eastAsia="宋体" w:cs="宋体"/>
                <w:i w:val="0"/>
                <w:strike w:val="0"/>
                <w:color w:val="auto"/>
                <w:spacing w:val="0"/>
                <w:sz w:val="20"/>
                <w:u w:val="none"/>
                <w:vertAlign w:val="baseline"/>
                <w:lang w:val="en-US" w:eastAsia="zh-CN"/>
              </w:rPr>
              <w:t>电器元件</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14:paraId="7E90A5FE">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断路器、接触器等</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14:paraId="3CC3412A">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正泰、德力西</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50FF3EF4">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0F5C572F">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1</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14:paraId="78058609">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同等及以上品牌</w:t>
            </w:r>
          </w:p>
        </w:tc>
      </w:tr>
    </w:tbl>
    <w:p w14:paraId="0E412EF5">
      <w:pPr>
        <w:pageBreakBefore w:val="0"/>
        <w:kinsoku/>
        <w:wordWrap/>
        <w:overflowPunct/>
        <w:topLinePunct w:val="0"/>
        <w:autoSpaceDE/>
        <w:autoSpaceDN/>
        <w:bidi w:val="0"/>
        <w:adjustRightInd/>
        <w:snapToGrid/>
        <w:spacing w:line="360" w:lineRule="auto"/>
        <w:ind w:left="0" w:leftChars="0" w:right="0" w:firstLine="0" w:firstLineChars="0"/>
        <w:rPr>
          <w:rFonts w:hint="eastAsia" w:ascii="宋体" w:hAnsi="宋体" w:eastAsia="宋体" w:cs="宋体"/>
          <w:bCs/>
          <w:sz w:val="24"/>
          <w:szCs w:val="24"/>
        </w:rPr>
      </w:pPr>
    </w:p>
    <w:p w14:paraId="07071B48">
      <w:pPr>
        <w:pageBreakBefore w:val="0"/>
        <w:kinsoku/>
        <w:wordWrap/>
        <w:overflowPunct/>
        <w:topLinePunct w:val="0"/>
        <w:autoSpaceDE/>
        <w:autoSpaceDN/>
        <w:bidi w:val="0"/>
        <w:adjustRightInd/>
        <w:snapToGrid/>
        <w:spacing w:line="360" w:lineRule="auto"/>
        <w:ind w:left="0" w:leftChars="0" w:right="0" w:firstLine="0" w:firstLineChars="0"/>
        <w:rPr>
          <w:rFonts w:hint="eastAsia" w:ascii="宋体" w:hAnsi="宋体" w:eastAsia="宋体" w:cs="宋体"/>
          <w:bCs/>
          <w:sz w:val="24"/>
          <w:szCs w:val="24"/>
        </w:rPr>
      </w:pPr>
      <w:r>
        <w:rPr>
          <w:rFonts w:hint="eastAsia" w:ascii="宋体" w:hAnsi="宋体" w:eastAsia="宋体" w:cs="宋体"/>
          <w:bCs/>
          <w:sz w:val="24"/>
          <w:szCs w:val="24"/>
        </w:rPr>
        <w:t>备注：</w:t>
      </w:r>
    </w:p>
    <w:p w14:paraId="0B8F875F">
      <w:pPr>
        <w:pageBreakBefore w:val="0"/>
        <w:kinsoku/>
        <w:wordWrap/>
        <w:overflowPunct/>
        <w:topLinePunct w:val="0"/>
        <w:autoSpaceDE/>
        <w:autoSpaceDN/>
        <w:bidi w:val="0"/>
        <w:adjustRightInd/>
        <w:snapToGrid/>
        <w:spacing w:line="360" w:lineRule="auto"/>
        <w:ind w:left="0" w:leftChars="0" w:right="0" w:firstLine="480" w:firstLineChars="200"/>
        <w:rPr>
          <w:rFonts w:ascii="宋体" w:hAnsi="宋体" w:eastAsia="宋体" w:cs="宋体"/>
          <w:bCs/>
          <w:sz w:val="24"/>
          <w:szCs w:val="24"/>
        </w:rPr>
      </w:pPr>
      <w:r>
        <w:rPr>
          <w:rFonts w:hint="eastAsia" w:ascii="宋体" w:hAnsi="宋体" w:eastAsia="宋体" w:cs="宋体"/>
          <w:bCs/>
          <w:sz w:val="24"/>
          <w:szCs w:val="24"/>
        </w:rPr>
        <w:t>1.本表所列采购货物仅为货物的主要构成部分，应配套供货以及招标人所列其它货物（或设备）和服务，请</w:t>
      </w:r>
      <w:r>
        <w:rPr>
          <w:rFonts w:hint="eastAsia" w:ascii="宋体" w:hAnsi="宋体" w:eastAsia="宋体" w:cs="宋体"/>
          <w:bCs/>
          <w:sz w:val="24"/>
          <w:szCs w:val="24"/>
          <w:lang w:eastAsia="zh-CN"/>
        </w:rPr>
        <w:t>投标方</w:t>
      </w:r>
      <w:r>
        <w:rPr>
          <w:rFonts w:hint="eastAsia" w:ascii="宋体" w:hAnsi="宋体" w:eastAsia="宋体" w:cs="宋体"/>
          <w:bCs/>
          <w:sz w:val="24"/>
          <w:szCs w:val="24"/>
        </w:rPr>
        <w:t>认真阅读“供货范围”。若有异议，不管是多么微小，都应在投标文件“商务偏离”章节中予以详细说明。</w:t>
      </w:r>
    </w:p>
    <w:p w14:paraId="66F0C44A">
      <w:pPr>
        <w:pageBreakBefore w:val="0"/>
        <w:numPr>
          <w:ilvl w:val="0"/>
          <w:numId w:val="0"/>
        </w:numPr>
        <w:kinsoku/>
        <w:wordWrap/>
        <w:overflowPunct/>
        <w:topLinePunct w:val="0"/>
        <w:autoSpaceDE/>
        <w:autoSpaceDN/>
        <w:bidi w:val="0"/>
        <w:adjustRightInd/>
        <w:snapToGrid/>
        <w:spacing w:line="360" w:lineRule="auto"/>
        <w:ind w:leftChars="0" w:right="0" w:rightChars="0" w:firstLine="480" w:firstLineChars="200"/>
        <w:rPr>
          <w:szCs w:val="21"/>
        </w:rPr>
      </w:pPr>
      <w:r>
        <w:rPr>
          <w:rFonts w:hint="eastAsia" w:ascii="宋体" w:hAnsi="宋体" w:eastAsia="宋体" w:cs="宋体"/>
          <w:bCs/>
          <w:sz w:val="24"/>
          <w:szCs w:val="24"/>
          <w:lang w:val="en-US" w:eastAsia="zh-CN"/>
        </w:rPr>
        <w:t>2.</w:t>
      </w:r>
      <w:r>
        <w:rPr>
          <w:rFonts w:hint="eastAsia" w:ascii="宋体" w:hAnsi="宋体" w:eastAsia="宋体" w:cs="宋体"/>
          <w:bCs/>
          <w:sz w:val="24"/>
          <w:szCs w:val="24"/>
        </w:rPr>
        <w:t>本表“供货方式”指：交钥匙方式——包括制造、运输、定点卸货、安装、调试</w:t>
      </w:r>
      <w:r>
        <w:rPr>
          <w:rFonts w:hint="eastAsia" w:ascii="宋体" w:hAnsi="宋体" w:eastAsia="宋体" w:cs="宋体"/>
          <w:bCs/>
          <w:sz w:val="24"/>
          <w:szCs w:val="24"/>
          <w:lang w:eastAsia="zh-CN"/>
        </w:rPr>
        <w:t>、</w:t>
      </w:r>
      <w:r>
        <w:rPr>
          <w:rFonts w:hint="eastAsia" w:ascii="宋体" w:hAnsi="宋体" w:eastAsia="宋体" w:cs="宋体"/>
          <w:bCs/>
          <w:sz w:val="24"/>
          <w:szCs w:val="24"/>
          <w:lang w:val="en-US" w:eastAsia="zh-CN"/>
        </w:rPr>
        <w:t>相关设备试运行等</w:t>
      </w:r>
      <w:r>
        <w:rPr>
          <w:rFonts w:hint="eastAsia" w:ascii="宋体" w:hAnsi="宋体" w:eastAsia="宋体" w:cs="宋体"/>
          <w:bCs/>
          <w:sz w:val="24"/>
          <w:szCs w:val="24"/>
        </w:rPr>
        <w:t>。</w:t>
      </w:r>
    </w:p>
    <w:p w14:paraId="4A7D8BED">
      <w:pPr>
        <w:pageBreakBefore w:val="0"/>
        <w:kinsoku/>
        <w:wordWrap/>
        <w:overflowPunct/>
        <w:topLinePunct w:val="0"/>
        <w:autoSpaceDE/>
        <w:autoSpaceDN/>
        <w:bidi w:val="0"/>
        <w:adjustRightInd/>
        <w:snapToGrid/>
        <w:spacing w:line="360" w:lineRule="auto"/>
        <w:ind w:left="0" w:leftChars="0" w:right="0" w:firstLine="480" w:firstLineChars="0"/>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3.清单中所列管道、辅料、电线、穿线管、曝气管需投标方到现场查勘后确定本项目实际需求量，以此作为整体设计的组成部分以及商务标书的报价根据。</w:t>
      </w:r>
    </w:p>
    <w:p w14:paraId="13E6CF96">
      <w:pPr>
        <w:pageBreakBefore w:val="0"/>
        <w:kinsoku/>
        <w:wordWrap/>
        <w:overflowPunct/>
        <w:topLinePunct w:val="0"/>
        <w:autoSpaceDE/>
        <w:autoSpaceDN/>
        <w:bidi w:val="0"/>
        <w:adjustRightInd/>
        <w:snapToGrid/>
        <w:spacing w:line="360" w:lineRule="auto"/>
        <w:ind w:left="0" w:leftChars="0" w:right="0" w:firstLine="0" w:firstLineChars="0"/>
        <w:outlineLvl w:val="3"/>
        <w:rPr>
          <w:rFonts w:ascii="宋体" w:hAnsi="宋体" w:eastAsia="宋体" w:cs="宋体"/>
          <w:b/>
          <w:sz w:val="24"/>
          <w:szCs w:val="24"/>
        </w:rPr>
      </w:pPr>
      <w:r>
        <w:rPr>
          <w:rFonts w:hint="eastAsia" w:ascii="宋体" w:hAnsi="宋体" w:eastAsia="宋体" w:cs="宋体"/>
          <w:b/>
          <w:sz w:val="24"/>
          <w:szCs w:val="24"/>
        </w:rPr>
        <w:t>四、采购货物特别说明</w:t>
      </w:r>
    </w:p>
    <w:p w14:paraId="2BD44955">
      <w:pPr>
        <w:pageBreakBefore w:val="0"/>
        <w:kinsoku/>
        <w:wordWrap/>
        <w:overflowPunct/>
        <w:topLinePunct w:val="0"/>
        <w:autoSpaceDE/>
        <w:autoSpaceDN/>
        <w:bidi w:val="0"/>
        <w:adjustRightInd/>
        <w:snapToGrid/>
        <w:spacing w:line="360" w:lineRule="auto"/>
        <w:ind w:left="0" w:leftChars="0" w:right="0" w:firstLine="480" w:firstLineChars="200"/>
        <w:rPr>
          <w:rFonts w:hint="default" w:ascii="宋体" w:hAnsi="宋体" w:eastAsia="宋体" w:cs="宋体"/>
          <w:sz w:val="24"/>
          <w:szCs w:val="24"/>
          <w:highlight w:val="yellow"/>
          <w:lang w:val="en-US" w:eastAsia="zh-CN"/>
        </w:rPr>
      </w:pPr>
      <w:r>
        <w:rPr>
          <w:rFonts w:hint="eastAsia" w:ascii="宋体" w:hAnsi="宋体" w:eastAsia="宋体" w:cs="宋体"/>
          <w:sz w:val="24"/>
          <w:szCs w:val="24"/>
        </w:rPr>
        <w:t>招标人所列货物的名称和规格型号，如为某一供应商所特有，则该名称和规格型号可作参考，但要求</w:t>
      </w:r>
      <w:r>
        <w:rPr>
          <w:rFonts w:hint="eastAsia" w:ascii="宋体" w:hAnsi="宋体" w:eastAsia="宋体" w:cs="宋体"/>
          <w:sz w:val="24"/>
          <w:szCs w:val="24"/>
          <w:lang w:eastAsia="zh-CN"/>
        </w:rPr>
        <w:t>投标方</w:t>
      </w:r>
      <w:r>
        <w:rPr>
          <w:rFonts w:hint="eastAsia" w:ascii="宋体" w:hAnsi="宋体" w:eastAsia="宋体" w:cs="宋体"/>
          <w:sz w:val="24"/>
          <w:szCs w:val="24"/>
        </w:rPr>
        <w:t>所提供的货物必须满足本技术标书实质性要求</w:t>
      </w:r>
      <w:r>
        <w:rPr>
          <w:rFonts w:hint="eastAsia" w:ascii="宋体" w:hAnsi="宋体" w:eastAsia="宋体" w:cs="Times New Roman"/>
          <w:szCs w:val="20"/>
        </w:rPr>
        <w:t>。</w:t>
      </w:r>
      <w:r>
        <w:rPr>
          <w:rFonts w:hint="eastAsia" w:ascii="宋体" w:hAnsi="宋体" w:eastAsia="宋体" w:cs="Times New Roman"/>
          <w:szCs w:val="20"/>
          <w:highlight w:val="yellow"/>
          <w:lang w:eastAsia="zh-CN"/>
        </w:rPr>
        <w:t>（</w:t>
      </w:r>
      <w:r>
        <w:rPr>
          <w:rFonts w:hint="eastAsia" w:ascii="宋体" w:hAnsi="宋体" w:eastAsia="宋体" w:cs="宋体"/>
          <w:sz w:val="24"/>
          <w:szCs w:val="24"/>
          <w:highlight w:val="yellow"/>
          <w:lang w:val="en-US" w:eastAsia="zh-CN"/>
        </w:rPr>
        <w:t>本项目不指定品牌，仅作参考，与参考不一致，需在偏离表中注明，并在技术方案讲解时主动提出，经专家组同意后方可，否则默认使用参考品牌。）</w:t>
      </w:r>
    </w:p>
    <w:p w14:paraId="3125DCE7">
      <w:pPr>
        <w:keepNext/>
        <w:keepLines/>
        <w:pageBreakBefore w:val="0"/>
        <w:kinsoku/>
        <w:wordWrap/>
        <w:overflowPunct/>
        <w:topLinePunct w:val="0"/>
        <w:autoSpaceDE/>
        <w:autoSpaceDN/>
        <w:bidi w:val="0"/>
        <w:adjustRightInd/>
        <w:snapToGrid/>
        <w:spacing w:line="360" w:lineRule="auto"/>
        <w:ind w:left="0" w:leftChars="0" w:right="0" w:firstLine="0" w:firstLineChars="0"/>
        <w:jc w:val="center"/>
        <w:outlineLvl w:val="1"/>
        <w:rPr>
          <w:rFonts w:hint="eastAsia" w:ascii="宋体" w:hAnsi="宋体" w:eastAsia="宋体" w:cs="Times New Roman"/>
          <w:b/>
          <w:bCs/>
          <w:kern w:val="44"/>
          <w:sz w:val="28"/>
          <w:szCs w:val="28"/>
        </w:rPr>
      </w:pPr>
      <w:bookmarkStart w:id="20" w:name="_Toc169605880"/>
    </w:p>
    <w:bookmarkEnd w:id="20"/>
    <w:p w14:paraId="49571BD3">
      <w:pPr>
        <w:keepNext/>
        <w:keepLines/>
        <w:spacing w:before="120" w:after="120" w:line="480" w:lineRule="exact"/>
        <w:jc w:val="center"/>
        <w:outlineLvl w:val="1"/>
        <w:rPr>
          <w:rFonts w:ascii="宋体" w:hAnsi="Calibri" w:eastAsia="宋体" w:cs="Times New Roman"/>
          <w:bCs/>
          <w:kern w:val="44"/>
          <w:sz w:val="28"/>
          <w:szCs w:val="28"/>
        </w:rPr>
      </w:pPr>
      <w:r>
        <w:rPr>
          <w:rFonts w:hint="eastAsia" w:ascii="宋体" w:hAnsi="宋体" w:eastAsia="宋体" w:cs="Times New Roman"/>
          <w:b/>
          <w:bCs/>
          <w:kern w:val="44"/>
          <w:sz w:val="28"/>
          <w:szCs w:val="28"/>
        </w:rPr>
        <w:t>第二章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技术要求</w:t>
      </w:r>
    </w:p>
    <w:p w14:paraId="741EFD5D">
      <w:pPr>
        <w:pStyle w:val="236"/>
        <w:spacing w:line="360" w:lineRule="auto"/>
        <w:ind w:firstLine="482" w:firstLineChars="200"/>
        <w:outlineLvl w:val="2"/>
        <w:rPr>
          <w:rFonts w:eastAsia="宋体" w:cs="宋体"/>
          <w:b/>
          <w:bCs w:val="0"/>
          <w:sz w:val="24"/>
          <w:szCs w:val="24"/>
        </w:rPr>
      </w:pPr>
      <w:r>
        <w:rPr>
          <w:rFonts w:hint="eastAsia" w:eastAsia="宋体" w:cs="宋体"/>
          <w:b/>
          <w:bCs w:val="0"/>
          <w:sz w:val="24"/>
          <w:szCs w:val="24"/>
        </w:rPr>
        <w:t>一、特别提示</w:t>
      </w:r>
    </w:p>
    <w:p w14:paraId="7CA6F42B">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1.本章技术要求，仅对功能、设计、结构、性能、安装和试验检验等方面，提出了最低和一般性的技术要求，并未对一切技术细节作出规定。</w:t>
      </w:r>
    </w:p>
    <w:p w14:paraId="37C48119">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2.本技术要求所使用的标准、规范等，如与投标人所执行的标准、规范不一致时，应按高于本技术要求所列的标准、规范执行。</w:t>
      </w:r>
    </w:p>
    <w:p w14:paraId="5AB3DADD">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.投标人认为所供货物必需由招标人配备、解决或提供的其它要求，如设备基础隔振和减振设施、软化水、洁净气源等，均应在投标文件“技术偏离”中予以充分说明。</w:t>
      </w:r>
    </w:p>
    <w:p w14:paraId="630445CF">
      <w:pPr>
        <w:spacing w:line="360" w:lineRule="auto"/>
        <w:ind w:firstLine="480" w:firstLineChars="200"/>
        <w:rPr>
          <w:rFonts w:ascii="宋体" w:hAnsi="Calibri" w:eastAsia="宋体" w:cs="Times New Roman"/>
          <w:sz w:val="24"/>
          <w:szCs w:val="24"/>
        </w:rPr>
      </w:pPr>
      <w:r>
        <w:rPr>
          <w:rFonts w:ascii="宋体" w:hAnsi="宋体" w:eastAsia="宋体" w:cs="Times New Roman"/>
          <w:bCs/>
          <w:sz w:val="24"/>
          <w:szCs w:val="24"/>
        </w:rPr>
        <w:t>4</w:t>
      </w:r>
      <w:r>
        <w:rPr>
          <w:rFonts w:hint="eastAsia" w:ascii="宋体" w:hAnsi="宋体" w:eastAsia="宋体" w:cs="Times New Roman"/>
          <w:bCs/>
          <w:sz w:val="24"/>
          <w:szCs w:val="24"/>
        </w:rPr>
        <w:t>.投标人应根据招投标货物具体要求，提出</w:t>
      </w:r>
      <w:r>
        <w:rPr>
          <w:rFonts w:hint="eastAsia" w:ascii="宋体" w:hAnsi="宋体" w:eastAsia="宋体" w:cs="Times New Roman"/>
          <w:sz w:val="24"/>
          <w:szCs w:val="24"/>
        </w:rPr>
        <w:t>对厂房、设备基础（或安装平台）、公用设施、消防、环保等超出招标文件、投标文件、答疑文件、技术交流文件、技术协议书和合同等规定的、有特殊需要的解释、说明和要求。</w:t>
      </w:r>
    </w:p>
    <w:p w14:paraId="23B644B4">
      <w:pPr>
        <w:spacing w:line="360" w:lineRule="auto"/>
        <w:rPr>
          <w:rFonts w:ascii="宋体" w:hAnsi="Calibri" w:eastAsia="宋体" w:cs="Times New Roman"/>
          <w:sz w:val="24"/>
          <w:szCs w:val="24"/>
        </w:rPr>
      </w:pPr>
      <w:r>
        <w:rPr>
          <w:rFonts w:hint="eastAsia" w:ascii="宋体" w:hAnsi="宋体" w:eastAsia="宋体" w:cs="Times New Roman"/>
          <w:sz w:val="24"/>
          <w:szCs w:val="24"/>
        </w:rPr>
        <w:t xml:space="preserve">    5.无论是否有技术偏离，投标人均应在投标文件“技术偏离”中明确作出有无说明。若有异议，不管是多么微小，投标人必须予以明确和详细的说明或澄清。</w:t>
      </w:r>
    </w:p>
    <w:p w14:paraId="0B97D6B8">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.为避免投标人优势在招标评审时漏项，质保期超出本技术标书要求的，应当在投标文件“技术偏离”中特别注明。</w:t>
      </w:r>
    </w:p>
    <w:p w14:paraId="3D4A4364">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.投标文件中，针对“特别提示”条款所做的回应，将作为投标人能否中标的重要依据之一。</w:t>
      </w:r>
    </w:p>
    <w:p w14:paraId="6399064F">
      <w:pPr>
        <w:pStyle w:val="236"/>
        <w:spacing w:line="360" w:lineRule="auto"/>
        <w:ind w:firstLine="482" w:firstLineChars="200"/>
        <w:outlineLvl w:val="2"/>
        <w:rPr>
          <w:rFonts w:eastAsia="宋体" w:cs="宋体"/>
          <w:b/>
          <w:bCs w:val="0"/>
          <w:sz w:val="24"/>
          <w:szCs w:val="24"/>
        </w:rPr>
      </w:pPr>
      <w:r>
        <w:rPr>
          <w:rFonts w:hint="eastAsia" w:eastAsia="宋体" w:cs="宋体"/>
          <w:b/>
          <w:bCs w:val="0"/>
          <w:sz w:val="24"/>
          <w:szCs w:val="24"/>
        </w:rPr>
        <w:t>二、基本要求</w:t>
      </w:r>
    </w:p>
    <w:p w14:paraId="756BACDD">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.投标人所供的货物，必须符合中国最新版的法律、法规和相关标准、规范的要求，符合项目所在地政府有关特殊要求。</w:t>
      </w:r>
    </w:p>
    <w:p w14:paraId="6E7861F5">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.投标人所供货物涉及的专利权技术以及知识产权保护的其它技术等，应保证招标人不因此受到任何侵权指控以及实际损失。</w:t>
      </w:r>
    </w:p>
    <w:p w14:paraId="5ECA71FD">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.投标人应保证所供货物的先进性、可靠性、经济性和实用性，并为全新货物（或设备）。</w:t>
      </w:r>
    </w:p>
    <w:p w14:paraId="51126D89">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4</w:t>
      </w:r>
      <w:r>
        <w:rPr>
          <w:rFonts w:hint="eastAsia" w:ascii="宋体" w:hAnsi="宋体" w:eastAsia="宋体" w:cs="Times New Roman"/>
          <w:sz w:val="24"/>
          <w:szCs w:val="24"/>
        </w:rPr>
        <w:t>.投标人应满足招标人提出的各项技术要求，必要时应当免费提供技术承诺或担保。</w:t>
      </w:r>
    </w:p>
    <w:p w14:paraId="4111FAC6">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5</w:t>
      </w:r>
      <w:r>
        <w:rPr>
          <w:rFonts w:hint="eastAsia" w:ascii="宋体" w:hAnsi="宋体" w:eastAsia="宋体" w:cs="Times New Roman"/>
          <w:sz w:val="24"/>
          <w:szCs w:val="24"/>
        </w:rPr>
        <w:t>.投标人应保证所供货物（或设备）为中国政府指定或规定的主管部门公布的非淘汰货物（或设备），并尽力提供中国政府指定或规定的主管部门认可的环保型和节能型货物（或设备）。</w:t>
      </w:r>
    </w:p>
    <w:p w14:paraId="5CFA93F9">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.投标人应保证所供货物的完整性和成套性，能保证货物的正常运行、使用。</w:t>
      </w:r>
    </w:p>
    <w:p w14:paraId="64086043">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7.程序图纸要求</w:t>
      </w:r>
    </w:p>
    <w:p w14:paraId="6492A854">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7.1 投标方必须提供所有设备程序的源代码，包括但不限于 PLC程序、HMI 程序、组态程序、机器人程序、视觉程序、伺服等。</w:t>
      </w:r>
    </w:p>
    <w:p w14:paraId="0EE89671">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7.2 投标方所提供的程序不得设置任何密码、保护等限制手段，PLC 不得设置修改下载权限，功能块不得设置密码保护。</w:t>
      </w:r>
    </w:p>
    <w:p w14:paraId="3762BA2A">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7.3 HMI界面等需要密码保护的程序，投标方必须提供所有级别的用户名、密码。</w:t>
      </w:r>
    </w:p>
    <w:p w14:paraId="409E43E3">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7.4 投标方需在设备入场前提供设备程序源码，HMI 界面各级用户名和密码，并保证与现场程序一致。</w:t>
      </w:r>
    </w:p>
    <w:p w14:paraId="42E4707D">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7.5 投标方需在终验收前提供最新的设备程序源码和电气图纸，图纸要求为可编辑原格式（EPLAN、CAD 格式）且与实际接线一致。</w:t>
      </w:r>
    </w:p>
    <w:p w14:paraId="671CB8F8">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7.6投标方提供所有备件详细明细（excel），包括备件名称、规格型号、品牌、数量等，非标件需提供详细订货号。</w:t>
      </w:r>
    </w:p>
    <w:p w14:paraId="154141FA">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7.7仪器、仪表、控制器、特殊用途传感器等，如变频器、液位传感器、压力传感器等，需提供设备使用说明书。</w:t>
      </w:r>
    </w:p>
    <w:p w14:paraId="31E777D2">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7.8提供所有信号对接表（excel）。</w:t>
      </w:r>
    </w:p>
    <w:p w14:paraId="2707D1C5">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8.接口协议要求</w:t>
      </w:r>
    </w:p>
    <w:p w14:paraId="376C8117">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8.1 投标方免费开放所有通讯接口，包括但不限于以太网、RS232、RS485、PROFIBUS、PROFINET、MODBUS 等常见接口，以及设备特有的专用接口。</w:t>
      </w:r>
    </w:p>
    <w:p w14:paraId="187495C9">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8.2 投标方免费提供数据交互功能，交互数据包括但不限于实时数据、历史数据、报警信息等。</w:t>
      </w:r>
    </w:p>
    <w:p w14:paraId="643F9523">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8.3 投标方在设备入场前提供接口的技术文档和参数说明，包括但不限于接口协议、通讯速率、数据格式等。</w:t>
      </w:r>
    </w:p>
    <w:p w14:paraId="3037A67D">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8.4 设备使用周期内，投标方免费派遣技术人员与招标方调试团队共同进行设备通讯接口的调试工作。</w:t>
      </w:r>
    </w:p>
    <w:p w14:paraId="18AE5EC9">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9.电机能效</w:t>
      </w:r>
    </w:p>
    <w:p w14:paraId="56E495CC">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lang w:val="en-US" w:eastAsia="zh-CN"/>
        </w:rPr>
        <w:t>所有涉及用到的电机、水泵、照明器具等电机功率≥7.5kW,必须选用一级能效，电机功率＜7.5kW，优先选用一级能效；其中能源供应设备及年运行时间≥2000h工艺设备电机必须选用一级能效。</w:t>
      </w:r>
    </w:p>
    <w:p w14:paraId="57F36E78">
      <w:pPr>
        <w:pStyle w:val="236"/>
        <w:pageBreakBefore w:val="0"/>
        <w:kinsoku/>
        <w:wordWrap/>
        <w:overflowPunct/>
        <w:topLinePunct w:val="0"/>
        <w:autoSpaceDE/>
        <w:autoSpaceDN/>
        <w:bidi w:val="0"/>
        <w:adjustRightInd/>
        <w:snapToGrid/>
        <w:spacing w:before="0" w:after="0" w:line="360" w:lineRule="auto"/>
        <w:ind w:left="0" w:leftChars="0" w:right="0" w:firstLine="0" w:firstLineChars="0"/>
        <w:outlineLvl w:val="2"/>
        <w:rPr>
          <w:rFonts w:hint="eastAsia" w:ascii="宋体" w:hAnsi="宋体" w:eastAsia="宋体" w:cs="宋体"/>
          <w:b/>
          <w:bCs w:val="0"/>
          <w:sz w:val="24"/>
          <w:szCs w:val="24"/>
          <w:lang w:val="en-US" w:eastAsia="zh-CN"/>
        </w:rPr>
      </w:pPr>
      <w:r>
        <w:rPr>
          <w:rFonts w:hint="eastAsia" w:ascii="宋体" w:hAnsi="宋体" w:eastAsia="宋体" w:cs="宋体"/>
          <w:b/>
          <w:bCs w:val="0"/>
          <w:sz w:val="24"/>
          <w:szCs w:val="24"/>
          <w:lang w:val="en-US" w:eastAsia="zh-CN"/>
        </w:rPr>
        <w:t>三、技术要求</w:t>
      </w:r>
    </w:p>
    <w:p w14:paraId="4C2BC316">
      <w:pPr>
        <w:pageBreakBefore w:val="0"/>
        <w:kinsoku/>
        <w:wordWrap/>
        <w:overflowPunct/>
        <w:topLinePunct w:val="0"/>
        <w:autoSpaceDE/>
        <w:autoSpaceDN/>
        <w:bidi w:val="0"/>
        <w:adjustRightInd/>
        <w:snapToGrid/>
        <w:spacing w:line="360" w:lineRule="auto"/>
        <w:ind w:left="0" w:leftChars="0" w:right="0" w:firstLine="0" w:firstLineChars="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1.污水设计处理能力：10m³/d</w:t>
      </w:r>
    </w:p>
    <w:p w14:paraId="3AA98C1B">
      <w:pPr>
        <w:pageBreakBefore w:val="0"/>
        <w:kinsoku/>
        <w:wordWrap/>
        <w:overflowPunct/>
        <w:topLinePunct w:val="0"/>
        <w:autoSpaceDE/>
        <w:autoSpaceDN/>
        <w:bidi w:val="0"/>
        <w:adjustRightInd/>
        <w:snapToGrid/>
        <w:spacing w:line="360" w:lineRule="auto"/>
        <w:ind w:left="0" w:leftChars="0" w:right="0" w:firstLine="0" w:firstLineChars="0"/>
        <w:jc w:val="center"/>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现场位置示意图</w:t>
      </w:r>
    </w:p>
    <w:p w14:paraId="03606687">
      <w:pPr>
        <w:pageBreakBefore w:val="0"/>
        <w:kinsoku/>
        <w:wordWrap/>
        <w:overflowPunct/>
        <w:topLinePunct w:val="0"/>
        <w:autoSpaceDE/>
        <w:autoSpaceDN/>
        <w:bidi w:val="0"/>
        <w:adjustRightInd/>
        <w:snapToGrid/>
        <w:spacing w:line="360" w:lineRule="auto"/>
        <w:ind w:left="0" w:leftChars="0" w:right="0" w:firstLine="0" w:firstLineChars="0"/>
        <w:jc w:val="both"/>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drawing>
          <wp:inline distT="0" distB="0" distL="114300" distR="114300">
            <wp:extent cx="6222365" cy="3651885"/>
            <wp:effectExtent l="0" t="0" r="635" b="5715"/>
            <wp:docPr id="22" name="图片 1" descr="0ff700af300d33b3293489f93de697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descr="0ff700af300d33b3293489f93de6974b"/>
                    <pic:cNvPicPr>
                      <a:picLocks noChangeAspect="1"/>
                    </pic:cNvPicPr>
                  </pic:nvPicPr>
                  <pic:blipFill>
                    <a:blip r:embed="rId25"/>
                    <a:stretch>
                      <a:fillRect/>
                    </a:stretch>
                  </pic:blipFill>
                  <pic:spPr>
                    <a:xfrm>
                      <a:off x="0" y="0"/>
                      <a:ext cx="6222365" cy="3651885"/>
                    </a:xfrm>
                    <a:prstGeom prst="rect">
                      <a:avLst/>
                    </a:prstGeom>
                    <a:noFill/>
                    <a:ln>
                      <a:noFill/>
                    </a:ln>
                  </pic:spPr>
                </pic:pic>
              </a:graphicData>
            </a:graphic>
          </wp:inline>
        </w:drawing>
      </w:r>
    </w:p>
    <w:p w14:paraId="281B00A6">
      <w:pPr>
        <w:pageBreakBefore w:val="0"/>
        <w:kinsoku/>
        <w:wordWrap/>
        <w:overflowPunct/>
        <w:topLinePunct w:val="0"/>
        <w:autoSpaceDE/>
        <w:autoSpaceDN/>
        <w:bidi w:val="0"/>
        <w:adjustRightInd/>
        <w:snapToGrid/>
        <w:spacing w:line="360" w:lineRule="auto"/>
        <w:ind w:left="0" w:leftChars="0" w:right="0" w:firstLine="0" w:firstLineChars="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2.出水水质：</w:t>
      </w:r>
    </w:p>
    <w:p w14:paraId="674943C4">
      <w:pPr>
        <w:pageBreakBefore w:val="0"/>
        <w:kinsoku/>
        <w:wordWrap/>
        <w:overflowPunct/>
        <w:topLinePunct w:val="0"/>
        <w:autoSpaceDE/>
        <w:autoSpaceDN/>
        <w:bidi w:val="0"/>
        <w:adjustRightInd/>
        <w:snapToGrid/>
        <w:spacing w:line="360" w:lineRule="auto"/>
        <w:ind w:left="0" w:leftChars="0" w:right="0" w:firstLine="720" w:firstLineChars="3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CODcr（化学需氧量）≤500mg/L、SS（悬浮物）≤400mg/L、氨氮≤45mg/L、pH：6.5-9.5、TP（总磷）≤8mg/L、TN（总氮）≤70mg/L</w:t>
      </w:r>
    </w:p>
    <w:p w14:paraId="35A30948">
      <w:pPr>
        <w:pageBreakBefore w:val="0"/>
        <w:kinsoku/>
        <w:wordWrap/>
        <w:overflowPunct/>
        <w:topLinePunct w:val="0"/>
        <w:autoSpaceDE/>
        <w:autoSpaceDN/>
        <w:bidi w:val="0"/>
        <w:adjustRightInd/>
        <w:snapToGrid/>
        <w:spacing w:line="360" w:lineRule="auto"/>
        <w:ind w:left="0" w:leftChars="0" w:right="0" w:firstLine="480" w:firstLineChars="200"/>
        <w:rPr>
          <w:rFonts w:hint="eastAsia" w:ascii="宋体" w:hAnsi="宋体" w:eastAsia="宋体" w:cs="Times New Roman"/>
          <w:color w:val="auto"/>
          <w:sz w:val="24"/>
          <w:szCs w:val="24"/>
          <w:lang w:val="en-US" w:eastAsia="zh-CN"/>
        </w:rPr>
      </w:pPr>
      <w:r>
        <w:rPr>
          <w:rFonts w:hint="eastAsia" w:ascii="宋体" w:hAnsi="宋体" w:eastAsia="宋体" w:cs="Times New Roman"/>
          <w:color w:val="auto"/>
          <w:sz w:val="24"/>
          <w:szCs w:val="24"/>
          <w:lang w:val="en-US" w:eastAsia="zh-CN"/>
        </w:rPr>
        <w:t>由投标方出具最终排放水质检测报告（带CMA认证）。</w:t>
      </w:r>
    </w:p>
    <w:p w14:paraId="1C6E2FF4">
      <w:pPr>
        <w:pageBreakBefore w:val="0"/>
        <w:kinsoku/>
        <w:wordWrap/>
        <w:overflowPunct/>
        <w:topLinePunct w:val="0"/>
        <w:autoSpaceDE/>
        <w:autoSpaceDN/>
        <w:bidi w:val="0"/>
        <w:adjustRightInd/>
        <w:snapToGrid/>
        <w:spacing w:line="360" w:lineRule="auto"/>
        <w:ind w:left="0" w:leftChars="0" w:right="0" w:firstLine="0" w:firstLineChars="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3.污水处理工艺</w:t>
      </w:r>
    </w:p>
    <w:p w14:paraId="378BF339">
      <w:pPr>
        <w:pageBreakBefore w:val="0"/>
        <w:kinsoku/>
        <w:wordWrap/>
        <w:overflowPunct/>
        <w:topLinePunct w:val="0"/>
        <w:autoSpaceDE/>
        <w:autoSpaceDN/>
        <w:bidi w:val="0"/>
        <w:adjustRightInd/>
        <w:snapToGrid/>
        <w:spacing w:line="360" w:lineRule="auto"/>
        <w:ind w:left="0" w:leftChars="0" w:right="0" w:firstLine="0" w:firstLineChars="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mc:AlternateContent>
          <mc:Choice Requires="wps">
            <w:drawing>
              <wp:anchor distT="0" distB="0" distL="114300" distR="114300" simplePos="0" relativeHeight="251671552" behindDoc="0" locked="0" layoutInCell="1" allowOverlap="1">
                <wp:simplePos x="0" y="0"/>
                <wp:positionH relativeFrom="column">
                  <wp:posOffset>2007235</wp:posOffset>
                </wp:positionH>
                <wp:positionV relativeFrom="paragraph">
                  <wp:posOffset>43180</wp:posOffset>
                </wp:positionV>
                <wp:extent cx="1938020" cy="353695"/>
                <wp:effectExtent l="0" t="0" r="0" b="0"/>
                <wp:wrapNone/>
                <wp:docPr id="23" name="流程图: 过程 23" descr="colored_paper1"/>
                <wp:cNvGraphicFramePr/>
                <a:graphic xmlns:a="http://schemas.openxmlformats.org/drawingml/2006/main">
                  <a:graphicData uri="http://schemas.microsoft.com/office/word/2010/wordprocessingShape">
                    <wps:wsp>
                      <wps:cNvSpPr/>
                      <wps:spPr>
                        <a:xfrm>
                          <a:off x="0" y="0"/>
                          <a:ext cx="1938020" cy="353695"/>
                        </a:xfrm>
                        <a:prstGeom prst="flowChartProcess">
                          <a:avLst/>
                        </a:prstGeom>
                        <a:noFill/>
                        <a:ln w="15875">
                          <a:noFill/>
                        </a:ln>
                      </wps:spPr>
                      <wps:txbx>
                        <w:txbxContent>
                          <w:p w14:paraId="4A78D3CF">
                            <w:pPr>
                              <w:pStyle w:val="47"/>
                              <w:keepNext w:val="0"/>
                              <w:keepLines w:val="0"/>
                              <w:pageBreakBefore w:val="0"/>
                              <w:widowControl w:val="0"/>
                              <w:kinsoku/>
                              <w:wordWrap/>
                              <w:overflowPunct/>
                              <w:topLinePunct w:val="0"/>
                              <w:bidi w:val="0"/>
                              <w:adjustRightInd/>
                              <w:snapToGrid/>
                              <w:spacing w:line="360" w:lineRule="auto"/>
                              <w:ind w:left="0" w:firstLine="0" w:firstLineChars="0"/>
                              <w:jc w:val="center"/>
                              <w:textAlignment w:val="auto"/>
                              <w:rPr>
                                <w:rFonts w:hint="eastAsia" w:ascii="仿宋_GB2312" w:hAnsi="仿宋_GB2312" w:eastAsia="仿宋_GB2312" w:cs="仿宋_GB2312"/>
                                <w:b w:val="0"/>
                                <w:bCs w:val="0"/>
                                <w:sz w:val="21"/>
                                <w:szCs w:val="21"/>
                                <w:highlight w:val="none"/>
                                <w:lang w:val="en-US" w:eastAsia="zh-CN"/>
                              </w:rPr>
                            </w:pPr>
                            <w:r>
                              <w:rPr>
                                <w:rFonts w:hint="eastAsia" w:ascii="仿宋_GB2312" w:hAnsi="仿宋_GB2312" w:eastAsia="仿宋_GB2312" w:cs="仿宋_GB2312"/>
                                <w:b w:val="0"/>
                                <w:bCs w:val="0"/>
                                <w:i w:val="0"/>
                                <w:iCs w:val="0"/>
                                <w:caps w:val="0"/>
                                <w:color w:val="333333"/>
                                <w:spacing w:val="0"/>
                                <w:sz w:val="21"/>
                                <w:szCs w:val="21"/>
                                <w:shd w:val="clear" w:color="auto" w:fill="FFFFFF"/>
                              </w:rPr>
                              <w:t>NaOH</w:t>
                            </w:r>
                            <w:r>
                              <w:rPr>
                                <w:rFonts w:hint="eastAsia" w:ascii="仿宋_GB2312" w:hAnsi="仿宋_GB2312" w:eastAsia="仿宋_GB2312" w:cs="仿宋_GB2312"/>
                                <w:b w:val="0"/>
                                <w:bCs w:val="0"/>
                                <w:i w:val="0"/>
                                <w:iCs w:val="0"/>
                                <w:caps w:val="0"/>
                                <w:color w:val="333333"/>
                                <w:spacing w:val="0"/>
                                <w:sz w:val="21"/>
                                <w:szCs w:val="21"/>
                                <w:shd w:val="clear" w:color="auto" w:fill="FFFFFF"/>
                                <w:lang w:eastAsia="zh-CN"/>
                              </w:rPr>
                              <w:t>、</w:t>
                            </w:r>
                            <w:r>
                              <w:rPr>
                                <w:rFonts w:hint="eastAsia" w:ascii="仿宋_GB2312" w:hAnsi="仿宋_GB2312" w:eastAsia="仿宋_GB2312" w:cs="仿宋_GB2312"/>
                                <w:b w:val="0"/>
                                <w:bCs w:val="0"/>
                                <w:i w:val="0"/>
                                <w:iCs w:val="0"/>
                                <w:caps w:val="0"/>
                                <w:color w:val="333333"/>
                                <w:spacing w:val="0"/>
                                <w:sz w:val="21"/>
                                <w:szCs w:val="21"/>
                                <w:shd w:val="clear" w:color="auto" w:fill="FFFFFF"/>
                              </w:rPr>
                              <w:t>破乳剂</w:t>
                            </w:r>
                            <w:r>
                              <w:rPr>
                                <w:rFonts w:hint="eastAsia" w:ascii="仿宋_GB2312" w:hAnsi="仿宋_GB2312" w:eastAsia="仿宋_GB2312" w:cs="仿宋_GB2312"/>
                                <w:b w:val="0"/>
                                <w:bCs w:val="0"/>
                                <w:i w:val="0"/>
                                <w:iCs w:val="0"/>
                                <w:caps w:val="0"/>
                                <w:color w:val="333333"/>
                                <w:spacing w:val="0"/>
                                <w:sz w:val="21"/>
                                <w:szCs w:val="21"/>
                                <w:shd w:val="clear" w:color="auto" w:fill="FFFFFF"/>
                                <w:lang w:eastAsia="zh-CN"/>
                              </w:rPr>
                              <w:t>、</w:t>
                            </w:r>
                            <w:r>
                              <w:rPr>
                                <w:rFonts w:hint="eastAsia" w:ascii="仿宋_GB2312" w:hAnsi="仿宋_GB2312" w:eastAsia="仿宋_GB2312" w:cs="仿宋_GB2312"/>
                                <w:b w:val="0"/>
                                <w:bCs w:val="0"/>
                                <w:i w:val="0"/>
                                <w:iCs w:val="0"/>
                                <w:caps w:val="0"/>
                                <w:color w:val="333333"/>
                                <w:spacing w:val="0"/>
                                <w:sz w:val="21"/>
                                <w:szCs w:val="21"/>
                                <w:shd w:val="clear" w:color="auto" w:fill="FFFFFF"/>
                                <w:lang w:val="en-US" w:eastAsia="zh-CN"/>
                              </w:rPr>
                              <w:t>PAC、PAM</w:t>
                            </w:r>
                          </w:p>
                          <w:p w14:paraId="43F7BD06">
                            <w:pPr>
                              <w:rPr>
                                <w:rFonts w:hint="default"/>
                                <w:lang w:val="en-US" w:eastAsia="zh-CN"/>
                              </w:rPr>
                            </w:pPr>
                          </w:p>
                        </w:txbxContent>
                      </wps:txbx>
                      <wps:bodyPr upright="1"/>
                    </wps:wsp>
                  </a:graphicData>
                </a:graphic>
              </wp:anchor>
            </w:drawing>
          </mc:Choice>
          <mc:Fallback>
            <w:pict>
              <v:shape id="_x0000_s1026" o:spid="_x0000_s1026" o:spt="109" alt="colored_paper1" type="#_x0000_t109" style="position:absolute;left:0pt;margin-left:158.05pt;margin-top:3.4pt;height:27.85pt;width:152.6pt;z-index:251671552;mso-width-relative:page;mso-height-relative:page;" filled="f" stroked="f" coordsize="21600,21600" o:gfxdata="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JQsI+vVAAAACAEAAA8AAAAAAAAAAQAgAAAAIgAA&#10;AGRycy9kb3ducmV2LnhtbFBLAQIUABQAAAAIAIdO4kBFcMuE0gEAAHsDAAAOAAAAAAAAAAEAIAAA&#10;ACQBAABkcnMvZTJvRG9jLnhtbFBLBQYAAAAABgAGAFkBAABoBQAAAAA=&#10;">
                <v:fill on="f" focussize="0,0"/>
                <v:stroke on="f" weight="1.25pt"/>
                <v:imagedata o:title=""/>
                <o:lock v:ext="edit" aspectratio="f"/>
                <v:textbox>
                  <w:txbxContent>
                    <w:p w14:paraId="4A78D3CF">
                      <w:pPr>
                        <w:pStyle w:val="47"/>
                        <w:keepNext w:val="0"/>
                        <w:keepLines w:val="0"/>
                        <w:pageBreakBefore w:val="0"/>
                        <w:widowControl w:val="0"/>
                        <w:kinsoku/>
                        <w:wordWrap/>
                        <w:overflowPunct/>
                        <w:topLinePunct w:val="0"/>
                        <w:bidi w:val="0"/>
                        <w:adjustRightInd/>
                        <w:snapToGrid/>
                        <w:spacing w:line="360" w:lineRule="auto"/>
                        <w:ind w:left="0" w:firstLine="0" w:firstLineChars="0"/>
                        <w:jc w:val="center"/>
                        <w:textAlignment w:val="auto"/>
                        <w:rPr>
                          <w:rFonts w:hint="eastAsia" w:ascii="仿宋_GB2312" w:hAnsi="仿宋_GB2312" w:eastAsia="仿宋_GB2312" w:cs="仿宋_GB2312"/>
                          <w:b w:val="0"/>
                          <w:bCs w:val="0"/>
                          <w:sz w:val="21"/>
                          <w:szCs w:val="21"/>
                          <w:highlight w:val="none"/>
                          <w:lang w:val="en-US" w:eastAsia="zh-CN"/>
                        </w:rPr>
                      </w:pPr>
                      <w:r>
                        <w:rPr>
                          <w:rFonts w:hint="eastAsia" w:ascii="仿宋_GB2312" w:hAnsi="仿宋_GB2312" w:eastAsia="仿宋_GB2312" w:cs="仿宋_GB2312"/>
                          <w:b w:val="0"/>
                          <w:bCs w:val="0"/>
                          <w:i w:val="0"/>
                          <w:iCs w:val="0"/>
                          <w:caps w:val="0"/>
                          <w:color w:val="333333"/>
                          <w:spacing w:val="0"/>
                          <w:sz w:val="21"/>
                          <w:szCs w:val="21"/>
                          <w:shd w:val="clear" w:color="auto" w:fill="FFFFFF"/>
                        </w:rPr>
                        <w:t>NaOH</w:t>
                      </w:r>
                      <w:r>
                        <w:rPr>
                          <w:rFonts w:hint="eastAsia" w:ascii="仿宋_GB2312" w:hAnsi="仿宋_GB2312" w:eastAsia="仿宋_GB2312" w:cs="仿宋_GB2312"/>
                          <w:b w:val="0"/>
                          <w:bCs w:val="0"/>
                          <w:i w:val="0"/>
                          <w:iCs w:val="0"/>
                          <w:caps w:val="0"/>
                          <w:color w:val="333333"/>
                          <w:spacing w:val="0"/>
                          <w:sz w:val="21"/>
                          <w:szCs w:val="21"/>
                          <w:shd w:val="clear" w:color="auto" w:fill="FFFFFF"/>
                          <w:lang w:eastAsia="zh-CN"/>
                        </w:rPr>
                        <w:t>、</w:t>
                      </w:r>
                      <w:r>
                        <w:rPr>
                          <w:rFonts w:hint="eastAsia" w:ascii="仿宋_GB2312" w:hAnsi="仿宋_GB2312" w:eastAsia="仿宋_GB2312" w:cs="仿宋_GB2312"/>
                          <w:b w:val="0"/>
                          <w:bCs w:val="0"/>
                          <w:i w:val="0"/>
                          <w:iCs w:val="0"/>
                          <w:caps w:val="0"/>
                          <w:color w:val="333333"/>
                          <w:spacing w:val="0"/>
                          <w:sz w:val="21"/>
                          <w:szCs w:val="21"/>
                          <w:shd w:val="clear" w:color="auto" w:fill="FFFFFF"/>
                        </w:rPr>
                        <w:t>破乳剂</w:t>
                      </w:r>
                      <w:r>
                        <w:rPr>
                          <w:rFonts w:hint="eastAsia" w:ascii="仿宋_GB2312" w:hAnsi="仿宋_GB2312" w:eastAsia="仿宋_GB2312" w:cs="仿宋_GB2312"/>
                          <w:b w:val="0"/>
                          <w:bCs w:val="0"/>
                          <w:i w:val="0"/>
                          <w:iCs w:val="0"/>
                          <w:caps w:val="0"/>
                          <w:color w:val="333333"/>
                          <w:spacing w:val="0"/>
                          <w:sz w:val="21"/>
                          <w:szCs w:val="21"/>
                          <w:shd w:val="clear" w:color="auto" w:fill="FFFFFF"/>
                          <w:lang w:eastAsia="zh-CN"/>
                        </w:rPr>
                        <w:t>、</w:t>
                      </w:r>
                      <w:r>
                        <w:rPr>
                          <w:rFonts w:hint="eastAsia" w:ascii="仿宋_GB2312" w:hAnsi="仿宋_GB2312" w:eastAsia="仿宋_GB2312" w:cs="仿宋_GB2312"/>
                          <w:b w:val="0"/>
                          <w:bCs w:val="0"/>
                          <w:i w:val="0"/>
                          <w:iCs w:val="0"/>
                          <w:caps w:val="0"/>
                          <w:color w:val="333333"/>
                          <w:spacing w:val="0"/>
                          <w:sz w:val="21"/>
                          <w:szCs w:val="21"/>
                          <w:shd w:val="clear" w:color="auto" w:fill="FFFFFF"/>
                          <w:lang w:val="en-US" w:eastAsia="zh-CN"/>
                        </w:rPr>
                        <w:t>PAC、PAM</w:t>
                      </w:r>
                    </w:p>
                    <w:p w14:paraId="43F7BD06">
                      <w:pPr>
                        <w:rPr>
                          <w:rFonts w:hint="default"/>
                          <w:lang w:val="en-US" w:eastAsia="zh-CN"/>
                        </w:rPr>
                      </w:pPr>
                    </w:p>
                  </w:txbxContent>
                </v:textbox>
              </v:shape>
            </w:pict>
          </mc:Fallback>
        </mc:AlternateContent>
      </w:r>
    </w:p>
    <w:p w14:paraId="55363F04">
      <w:pPr>
        <w:pageBreakBefore w:val="0"/>
        <w:kinsoku/>
        <w:wordWrap/>
        <w:overflowPunct/>
        <w:topLinePunct w:val="0"/>
        <w:autoSpaceDE/>
        <w:autoSpaceDN/>
        <w:bidi w:val="0"/>
        <w:adjustRightInd/>
        <w:snapToGrid/>
        <w:spacing w:line="360" w:lineRule="auto"/>
        <w:ind w:left="0" w:leftChars="0" w:right="0" w:firstLine="0" w:firstLineChars="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mc:AlternateContent>
          <mc:Choice Requires="wps">
            <w:drawing>
              <wp:anchor distT="0" distB="0" distL="114300" distR="114300" simplePos="0" relativeHeight="251668480" behindDoc="0" locked="0" layoutInCell="1" allowOverlap="1">
                <wp:simplePos x="0" y="0"/>
                <wp:positionH relativeFrom="column">
                  <wp:posOffset>3003550</wp:posOffset>
                </wp:positionH>
                <wp:positionV relativeFrom="paragraph">
                  <wp:posOffset>42545</wp:posOffset>
                </wp:positionV>
                <wp:extent cx="5715" cy="241300"/>
                <wp:effectExtent l="48895" t="0" r="59690" b="0"/>
                <wp:wrapNone/>
                <wp:docPr id="10" name="直接连接符 10"/>
                <wp:cNvGraphicFramePr/>
                <a:graphic xmlns:a="http://schemas.openxmlformats.org/drawingml/2006/main">
                  <a:graphicData uri="http://schemas.microsoft.com/office/word/2010/wordprocessingShape">
                    <wps:wsp>
                      <wps:cNvCnPr/>
                      <wps:spPr>
                        <a:xfrm>
                          <a:off x="0" y="0"/>
                          <a:ext cx="5715" cy="241300"/>
                        </a:xfrm>
                        <a:prstGeom prst="line">
                          <a:avLst/>
                        </a:prstGeom>
                        <a:ln w="15875" cap="flat" cmpd="sng">
                          <a:solidFill>
                            <a:srgbClr val="FF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36.5pt;margin-top:3.35pt;height:19pt;width:0.45pt;z-index:251668480;mso-width-relative:page;mso-height-relative:page;" filled="f" stroked="t" coordsize="21600,21600" o:gfxdata="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6hM/ydgAAAAIAQAADwAAAAAAAAABACAAAAAiAAAAZHJzL2Rv&#10;d25yZXYueG1sUEsBAhQAFAAAAAgAh07iQLyXEzABAgAA6gMAAA4AAAAAAAAAAQAgAAAAJwEAAGRy&#10;cy9lMm9Eb2MueG1sUEsFBgAAAAAGAAYAWQEAAJoFAAAAAA==&#10;">
                <v:fill on="f" focussize="0,0"/>
                <v:stroke weight="1.25pt" color="#FF0000" joinstyle="round" endarrow="open"/>
                <v:imagedata o:title=""/>
                <o:lock v:ext="edit" aspectratio="f"/>
              </v:line>
            </w:pict>
          </mc:Fallback>
        </mc:AlternateContent>
      </w:r>
      <w:r>
        <w:rPr>
          <w:rFonts w:hint="eastAsia" w:ascii="宋体" w:hAnsi="宋体" w:eastAsia="宋体" w:cs="Times New Roman"/>
          <w:sz w:val="24"/>
          <w:szCs w:val="24"/>
          <w:lang w:val="en-US" w:eastAsia="zh-CN"/>
        </w:rPr>
        <mc:AlternateContent>
          <mc:Choice Requires="wps">
            <w:drawing>
              <wp:anchor distT="0" distB="0" distL="114300" distR="114300" simplePos="0" relativeHeight="251667456" behindDoc="0" locked="0" layoutInCell="1" allowOverlap="1">
                <wp:simplePos x="0" y="0"/>
                <wp:positionH relativeFrom="column">
                  <wp:posOffset>4907280</wp:posOffset>
                </wp:positionH>
                <wp:positionV relativeFrom="paragraph">
                  <wp:posOffset>249555</wp:posOffset>
                </wp:positionV>
                <wp:extent cx="845820" cy="288925"/>
                <wp:effectExtent l="0" t="0" r="0" b="0"/>
                <wp:wrapNone/>
                <wp:docPr id="20" name="流程图: 过程 20" descr="colored_paper1"/>
                <wp:cNvGraphicFramePr/>
                <a:graphic xmlns:a="http://schemas.openxmlformats.org/drawingml/2006/main">
                  <a:graphicData uri="http://schemas.microsoft.com/office/word/2010/wordprocessingShape">
                    <wps:wsp>
                      <wps:cNvSpPr/>
                      <wps:spPr>
                        <a:xfrm>
                          <a:off x="0" y="0"/>
                          <a:ext cx="845820" cy="288925"/>
                        </a:xfrm>
                        <a:prstGeom prst="flowChartProcess">
                          <a:avLst/>
                        </a:prstGeom>
                        <a:noFill/>
                        <a:ln w="15875">
                          <a:noFill/>
                        </a:ln>
                      </wps:spPr>
                      <wps:txbx>
                        <w:txbxContent>
                          <w:p w14:paraId="3471A7A1">
                            <w:pPr>
                              <w:jc w:val="center"/>
                              <w:rPr>
                                <w:rFonts w:hint="default" w:eastAsia="宋体"/>
                                <w:lang w:val="en-US" w:eastAsia="zh-CN"/>
                              </w:rPr>
                            </w:pPr>
                            <w:r>
                              <w:rPr>
                                <w:rFonts w:hint="eastAsia" w:ascii="仿宋" w:hAnsi="仿宋" w:eastAsia="仿宋" w:cs="仿宋"/>
                                <w:lang w:val="en-US" w:eastAsia="zh-CN"/>
                              </w:rPr>
                              <w:t>达标排放</w:t>
                            </w:r>
                          </w:p>
                        </w:txbxContent>
                      </wps:txbx>
                      <wps:bodyPr upright="1"/>
                    </wps:wsp>
                  </a:graphicData>
                </a:graphic>
              </wp:anchor>
            </w:drawing>
          </mc:Choice>
          <mc:Fallback>
            <w:pict>
              <v:shape id="_x0000_s1026" o:spid="_x0000_s1026" o:spt="109" alt="colored_paper1" type="#_x0000_t109" style="position:absolute;left:0pt;margin-left:386.4pt;margin-top:19.65pt;height:22.75pt;width:66.6pt;z-index:251667456;mso-width-relative:page;mso-height-relative:page;" filled="f" stroked="f" coordsize="21600,21600" o:gfxdata="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JC7AvYAAAACQEAAA8AAAAAAAAAAQAgAAAAIgAA&#10;AGRycy9kb3ducmV2LnhtbFBLAQIUABQAAAAIAIdO4kC1rj6vzwEAAHoDAAAOAAAAAAAAAAEAIAAA&#10;ACcBAABkcnMvZTJvRG9jLnhtbFBLBQYAAAAABgAGAFkBAABoBQAAAAA=&#10;">
                <v:fill on="f" focussize="0,0"/>
                <v:stroke on="f" weight="1.25pt"/>
                <v:imagedata o:title=""/>
                <o:lock v:ext="edit" aspectratio="f"/>
                <v:textbox>
                  <w:txbxContent>
                    <w:p w14:paraId="3471A7A1">
                      <w:pPr>
                        <w:jc w:val="center"/>
                        <w:rPr>
                          <w:rFonts w:hint="default" w:eastAsia="宋体"/>
                          <w:lang w:val="en-US" w:eastAsia="zh-CN"/>
                        </w:rPr>
                      </w:pPr>
                      <w:r>
                        <w:rPr>
                          <w:rFonts w:hint="eastAsia" w:ascii="仿宋" w:hAnsi="仿宋" w:eastAsia="仿宋" w:cs="仿宋"/>
                          <w:lang w:val="en-US" w:eastAsia="zh-CN"/>
                        </w:rPr>
                        <w:t>达标排放</w:t>
                      </w:r>
                    </w:p>
                  </w:txbxContent>
                </v:textbox>
              </v:shape>
            </w:pict>
          </mc:Fallback>
        </mc:AlternateContent>
      </w:r>
      <w:r>
        <w:rPr>
          <w:rFonts w:hint="eastAsia" w:ascii="宋体" w:hAnsi="宋体" w:eastAsia="宋体" w:cs="Times New Roman"/>
          <w:sz w:val="24"/>
          <w:szCs w:val="24"/>
          <w:lang w:val="en-US" w:eastAsia="zh-CN"/>
        </w:rPr>
        <mc:AlternateContent>
          <mc:Choice Requires="wps">
            <w:drawing>
              <wp:anchor distT="0" distB="0" distL="114300" distR="114300" simplePos="0" relativeHeight="251664384" behindDoc="0" locked="0" layoutInCell="1" allowOverlap="1">
                <wp:simplePos x="0" y="0"/>
                <wp:positionH relativeFrom="column">
                  <wp:posOffset>3820160</wp:posOffset>
                </wp:positionH>
                <wp:positionV relativeFrom="paragraph">
                  <wp:posOffset>260350</wp:posOffset>
                </wp:positionV>
                <wp:extent cx="867410" cy="288925"/>
                <wp:effectExtent l="7620" t="7620" r="13970" b="8255"/>
                <wp:wrapNone/>
                <wp:docPr id="19" name="流程图: 过程 19" descr="colored_paper1"/>
                <wp:cNvGraphicFramePr/>
                <a:graphic xmlns:a="http://schemas.openxmlformats.org/drawingml/2006/main">
                  <a:graphicData uri="http://schemas.microsoft.com/office/word/2010/wordprocessingShape">
                    <wps:wsp>
                      <wps:cNvSpPr/>
                      <wps:spPr>
                        <a:xfrm>
                          <a:off x="0" y="0"/>
                          <a:ext cx="867410" cy="288925"/>
                        </a:xfrm>
                        <a:prstGeom prst="flowChartProcess">
                          <a:avLst/>
                        </a:prstGeom>
                        <a:solidFill>
                          <a:srgbClr val="C6D9F1"/>
                        </a:solidFill>
                        <a:ln w="15875" cap="flat" cmpd="sng">
                          <a:solidFill>
                            <a:srgbClr val="739CC3"/>
                          </a:solidFill>
                          <a:prstDash val="solid"/>
                          <a:miter/>
                          <a:headEnd type="none" w="med" len="med"/>
                          <a:tailEnd type="none" w="med" len="med"/>
                        </a:ln>
                      </wps:spPr>
                      <wps:txbx>
                        <w:txbxContent>
                          <w:p w14:paraId="3F51286A">
                            <w:pPr>
                              <w:jc w:val="center"/>
                              <w:rPr>
                                <w:rFonts w:hint="default" w:eastAsia="宋体"/>
                                <w:lang w:val="en-US" w:eastAsia="zh-CN"/>
                              </w:rPr>
                            </w:pPr>
                            <w:r>
                              <w:rPr>
                                <w:rFonts w:hint="eastAsia" w:ascii="仿宋" w:hAnsi="仿宋" w:eastAsia="仿宋" w:cs="仿宋"/>
                                <w:lang w:val="en-US" w:eastAsia="zh-CN"/>
                              </w:rPr>
                              <w:t>斜板沉淀池</w:t>
                            </w:r>
                          </w:p>
                        </w:txbxContent>
                      </wps:txbx>
                      <wps:bodyPr upright="1"/>
                    </wps:wsp>
                  </a:graphicData>
                </a:graphic>
              </wp:anchor>
            </w:drawing>
          </mc:Choice>
          <mc:Fallback>
            <w:pict>
              <v:shape id="_x0000_s1026" o:spid="_x0000_s1026" o:spt="109" alt="colored_paper1" type="#_x0000_t109" style="position:absolute;left:0pt;margin-left:300.8pt;margin-top:20.5pt;height:22.75pt;width:68.3pt;z-index:251664384;mso-width-relative:page;mso-height-relative:page;" fillcolor="#C6D9F1" filled="t" stroked="t" coordsize="21600,21600" o:gfxdata="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PVmiD2AAAAAkBAAAPAAAAAAAAAAEAIAAAACIAAABkcnMvZG93bnJldi54bWxQ&#10;SwECFAAUAAAACACHTuJA8L07PzACAABZBAAADgAAAAAAAAABACAAAAAnAQAAZHJzL2Uyb0RvYy54&#10;bWxQSwUGAAAAAAYABgBZAQAAyQUAAAAA&#10;">
                <v:fill on="t" focussize="0,0"/>
                <v:stroke weight="1.25pt" color="#739CC3" joinstyle="miter"/>
                <v:imagedata o:title=""/>
                <o:lock v:ext="edit" aspectratio="f"/>
                <v:textbox>
                  <w:txbxContent>
                    <w:p w14:paraId="3F51286A">
                      <w:pPr>
                        <w:jc w:val="center"/>
                        <w:rPr>
                          <w:rFonts w:hint="default" w:eastAsia="宋体"/>
                          <w:lang w:val="en-US" w:eastAsia="zh-CN"/>
                        </w:rPr>
                      </w:pPr>
                      <w:r>
                        <w:rPr>
                          <w:rFonts w:hint="eastAsia" w:ascii="仿宋" w:hAnsi="仿宋" w:eastAsia="仿宋" w:cs="仿宋"/>
                          <w:lang w:val="en-US" w:eastAsia="zh-CN"/>
                        </w:rPr>
                        <w:t>斜板沉淀池</w:t>
                      </w:r>
                    </w:p>
                  </w:txbxContent>
                </v:textbox>
              </v:shape>
            </w:pict>
          </mc:Fallback>
        </mc:AlternateContent>
      </w:r>
      <w:r>
        <w:rPr>
          <w:rFonts w:hint="eastAsia" w:ascii="宋体" w:hAnsi="宋体" w:eastAsia="宋体" w:cs="Times New Roman"/>
          <w:sz w:val="24"/>
          <w:szCs w:val="24"/>
          <w:lang w:val="en-US" w:eastAsia="zh-CN"/>
        </w:rPr>
        <mc:AlternateContent>
          <mc:Choice Requires="wps">
            <w:drawing>
              <wp:anchor distT="0" distB="0" distL="114300" distR="114300" simplePos="0" relativeHeight="251660288" behindDoc="0" locked="0" layoutInCell="1" allowOverlap="1">
                <wp:simplePos x="0" y="0"/>
                <wp:positionH relativeFrom="column">
                  <wp:posOffset>1378585</wp:posOffset>
                </wp:positionH>
                <wp:positionV relativeFrom="paragraph">
                  <wp:posOffset>287655</wp:posOffset>
                </wp:positionV>
                <wp:extent cx="845820" cy="288925"/>
                <wp:effectExtent l="7620" t="7620" r="10160" b="8255"/>
                <wp:wrapNone/>
                <wp:docPr id="15" name="流程图: 过程 15" descr="colored_paper1"/>
                <wp:cNvGraphicFramePr/>
                <a:graphic xmlns:a="http://schemas.openxmlformats.org/drawingml/2006/main">
                  <a:graphicData uri="http://schemas.microsoft.com/office/word/2010/wordprocessingShape">
                    <wps:wsp>
                      <wps:cNvSpPr/>
                      <wps:spPr>
                        <a:xfrm>
                          <a:off x="0" y="0"/>
                          <a:ext cx="845820" cy="288925"/>
                        </a:xfrm>
                        <a:prstGeom prst="flowChartProcess">
                          <a:avLst/>
                        </a:prstGeom>
                        <a:solidFill>
                          <a:srgbClr val="C6D9F1"/>
                        </a:solidFill>
                        <a:ln w="15875" cap="flat" cmpd="sng">
                          <a:solidFill>
                            <a:srgbClr val="739CC3"/>
                          </a:solidFill>
                          <a:prstDash val="solid"/>
                          <a:miter/>
                          <a:headEnd type="none" w="med" len="med"/>
                          <a:tailEnd type="none" w="med" len="med"/>
                        </a:ln>
                      </wps:spPr>
                      <wps:txbx>
                        <w:txbxContent>
                          <w:p w14:paraId="08F926A1">
                            <w:pPr>
                              <w:jc w:val="center"/>
                              <w:rPr>
                                <w:rFonts w:hint="default" w:eastAsia="宋体"/>
                                <w:lang w:val="en-US" w:eastAsia="zh-CN"/>
                              </w:rPr>
                            </w:pPr>
                            <w:r>
                              <w:rPr>
                                <w:rFonts w:hint="eastAsia"/>
                                <w:lang w:val="en-US" w:eastAsia="zh-CN"/>
                              </w:rPr>
                              <w:t>调节池</w:t>
                            </w:r>
                          </w:p>
                        </w:txbxContent>
                      </wps:txbx>
                      <wps:bodyPr upright="1"/>
                    </wps:wsp>
                  </a:graphicData>
                </a:graphic>
              </wp:anchor>
            </w:drawing>
          </mc:Choice>
          <mc:Fallback>
            <w:pict>
              <v:shape id="_x0000_s1026" o:spid="_x0000_s1026" o:spt="109" alt="colored_paper1" type="#_x0000_t109" style="position:absolute;left:0pt;margin-left:108.55pt;margin-top:22.65pt;height:22.75pt;width:66.6pt;z-index:251660288;mso-width-relative:page;mso-height-relative:page;" fillcolor="#C6D9F1" filled="t" stroked="t" coordsize="21600,21600" o:gfxdata="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ovtoO2QAAAAkBAAAPAAAAAAAAAAEAIAAAACIAAABkcnMvZG93bnJldi54bWxQ&#10;SwECFAAUAAAACACHTuJAeehyLS8CAABZBAAADgAAAAAAAAABACAAAAAoAQAAZHJzL2Uyb0RvYy54&#10;bWxQSwUGAAAAAAYABgBZAQAAyQUAAAAA&#10;">
                <v:fill on="t" focussize="0,0"/>
                <v:stroke weight="1.25pt" color="#739CC3" joinstyle="miter"/>
                <v:imagedata o:title=""/>
                <o:lock v:ext="edit" aspectratio="f"/>
                <v:textbox>
                  <w:txbxContent>
                    <w:p w14:paraId="08F926A1">
                      <w:pPr>
                        <w:jc w:val="center"/>
                        <w:rPr>
                          <w:rFonts w:hint="default" w:eastAsia="宋体"/>
                          <w:lang w:val="en-US" w:eastAsia="zh-CN"/>
                        </w:rPr>
                      </w:pPr>
                      <w:r>
                        <w:rPr>
                          <w:rFonts w:hint="eastAsia"/>
                          <w:lang w:val="en-US" w:eastAsia="zh-CN"/>
                        </w:rPr>
                        <w:t>调节池</w:t>
                      </w:r>
                    </w:p>
                  </w:txbxContent>
                </v:textbox>
              </v:shape>
            </w:pict>
          </mc:Fallback>
        </mc:AlternateContent>
      </w:r>
      <w:r>
        <w:rPr>
          <w:rFonts w:hint="eastAsia" w:ascii="宋体" w:hAnsi="宋体" w:eastAsia="宋体" w:cs="Times New Roman"/>
          <w:sz w:val="24"/>
          <w:szCs w:val="24"/>
          <w:lang w:val="en-US" w:eastAsia="zh-CN"/>
        </w:rPr>
        <mc:AlternateContent>
          <mc:Choice Requires="wps">
            <w:drawing>
              <wp:anchor distT="0" distB="0" distL="114300" distR="114300" simplePos="0" relativeHeight="251662336" behindDoc="0" locked="0" layoutInCell="1" allowOverlap="1">
                <wp:simplePos x="0" y="0"/>
                <wp:positionH relativeFrom="column">
                  <wp:posOffset>2592070</wp:posOffset>
                </wp:positionH>
                <wp:positionV relativeFrom="paragraph">
                  <wp:posOffset>284480</wp:posOffset>
                </wp:positionV>
                <wp:extent cx="867410" cy="288925"/>
                <wp:effectExtent l="7620" t="7620" r="13970" b="8255"/>
                <wp:wrapNone/>
                <wp:docPr id="16" name="流程图: 过程 16" descr="colored_paper1"/>
                <wp:cNvGraphicFramePr/>
                <a:graphic xmlns:a="http://schemas.openxmlformats.org/drawingml/2006/main">
                  <a:graphicData uri="http://schemas.microsoft.com/office/word/2010/wordprocessingShape">
                    <wps:wsp>
                      <wps:cNvSpPr/>
                      <wps:spPr>
                        <a:xfrm>
                          <a:off x="0" y="0"/>
                          <a:ext cx="867410" cy="288925"/>
                        </a:xfrm>
                        <a:prstGeom prst="flowChartProcess">
                          <a:avLst/>
                        </a:prstGeom>
                        <a:solidFill>
                          <a:srgbClr val="C6D9F1"/>
                        </a:solidFill>
                        <a:ln w="15875" cap="flat" cmpd="sng">
                          <a:solidFill>
                            <a:srgbClr val="739CC3"/>
                          </a:solidFill>
                          <a:prstDash val="solid"/>
                          <a:miter/>
                          <a:headEnd type="none" w="med" len="med"/>
                          <a:tailEnd type="none" w="med" len="med"/>
                        </a:ln>
                      </wps:spPr>
                      <wps:txbx>
                        <w:txbxContent>
                          <w:p w14:paraId="5286F07E">
                            <w:pPr>
                              <w:jc w:val="center"/>
                              <w:rPr>
                                <w:rFonts w:hint="eastAsia" w:ascii="仿宋" w:hAnsi="仿宋" w:eastAsia="仿宋" w:cs="仿宋"/>
                                <w:lang w:val="en-US" w:eastAsia="zh-CN"/>
                              </w:rPr>
                            </w:pPr>
                            <w:r>
                              <w:rPr>
                                <w:rFonts w:hint="eastAsia" w:ascii="仿宋" w:hAnsi="仿宋" w:eastAsia="仿宋" w:cs="仿宋"/>
                                <w:lang w:val="en-US" w:eastAsia="zh-CN"/>
                              </w:rPr>
                              <w:t>反应池</w:t>
                            </w:r>
                          </w:p>
                        </w:txbxContent>
                      </wps:txbx>
                      <wps:bodyPr upright="1"/>
                    </wps:wsp>
                  </a:graphicData>
                </a:graphic>
              </wp:anchor>
            </w:drawing>
          </mc:Choice>
          <mc:Fallback>
            <w:pict>
              <v:shape id="_x0000_s1026" o:spid="_x0000_s1026" o:spt="109" alt="colored_paper1" type="#_x0000_t109" style="position:absolute;left:0pt;margin-left:204.1pt;margin-top:22.4pt;height:22.75pt;width:68.3pt;z-index:251662336;mso-width-relative:page;mso-height-relative:page;" fillcolor="#C6D9F1" filled="t" stroked="t" coordsize="21600,21600" o:gfxdata="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kOKcDXAAAACQEAAA8AAAAAAAAAAQAgAAAAIgAAAGRycy9kb3ducmV2LnhtbFBL&#10;AQIUABQAAAAIAIdO4kBCOV6LMAIAAFkEAAAOAAAAAAAAAAEAIAAAACYBAABkcnMvZTJvRG9jLnht&#10;bFBLBQYAAAAABgAGAFkBAADIBQAAAAA=&#10;">
                <v:fill on="t" focussize="0,0"/>
                <v:stroke weight="1.25pt" color="#739CC3" joinstyle="miter"/>
                <v:imagedata o:title=""/>
                <o:lock v:ext="edit" aspectratio="f"/>
                <v:textbox>
                  <w:txbxContent>
                    <w:p w14:paraId="5286F07E">
                      <w:pPr>
                        <w:jc w:val="center"/>
                        <w:rPr>
                          <w:rFonts w:hint="eastAsia" w:ascii="仿宋" w:hAnsi="仿宋" w:eastAsia="仿宋" w:cs="仿宋"/>
                          <w:lang w:val="en-US" w:eastAsia="zh-CN"/>
                        </w:rPr>
                      </w:pPr>
                      <w:r>
                        <w:rPr>
                          <w:rFonts w:hint="eastAsia" w:ascii="仿宋" w:hAnsi="仿宋" w:eastAsia="仿宋" w:cs="仿宋"/>
                          <w:lang w:val="en-US" w:eastAsia="zh-CN"/>
                        </w:rPr>
                        <w:t>反应池</w:t>
                      </w:r>
                    </w:p>
                  </w:txbxContent>
                </v:textbox>
              </v:shape>
            </w:pict>
          </mc:Fallback>
        </mc:AlternateContent>
      </w:r>
    </w:p>
    <w:p w14:paraId="3E45B968">
      <w:pPr>
        <w:pageBreakBefore w:val="0"/>
        <w:kinsoku/>
        <w:wordWrap/>
        <w:overflowPunct/>
        <w:topLinePunct w:val="0"/>
        <w:autoSpaceDE/>
        <w:autoSpaceDN/>
        <w:bidi w:val="0"/>
        <w:adjustRightInd/>
        <w:snapToGrid/>
        <w:spacing w:line="360" w:lineRule="auto"/>
        <w:ind w:left="0" w:leftChars="0" w:right="0" w:firstLine="0" w:firstLineChars="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mc:AlternateContent>
          <mc:Choice Requires="wps">
            <w:drawing>
              <wp:anchor distT="0" distB="0" distL="114300" distR="114300" simplePos="0" relativeHeight="251669504" behindDoc="0" locked="0" layoutInCell="1" allowOverlap="1">
                <wp:simplePos x="0" y="0"/>
                <wp:positionH relativeFrom="column">
                  <wp:posOffset>4266565</wp:posOffset>
                </wp:positionH>
                <wp:positionV relativeFrom="paragraph">
                  <wp:posOffset>263525</wp:posOffset>
                </wp:positionV>
                <wp:extent cx="635" cy="215900"/>
                <wp:effectExtent l="52070" t="0" r="61595" b="0"/>
                <wp:wrapNone/>
                <wp:docPr id="21" name="直接连接符 21"/>
                <wp:cNvGraphicFramePr/>
                <a:graphic xmlns:a="http://schemas.openxmlformats.org/drawingml/2006/main">
                  <a:graphicData uri="http://schemas.microsoft.com/office/word/2010/wordprocessingShape">
                    <wps:wsp>
                      <wps:cNvCnPr/>
                      <wps:spPr>
                        <a:xfrm flipH="1">
                          <a:off x="0" y="0"/>
                          <a:ext cx="635" cy="215900"/>
                        </a:xfrm>
                        <a:prstGeom prst="line">
                          <a:avLst/>
                        </a:prstGeom>
                        <a:ln w="1587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335.95pt;margin-top:20.75pt;height:17pt;width:0.05pt;z-index:251669504;mso-width-relative:page;mso-height-relative:page;" filled="f" stroked="t" coordsize="21600,21600" o:gfxdata="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6mLttYAAAAJAQAADwAAAAAAAAABACAAAAAiAAAAZHJz&#10;L2Rvd25yZXYueG1sUEsBAhQAFAAAAAgAh07iQGm+cNIGAgAA8wMAAA4AAAAAAAAAAQAgAAAAJQEA&#10;AGRycy9lMm9Eb2MueG1sUEsFBgAAAAAGAAYAWQEAAJ0FAAAAAA==&#10;">
                <v:fill on="f" focussize="0,0"/>
                <v:stroke weight="1.25pt" color="#000000" joinstyle="round" endarrow="open"/>
                <v:imagedata o:title=""/>
                <o:lock v:ext="edit" aspectratio="f"/>
              </v:line>
            </w:pict>
          </mc:Fallback>
        </mc:AlternateContent>
      </w:r>
      <w:r>
        <w:rPr>
          <w:rFonts w:hint="eastAsia" w:ascii="宋体" w:hAnsi="宋体" w:eastAsia="宋体" w:cs="Times New Roman"/>
          <w:sz w:val="24"/>
          <w:szCs w:val="24"/>
          <w:lang w:val="en-US" w:eastAsia="zh-CN"/>
        </w:rPr>
        <mc:AlternateContent>
          <mc:Choice Requires="wps">
            <w:drawing>
              <wp:anchor distT="0" distB="0" distL="114300" distR="114300" simplePos="0" relativeHeight="251666432" behindDoc="0" locked="0" layoutInCell="1" allowOverlap="1">
                <wp:simplePos x="0" y="0"/>
                <wp:positionH relativeFrom="column">
                  <wp:posOffset>326390</wp:posOffset>
                </wp:positionH>
                <wp:positionV relativeFrom="paragraph">
                  <wp:posOffset>5715</wp:posOffset>
                </wp:positionV>
                <wp:extent cx="723900" cy="288925"/>
                <wp:effectExtent l="0" t="0" r="0" b="0"/>
                <wp:wrapNone/>
                <wp:docPr id="17" name="流程图: 过程 17" descr="colored_paper1"/>
                <wp:cNvGraphicFramePr/>
                <a:graphic xmlns:a="http://schemas.openxmlformats.org/drawingml/2006/main">
                  <a:graphicData uri="http://schemas.microsoft.com/office/word/2010/wordprocessingShape">
                    <wps:wsp>
                      <wps:cNvSpPr/>
                      <wps:spPr>
                        <a:xfrm>
                          <a:off x="0" y="0"/>
                          <a:ext cx="723900" cy="288925"/>
                        </a:xfrm>
                        <a:prstGeom prst="flowChartProcess">
                          <a:avLst/>
                        </a:prstGeom>
                        <a:noFill/>
                        <a:ln w="15875">
                          <a:noFill/>
                        </a:ln>
                      </wps:spPr>
                      <wps:txbx>
                        <w:txbxContent>
                          <w:p w14:paraId="1D725FA1">
                            <w:pPr>
                              <w:jc w:val="both"/>
                              <w:rPr>
                                <w:rFonts w:hint="default" w:eastAsia="宋体"/>
                                <w:lang w:val="en-US" w:eastAsia="zh-CN"/>
                              </w:rPr>
                            </w:pPr>
                            <w:r>
                              <w:rPr>
                                <w:rFonts w:hint="eastAsia" w:ascii="仿宋" w:hAnsi="仿宋" w:eastAsia="仿宋" w:cs="仿宋"/>
                                <w:lang w:val="en-US" w:eastAsia="zh-CN"/>
                              </w:rPr>
                              <w:t>石墨废水</w:t>
                            </w:r>
                          </w:p>
                        </w:txbxContent>
                      </wps:txbx>
                      <wps:bodyPr upright="1"/>
                    </wps:wsp>
                  </a:graphicData>
                </a:graphic>
              </wp:anchor>
            </w:drawing>
          </mc:Choice>
          <mc:Fallback>
            <w:pict>
              <v:shape id="_x0000_s1026" o:spid="_x0000_s1026" o:spt="109" alt="colored_paper1" type="#_x0000_t109" style="position:absolute;left:0pt;margin-left:25.7pt;margin-top:0.45pt;height:22.75pt;width:57pt;z-index:251666432;mso-width-relative:page;mso-height-relative:page;" filled="f" stroked="f" coordsize="21600,21600" o:gfxdata="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ws0YuNMAAAAGAQAADwAAAAAAAAABACAAAAAiAAAAZHJz&#10;L2Rvd25yZXYueG1sUEsBAhQAFAAAAAgAh07iQB8qQD7QAQAAegMAAA4AAAAAAAAAAQAgAAAAIgEA&#10;AGRycy9lMm9Eb2MueG1sUEsFBgAAAAAGAAYAWQEAAGQFAAAAAA==&#10;">
                <v:fill on="f" focussize="0,0"/>
                <v:stroke on="f" weight="1.25pt"/>
                <v:imagedata o:title=""/>
                <o:lock v:ext="edit" aspectratio="f"/>
                <v:textbox>
                  <w:txbxContent>
                    <w:p w14:paraId="1D725FA1">
                      <w:pPr>
                        <w:jc w:val="both"/>
                        <w:rPr>
                          <w:rFonts w:hint="default" w:eastAsia="宋体"/>
                          <w:lang w:val="en-US" w:eastAsia="zh-CN"/>
                        </w:rPr>
                      </w:pPr>
                      <w:r>
                        <w:rPr>
                          <w:rFonts w:hint="eastAsia" w:ascii="仿宋" w:hAnsi="仿宋" w:eastAsia="仿宋" w:cs="仿宋"/>
                          <w:lang w:val="en-US" w:eastAsia="zh-CN"/>
                        </w:rPr>
                        <w:t>石墨废水</w:t>
                      </w:r>
                    </w:p>
                  </w:txbxContent>
                </v:textbox>
              </v:shape>
            </w:pict>
          </mc:Fallback>
        </mc:AlternateContent>
      </w:r>
      <w:r>
        <w:rPr>
          <w:rFonts w:hint="eastAsia" w:ascii="宋体" w:hAnsi="宋体" w:eastAsia="宋体" w:cs="Times New Roman"/>
          <w:sz w:val="24"/>
          <w:szCs w:val="24"/>
          <w:lang w:val="en-US" w:eastAsia="zh-CN"/>
        </w:rPr>
        <mc:AlternateContent>
          <mc:Choice Requires="wps">
            <w:drawing>
              <wp:anchor distT="0" distB="0" distL="114300" distR="114300" simplePos="0" relativeHeight="251659264" behindDoc="0" locked="0" layoutInCell="1" allowOverlap="1">
                <wp:simplePos x="0" y="0"/>
                <wp:positionH relativeFrom="column">
                  <wp:posOffset>1019175</wp:posOffset>
                </wp:positionH>
                <wp:positionV relativeFrom="paragraph">
                  <wp:posOffset>150495</wp:posOffset>
                </wp:positionV>
                <wp:extent cx="323850" cy="635"/>
                <wp:effectExtent l="0" t="52070" r="6350" b="61595"/>
                <wp:wrapNone/>
                <wp:docPr id="18" name="直接连接符 18"/>
                <wp:cNvGraphicFramePr/>
                <a:graphic xmlns:a="http://schemas.openxmlformats.org/drawingml/2006/main">
                  <a:graphicData uri="http://schemas.microsoft.com/office/word/2010/wordprocessingShape">
                    <wps:wsp>
                      <wps:cNvCnPr/>
                      <wps:spPr>
                        <a:xfrm flipV="1">
                          <a:off x="0" y="0"/>
                          <a:ext cx="323850" cy="635"/>
                        </a:xfrm>
                        <a:prstGeom prst="line">
                          <a:avLst/>
                        </a:prstGeom>
                        <a:ln w="1587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80.25pt;margin-top:11.85pt;height:0.05pt;width:25.5pt;z-index:251659264;mso-width-relative:page;mso-height-relative:page;" filled="f" stroked="t" coordsize="21600,21600" o:gfxdata="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JC5RbtQAAAAJAQAADwAAAAAAAAABACAAAAAiAAAAZHJzL2Rvd25y&#10;ZXYueG1sUEsBAhQAFAAAAAgAh07iQL6cyvMCAgAA8wMAAA4AAAAAAAAAAQAgAAAAIwEAAGRycy9l&#10;Mm9Eb2MueG1sUEsFBgAAAAAGAAYAWQEAAJcFAAAAAA==&#10;">
                <v:fill on="f" focussize="0,0"/>
                <v:stroke weight="1.25pt" color="#000000" joinstyle="round" endarrow="open"/>
                <v:imagedata o:title=""/>
                <o:lock v:ext="edit" aspectratio="f"/>
              </v:line>
            </w:pict>
          </mc:Fallback>
        </mc:AlternateContent>
      </w:r>
      <w:r>
        <w:rPr>
          <w:rFonts w:hint="eastAsia" w:ascii="宋体" w:hAnsi="宋体" w:eastAsia="宋体" w:cs="Times New Roman"/>
          <w:sz w:val="24"/>
          <w:szCs w:val="24"/>
          <w:lang w:val="en-US" w:eastAsia="zh-CN"/>
        </w:rPr>
        <mc:AlternateContent>
          <mc:Choice Requires="wps">
            <w:drawing>
              <wp:anchor distT="0" distB="0" distL="114300" distR="114300" simplePos="0" relativeHeight="251665408" behindDoc="0" locked="0" layoutInCell="1" allowOverlap="1">
                <wp:simplePos x="0" y="0"/>
                <wp:positionH relativeFrom="column">
                  <wp:posOffset>4713605</wp:posOffset>
                </wp:positionH>
                <wp:positionV relativeFrom="paragraph">
                  <wp:posOffset>95250</wp:posOffset>
                </wp:positionV>
                <wp:extent cx="323850" cy="635"/>
                <wp:effectExtent l="0" t="52070" r="6350" b="61595"/>
                <wp:wrapNone/>
                <wp:docPr id="25" name="直接连接符 25"/>
                <wp:cNvGraphicFramePr/>
                <a:graphic xmlns:a="http://schemas.openxmlformats.org/drawingml/2006/main">
                  <a:graphicData uri="http://schemas.microsoft.com/office/word/2010/wordprocessingShape">
                    <wps:wsp>
                      <wps:cNvCnPr/>
                      <wps:spPr>
                        <a:xfrm flipV="1">
                          <a:off x="0" y="0"/>
                          <a:ext cx="323850" cy="635"/>
                        </a:xfrm>
                        <a:prstGeom prst="line">
                          <a:avLst/>
                        </a:prstGeom>
                        <a:ln w="1587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371.15pt;margin-top:7.5pt;height:0.05pt;width:25.5pt;z-index:251665408;mso-width-relative:page;mso-height-relative:page;" filled="f" stroked="t" coordsize="21600,21600" o:gfxdata="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2jHhBdQAAAAJAQAADwAAAAAAAAABACAAAAAiAAAAZHJzL2Rv&#10;d25yZXYueG1sUEsBAhQAFAAAAAgAh07iQLPmAM8FAgAA8wMAAA4AAAAAAAAAAQAgAAAAIwEAAGRy&#10;cy9lMm9Eb2MueG1sUEsFBgAAAAAGAAYAWQEAAJoFAAAAAA==&#10;">
                <v:fill on="f" focussize="0,0"/>
                <v:stroke weight="1.25pt" color="#000000" joinstyle="round" endarrow="open"/>
                <v:imagedata o:title=""/>
                <o:lock v:ext="edit" aspectratio="f"/>
              </v:line>
            </w:pict>
          </mc:Fallback>
        </mc:AlternateContent>
      </w:r>
      <w:r>
        <w:rPr>
          <w:rFonts w:hint="eastAsia" w:ascii="宋体" w:hAnsi="宋体" w:eastAsia="宋体" w:cs="Times New Roman"/>
          <w:sz w:val="24"/>
          <w:szCs w:val="24"/>
          <w:lang w:val="en-US" w:eastAsia="zh-CN"/>
        </w:rPr>
        <mc:AlternateContent>
          <mc:Choice Requires="wps">
            <w:drawing>
              <wp:anchor distT="0" distB="0" distL="114300" distR="114300" simplePos="0" relativeHeight="251663360" behindDoc="0" locked="0" layoutInCell="1" allowOverlap="1">
                <wp:simplePos x="0" y="0"/>
                <wp:positionH relativeFrom="column">
                  <wp:posOffset>3484880</wp:posOffset>
                </wp:positionH>
                <wp:positionV relativeFrom="paragraph">
                  <wp:posOffset>111760</wp:posOffset>
                </wp:positionV>
                <wp:extent cx="323850" cy="635"/>
                <wp:effectExtent l="0" t="52070" r="6350" b="61595"/>
                <wp:wrapNone/>
                <wp:docPr id="29" name="直接连接符 29"/>
                <wp:cNvGraphicFramePr/>
                <a:graphic xmlns:a="http://schemas.openxmlformats.org/drawingml/2006/main">
                  <a:graphicData uri="http://schemas.microsoft.com/office/word/2010/wordprocessingShape">
                    <wps:wsp>
                      <wps:cNvCnPr/>
                      <wps:spPr>
                        <a:xfrm flipV="1">
                          <a:off x="0" y="0"/>
                          <a:ext cx="323850" cy="635"/>
                        </a:xfrm>
                        <a:prstGeom prst="line">
                          <a:avLst/>
                        </a:prstGeom>
                        <a:ln w="1587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274.4pt;margin-top:8.8pt;height:0.05pt;width:25.5pt;z-index:251663360;mso-width-relative:page;mso-height-relative:page;" filled="f" stroked="t" coordsize="21600,21600" o:gfxdata="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OILDg1AAAAAkBAAAPAAAAAAAAAAEAIAAAACIAAABkcnMvZG93&#10;bnJldi54bWxQSwECFAAUAAAACACHTuJAFBqLHwQCAADzAwAADgAAAAAAAAABACAAAAAjAQAAZHJz&#10;L2Uyb0RvYy54bWxQSwUGAAAAAAYABgBZAQAAmQUAAAAA&#10;">
                <v:fill on="f" focussize="0,0"/>
                <v:stroke weight="1.25pt" color="#000000" joinstyle="round" endarrow="open"/>
                <v:imagedata o:title=""/>
                <o:lock v:ext="edit" aspectratio="f"/>
              </v:line>
            </w:pict>
          </mc:Fallback>
        </mc:AlternateContent>
      </w:r>
      <w:r>
        <w:rPr>
          <w:rFonts w:hint="eastAsia" w:ascii="宋体" w:hAnsi="宋体" w:eastAsia="宋体" w:cs="Times New Roman"/>
          <w:sz w:val="24"/>
          <w:szCs w:val="24"/>
          <w:lang w:val="en-US" w:eastAsia="zh-CN"/>
        </w:rPr>
        <mc:AlternateContent>
          <mc:Choice Requires="wps">
            <w:drawing>
              <wp:anchor distT="0" distB="0" distL="114300" distR="114300" simplePos="0" relativeHeight="251661312" behindDoc="0" locked="0" layoutInCell="1" allowOverlap="1">
                <wp:simplePos x="0" y="0"/>
                <wp:positionH relativeFrom="column">
                  <wp:posOffset>2251710</wp:posOffset>
                </wp:positionH>
                <wp:positionV relativeFrom="paragraph">
                  <wp:posOffset>123190</wp:posOffset>
                </wp:positionV>
                <wp:extent cx="323850" cy="635"/>
                <wp:effectExtent l="0" t="52070" r="6350" b="61595"/>
                <wp:wrapNone/>
                <wp:docPr id="24" name="直接连接符 24"/>
                <wp:cNvGraphicFramePr/>
                <a:graphic xmlns:a="http://schemas.openxmlformats.org/drawingml/2006/main">
                  <a:graphicData uri="http://schemas.microsoft.com/office/word/2010/wordprocessingShape">
                    <wps:wsp>
                      <wps:cNvCnPr/>
                      <wps:spPr>
                        <a:xfrm flipV="1">
                          <a:off x="0" y="0"/>
                          <a:ext cx="323850" cy="635"/>
                        </a:xfrm>
                        <a:prstGeom prst="line">
                          <a:avLst/>
                        </a:prstGeom>
                        <a:ln w="1587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177.3pt;margin-top:9.7pt;height:0.05pt;width:25.5pt;z-index:251661312;mso-width-relative:page;mso-height-relative:page;" filled="f" stroked="t" coordsize="21600,21600" o:gfxdata="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XcVPK1AAAAAkBAAAPAAAAAAAAAAEAIAAAACIAAABkcnMvZG93&#10;bnJldi54bWxQSwECFAAUAAAACACHTuJAxA09qgQCAADzAwAADgAAAAAAAAABACAAAAAjAQAAZHJz&#10;L2Uyb0RvYy54bWxQSwUGAAAAAAYABgBZAQAAmQUAAAAA&#10;">
                <v:fill on="f" focussize="0,0"/>
                <v:stroke weight="1.25pt" color="#000000" joinstyle="round" endarrow="open"/>
                <v:imagedata o:title=""/>
                <o:lock v:ext="edit" aspectratio="f"/>
              </v:line>
            </w:pict>
          </mc:Fallback>
        </mc:AlternateContent>
      </w:r>
      <w:r>
        <w:rPr>
          <w:rFonts w:hint="eastAsia" w:ascii="宋体" w:hAnsi="宋体" w:eastAsia="宋体" w:cs="Times New Roman"/>
          <w:sz w:val="24"/>
          <w:szCs w:val="24"/>
          <w:lang w:val="en-US" w:eastAsia="zh-CN"/>
        </w:rPr>
        <w:tab/>
      </w:r>
    </w:p>
    <w:p w14:paraId="17CBAD3F">
      <w:pPr>
        <w:pageBreakBefore w:val="0"/>
        <w:kinsoku/>
        <w:wordWrap/>
        <w:overflowPunct/>
        <w:topLinePunct w:val="0"/>
        <w:autoSpaceDE/>
        <w:autoSpaceDN/>
        <w:bidi w:val="0"/>
        <w:adjustRightInd/>
        <w:snapToGrid/>
        <w:spacing w:line="360" w:lineRule="auto"/>
        <w:ind w:left="0" w:leftChars="0" w:right="0" w:firstLine="0" w:firstLineChars="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mc:AlternateContent>
          <mc:Choice Requires="wps">
            <w:drawing>
              <wp:anchor distT="0" distB="0" distL="114300" distR="114300" simplePos="0" relativeHeight="251672576" behindDoc="0" locked="0" layoutInCell="1" allowOverlap="1">
                <wp:simplePos x="0" y="0"/>
                <wp:positionH relativeFrom="column">
                  <wp:posOffset>50165</wp:posOffset>
                </wp:positionH>
                <wp:positionV relativeFrom="paragraph">
                  <wp:posOffset>223520</wp:posOffset>
                </wp:positionV>
                <wp:extent cx="1459865" cy="288925"/>
                <wp:effectExtent l="0" t="0" r="0" b="0"/>
                <wp:wrapNone/>
                <wp:docPr id="28" name="流程图: 过程 28" descr="colored_paper1"/>
                <wp:cNvGraphicFramePr/>
                <a:graphic xmlns:a="http://schemas.openxmlformats.org/drawingml/2006/main">
                  <a:graphicData uri="http://schemas.microsoft.com/office/word/2010/wordprocessingShape">
                    <wps:wsp>
                      <wps:cNvSpPr/>
                      <wps:spPr>
                        <a:xfrm>
                          <a:off x="0" y="0"/>
                          <a:ext cx="1459865" cy="288925"/>
                        </a:xfrm>
                        <a:prstGeom prst="flowChartProcess">
                          <a:avLst/>
                        </a:prstGeom>
                        <a:noFill/>
                        <a:ln w="15875">
                          <a:noFill/>
                        </a:ln>
                      </wps:spPr>
                      <wps:txbx>
                        <w:txbxContent>
                          <w:p w14:paraId="73AFFB7B">
                            <w:pPr>
                              <w:jc w:val="both"/>
                              <w:rPr>
                                <w:rFonts w:hint="default" w:eastAsia="宋体"/>
                                <w:lang w:val="en-US" w:eastAsia="zh-CN"/>
                              </w:rPr>
                            </w:pPr>
                            <w:r>
                              <w:rPr>
                                <w:rFonts w:hint="eastAsia" w:ascii="仿宋" w:hAnsi="仿宋" w:eastAsia="仿宋" w:cs="仿宋"/>
                                <w:lang w:val="en-US" w:eastAsia="zh-CN"/>
                              </w:rPr>
                              <w:t>多管冲击除尘器废水</w:t>
                            </w:r>
                          </w:p>
                        </w:txbxContent>
                      </wps:txbx>
                      <wps:bodyPr upright="1"/>
                    </wps:wsp>
                  </a:graphicData>
                </a:graphic>
              </wp:anchor>
            </w:drawing>
          </mc:Choice>
          <mc:Fallback>
            <w:pict>
              <v:shape id="_x0000_s1026" o:spid="_x0000_s1026" o:spt="109" alt="colored_paper1" type="#_x0000_t109" style="position:absolute;left:0pt;margin-left:3.95pt;margin-top:17.6pt;height:22.75pt;width:114.95pt;z-index:251672576;mso-width-relative:page;mso-height-relative:page;" filled="f" stroked="f" coordsize="21600,21600" o:gfxdata="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Lp0ONrWAAAABwEAAA8AAAAAAAAAAQAgAAAAIgAA&#10;AGRycy9kb3ducmV2LnhtbFBLAQIUABQAAAAIAIdO4kCzfDY/0QEAAHsDAAAOAAAAAAAAAAEAIAAA&#10;ACUBAABkcnMvZTJvRG9jLnhtbFBLBQYAAAAABgAGAFkBAABoBQAAAAA=&#10;">
                <v:fill on="f" focussize="0,0"/>
                <v:stroke on="f" weight="1.25pt"/>
                <v:imagedata o:title=""/>
                <o:lock v:ext="edit" aspectratio="f"/>
                <v:textbox>
                  <w:txbxContent>
                    <w:p w14:paraId="73AFFB7B">
                      <w:pPr>
                        <w:jc w:val="both"/>
                        <w:rPr>
                          <w:rFonts w:hint="default" w:eastAsia="宋体"/>
                          <w:lang w:val="en-US" w:eastAsia="zh-CN"/>
                        </w:rPr>
                      </w:pPr>
                      <w:r>
                        <w:rPr>
                          <w:rFonts w:hint="eastAsia" w:ascii="仿宋" w:hAnsi="仿宋" w:eastAsia="仿宋" w:cs="仿宋"/>
                          <w:lang w:val="en-US" w:eastAsia="zh-CN"/>
                        </w:rPr>
                        <w:t>多管冲击除尘器废水</w:t>
                      </w:r>
                    </w:p>
                  </w:txbxContent>
                </v:textbox>
              </v:shape>
            </w:pict>
          </mc:Fallback>
        </mc:AlternateContent>
      </w:r>
      <w:r>
        <w:rPr>
          <w:rFonts w:hint="eastAsia" w:ascii="宋体" w:hAnsi="宋体" w:eastAsia="宋体" w:cs="Times New Roman"/>
          <w:sz w:val="24"/>
          <w:szCs w:val="24"/>
          <w:lang w:val="en-US" w:eastAsia="zh-CN"/>
        </w:rPr>
        <mc:AlternateContent>
          <mc:Choice Requires="wps">
            <w:drawing>
              <wp:anchor distT="0" distB="0" distL="114300" distR="114300" simplePos="0" relativeHeight="251673600" behindDoc="0" locked="0" layoutInCell="1" allowOverlap="1">
                <wp:simplePos x="0" y="0"/>
                <wp:positionH relativeFrom="column">
                  <wp:posOffset>1390015</wp:posOffset>
                </wp:positionH>
                <wp:positionV relativeFrom="paragraph">
                  <wp:posOffset>354965</wp:posOffset>
                </wp:positionV>
                <wp:extent cx="360045" cy="635"/>
                <wp:effectExtent l="0" t="7620" r="8255" b="10795"/>
                <wp:wrapNone/>
                <wp:docPr id="26" name="直接连接符 26"/>
                <wp:cNvGraphicFramePr/>
                <a:graphic xmlns:a="http://schemas.openxmlformats.org/drawingml/2006/main">
                  <a:graphicData uri="http://schemas.microsoft.com/office/word/2010/wordprocessingShape">
                    <wps:wsp>
                      <wps:cNvCnPr/>
                      <wps:spPr>
                        <a:xfrm>
                          <a:off x="0" y="0"/>
                          <a:ext cx="360045" cy="635"/>
                        </a:xfrm>
                        <a:prstGeom prst="line">
                          <a:avLst/>
                        </a:prstGeom>
                        <a:ln w="1587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9.45pt;margin-top:27.95pt;height:0.05pt;width:28.35pt;z-index:251673600;mso-width-relative:page;mso-height-relative:page;" filled="f" stroked="t" coordsize="21600,21600" o:gfxdata="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YZBT92AAAAAkBAAAPAAAAAAAAAAEAIAAAACIAAABkcnMvZG93bnJldi54bWxQ&#10;SwECFAAUAAAACACHTuJAY8UI6PcBAADoAwAADgAAAAAAAAABACAAAAAnAQAAZHJzL2Uyb0RvYy54&#10;bWxQSwUGAAAAAAYABgBZAQAAkAUAAAAA&#10;">
                <v:fill on="f" focussize="0,0"/>
                <v:stroke weight="1.25pt" color="#000000" joinstyle="round"/>
                <v:imagedata o:title=""/>
                <o:lock v:ext="edit" aspectratio="f"/>
              </v:line>
            </w:pict>
          </mc:Fallback>
        </mc:AlternateContent>
      </w:r>
      <w:r>
        <w:rPr>
          <w:rFonts w:hint="eastAsia" w:ascii="宋体" w:hAnsi="宋体" w:eastAsia="宋体" w:cs="Times New Roman"/>
          <w:sz w:val="24"/>
          <w:szCs w:val="24"/>
          <w:lang w:val="en-US" w:eastAsia="zh-CN"/>
        </w:rPr>
        <mc:AlternateContent>
          <mc:Choice Requires="wps">
            <w:drawing>
              <wp:anchor distT="0" distB="0" distL="114300" distR="114300" simplePos="0" relativeHeight="251674624" behindDoc="0" locked="0" layoutInCell="1" allowOverlap="1">
                <wp:simplePos x="0" y="0"/>
                <wp:positionH relativeFrom="column">
                  <wp:posOffset>1762125</wp:posOffset>
                </wp:positionH>
                <wp:positionV relativeFrom="paragraph">
                  <wp:posOffset>6985</wp:posOffset>
                </wp:positionV>
                <wp:extent cx="635" cy="360045"/>
                <wp:effectExtent l="52070" t="0" r="61595" b="8255"/>
                <wp:wrapNone/>
                <wp:docPr id="27" name="直接连接符 27"/>
                <wp:cNvGraphicFramePr/>
                <a:graphic xmlns:a="http://schemas.openxmlformats.org/drawingml/2006/main">
                  <a:graphicData uri="http://schemas.microsoft.com/office/word/2010/wordprocessingShape">
                    <wps:wsp>
                      <wps:cNvCnPr/>
                      <wps:spPr>
                        <a:xfrm flipH="1" flipV="1">
                          <a:off x="0" y="0"/>
                          <a:ext cx="635" cy="360045"/>
                        </a:xfrm>
                        <a:prstGeom prst="line">
                          <a:avLst/>
                        </a:prstGeom>
                        <a:ln w="1587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 y;margin-left:138.75pt;margin-top:0.55pt;height:28.35pt;width:0.05pt;z-index:251674624;mso-width-relative:page;mso-height-relative:page;" filled="f" stroked="t" coordsize="21600,21600" o:gfxdata="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nRaYZ1QAAAAgBAAAPAAAAAAAAAAEAIAAAACIAAABk&#10;cnMvZG93bnJldi54bWxQSwECFAAUAAAACACHTuJAFBbISAkCAAD9AwAADgAAAAAAAAABACAAAAAk&#10;AQAAZHJzL2Uyb0RvYy54bWxQSwUGAAAAAAYABgBZAQAAnwUAAAAA&#10;">
                <v:fill on="f" focussize="0,0"/>
                <v:stroke weight="1.25pt" color="#000000" joinstyle="round" endarrow="open"/>
                <v:imagedata o:title=""/>
                <o:lock v:ext="edit" aspectratio="f"/>
              </v:line>
            </w:pict>
          </mc:Fallback>
        </mc:AlternateContent>
      </w:r>
      <w:r>
        <w:rPr>
          <w:rFonts w:hint="eastAsia" w:ascii="宋体" w:hAnsi="宋体" w:eastAsia="宋体" w:cs="Times New Roman"/>
          <w:sz w:val="24"/>
          <w:szCs w:val="24"/>
          <w:lang w:val="en-US" w:eastAsia="zh-CN"/>
        </w:rPr>
        <mc:AlternateContent>
          <mc:Choice Requires="wps">
            <w:drawing>
              <wp:anchor distT="0" distB="0" distL="114300" distR="114300" simplePos="0" relativeHeight="251670528" behindDoc="0" locked="0" layoutInCell="1" allowOverlap="1">
                <wp:simplePos x="0" y="0"/>
                <wp:positionH relativeFrom="column">
                  <wp:posOffset>3853180</wp:posOffset>
                </wp:positionH>
                <wp:positionV relativeFrom="paragraph">
                  <wp:posOffset>188595</wp:posOffset>
                </wp:positionV>
                <wp:extent cx="845820" cy="288925"/>
                <wp:effectExtent l="0" t="0" r="0" b="0"/>
                <wp:wrapNone/>
                <wp:docPr id="30" name="流程图: 过程 30" descr="colored_paper1"/>
                <wp:cNvGraphicFramePr/>
                <a:graphic xmlns:a="http://schemas.openxmlformats.org/drawingml/2006/main">
                  <a:graphicData uri="http://schemas.microsoft.com/office/word/2010/wordprocessingShape">
                    <wps:wsp>
                      <wps:cNvSpPr/>
                      <wps:spPr>
                        <a:xfrm>
                          <a:off x="0" y="0"/>
                          <a:ext cx="845820" cy="288925"/>
                        </a:xfrm>
                        <a:prstGeom prst="flowChartProcess">
                          <a:avLst/>
                        </a:prstGeom>
                        <a:noFill/>
                        <a:ln w="15875">
                          <a:noFill/>
                        </a:ln>
                      </wps:spPr>
                      <wps:txbx>
                        <w:txbxContent>
                          <w:p w14:paraId="0B85D4CB">
                            <w:pPr>
                              <w:jc w:val="center"/>
                              <w:rPr>
                                <w:rFonts w:hint="default" w:eastAsia="宋体"/>
                                <w:sz w:val="21"/>
                                <w:szCs w:val="21"/>
                                <w:lang w:val="en-US" w:eastAsia="zh-CN"/>
                              </w:rPr>
                            </w:pPr>
                            <w:r>
                              <w:rPr>
                                <w:rFonts w:hint="eastAsia" w:ascii="仿宋" w:hAnsi="仿宋" w:eastAsia="仿宋" w:cs="仿宋"/>
                                <w:sz w:val="21"/>
                                <w:szCs w:val="21"/>
                                <w:lang w:val="en-US" w:eastAsia="zh-CN"/>
                              </w:rPr>
                              <w:t>污泥压滤</w:t>
                            </w:r>
                          </w:p>
                        </w:txbxContent>
                      </wps:txbx>
                      <wps:bodyPr upright="1"/>
                    </wps:wsp>
                  </a:graphicData>
                </a:graphic>
              </wp:anchor>
            </w:drawing>
          </mc:Choice>
          <mc:Fallback>
            <w:pict>
              <v:shape id="_x0000_s1026" o:spid="_x0000_s1026" o:spt="109" alt="colored_paper1" type="#_x0000_t109" style="position:absolute;left:0pt;margin-left:303.4pt;margin-top:14.85pt;height:22.75pt;width:66.6pt;z-index:251670528;mso-width-relative:page;mso-height-relative:page;" filled="f" stroked="f" coordsize="21600,21600" o:gfxdata="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LsUCifXAAAACQEAAA8AAAAAAAAAAQAgAAAAIgAA&#10;AGRycy9kb3ducmV2LnhtbFBLAQIUABQAAAAIAIdO4kAKMFLE0AEAAHoDAAAOAAAAAAAAAAEAIAAA&#10;ACYBAABkcnMvZTJvRG9jLnhtbFBLBQYAAAAABgAGAFkBAABoBQAAAAA=&#10;">
                <v:fill on="f" focussize="0,0"/>
                <v:stroke on="f" weight="1.25pt"/>
                <v:imagedata o:title=""/>
                <o:lock v:ext="edit" aspectratio="f"/>
                <v:textbox>
                  <w:txbxContent>
                    <w:p w14:paraId="0B85D4CB">
                      <w:pPr>
                        <w:jc w:val="center"/>
                        <w:rPr>
                          <w:rFonts w:hint="default" w:eastAsia="宋体"/>
                          <w:sz w:val="21"/>
                          <w:szCs w:val="21"/>
                          <w:lang w:val="en-US" w:eastAsia="zh-CN"/>
                        </w:rPr>
                      </w:pPr>
                      <w:r>
                        <w:rPr>
                          <w:rFonts w:hint="eastAsia" w:ascii="仿宋" w:hAnsi="仿宋" w:eastAsia="仿宋" w:cs="仿宋"/>
                          <w:sz w:val="21"/>
                          <w:szCs w:val="21"/>
                          <w:lang w:val="en-US" w:eastAsia="zh-CN"/>
                        </w:rPr>
                        <w:t>污泥压滤</w:t>
                      </w:r>
                    </w:p>
                  </w:txbxContent>
                </v:textbox>
              </v:shape>
            </w:pict>
          </mc:Fallback>
        </mc:AlternateContent>
      </w:r>
    </w:p>
    <w:p w14:paraId="2F29F4D8">
      <w:pPr>
        <w:pageBreakBefore w:val="0"/>
        <w:kinsoku/>
        <w:wordWrap/>
        <w:overflowPunct/>
        <w:topLinePunct w:val="0"/>
        <w:autoSpaceDE/>
        <w:autoSpaceDN/>
        <w:bidi w:val="0"/>
        <w:adjustRightInd/>
        <w:snapToGrid/>
        <w:spacing w:line="360" w:lineRule="auto"/>
        <w:ind w:left="0" w:leftChars="0" w:right="0" w:firstLine="0" w:firstLineChars="0"/>
        <w:rPr>
          <w:rFonts w:hint="eastAsia" w:ascii="宋体" w:hAnsi="宋体" w:eastAsia="宋体" w:cs="Times New Roman"/>
          <w:sz w:val="24"/>
          <w:szCs w:val="24"/>
          <w:lang w:val="en-US" w:eastAsia="zh-CN"/>
        </w:rPr>
      </w:pPr>
    </w:p>
    <w:p w14:paraId="6CE5DEBE">
      <w:pPr>
        <w:pageBreakBefore w:val="0"/>
        <w:kinsoku/>
        <w:wordWrap/>
        <w:overflowPunct/>
        <w:topLinePunct w:val="0"/>
        <w:autoSpaceDE/>
        <w:autoSpaceDN/>
        <w:bidi w:val="0"/>
        <w:adjustRightInd/>
        <w:snapToGrid/>
        <w:spacing w:line="360" w:lineRule="auto"/>
        <w:ind w:left="0" w:leftChars="0" w:right="0" w:firstLine="0" w:firstLineChars="0"/>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4.参数要求</w:t>
      </w:r>
    </w:p>
    <w:p w14:paraId="3FFC5ACC">
      <w:pPr>
        <w:pageBreakBefore w:val="0"/>
        <w:kinsoku/>
        <w:wordWrap/>
        <w:overflowPunct/>
        <w:topLinePunct w:val="0"/>
        <w:autoSpaceDE/>
        <w:autoSpaceDN/>
        <w:bidi w:val="0"/>
        <w:adjustRightInd/>
        <w:snapToGrid/>
        <w:spacing w:line="360" w:lineRule="auto"/>
        <w:ind w:left="0" w:leftChars="0" w:right="0" w:firstLine="0" w:firstLineChars="0"/>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4.1概况</w:t>
      </w:r>
    </w:p>
    <w:p w14:paraId="4C6C6553">
      <w:pPr>
        <w:pageBreakBefore w:val="0"/>
        <w:kinsoku/>
        <w:wordWrap/>
        <w:overflowPunct/>
        <w:topLinePunct w:val="0"/>
        <w:autoSpaceDE/>
        <w:autoSpaceDN/>
        <w:bidi w:val="0"/>
        <w:adjustRightInd/>
        <w:snapToGrid/>
        <w:spacing w:line="360" w:lineRule="auto"/>
        <w:ind w:left="0" w:leftChars="0" w:right="0"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本次工程采用一体化装置，石墨废水从锻压机地坑经过水泵提升至调节池进行均质均量后进入化学反应阶段，主要工艺为：调节池+破乳池+絮凝/助凝池+斜板沉淀池+板框压滤机+出水排放。</w:t>
      </w:r>
    </w:p>
    <w:p w14:paraId="087069C7">
      <w:pPr>
        <w:pageBreakBefore w:val="0"/>
        <w:kinsoku/>
        <w:wordWrap/>
        <w:overflowPunct/>
        <w:topLinePunct w:val="0"/>
        <w:autoSpaceDE/>
        <w:autoSpaceDN/>
        <w:bidi w:val="0"/>
        <w:adjustRightInd/>
        <w:snapToGrid/>
        <w:spacing w:line="360" w:lineRule="auto"/>
        <w:ind w:left="0" w:leftChars="0" w:right="0" w:firstLine="0" w:firstLineChars="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4.2一般性要求</w:t>
      </w:r>
    </w:p>
    <w:p w14:paraId="4DBEE6FD">
      <w:pPr>
        <w:pageBreakBefore w:val="0"/>
        <w:kinsoku/>
        <w:wordWrap/>
        <w:overflowPunct/>
        <w:topLinePunct w:val="0"/>
        <w:autoSpaceDE/>
        <w:autoSpaceDN/>
        <w:bidi w:val="0"/>
        <w:adjustRightInd/>
        <w:snapToGrid/>
        <w:spacing w:line="360" w:lineRule="auto"/>
        <w:ind w:left="0" w:leftChars="0" w:right="0"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一体化设备的相关配套设备及材料应符合国家和行业有关标准和规范的规定。</w:t>
      </w:r>
    </w:p>
    <w:p w14:paraId="59F67C94">
      <w:pPr>
        <w:pageBreakBefore w:val="0"/>
        <w:kinsoku/>
        <w:wordWrap/>
        <w:overflowPunct/>
        <w:topLinePunct w:val="0"/>
        <w:autoSpaceDE/>
        <w:autoSpaceDN/>
        <w:bidi w:val="0"/>
        <w:adjustRightInd/>
        <w:snapToGrid/>
        <w:spacing w:line="360" w:lineRule="auto"/>
        <w:ind w:left="0" w:leftChars="0" w:right="0"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一体化设备中的关键设备和材料必须采用合格产品，严禁采用假冒产品。</w:t>
      </w:r>
    </w:p>
    <w:p w14:paraId="62337A9C">
      <w:pPr>
        <w:pageBreakBefore w:val="0"/>
        <w:kinsoku/>
        <w:wordWrap/>
        <w:overflowPunct/>
        <w:topLinePunct w:val="0"/>
        <w:autoSpaceDE/>
        <w:autoSpaceDN/>
        <w:bidi w:val="0"/>
        <w:adjustRightInd/>
        <w:snapToGrid/>
        <w:spacing w:line="360" w:lineRule="auto"/>
        <w:ind w:left="0" w:leftChars="0" w:right="0" w:firstLine="480" w:firstLineChars="200"/>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一体化设备内的关键设备应便于拆卸和替换。</w:t>
      </w:r>
    </w:p>
    <w:p w14:paraId="02FD3DA7">
      <w:pPr>
        <w:pageBreakBefore w:val="0"/>
        <w:kinsoku/>
        <w:wordWrap/>
        <w:overflowPunct/>
        <w:topLinePunct w:val="0"/>
        <w:autoSpaceDE/>
        <w:autoSpaceDN/>
        <w:bidi w:val="0"/>
        <w:adjustRightInd/>
        <w:snapToGrid/>
        <w:spacing w:line="360" w:lineRule="auto"/>
        <w:ind w:left="0" w:leftChars="0" w:right="0"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一体化设备应在制造工厂内完成制作与装配，且应满足运输要求，成套发送至项目现场，不应现场制作加工；</w:t>
      </w:r>
    </w:p>
    <w:p w14:paraId="6BB33DAA">
      <w:pPr>
        <w:pageBreakBefore w:val="0"/>
        <w:kinsoku/>
        <w:wordWrap/>
        <w:overflowPunct/>
        <w:topLinePunct w:val="0"/>
        <w:autoSpaceDE/>
        <w:autoSpaceDN/>
        <w:bidi w:val="0"/>
        <w:adjustRightInd/>
        <w:snapToGrid/>
        <w:spacing w:line="360" w:lineRule="auto"/>
        <w:ind w:left="0" w:leftChars="0" w:right="0"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一体化设备的各构件外表面应平整、光洁，不应有明显的凹凸、锤痕、碰伤等质量缺陷现象，外观需美观、整洁、大方。</w:t>
      </w:r>
    </w:p>
    <w:p w14:paraId="5D3E9190">
      <w:pPr>
        <w:pageBreakBefore w:val="0"/>
        <w:kinsoku/>
        <w:wordWrap/>
        <w:overflowPunct/>
        <w:topLinePunct w:val="0"/>
        <w:autoSpaceDE/>
        <w:autoSpaceDN/>
        <w:bidi w:val="0"/>
        <w:adjustRightInd/>
        <w:snapToGrid/>
        <w:spacing w:line="360" w:lineRule="auto"/>
        <w:ind w:left="0" w:leftChars="0" w:right="0"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一体化设备设计寿命不得低于10年。</w:t>
      </w:r>
    </w:p>
    <w:p w14:paraId="2B233A4F">
      <w:pPr>
        <w:pageBreakBefore w:val="0"/>
        <w:kinsoku/>
        <w:wordWrap/>
        <w:overflowPunct/>
        <w:topLinePunct w:val="0"/>
        <w:autoSpaceDE/>
        <w:autoSpaceDN/>
        <w:bidi w:val="0"/>
        <w:adjustRightInd/>
        <w:snapToGrid/>
        <w:spacing w:line="360" w:lineRule="auto"/>
        <w:ind w:left="0" w:leftChars="0" w:right="0"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一体化设备结构做详细设计，相关结构或构件应满足受力要求，其刚度、强度、稳定性以及连接的强度应满足国家和行业相关标准规范要求；结构设计计算应考虑荷载和荷载效应计算、疲劳计算、连接计算等。</w:t>
      </w:r>
    </w:p>
    <w:p w14:paraId="2FEFD7CC">
      <w:pPr>
        <w:pageBreakBefore w:val="0"/>
        <w:kinsoku/>
        <w:wordWrap/>
        <w:overflowPunct/>
        <w:topLinePunct w:val="0"/>
        <w:autoSpaceDE/>
        <w:autoSpaceDN/>
        <w:bidi w:val="0"/>
        <w:adjustRightInd/>
        <w:snapToGrid/>
        <w:spacing w:line="360" w:lineRule="auto"/>
        <w:ind w:left="0" w:leftChars="0" w:right="0"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一体化设备内部管道需采用碳钢管道，并做好防腐处理；内部管道需充分固定，不可松动、垮塌，管道直径选用必须考虑本项目水质、粘度、流量等实际变量，避免堵塞。</w:t>
      </w:r>
    </w:p>
    <w:p w14:paraId="16D191D0">
      <w:pPr>
        <w:pageBreakBefore w:val="0"/>
        <w:kinsoku/>
        <w:wordWrap/>
        <w:overflowPunct/>
        <w:topLinePunct w:val="0"/>
        <w:autoSpaceDE/>
        <w:autoSpaceDN/>
        <w:bidi w:val="0"/>
        <w:adjustRightInd/>
        <w:snapToGrid/>
        <w:spacing w:line="360" w:lineRule="auto"/>
        <w:ind w:left="0" w:leftChars="0" w:right="0"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一体化设备配套DN50以上手动开关阀需采用法兰式蝶阀，其他阀门配置需保障运行操作使用便捷性。</w:t>
      </w:r>
    </w:p>
    <w:p w14:paraId="0EFF718C">
      <w:pPr>
        <w:pageBreakBefore w:val="0"/>
        <w:kinsoku/>
        <w:wordWrap/>
        <w:overflowPunct/>
        <w:topLinePunct w:val="0"/>
        <w:autoSpaceDE/>
        <w:autoSpaceDN/>
        <w:bidi w:val="0"/>
        <w:adjustRightInd/>
        <w:snapToGrid/>
        <w:spacing w:line="360" w:lineRule="auto"/>
        <w:ind w:left="0" w:leftChars="0" w:right="0"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一体化设备进出水口、排空口等所有外部接口均需为法兰接口，最终排水位置及排水管道直径由投标方确定，中标后提供给招标方，招标方负责指定最近的排水接驳用污水井。</w:t>
      </w:r>
    </w:p>
    <w:p w14:paraId="1C33C777">
      <w:pPr>
        <w:pageBreakBefore w:val="0"/>
        <w:kinsoku/>
        <w:wordWrap/>
        <w:overflowPunct/>
        <w:topLinePunct w:val="0"/>
        <w:autoSpaceDE/>
        <w:autoSpaceDN/>
        <w:bidi w:val="0"/>
        <w:adjustRightInd/>
        <w:snapToGrid/>
        <w:spacing w:line="360" w:lineRule="auto"/>
        <w:ind w:left="0" w:leftChars="0" w:right="0"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4.3防腐工艺要求</w:t>
      </w:r>
    </w:p>
    <w:p w14:paraId="1DC8E782">
      <w:pPr>
        <w:pageBreakBefore w:val="0"/>
        <w:kinsoku/>
        <w:wordWrap/>
        <w:overflowPunct/>
        <w:topLinePunct w:val="0"/>
        <w:autoSpaceDE/>
        <w:autoSpaceDN/>
        <w:bidi w:val="0"/>
        <w:adjustRightInd/>
        <w:snapToGrid/>
        <w:spacing w:line="360" w:lineRule="auto"/>
        <w:ind w:left="0" w:leftChars="0" w:right="0"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4.3.1池体池壁防腐要求</w:t>
      </w:r>
    </w:p>
    <w:p w14:paraId="484FE1A9">
      <w:pPr>
        <w:pageBreakBefore w:val="0"/>
        <w:kinsoku/>
        <w:wordWrap/>
        <w:overflowPunct/>
        <w:topLinePunct w:val="0"/>
        <w:autoSpaceDE/>
        <w:autoSpaceDN/>
        <w:bidi w:val="0"/>
        <w:adjustRightInd/>
        <w:snapToGrid/>
        <w:spacing w:line="360" w:lineRule="auto"/>
        <w:ind w:left="0" w:leftChars="0" w:right="0"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2布3油玻璃钢防腐是一种结合涂料防腐与玻璃纤维增强的重防腐工艺，通过“涂料-纤维布-涂料”交替施工形成致密复合层，兼具优异的耐腐蚀性和机械强度。</w:t>
      </w:r>
    </w:p>
    <w:p w14:paraId="767891DC">
      <w:pPr>
        <w:pageBreakBefore w:val="0"/>
        <w:kinsoku/>
        <w:wordWrap/>
        <w:overflowPunct/>
        <w:topLinePunct w:val="0"/>
        <w:autoSpaceDE/>
        <w:autoSpaceDN/>
        <w:bidi w:val="0"/>
        <w:adjustRightInd/>
        <w:snapToGrid/>
        <w:spacing w:line="360" w:lineRule="auto"/>
        <w:ind w:left="0" w:leftChars="0" w:right="0"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环氧树脂涂料：机械强度高、收缩率小（约2%）、不透水，可抑制微生物繁殖。</w:t>
      </w:r>
    </w:p>
    <w:p w14:paraId="1F59AED7">
      <w:pPr>
        <w:pageBreakBefore w:val="0"/>
        <w:kinsoku/>
        <w:wordWrap/>
        <w:overflowPunct/>
        <w:topLinePunct w:val="0"/>
        <w:autoSpaceDE/>
        <w:autoSpaceDN/>
        <w:bidi w:val="0"/>
        <w:adjustRightInd/>
        <w:snapToGrid/>
        <w:spacing w:line="360" w:lineRule="auto"/>
        <w:ind w:left="0" w:leftChars="0" w:right="0"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玻璃纤维布：编织而成，增强防腐层拉伸强度与韧性，防止涂料固化后开裂渗水。</w:t>
      </w:r>
    </w:p>
    <w:p w14:paraId="4F238A23">
      <w:pPr>
        <w:pageBreakBefore w:val="0"/>
        <w:kinsoku/>
        <w:wordWrap/>
        <w:overflowPunct/>
        <w:topLinePunct w:val="0"/>
        <w:autoSpaceDE/>
        <w:autoSpaceDN/>
        <w:bidi w:val="0"/>
        <w:adjustRightInd/>
        <w:snapToGrid/>
        <w:spacing w:line="360" w:lineRule="auto"/>
        <w:ind w:left="0" w:leftChars="0" w:right="0"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4.3.2金属管道防腐要求</w:t>
      </w:r>
    </w:p>
    <w:p w14:paraId="5F3D4CB8">
      <w:pPr>
        <w:pageBreakBefore w:val="0"/>
        <w:kinsoku/>
        <w:wordWrap/>
        <w:overflowPunct/>
        <w:topLinePunct w:val="0"/>
        <w:autoSpaceDE/>
        <w:autoSpaceDN/>
        <w:bidi w:val="0"/>
        <w:adjustRightInd/>
        <w:snapToGrid/>
        <w:spacing w:line="360" w:lineRule="auto"/>
        <w:ind w:left="0" w:leftChars="0" w:right="0"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金属表面除锈至Sa2.5级（喷砂，呈金属光泽）或St2.5级（手工除锈，无残留锈迹），清除油污。对表面刷两遍涂料，分别为：底、面漆层采用环氧煤沥青涂料，甲乙双组份（铁红色底漆+黑色面漆），附着力强、耐酸碱盐腐蚀、抗微生物侵蚀。</w:t>
      </w:r>
      <w:bookmarkStart w:id="21" w:name="bookmark46"/>
      <w:bookmarkEnd w:id="21"/>
      <w:bookmarkStart w:id="22" w:name="bookmark43"/>
      <w:bookmarkEnd w:id="22"/>
      <w:bookmarkStart w:id="23" w:name="bookmark45"/>
      <w:bookmarkEnd w:id="23"/>
    </w:p>
    <w:p w14:paraId="6448022B">
      <w:pPr>
        <w:pageBreakBefore w:val="0"/>
        <w:kinsoku/>
        <w:wordWrap/>
        <w:overflowPunct/>
        <w:topLinePunct w:val="0"/>
        <w:autoSpaceDE/>
        <w:autoSpaceDN/>
        <w:bidi w:val="0"/>
        <w:adjustRightInd/>
        <w:snapToGrid/>
        <w:spacing w:line="360" w:lineRule="auto"/>
        <w:ind w:left="0" w:leftChars="0" w:right="0" w:firstLine="482" w:firstLineChars="200"/>
        <w:rPr>
          <w:rFonts w:hint="eastAsia" w:ascii="宋体" w:hAnsi="宋体" w:eastAsia="宋体" w:cs="宋体"/>
          <w:b/>
          <w:bCs w:val="0"/>
          <w:sz w:val="24"/>
          <w:szCs w:val="24"/>
          <w:lang w:val="en-US" w:eastAsia="zh-CN"/>
        </w:rPr>
      </w:pPr>
      <w:r>
        <w:rPr>
          <w:rFonts w:hint="eastAsia" w:ascii="宋体" w:hAnsi="宋体" w:eastAsia="宋体" w:cs="宋体"/>
          <w:b/>
          <w:bCs w:val="0"/>
          <w:sz w:val="24"/>
          <w:szCs w:val="24"/>
          <w:lang w:val="en-US" w:eastAsia="zh-CN"/>
        </w:rPr>
        <w:t>四、执行标准</w:t>
      </w:r>
    </w:p>
    <w:p w14:paraId="2A931B02">
      <w:pPr>
        <w:pageBreakBefore w:val="0"/>
        <w:kinsoku/>
        <w:wordWrap/>
        <w:overflowPunct/>
        <w:topLinePunct w:val="0"/>
        <w:autoSpaceDE/>
        <w:autoSpaceDN/>
        <w:bidi w:val="0"/>
        <w:adjustRightInd/>
        <w:snapToGrid/>
        <w:spacing w:line="360" w:lineRule="auto"/>
        <w:ind w:left="0" w:leftChars="0" w:right="0"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1.招标人此处所列标准仅为涉及的主要标准，而且不保证其为最新版执行标准；投标方应当在投标文件中认真予以填写、补充和修改完善。</w:t>
      </w:r>
    </w:p>
    <w:p w14:paraId="184A332A">
      <w:pPr>
        <w:pageBreakBefore w:val="0"/>
        <w:kinsoku/>
        <w:wordWrap/>
        <w:overflowPunct/>
        <w:topLinePunct w:val="0"/>
        <w:autoSpaceDE/>
        <w:autoSpaceDN/>
        <w:bidi w:val="0"/>
        <w:adjustRightInd/>
        <w:snapToGrid/>
        <w:spacing w:line="360" w:lineRule="auto"/>
        <w:ind w:left="0" w:leftChars="0" w:right="0"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2.投标方需要执行的标准，应当采用所供货物通过招标方组织的最终验收之日己经开始执行的最新标准。</w:t>
      </w:r>
    </w:p>
    <w:p w14:paraId="37061E8D">
      <w:pPr>
        <w:pageBreakBefore w:val="0"/>
        <w:kinsoku/>
        <w:wordWrap/>
        <w:overflowPunct/>
        <w:topLinePunct w:val="0"/>
        <w:autoSpaceDE/>
        <w:autoSpaceDN/>
        <w:bidi w:val="0"/>
        <w:adjustRightInd/>
        <w:snapToGrid/>
        <w:spacing w:line="360" w:lineRule="auto"/>
        <w:ind w:left="0" w:leftChars="0" w:right="0"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3.采购货物的产品质量、技术标准如在招投标文件中无相应说明，则按中华人民共和国有关部门颁发的最新的国标或专业（部）标准执行及相应的国际标准。</w:t>
      </w:r>
    </w:p>
    <w:p w14:paraId="42BF180F">
      <w:pPr>
        <w:pageBreakBefore w:val="0"/>
        <w:kinsoku/>
        <w:wordWrap/>
        <w:overflowPunct/>
        <w:topLinePunct w:val="0"/>
        <w:autoSpaceDE/>
        <w:autoSpaceDN/>
        <w:bidi w:val="0"/>
        <w:adjustRightInd/>
        <w:snapToGrid/>
        <w:spacing w:line="360" w:lineRule="auto"/>
        <w:ind w:left="0" w:leftChars="0" w:right="0"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4.采购货物没有国家或专业（部）标准的，按企业标准执行时，投标方应在合同签署之前，将所涉及的企业标准提供给招标方确认。</w:t>
      </w:r>
    </w:p>
    <w:p w14:paraId="4411964F">
      <w:pPr>
        <w:pageBreakBefore w:val="0"/>
        <w:kinsoku/>
        <w:wordWrap/>
        <w:overflowPunct/>
        <w:topLinePunct w:val="0"/>
        <w:autoSpaceDE/>
        <w:autoSpaceDN/>
        <w:bidi w:val="0"/>
        <w:adjustRightInd/>
        <w:snapToGrid/>
        <w:spacing w:line="360" w:lineRule="auto"/>
        <w:ind w:left="0" w:leftChars="0" w:right="0"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5.采购货物如果采用国际标准，其执行标准由投标方提供、招标人确认。</w:t>
      </w:r>
    </w:p>
    <w:p w14:paraId="6412F096">
      <w:pPr>
        <w:pageBreakBefore w:val="0"/>
        <w:kinsoku/>
        <w:wordWrap/>
        <w:overflowPunct/>
        <w:topLinePunct w:val="0"/>
        <w:autoSpaceDE/>
        <w:autoSpaceDN/>
        <w:bidi w:val="0"/>
        <w:adjustRightInd/>
        <w:snapToGrid/>
        <w:spacing w:line="360" w:lineRule="auto"/>
        <w:ind w:left="0" w:leftChars="0" w:right="0"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6.采购货物所涉及的标准不统一时，原则上按照最严格标准执行。</w:t>
      </w:r>
    </w:p>
    <w:p w14:paraId="3E18D77F">
      <w:pPr>
        <w:pageBreakBefore w:val="0"/>
        <w:kinsoku/>
        <w:wordWrap/>
        <w:overflowPunct/>
        <w:topLinePunct w:val="0"/>
        <w:autoSpaceDE/>
        <w:autoSpaceDN/>
        <w:bidi w:val="0"/>
        <w:adjustRightInd/>
        <w:snapToGrid/>
        <w:spacing w:line="360" w:lineRule="auto"/>
        <w:ind w:left="0" w:leftChars="0" w:right="0"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7.涉及的主要标准表</w:t>
      </w:r>
    </w:p>
    <w:tbl>
      <w:tblPr>
        <w:tblStyle w:val="4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4760"/>
        <w:gridCol w:w="2199"/>
        <w:gridCol w:w="958"/>
      </w:tblGrid>
      <w:tr w14:paraId="5BE18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noWrap w:val="0"/>
            <w:vAlign w:val="center"/>
          </w:tcPr>
          <w:p w14:paraId="590DFDF5">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4760" w:type="dxa"/>
            <w:noWrap w:val="0"/>
            <w:vAlign w:val="center"/>
          </w:tcPr>
          <w:p w14:paraId="63B4E880">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标准名称</w:t>
            </w:r>
          </w:p>
        </w:tc>
        <w:tc>
          <w:tcPr>
            <w:tcW w:w="2199" w:type="dxa"/>
            <w:noWrap w:val="0"/>
            <w:vAlign w:val="center"/>
          </w:tcPr>
          <w:p w14:paraId="52A32EF2">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标准编号</w:t>
            </w:r>
          </w:p>
        </w:tc>
        <w:tc>
          <w:tcPr>
            <w:tcW w:w="958" w:type="dxa"/>
            <w:noWrap w:val="0"/>
            <w:vAlign w:val="center"/>
          </w:tcPr>
          <w:p w14:paraId="2CA574C9">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备注</w:t>
            </w:r>
          </w:p>
        </w:tc>
      </w:tr>
      <w:tr w14:paraId="5F636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noWrap w:val="0"/>
            <w:vAlign w:val="center"/>
          </w:tcPr>
          <w:p w14:paraId="55A1D602">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4760" w:type="dxa"/>
            <w:noWrap w:val="0"/>
            <w:vAlign w:val="center"/>
          </w:tcPr>
          <w:p w14:paraId="18AA04A8">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《机械设备安装工程施工及验收通用规范》</w:t>
            </w:r>
          </w:p>
        </w:tc>
        <w:tc>
          <w:tcPr>
            <w:tcW w:w="2199" w:type="dxa"/>
            <w:noWrap w:val="0"/>
            <w:vAlign w:val="center"/>
          </w:tcPr>
          <w:p w14:paraId="49865FEB">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GB50231-2009</w:t>
            </w:r>
          </w:p>
        </w:tc>
        <w:tc>
          <w:tcPr>
            <w:tcW w:w="958" w:type="dxa"/>
            <w:noWrap w:val="0"/>
            <w:vAlign w:val="center"/>
          </w:tcPr>
          <w:p w14:paraId="082B1852">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rPr>
            </w:pPr>
          </w:p>
        </w:tc>
      </w:tr>
      <w:tr w14:paraId="00A68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noWrap w:val="0"/>
            <w:vAlign w:val="center"/>
          </w:tcPr>
          <w:p w14:paraId="37E02C49">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p>
        </w:tc>
        <w:tc>
          <w:tcPr>
            <w:tcW w:w="4760" w:type="dxa"/>
            <w:noWrap w:val="0"/>
            <w:vAlign w:val="center"/>
          </w:tcPr>
          <w:p w14:paraId="7B5A86E2">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《城市污水处理厂工程质量验收规范》</w:t>
            </w:r>
          </w:p>
        </w:tc>
        <w:tc>
          <w:tcPr>
            <w:tcW w:w="2199" w:type="dxa"/>
            <w:noWrap w:val="0"/>
            <w:vAlign w:val="center"/>
          </w:tcPr>
          <w:p w14:paraId="56DEF793">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GB50334-2017</w:t>
            </w:r>
          </w:p>
        </w:tc>
        <w:tc>
          <w:tcPr>
            <w:tcW w:w="958" w:type="dxa"/>
            <w:noWrap w:val="0"/>
            <w:vAlign w:val="center"/>
          </w:tcPr>
          <w:p w14:paraId="6F3D4CB5">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rPr>
            </w:pPr>
          </w:p>
        </w:tc>
      </w:tr>
      <w:tr w14:paraId="48225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noWrap w:val="0"/>
            <w:vAlign w:val="center"/>
          </w:tcPr>
          <w:p w14:paraId="3DB56AD6">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4</w:t>
            </w:r>
          </w:p>
        </w:tc>
        <w:tc>
          <w:tcPr>
            <w:tcW w:w="4760" w:type="dxa"/>
            <w:noWrap w:val="0"/>
            <w:vAlign w:val="center"/>
          </w:tcPr>
          <w:p w14:paraId="6956484F">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i w:val="0"/>
                <w:iCs w:val="0"/>
                <w:caps w:val="0"/>
                <w:color w:val="auto"/>
                <w:spacing w:val="0"/>
                <w:sz w:val="21"/>
                <w:szCs w:val="21"/>
                <w:highlight w:val="none"/>
                <w:shd w:val="clear" w:color="auto" w:fill="FFFFFF"/>
              </w:rPr>
              <w:t>《建筑防腐蚀工程施工规范》</w:t>
            </w:r>
          </w:p>
        </w:tc>
        <w:tc>
          <w:tcPr>
            <w:tcW w:w="2199" w:type="dxa"/>
            <w:noWrap w:val="0"/>
            <w:vAlign w:val="center"/>
          </w:tcPr>
          <w:p w14:paraId="08351E75">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i w:val="0"/>
                <w:iCs w:val="0"/>
                <w:caps w:val="0"/>
                <w:color w:val="auto"/>
                <w:spacing w:val="0"/>
                <w:sz w:val="21"/>
                <w:szCs w:val="21"/>
                <w:highlight w:val="none"/>
                <w:shd w:val="clear" w:color="auto" w:fill="FFFFFF"/>
              </w:rPr>
              <w:t>GB50212-2014</w:t>
            </w:r>
          </w:p>
        </w:tc>
        <w:tc>
          <w:tcPr>
            <w:tcW w:w="958" w:type="dxa"/>
            <w:noWrap w:val="0"/>
            <w:vAlign w:val="center"/>
          </w:tcPr>
          <w:p w14:paraId="596FB806">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rPr>
            </w:pPr>
          </w:p>
        </w:tc>
      </w:tr>
      <w:tr w14:paraId="0B861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noWrap w:val="0"/>
            <w:vAlign w:val="center"/>
          </w:tcPr>
          <w:p w14:paraId="467B06A1">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5</w:t>
            </w:r>
          </w:p>
        </w:tc>
        <w:tc>
          <w:tcPr>
            <w:tcW w:w="4760" w:type="dxa"/>
            <w:noWrap w:val="0"/>
            <w:vAlign w:val="center"/>
          </w:tcPr>
          <w:p w14:paraId="5BA219B3">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《现场设备、工业管道焊接工程施工及验收规范》</w:t>
            </w:r>
          </w:p>
        </w:tc>
        <w:tc>
          <w:tcPr>
            <w:tcW w:w="2199" w:type="dxa"/>
            <w:noWrap w:val="0"/>
            <w:vAlign w:val="center"/>
          </w:tcPr>
          <w:p w14:paraId="13035C04">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GB50236</w:t>
            </w:r>
            <w:r>
              <w:rPr>
                <w:rFonts w:hint="eastAsia" w:ascii="宋体" w:hAnsi="宋体" w:eastAsia="宋体" w:cs="宋体"/>
                <w:color w:val="auto"/>
                <w:sz w:val="21"/>
                <w:szCs w:val="21"/>
                <w:highlight w:val="none"/>
                <w:lang w:val="en-US" w:eastAsia="zh-CN"/>
              </w:rPr>
              <w:t>-2011</w:t>
            </w:r>
          </w:p>
        </w:tc>
        <w:tc>
          <w:tcPr>
            <w:tcW w:w="958" w:type="dxa"/>
            <w:noWrap w:val="0"/>
            <w:vAlign w:val="center"/>
          </w:tcPr>
          <w:p w14:paraId="683857E0">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rPr>
            </w:pPr>
          </w:p>
        </w:tc>
      </w:tr>
      <w:tr w14:paraId="3FCF0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noWrap w:val="0"/>
            <w:vAlign w:val="center"/>
          </w:tcPr>
          <w:p w14:paraId="74D16858">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6</w:t>
            </w:r>
          </w:p>
        </w:tc>
        <w:tc>
          <w:tcPr>
            <w:tcW w:w="4760" w:type="dxa"/>
            <w:noWrap w:val="0"/>
            <w:vAlign w:val="center"/>
          </w:tcPr>
          <w:p w14:paraId="5105178E">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水处理设备制造技术条件</w:t>
            </w:r>
            <w:r>
              <w:rPr>
                <w:rFonts w:hint="eastAsia" w:ascii="宋体" w:hAnsi="宋体" w:eastAsia="宋体" w:cs="宋体"/>
                <w:color w:val="auto"/>
                <w:sz w:val="21"/>
                <w:szCs w:val="21"/>
                <w:highlight w:val="none"/>
                <w:lang w:eastAsia="zh-CN"/>
              </w:rPr>
              <w:t>》</w:t>
            </w:r>
          </w:p>
        </w:tc>
        <w:tc>
          <w:tcPr>
            <w:tcW w:w="2199" w:type="dxa"/>
            <w:noWrap w:val="0"/>
            <w:vAlign w:val="center"/>
          </w:tcPr>
          <w:p w14:paraId="4610C557">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JB</w:t>
            </w:r>
            <w:r>
              <w:rPr>
                <w:rFonts w:hint="eastAsia" w:ascii="宋体" w:hAnsi="宋体" w:eastAsia="宋体" w:cs="宋体"/>
                <w:color w:val="auto"/>
                <w:sz w:val="21"/>
                <w:szCs w:val="21"/>
                <w:highlight w:val="none"/>
                <w:lang w:val="en-US" w:eastAsia="zh-CN"/>
              </w:rPr>
              <w:t>/T</w:t>
            </w:r>
            <w:r>
              <w:rPr>
                <w:rFonts w:hint="eastAsia" w:ascii="宋体" w:hAnsi="宋体" w:eastAsia="宋体" w:cs="宋体"/>
                <w:color w:val="auto"/>
                <w:sz w:val="21"/>
                <w:szCs w:val="21"/>
                <w:highlight w:val="none"/>
              </w:rPr>
              <w:t>2932-</w:t>
            </w:r>
            <w:r>
              <w:rPr>
                <w:rFonts w:hint="eastAsia" w:ascii="宋体" w:hAnsi="宋体" w:eastAsia="宋体" w:cs="宋体"/>
                <w:color w:val="auto"/>
                <w:sz w:val="21"/>
                <w:szCs w:val="21"/>
                <w:highlight w:val="none"/>
                <w:lang w:val="en-US" w:eastAsia="zh-CN"/>
              </w:rPr>
              <w:t>1999</w:t>
            </w:r>
          </w:p>
        </w:tc>
        <w:tc>
          <w:tcPr>
            <w:tcW w:w="958" w:type="dxa"/>
            <w:noWrap w:val="0"/>
            <w:vAlign w:val="center"/>
          </w:tcPr>
          <w:p w14:paraId="47FC02CE">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rPr>
            </w:pPr>
          </w:p>
        </w:tc>
      </w:tr>
      <w:tr w14:paraId="2498F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noWrap w:val="0"/>
            <w:vAlign w:val="center"/>
          </w:tcPr>
          <w:p w14:paraId="3FB86F95">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7</w:t>
            </w:r>
          </w:p>
        </w:tc>
        <w:tc>
          <w:tcPr>
            <w:tcW w:w="4760" w:type="dxa"/>
            <w:noWrap w:val="0"/>
            <w:vAlign w:val="center"/>
          </w:tcPr>
          <w:p w14:paraId="2078229B">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《通用用电设备配电设计规范》</w:t>
            </w:r>
          </w:p>
        </w:tc>
        <w:tc>
          <w:tcPr>
            <w:tcW w:w="2199" w:type="dxa"/>
            <w:noWrap w:val="0"/>
            <w:vAlign w:val="center"/>
          </w:tcPr>
          <w:p w14:paraId="1C8E1D81">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GB50055-2011</w:t>
            </w:r>
          </w:p>
        </w:tc>
        <w:tc>
          <w:tcPr>
            <w:tcW w:w="958" w:type="dxa"/>
            <w:noWrap w:val="0"/>
            <w:vAlign w:val="center"/>
          </w:tcPr>
          <w:p w14:paraId="3F962FF3">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rPr>
            </w:pPr>
          </w:p>
        </w:tc>
      </w:tr>
      <w:tr w14:paraId="57A1A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noWrap w:val="0"/>
            <w:vAlign w:val="center"/>
          </w:tcPr>
          <w:p w14:paraId="6D73DA80">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w:t>
            </w:r>
          </w:p>
        </w:tc>
        <w:tc>
          <w:tcPr>
            <w:tcW w:w="4760" w:type="dxa"/>
            <w:noWrap w:val="0"/>
            <w:vAlign w:val="center"/>
          </w:tcPr>
          <w:p w14:paraId="768FA9F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eastAsia="zh-CN"/>
              </w:rPr>
              <w:t>《计量泵技术条件》</w:t>
            </w:r>
          </w:p>
        </w:tc>
        <w:tc>
          <w:tcPr>
            <w:tcW w:w="2199" w:type="dxa"/>
            <w:noWrap w:val="0"/>
            <w:vAlign w:val="center"/>
          </w:tcPr>
          <w:p w14:paraId="6F79D68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GB9236</w:t>
            </w:r>
            <w:r>
              <w:rPr>
                <w:rFonts w:hint="eastAsia" w:ascii="宋体" w:hAnsi="宋体" w:eastAsia="宋体" w:cs="宋体"/>
                <w:color w:val="auto"/>
                <w:sz w:val="21"/>
                <w:szCs w:val="21"/>
                <w:highlight w:val="none"/>
                <w:lang w:val="en-US" w:eastAsia="zh-CN"/>
              </w:rPr>
              <w:t>-88</w:t>
            </w:r>
          </w:p>
        </w:tc>
        <w:tc>
          <w:tcPr>
            <w:tcW w:w="958" w:type="dxa"/>
            <w:noWrap w:val="0"/>
            <w:vAlign w:val="center"/>
          </w:tcPr>
          <w:p w14:paraId="45140BB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lang w:val="en-US" w:eastAsia="zh-CN" w:bidi="ar-SA"/>
              </w:rPr>
            </w:pPr>
          </w:p>
        </w:tc>
      </w:tr>
      <w:tr w14:paraId="6DD31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noWrap w:val="0"/>
            <w:vAlign w:val="center"/>
          </w:tcPr>
          <w:p w14:paraId="0A0B4171">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w:t>
            </w:r>
          </w:p>
        </w:tc>
        <w:tc>
          <w:tcPr>
            <w:tcW w:w="4760" w:type="dxa"/>
            <w:noWrap w:val="0"/>
            <w:vAlign w:val="center"/>
          </w:tcPr>
          <w:p w14:paraId="7CA411E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eastAsia="zh-CN"/>
              </w:rPr>
              <w:t>《水泵流量的测定方法》</w:t>
            </w:r>
          </w:p>
        </w:tc>
        <w:tc>
          <w:tcPr>
            <w:tcW w:w="2199" w:type="dxa"/>
            <w:noWrap w:val="0"/>
            <w:vAlign w:val="center"/>
          </w:tcPr>
          <w:p w14:paraId="4D8673F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GB/T3214-</w:t>
            </w:r>
            <w:r>
              <w:rPr>
                <w:rFonts w:hint="eastAsia" w:ascii="宋体" w:hAnsi="宋体" w:eastAsia="宋体" w:cs="宋体"/>
                <w:color w:val="auto"/>
                <w:sz w:val="21"/>
                <w:szCs w:val="21"/>
                <w:highlight w:val="none"/>
                <w:lang w:val="en-US" w:eastAsia="zh-CN"/>
              </w:rPr>
              <w:t>2007</w:t>
            </w:r>
          </w:p>
        </w:tc>
        <w:tc>
          <w:tcPr>
            <w:tcW w:w="958" w:type="dxa"/>
            <w:noWrap w:val="0"/>
            <w:vAlign w:val="center"/>
          </w:tcPr>
          <w:p w14:paraId="1D15311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lang w:val="en-US" w:eastAsia="zh-CN" w:bidi="ar-SA"/>
              </w:rPr>
            </w:pPr>
          </w:p>
        </w:tc>
      </w:tr>
      <w:tr w14:paraId="6BDEA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noWrap w:val="0"/>
            <w:vAlign w:val="center"/>
          </w:tcPr>
          <w:p w14:paraId="095E34C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4760" w:type="dxa"/>
            <w:noWrap w:val="0"/>
            <w:vAlign w:val="center"/>
          </w:tcPr>
          <w:p w14:paraId="76B5C24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《污水排入城市下水道水质标准》</w:t>
            </w:r>
          </w:p>
        </w:tc>
        <w:tc>
          <w:tcPr>
            <w:tcW w:w="2199" w:type="dxa"/>
            <w:noWrap w:val="0"/>
            <w:vAlign w:val="center"/>
          </w:tcPr>
          <w:p w14:paraId="163E6D8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GB/T</w:t>
            </w:r>
            <w:r>
              <w:rPr>
                <w:rFonts w:hint="default" w:ascii="宋体" w:hAnsi="宋体" w:eastAsia="宋体" w:cs="宋体"/>
                <w:color w:val="auto"/>
                <w:sz w:val="21"/>
                <w:szCs w:val="21"/>
                <w:highlight w:val="none"/>
              </w:rPr>
              <w:t>31962-2015</w:t>
            </w:r>
          </w:p>
        </w:tc>
        <w:tc>
          <w:tcPr>
            <w:tcW w:w="958" w:type="dxa"/>
            <w:noWrap w:val="0"/>
            <w:vAlign w:val="center"/>
          </w:tcPr>
          <w:p w14:paraId="15B0084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color w:val="auto"/>
                <w:sz w:val="21"/>
                <w:szCs w:val="21"/>
                <w:highlight w:val="none"/>
                <w:lang w:eastAsia="zh-CN"/>
              </w:rPr>
            </w:pPr>
          </w:p>
        </w:tc>
      </w:tr>
    </w:tbl>
    <w:p w14:paraId="28FC5827">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p>
    <w:p w14:paraId="470660E8"/>
    <w:p w14:paraId="2F3DCCBB">
      <w:pPr>
        <w:keepNext/>
        <w:keepLines/>
        <w:spacing w:line="360" w:lineRule="auto"/>
        <w:jc w:val="center"/>
        <w:outlineLvl w:val="2"/>
        <w:rPr>
          <w:rFonts w:ascii="宋体" w:hAnsi="宋体" w:eastAsia="宋体" w:cs="宋体"/>
          <w:b/>
          <w:bCs/>
          <w:color w:val="auto"/>
          <w:sz w:val="24"/>
          <w:szCs w:val="32"/>
        </w:rPr>
      </w:pPr>
      <w:bookmarkStart w:id="24" w:name="_Toc169605882"/>
      <w:r>
        <w:rPr>
          <w:rFonts w:hint="eastAsia" w:ascii="宋体" w:hAnsi="宋体" w:eastAsia="宋体" w:cs="宋体"/>
          <w:b/>
          <w:bCs/>
          <w:color w:val="auto"/>
          <w:sz w:val="24"/>
          <w:szCs w:val="32"/>
        </w:rPr>
        <w:t>第一节  供货范围</w:t>
      </w:r>
      <w:bookmarkEnd w:id="24"/>
    </w:p>
    <w:p w14:paraId="4F8FA8E1">
      <w:pPr>
        <w:spacing w:line="420" w:lineRule="exact"/>
        <w:ind w:firstLine="482" w:firstLineChars="200"/>
        <w:outlineLvl w:val="3"/>
        <w:rPr>
          <w:rFonts w:ascii="宋体" w:hAnsi="宋体" w:eastAsia="宋体" w:cs="宋体"/>
          <w:sz w:val="24"/>
          <w:szCs w:val="24"/>
        </w:rPr>
      </w:pPr>
      <w:r>
        <w:rPr>
          <w:rFonts w:hint="eastAsia" w:ascii="宋体" w:hAnsi="宋体" w:eastAsia="宋体" w:cs="宋体"/>
          <w:b/>
          <w:bCs/>
          <w:sz w:val="24"/>
          <w:szCs w:val="24"/>
        </w:rPr>
        <w:t>一、供货范围（按照组成项目主要构成一览表的所有最小单元逐一列示，要涵盖培训等内容）</w:t>
      </w:r>
    </w:p>
    <w:tbl>
      <w:tblPr>
        <w:tblStyle w:val="48"/>
        <w:tblW w:w="5139"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23"/>
        <w:gridCol w:w="1056"/>
        <w:gridCol w:w="3727"/>
        <w:gridCol w:w="1214"/>
        <w:gridCol w:w="760"/>
        <w:gridCol w:w="590"/>
        <w:gridCol w:w="1575"/>
      </w:tblGrid>
      <w:tr w14:paraId="3ACFDC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14:paraId="3D636DAB">
            <w:pPr>
              <w:snapToGrid/>
              <w:spacing w:before="0" w:after="0" w:line="240" w:lineRule="auto"/>
              <w:ind w:left="0" w:leftChars="0" w:right="0" w:rightChars="0" w:firstLine="0" w:firstLineChars="0"/>
              <w:jc w:val="center"/>
              <w:rPr>
                <w:rFonts w:hint="eastAsia" w:ascii="仿宋" w:hAnsi="仿宋" w:eastAsia="仿宋" w:cs="仿宋"/>
                <w:b/>
                <w:bCs/>
                <w:i w:val="0"/>
                <w:iCs w:val="0"/>
                <w:color w:val="000000"/>
                <w:sz w:val="20"/>
                <w:szCs w:val="20"/>
                <w:u w:val="none"/>
              </w:rPr>
            </w:pPr>
            <w:r>
              <w:rPr>
                <w:rFonts w:hint="eastAsia" w:ascii="宋体" w:hAnsi="宋体" w:eastAsia="宋体" w:cs="宋体"/>
                <w:b/>
                <w:i w:val="0"/>
                <w:strike w:val="0"/>
                <w:color w:val="000000"/>
                <w:spacing w:val="0"/>
                <w:sz w:val="20"/>
                <w:u w:val="none"/>
                <w:vertAlign w:val="baseline"/>
              </w:rPr>
              <w:t>序号</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5625301C">
            <w:pPr>
              <w:snapToGrid/>
              <w:spacing w:before="0" w:after="0" w:line="240" w:lineRule="auto"/>
              <w:ind w:left="0" w:leftChars="0" w:right="0" w:rightChars="0" w:firstLine="0" w:firstLineChars="0"/>
              <w:jc w:val="center"/>
              <w:rPr>
                <w:rFonts w:hint="eastAsia" w:ascii="仿宋" w:hAnsi="仿宋" w:eastAsia="仿宋" w:cs="仿宋"/>
                <w:b/>
                <w:bCs/>
                <w:i w:val="0"/>
                <w:iCs w:val="0"/>
                <w:color w:val="000000"/>
                <w:sz w:val="20"/>
                <w:szCs w:val="20"/>
                <w:u w:val="none"/>
              </w:rPr>
            </w:pPr>
            <w:r>
              <w:rPr>
                <w:rFonts w:hint="eastAsia" w:ascii="宋体" w:hAnsi="宋体" w:eastAsia="宋体" w:cs="宋体"/>
                <w:b/>
                <w:i w:val="0"/>
                <w:strike w:val="0"/>
                <w:color w:val="000000"/>
                <w:spacing w:val="0"/>
                <w:sz w:val="20"/>
                <w:u w:val="none"/>
                <w:vertAlign w:val="baseline"/>
              </w:rPr>
              <w:t>设备名称</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14:paraId="68426BC8">
            <w:pPr>
              <w:snapToGrid/>
              <w:spacing w:before="0" w:after="0" w:line="240" w:lineRule="auto"/>
              <w:ind w:left="0" w:leftChars="0" w:right="0" w:firstLine="0" w:firstLineChars="0"/>
              <w:jc w:val="center"/>
              <w:rPr>
                <w:rFonts w:hint="eastAsia" w:ascii="宋体" w:hAnsi="宋体" w:eastAsia="宋体" w:cs="宋体"/>
              </w:rPr>
            </w:pPr>
            <w:r>
              <w:rPr>
                <w:rFonts w:hint="eastAsia" w:ascii="宋体" w:hAnsi="宋体" w:eastAsia="宋体" w:cs="宋体"/>
                <w:b/>
                <w:i w:val="0"/>
                <w:strike w:val="0"/>
                <w:color w:val="000000"/>
                <w:spacing w:val="0"/>
                <w:sz w:val="20"/>
                <w:u w:val="none"/>
                <w:vertAlign w:val="baseline"/>
              </w:rPr>
              <w:t>具体参数</w:t>
            </w:r>
          </w:p>
          <w:p w14:paraId="1EF43EB9">
            <w:pPr>
              <w:snapToGrid/>
              <w:spacing w:before="0" w:after="0" w:line="240" w:lineRule="auto"/>
              <w:ind w:left="0" w:leftChars="0" w:right="0" w:rightChars="0" w:firstLine="0" w:firstLineChars="0"/>
              <w:jc w:val="center"/>
              <w:rPr>
                <w:rFonts w:hint="eastAsia" w:ascii="仿宋" w:hAnsi="仿宋" w:eastAsia="仿宋" w:cs="仿宋"/>
                <w:b/>
                <w:bCs/>
                <w:i w:val="0"/>
                <w:iCs w:val="0"/>
                <w:color w:val="000000"/>
                <w:sz w:val="20"/>
                <w:szCs w:val="20"/>
                <w:u w:val="none"/>
              </w:rPr>
            </w:pPr>
            <w:r>
              <w:rPr>
                <w:rFonts w:hint="eastAsia" w:ascii="宋体" w:hAnsi="宋体" w:eastAsia="宋体" w:cs="宋体"/>
                <w:b/>
                <w:i w:val="0"/>
                <w:strike w:val="0"/>
                <w:color w:val="000000"/>
                <w:spacing w:val="0"/>
                <w:sz w:val="20"/>
                <w:u w:val="none"/>
                <w:vertAlign w:val="baseline"/>
              </w:rPr>
              <w:t>（规格型号的描述）</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14:paraId="61DC323D">
            <w:pPr>
              <w:snapToGrid/>
              <w:spacing w:before="0" w:after="0" w:line="240" w:lineRule="auto"/>
              <w:ind w:left="0" w:leftChars="0" w:right="0" w:rightChars="0" w:firstLine="0" w:firstLineChars="0"/>
              <w:jc w:val="center"/>
              <w:rPr>
                <w:rFonts w:hint="eastAsia" w:ascii="仿宋" w:hAnsi="仿宋" w:eastAsia="仿宋" w:cs="仿宋"/>
                <w:b/>
                <w:bCs/>
                <w:i w:val="0"/>
                <w:iCs w:val="0"/>
                <w:color w:val="000000"/>
                <w:sz w:val="20"/>
                <w:szCs w:val="20"/>
                <w:u w:val="none"/>
              </w:rPr>
            </w:pPr>
            <w:r>
              <w:rPr>
                <w:rFonts w:hint="eastAsia" w:ascii="宋体" w:hAnsi="宋体" w:eastAsia="宋体" w:cs="宋体"/>
                <w:b/>
                <w:i w:val="0"/>
                <w:strike w:val="0"/>
                <w:color w:val="000000"/>
                <w:spacing w:val="0"/>
                <w:sz w:val="20"/>
                <w:u w:val="none"/>
                <w:vertAlign w:val="baseline"/>
              </w:rPr>
              <w:t>品牌</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257617B1">
            <w:pPr>
              <w:snapToGrid/>
              <w:spacing w:before="0" w:after="0" w:line="240" w:lineRule="auto"/>
              <w:ind w:left="0" w:leftChars="0" w:right="0" w:rightChars="0" w:firstLine="0" w:firstLineChars="0"/>
              <w:jc w:val="center"/>
              <w:rPr>
                <w:rFonts w:hint="eastAsia" w:ascii="仿宋" w:hAnsi="仿宋" w:eastAsia="仿宋" w:cs="仿宋"/>
                <w:b/>
                <w:bCs/>
                <w:i w:val="0"/>
                <w:iCs w:val="0"/>
                <w:color w:val="000000"/>
                <w:sz w:val="20"/>
                <w:szCs w:val="20"/>
                <w:u w:val="none"/>
              </w:rPr>
            </w:pPr>
            <w:r>
              <w:rPr>
                <w:rFonts w:hint="eastAsia" w:ascii="宋体" w:hAnsi="宋体" w:eastAsia="宋体" w:cs="宋体"/>
                <w:b/>
                <w:i w:val="0"/>
                <w:strike w:val="0"/>
                <w:color w:val="000000"/>
                <w:spacing w:val="0"/>
                <w:sz w:val="20"/>
                <w:u w:val="none"/>
                <w:vertAlign w:val="baseline"/>
              </w:rPr>
              <w:t>计量单位</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51AF34E7">
            <w:pPr>
              <w:snapToGrid/>
              <w:spacing w:before="0" w:after="0" w:line="240" w:lineRule="auto"/>
              <w:ind w:left="0" w:leftChars="0" w:right="0" w:rightChars="0" w:firstLine="0" w:firstLineChars="0"/>
              <w:jc w:val="center"/>
              <w:rPr>
                <w:rFonts w:hint="eastAsia" w:ascii="仿宋" w:hAnsi="仿宋" w:eastAsia="仿宋" w:cs="仿宋"/>
                <w:b/>
                <w:bCs/>
                <w:i w:val="0"/>
                <w:iCs w:val="0"/>
                <w:color w:val="000000"/>
                <w:sz w:val="20"/>
                <w:szCs w:val="20"/>
                <w:u w:val="none"/>
              </w:rPr>
            </w:pPr>
            <w:r>
              <w:rPr>
                <w:rFonts w:hint="eastAsia" w:ascii="宋体" w:hAnsi="宋体" w:eastAsia="宋体" w:cs="宋体"/>
                <w:b/>
                <w:i w:val="0"/>
                <w:strike w:val="0"/>
                <w:color w:val="000000"/>
                <w:spacing w:val="0"/>
                <w:sz w:val="20"/>
                <w:u w:val="none"/>
                <w:vertAlign w:val="baseline"/>
              </w:rPr>
              <w:t>数量</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14:paraId="2710E1B6">
            <w:pPr>
              <w:snapToGrid/>
              <w:spacing w:before="0" w:after="0" w:line="240" w:lineRule="auto"/>
              <w:ind w:left="0" w:leftChars="0" w:right="0" w:rightChars="0" w:firstLine="0" w:firstLineChars="0"/>
              <w:jc w:val="center"/>
              <w:rPr>
                <w:rFonts w:hint="eastAsia" w:ascii="仿宋" w:hAnsi="仿宋" w:eastAsia="仿宋" w:cs="仿宋"/>
                <w:b/>
                <w:bCs/>
                <w:i w:val="0"/>
                <w:iCs w:val="0"/>
                <w:color w:val="000000"/>
                <w:sz w:val="20"/>
                <w:szCs w:val="20"/>
                <w:u w:val="none"/>
              </w:rPr>
            </w:pPr>
            <w:r>
              <w:rPr>
                <w:rFonts w:hint="eastAsia" w:ascii="宋体" w:hAnsi="宋体" w:eastAsia="宋体" w:cs="宋体"/>
                <w:b/>
                <w:i w:val="0"/>
                <w:strike w:val="0"/>
                <w:color w:val="000000"/>
                <w:spacing w:val="0"/>
                <w:sz w:val="20"/>
                <w:u w:val="none"/>
                <w:vertAlign w:val="baseline"/>
              </w:rPr>
              <w:t>备注</w:t>
            </w:r>
          </w:p>
        </w:tc>
      </w:tr>
      <w:tr w14:paraId="388F21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14:paraId="64D70298">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27E845C9">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综合调节池</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14:paraId="088E866F">
            <w:pPr>
              <w:snapToGrid/>
              <w:spacing w:before="0" w:after="0" w:line="240" w:lineRule="auto"/>
              <w:ind w:left="0" w:leftChars="0" w:right="0" w:firstLine="0" w:firstLineChars="0"/>
              <w:jc w:val="center"/>
              <w:rPr>
                <w:rFonts w:hint="eastAsia" w:ascii="宋体" w:hAnsi="宋体" w:eastAsia="宋体" w:cs="宋体"/>
                <w:color w:val="auto"/>
              </w:rPr>
            </w:pPr>
            <w:r>
              <w:rPr>
                <w:rFonts w:hint="eastAsia" w:ascii="宋体" w:hAnsi="宋体" w:eastAsia="宋体" w:cs="宋体"/>
                <w:i w:val="0"/>
                <w:strike w:val="0"/>
                <w:color w:val="auto"/>
                <w:spacing w:val="0"/>
                <w:sz w:val="20"/>
                <w:u w:val="none"/>
                <w:vertAlign w:val="baseline"/>
              </w:rPr>
              <w:t>材质碳钢（内部防腐处理，外部刷漆）</w:t>
            </w:r>
          </w:p>
          <w:p w14:paraId="55B88614">
            <w:pPr>
              <w:pBdr>
                <w:bottom w:val="none" w:color="auto" w:sz="0" w:space="0"/>
              </w:pBd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尺寸：长3m×宽2m×高2m，有效水深1.8m，池板厚度：5mm</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14:paraId="3B639F24">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lang w:val="en-US" w:eastAsia="zh-CN"/>
              </w:rPr>
            </w:pPr>
            <w:r>
              <w:rPr>
                <w:rFonts w:hint="eastAsia" w:ascii="宋体" w:hAnsi="宋体" w:eastAsia="宋体" w:cs="宋体"/>
                <w:i w:val="0"/>
                <w:strike w:val="0"/>
                <w:color w:val="auto"/>
                <w:spacing w:val="0"/>
                <w:sz w:val="20"/>
                <w:u w:val="none"/>
                <w:vertAlign w:val="baseline"/>
              </w:rPr>
              <w:t>定制</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2F911D7E">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台</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07A5F8DF">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14:paraId="7E5A8269">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eastAsia="zh-CN"/>
              </w:rPr>
              <w:t>防腐采用</w:t>
            </w:r>
            <w:r>
              <w:rPr>
                <w:rFonts w:hint="eastAsia" w:ascii="宋体" w:hAnsi="宋体" w:eastAsia="宋体" w:cs="宋体"/>
                <w:i w:val="0"/>
                <w:strike w:val="0"/>
                <w:color w:val="auto"/>
                <w:spacing w:val="0"/>
                <w:sz w:val="20"/>
                <w:u w:val="none"/>
                <w:lang w:val="en-US" w:eastAsia="zh-CN"/>
              </w:rPr>
              <w:t>2布3油：</w:t>
            </w:r>
            <w:r>
              <w:rPr>
                <w:rFonts w:hint="eastAsia" w:ascii="宋体" w:hAnsi="宋体" w:eastAsia="宋体" w:cs="宋体"/>
                <w:i w:val="0"/>
                <w:strike w:val="0"/>
                <w:color w:val="auto"/>
                <w:spacing w:val="0"/>
                <w:sz w:val="20"/>
                <w:u w:val="none"/>
                <w:lang w:eastAsia="zh-CN"/>
              </w:rPr>
              <w:t>玻璃</w:t>
            </w:r>
            <w:r>
              <w:rPr>
                <w:rFonts w:hint="eastAsia" w:ascii="宋体" w:hAnsi="宋体" w:eastAsia="宋体" w:cs="宋体"/>
                <w:i w:val="0"/>
                <w:strike w:val="0"/>
                <w:color w:val="auto"/>
                <w:spacing w:val="0"/>
                <w:sz w:val="20"/>
                <w:u w:val="none"/>
                <w:lang w:val="en-US" w:eastAsia="zh-CN"/>
              </w:rPr>
              <w:t>纤维+</w:t>
            </w:r>
            <w:r>
              <w:rPr>
                <w:rFonts w:hint="eastAsia" w:ascii="宋体" w:hAnsi="宋体" w:eastAsia="宋体" w:cs="宋体"/>
                <w:i w:val="0"/>
                <w:strike w:val="0"/>
                <w:color w:val="auto"/>
                <w:spacing w:val="0"/>
                <w:sz w:val="20"/>
                <w:u w:val="none"/>
                <w:lang w:eastAsia="zh-CN"/>
              </w:rPr>
              <w:t>环氧树脂涂料</w:t>
            </w:r>
          </w:p>
        </w:tc>
      </w:tr>
      <w:tr w14:paraId="52C7E2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14:paraId="714EBDD8">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2</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701DC0E9">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斜板沉淀池</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14:paraId="328C94CC">
            <w:pPr>
              <w:snapToGrid/>
              <w:spacing w:before="0" w:after="0" w:line="240" w:lineRule="auto"/>
              <w:ind w:left="0" w:leftChars="0" w:right="0" w:firstLine="0" w:firstLineChars="0"/>
              <w:jc w:val="center"/>
              <w:rPr>
                <w:rFonts w:hint="eastAsia" w:ascii="宋体" w:hAnsi="宋体" w:eastAsia="宋体" w:cs="宋体"/>
                <w:color w:val="auto"/>
              </w:rPr>
            </w:pPr>
            <w:r>
              <w:rPr>
                <w:rFonts w:hint="eastAsia" w:ascii="宋体" w:hAnsi="宋体" w:eastAsia="宋体" w:cs="宋体"/>
                <w:i w:val="0"/>
                <w:strike w:val="0"/>
                <w:color w:val="auto"/>
                <w:spacing w:val="0"/>
                <w:sz w:val="20"/>
                <w:u w:val="none"/>
                <w:vertAlign w:val="baseline"/>
              </w:rPr>
              <w:t>材质碳钢（内部防腐处理，外部刷漆）</w:t>
            </w:r>
          </w:p>
          <w:p w14:paraId="2B97804E">
            <w:pPr>
              <w:pBdr>
                <w:bottom w:val="none" w:color="auto" w:sz="0" w:space="0"/>
              </w:pBd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尺寸：长2m×宽2m×高2m，有效水深1.8m，池板厚度：5mm</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14:paraId="7BFD479A">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lang w:val="en-US" w:eastAsia="zh-CN"/>
              </w:rPr>
            </w:pPr>
            <w:r>
              <w:rPr>
                <w:rFonts w:hint="eastAsia" w:ascii="宋体" w:hAnsi="宋体" w:eastAsia="宋体" w:cs="宋体"/>
                <w:i w:val="0"/>
                <w:strike w:val="0"/>
                <w:color w:val="auto"/>
                <w:spacing w:val="0"/>
                <w:sz w:val="20"/>
                <w:u w:val="none"/>
                <w:vertAlign w:val="baseline"/>
              </w:rPr>
              <w:t>定制</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5BA0C296">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台</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4C94DA61">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14:paraId="5A7F081C">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eastAsia="zh-CN"/>
              </w:rPr>
              <w:t>防腐采用</w:t>
            </w:r>
            <w:r>
              <w:rPr>
                <w:rFonts w:hint="eastAsia" w:ascii="宋体" w:hAnsi="宋体" w:eastAsia="宋体" w:cs="宋体"/>
                <w:i w:val="0"/>
                <w:strike w:val="0"/>
                <w:color w:val="auto"/>
                <w:spacing w:val="0"/>
                <w:sz w:val="20"/>
                <w:u w:val="none"/>
                <w:lang w:val="en-US" w:eastAsia="zh-CN"/>
              </w:rPr>
              <w:t>2布3油：</w:t>
            </w:r>
            <w:r>
              <w:rPr>
                <w:rFonts w:hint="eastAsia" w:ascii="宋体" w:hAnsi="宋体" w:eastAsia="宋体" w:cs="宋体"/>
                <w:i w:val="0"/>
                <w:strike w:val="0"/>
                <w:color w:val="auto"/>
                <w:spacing w:val="0"/>
                <w:sz w:val="20"/>
                <w:u w:val="none"/>
                <w:lang w:eastAsia="zh-CN"/>
              </w:rPr>
              <w:t>玻璃</w:t>
            </w:r>
            <w:r>
              <w:rPr>
                <w:rFonts w:hint="eastAsia" w:ascii="宋体" w:hAnsi="宋体" w:eastAsia="宋体" w:cs="宋体"/>
                <w:i w:val="0"/>
                <w:strike w:val="0"/>
                <w:color w:val="auto"/>
                <w:spacing w:val="0"/>
                <w:sz w:val="20"/>
                <w:u w:val="none"/>
                <w:lang w:val="en-US" w:eastAsia="zh-CN"/>
              </w:rPr>
              <w:t>纤维+</w:t>
            </w:r>
            <w:r>
              <w:rPr>
                <w:rFonts w:hint="eastAsia" w:ascii="宋体" w:hAnsi="宋体" w:eastAsia="宋体" w:cs="宋体"/>
                <w:i w:val="0"/>
                <w:strike w:val="0"/>
                <w:color w:val="auto"/>
                <w:spacing w:val="0"/>
                <w:sz w:val="20"/>
                <w:u w:val="none"/>
                <w:lang w:eastAsia="zh-CN"/>
              </w:rPr>
              <w:t>环氧树脂涂料</w:t>
            </w:r>
          </w:p>
        </w:tc>
      </w:tr>
      <w:tr w14:paraId="46EB14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14:paraId="3DBDA0C8">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3</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320A2CB3">
            <w:pPr>
              <w:snapToGrid/>
              <w:spacing w:before="0" w:after="0" w:line="240" w:lineRule="auto"/>
              <w:ind w:left="0" w:leftChars="0" w:right="0" w:rightChars="0" w:firstLine="0" w:firstLineChars="0"/>
              <w:jc w:val="center"/>
              <w:rPr>
                <w:rFonts w:hint="default" w:ascii="仿宋" w:hAnsi="仿宋" w:eastAsia="仿宋" w:cs="仿宋"/>
                <w:i w:val="0"/>
                <w:iCs w:val="0"/>
                <w:color w:val="000000"/>
                <w:sz w:val="20"/>
                <w:szCs w:val="20"/>
                <w:u w:val="none"/>
                <w:lang w:val="en-US"/>
              </w:rPr>
            </w:pPr>
            <w:r>
              <w:rPr>
                <w:rFonts w:hint="eastAsia" w:ascii="宋体" w:hAnsi="宋体" w:eastAsia="宋体" w:cs="宋体"/>
                <w:i w:val="0"/>
                <w:strike w:val="0"/>
                <w:color w:val="auto"/>
                <w:spacing w:val="0"/>
                <w:sz w:val="20"/>
                <w:u w:val="none"/>
                <w:vertAlign w:val="baseline"/>
              </w:rPr>
              <w:t>隔膜式电动计量泵</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14:paraId="21F243DE">
            <w:pPr>
              <w:snapToGrid/>
              <w:spacing w:before="0" w:after="0" w:line="240" w:lineRule="auto"/>
              <w:ind w:left="0" w:leftChars="0" w:right="0" w:rightChars="0" w:firstLine="0" w:firstLineChars="0"/>
              <w:jc w:val="center"/>
              <w:rPr>
                <w:rFonts w:hint="default" w:ascii="仿宋" w:hAnsi="仿宋" w:eastAsia="仿宋" w:cs="仿宋"/>
                <w:i w:val="0"/>
                <w:iCs w:val="0"/>
                <w:color w:val="000000"/>
                <w:sz w:val="20"/>
                <w:szCs w:val="20"/>
                <w:u w:val="none"/>
                <w:lang w:val="en-US"/>
              </w:rPr>
            </w:pPr>
            <w:r>
              <w:rPr>
                <w:rFonts w:hint="eastAsia" w:ascii="宋体" w:hAnsi="宋体" w:eastAsia="宋体" w:cs="宋体"/>
                <w:i w:val="0"/>
                <w:strike w:val="0"/>
                <w:color w:val="auto"/>
                <w:spacing w:val="0"/>
                <w:sz w:val="20"/>
                <w:u w:val="none"/>
                <w:vertAlign w:val="baseline"/>
              </w:rPr>
              <w:t>Q=170L/h</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14:paraId="29A57EA2">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东铠泵业、上海沂洺</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31B5DA9A">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44FA6E52">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4</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14:paraId="63643CD5">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同等及以上品牌</w:t>
            </w:r>
          </w:p>
        </w:tc>
      </w:tr>
      <w:tr w14:paraId="0EE139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14:paraId="65E367F3">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4</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0B68750C">
            <w:pPr>
              <w:snapToGrid/>
              <w:spacing w:before="0" w:after="0" w:line="240" w:lineRule="auto"/>
              <w:ind w:left="0" w:leftChars="0" w:right="0" w:rightChars="0" w:firstLine="0" w:firstLineChars="0"/>
              <w:jc w:val="center"/>
              <w:rPr>
                <w:rFonts w:hint="default" w:ascii="仿宋" w:hAnsi="仿宋" w:eastAsia="仿宋" w:cs="仿宋"/>
                <w:i w:val="0"/>
                <w:iCs w:val="0"/>
                <w:color w:val="000000"/>
                <w:sz w:val="20"/>
                <w:szCs w:val="20"/>
                <w:u w:val="none"/>
                <w:lang w:val="en-US"/>
              </w:rPr>
            </w:pPr>
            <w:r>
              <w:rPr>
                <w:rFonts w:hint="eastAsia" w:ascii="宋体" w:hAnsi="宋体" w:eastAsia="宋体" w:cs="宋体"/>
                <w:i w:val="0"/>
                <w:strike w:val="0"/>
                <w:color w:val="auto"/>
                <w:spacing w:val="0"/>
                <w:sz w:val="20"/>
                <w:u w:val="none"/>
                <w:vertAlign w:val="baseline"/>
              </w:rPr>
              <w:t>加药箱搅拌器</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14:paraId="2DC4EDC5">
            <w:pPr>
              <w:snapToGrid/>
              <w:spacing w:before="0" w:after="0" w:line="240" w:lineRule="auto"/>
              <w:ind w:left="0" w:leftChars="0" w:right="0" w:rightChars="0" w:firstLine="0" w:firstLineChars="0"/>
              <w:jc w:val="center"/>
              <w:rPr>
                <w:rFonts w:hint="default" w:ascii="仿宋" w:hAnsi="仿宋" w:eastAsia="仿宋" w:cs="仿宋"/>
                <w:i w:val="0"/>
                <w:iCs w:val="0"/>
                <w:color w:val="000000"/>
                <w:sz w:val="20"/>
                <w:szCs w:val="20"/>
                <w:u w:val="none"/>
                <w:lang w:val="en-US"/>
              </w:rPr>
            </w:pPr>
            <w:r>
              <w:rPr>
                <w:rFonts w:hint="eastAsia" w:ascii="宋体" w:hAnsi="宋体" w:eastAsia="宋体" w:cs="宋体"/>
                <w:i w:val="0"/>
                <w:strike w:val="0"/>
                <w:color w:val="auto"/>
                <w:spacing w:val="0"/>
                <w:sz w:val="20"/>
                <w:u w:val="none"/>
              </w:rPr>
              <w:t>配套摆线减速机，I=0.75Kw，配套叶轮和连接杆为304不锈钢，连接杆0.9m</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14:paraId="0D18CAF0">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东铠泵业、上海沂洺</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3E4CE6C7">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6B48AD2D">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4</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14:paraId="455F2271">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同等及以上品牌</w:t>
            </w:r>
          </w:p>
        </w:tc>
      </w:tr>
      <w:tr w14:paraId="0699AD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14:paraId="1A6AF055">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5</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777407C7">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加药箱</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14:paraId="58D1A8C1">
            <w:pPr>
              <w:snapToGrid/>
              <w:spacing w:before="0" w:after="0" w:line="240" w:lineRule="auto"/>
              <w:ind w:left="0" w:leftChars="0" w:right="0" w:firstLine="0" w:firstLineChars="0"/>
              <w:jc w:val="center"/>
              <w:rPr>
                <w:rFonts w:hint="eastAsia" w:ascii="宋体" w:hAnsi="宋体" w:eastAsia="宋体" w:cs="宋体"/>
                <w:color w:val="auto"/>
              </w:rPr>
            </w:pPr>
            <w:r>
              <w:rPr>
                <w:rFonts w:hint="eastAsia" w:ascii="宋体" w:hAnsi="宋体" w:eastAsia="宋体" w:cs="宋体"/>
                <w:i w:val="0"/>
                <w:strike w:val="0"/>
                <w:color w:val="auto"/>
                <w:spacing w:val="0"/>
                <w:sz w:val="20"/>
                <w:u w:val="none"/>
                <w:vertAlign w:val="baseline"/>
              </w:rPr>
              <w:t>材质碳钢（内部防腐处理，外部刷漆）</w:t>
            </w:r>
          </w:p>
          <w:p w14:paraId="55B87A05">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尺寸：长1m×宽1m×高1m，有效水深0.9m</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14:paraId="5307E316">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lang w:val="en-US" w:eastAsia="zh-CN"/>
              </w:rPr>
            </w:pPr>
            <w:r>
              <w:rPr>
                <w:rFonts w:hint="eastAsia" w:ascii="宋体" w:hAnsi="宋体" w:eastAsia="宋体" w:cs="宋体"/>
                <w:i w:val="0"/>
                <w:strike w:val="0"/>
                <w:color w:val="auto"/>
                <w:spacing w:val="0"/>
                <w:sz w:val="20"/>
                <w:u w:val="none"/>
                <w:vertAlign w:val="baseline"/>
              </w:rPr>
              <w:t>定制</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1DEB9FF0">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5C07C1A5">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4</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14:paraId="7EC295A3">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eastAsia="zh-CN"/>
              </w:rPr>
              <w:t>防腐采用</w:t>
            </w:r>
            <w:r>
              <w:rPr>
                <w:rFonts w:hint="eastAsia" w:ascii="宋体" w:hAnsi="宋体" w:eastAsia="宋体" w:cs="宋体"/>
                <w:i w:val="0"/>
                <w:strike w:val="0"/>
                <w:color w:val="auto"/>
                <w:spacing w:val="0"/>
                <w:sz w:val="20"/>
                <w:u w:val="none"/>
                <w:lang w:val="en-US" w:eastAsia="zh-CN"/>
              </w:rPr>
              <w:t>2布3油：</w:t>
            </w:r>
            <w:r>
              <w:rPr>
                <w:rFonts w:hint="eastAsia" w:ascii="宋体" w:hAnsi="宋体" w:eastAsia="宋体" w:cs="宋体"/>
                <w:i w:val="0"/>
                <w:strike w:val="0"/>
                <w:color w:val="auto"/>
                <w:spacing w:val="0"/>
                <w:sz w:val="20"/>
                <w:u w:val="none"/>
                <w:lang w:eastAsia="zh-CN"/>
              </w:rPr>
              <w:t>玻璃</w:t>
            </w:r>
            <w:r>
              <w:rPr>
                <w:rFonts w:hint="eastAsia" w:ascii="宋体" w:hAnsi="宋体" w:eastAsia="宋体" w:cs="宋体"/>
                <w:i w:val="0"/>
                <w:strike w:val="0"/>
                <w:color w:val="auto"/>
                <w:spacing w:val="0"/>
                <w:sz w:val="20"/>
                <w:u w:val="none"/>
                <w:lang w:val="en-US" w:eastAsia="zh-CN"/>
              </w:rPr>
              <w:t>纤维+</w:t>
            </w:r>
            <w:r>
              <w:rPr>
                <w:rFonts w:hint="eastAsia" w:ascii="宋体" w:hAnsi="宋体" w:eastAsia="宋体" w:cs="宋体"/>
                <w:i w:val="0"/>
                <w:strike w:val="0"/>
                <w:color w:val="auto"/>
                <w:spacing w:val="0"/>
                <w:sz w:val="20"/>
                <w:u w:val="none"/>
                <w:lang w:eastAsia="zh-CN"/>
              </w:rPr>
              <w:t>环氧树脂涂料</w:t>
            </w:r>
          </w:p>
        </w:tc>
      </w:tr>
      <w:tr w14:paraId="4FBD33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14:paraId="3CFAE006">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6</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4F28C473">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反应槽</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14:paraId="368E36BE">
            <w:pPr>
              <w:snapToGrid/>
              <w:spacing w:before="0" w:after="0" w:line="240" w:lineRule="auto"/>
              <w:ind w:left="0" w:leftChars="0" w:right="0" w:firstLine="0" w:firstLineChars="0"/>
              <w:jc w:val="center"/>
              <w:rPr>
                <w:rFonts w:hint="eastAsia" w:ascii="宋体" w:hAnsi="宋体" w:eastAsia="宋体" w:cs="宋体"/>
                <w:color w:val="auto"/>
              </w:rPr>
            </w:pPr>
            <w:r>
              <w:rPr>
                <w:rFonts w:hint="eastAsia" w:ascii="宋体" w:hAnsi="宋体" w:eastAsia="宋体" w:cs="宋体"/>
                <w:i w:val="0"/>
                <w:strike w:val="0"/>
                <w:color w:val="auto"/>
                <w:spacing w:val="0"/>
                <w:sz w:val="20"/>
                <w:u w:val="none"/>
                <w:vertAlign w:val="baseline"/>
              </w:rPr>
              <w:t>材质碳钢（内部防腐处理，外部刷漆）</w:t>
            </w:r>
          </w:p>
          <w:p w14:paraId="1D7A384F">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尺寸：长1m×宽1m×高</w:t>
            </w:r>
            <w:r>
              <w:rPr>
                <w:rFonts w:hint="eastAsia" w:ascii="宋体" w:hAnsi="宋体" w:eastAsia="宋体" w:cs="宋体"/>
                <w:i w:val="0"/>
                <w:strike w:val="0"/>
                <w:color w:val="auto"/>
                <w:spacing w:val="0"/>
                <w:sz w:val="20"/>
                <w:u w:val="none"/>
                <w:vertAlign w:val="baseline"/>
                <w:lang w:val="en-US" w:eastAsia="zh-CN"/>
              </w:rPr>
              <w:t>1.2</w:t>
            </w:r>
            <w:r>
              <w:rPr>
                <w:rFonts w:hint="eastAsia" w:ascii="宋体" w:hAnsi="宋体" w:eastAsia="宋体" w:cs="宋体"/>
                <w:i w:val="0"/>
                <w:strike w:val="0"/>
                <w:color w:val="auto"/>
                <w:spacing w:val="0"/>
                <w:sz w:val="20"/>
                <w:u w:val="none"/>
                <w:vertAlign w:val="baseline"/>
              </w:rPr>
              <w:t>m，有效水深1.1m</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14:paraId="5D702894">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定制</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08694F53">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3514BF0B">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4</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14:paraId="4B543EF0">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eastAsia="zh-CN"/>
              </w:rPr>
              <w:t>防腐采用</w:t>
            </w:r>
            <w:r>
              <w:rPr>
                <w:rFonts w:hint="eastAsia" w:ascii="宋体" w:hAnsi="宋体" w:eastAsia="宋体" w:cs="宋体"/>
                <w:i w:val="0"/>
                <w:strike w:val="0"/>
                <w:color w:val="auto"/>
                <w:spacing w:val="0"/>
                <w:sz w:val="20"/>
                <w:u w:val="none"/>
                <w:lang w:val="en-US" w:eastAsia="zh-CN"/>
              </w:rPr>
              <w:t>2布3油：</w:t>
            </w:r>
            <w:r>
              <w:rPr>
                <w:rFonts w:hint="eastAsia" w:ascii="宋体" w:hAnsi="宋体" w:eastAsia="宋体" w:cs="宋体"/>
                <w:i w:val="0"/>
                <w:strike w:val="0"/>
                <w:color w:val="auto"/>
                <w:spacing w:val="0"/>
                <w:sz w:val="20"/>
                <w:u w:val="none"/>
                <w:lang w:eastAsia="zh-CN"/>
              </w:rPr>
              <w:t>玻璃</w:t>
            </w:r>
            <w:r>
              <w:rPr>
                <w:rFonts w:hint="eastAsia" w:ascii="宋体" w:hAnsi="宋体" w:eastAsia="宋体" w:cs="宋体"/>
                <w:i w:val="0"/>
                <w:strike w:val="0"/>
                <w:color w:val="auto"/>
                <w:spacing w:val="0"/>
                <w:sz w:val="20"/>
                <w:u w:val="none"/>
                <w:lang w:val="en-US" w:eastAsia="zh-CN"/>
              </w:rPr>
              <w:t>纤维+</w:t>
            </w:r>
            <w:r>
              <w:rPr>
                <w:rFonts w:hint="eastAsia" w:ascii="宋体" w:hAnsi="宋体" w:eastAsia="宋体" w:cs="宋体"/>
                <w:i w:val="0"/>
                <w:strike w:val="0"/>
                <w:color w:val="auto"/>
                <w:spacing w:val="0"/>
                <w:sz w:val="20"/>
                <w:u w:val="none"/>
                <w:lang w:eastAsia="zh-CN"/>
              </w:rPr>
              <w:t>环氧树脂涂料</w:t>
            </w:r>
          </w:p>
        </w:tc>
      </w:tr>
      <w:tr w14:paraId="63C96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14:paraId="48F6A648">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7</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67B9DEEA">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反应槽搅拌器</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14:paraId="1059E707">
            <w:pPr>
              <w:snapToGrid/>
              <w:spacing w:before="0" w:after="0" w:line="240" w:lineRule="auto"/>
              <w:ind w:left="0" w:leftChars="0" w:right="0" w:rightChars="0" w:firstLine="0" w:firstLineChars="0"/>
              <w:jc w:val="center"/>
              <w:rPr>
                <w:rFonts w:hint="default" w:ascii="仿宋" w:hAnsi="仿宋" w:eastAsia="仿宋" w:cs="仿宋"/>
                <w:i w:val="0"/>
                <w:iCs w:val="0"/>
                <w:color w:val="000000"/>
                <w:sz w:val="20"/>
                <w:szCs w:val="20"/>
                <w:u w:val="none"/>
                <w:lang w:val="en-US"/>
              </w:rPr>
            </w:pPr>
            <w:r>
              <w:rPr>
                <w:rFonts w:hint="eastAsia" w:ascii="宋体" w:hAnsi="宋体" w:eastAsia="宋体" w:cs="宋体"/>
                <w:i w:val="0"/>
                <w:strike w:val="0"/>
                <w:color w:val="auto"/>
                <w:spacing w:val="0"/>
                <w:sz w:val="20"/>
                <w:u w:val="none"/>
                <w:vertAlign w:val="baseline"/>
              </w:rPr>
              <w:t>配套摆线减速机，I=1.5Kw，配套叶轮和连接杆为304不锈钢，连接杆1.1m</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14:paraId="56A2114A">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潍坊森胜、 上海沂洺</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0608E975">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1782BCFC">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4</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14:paraId="7D6BC2BF">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同等及以上品牌</w:t>
            </w:r>
          </w:p>
        </w:tc>
      </w:tr>
      <w:tr w14:paraId="7F6CD6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14:paraId="2EFB25C5">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8</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26145B14">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lang w:val="en-US" w:eastAsia="zh-CN"/>
              </w:rPr>
            </w:pPr>
            <w:r>
              <w:rPr>
                <w:rFonts w:hint="eastAsia" w:ascii="宋体" w:hAnsi="宋体" w:eastAsia="宋体" w:cs="宋体"/>
                <w:i w:val="0"/>
                <w:strike w:val="0"/>
                <w:color w:val="auto"/>
                <w:spacing w:val="0"/>
                <w:sz w:val="20"/>
                <w:u w:val="none"/>
                <w:vertAlign w:val="baseline"/>
              </w:rPr>
              <w:t>潜污泵</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14:paraId="431539BA">
            <w:pPr>
              <w:snapToGrid/>
              <w:spacing w:before="0" w:after="0" w:line="240" w:lineRule="auto"/>
              <w:ind w:left="0" w:leftChars="0" w:right="0" w:rightChars="0" w:firstLine="0" w:firstLineChars="0"/>
              <w:jc w:val="center"/>
              <w:rPr>
                <w:rFonts w:hint="default" w:ascii="仿宋" w:hAnsi="仿宋" w:eastAsia="仿宋" w:cs="仿宋"/>
                <w:i w:val="0"/>
                <w:iCs w:val="0"/>
                <w:color w:val="000000"/>
                <w:sz w:val="20"/>
                <w:szCs w:val="20"/>
                <w:u w:val="none"/>
                <w:lang w:val="en-US"/>
              </w:rPr>
            </w:pPr>
            <w:r>
              <w:rPr>
                <w:rFonts w:hint="eastAsia" w:ascii="宋体" w:hAnsi="宋体" w:eastAsia="宋体" w:cs="宋体"/>
                <w:i w:val="0"/>
                <w:strike w:val="0"/>
                <w:color w:val="auto"/>
                <w:spacing w:val="0"/>
                <w:sz w:val="20"/>
                <w:u w:val="none"/>
                <w:vertAlign w:val="baseline"/>
              </w:rPr>
              <w:t>Q=20m³/h，H=15m，I=2.2Kw</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14:paraId="7FB9905D">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中国进越、新界</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45AA0C25">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7E87E2CC">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lang w:val="en-US" w:eastAsia="zh-CN"/>
              </w:rPr>
            </w:pPr>
            <w:r>
              <w:rPr>
                <w:rFonts w:hint="eastAsia" w:ascii="宋体" w:hAnsi="宋体" w:eastAsia="宋体" w:cs="宋体"/>
                <w:i w:val="0"/>
                <w:strike w:val="0"/>
                <w:color w:val="auto"/>
                <w:spacing w:val="0"/>
                <w:sz w:val="20"/>
                <w:u w:val="none"/>
                <w:vertAlign w:val="baseline"/>
              </w:rPr>
              <w:t>3</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14:paraId="11005624">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同等及以上品牌</w:t>
            </w:r>
          </w:p>
        </w:tc>
      </w:tr>
      <w:tr w14:paraId="62684A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14:paraId="4BD89BA1">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9</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5B2AE8AE">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污泥螺杆泵</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14:paraId="30ABA734">
            <w:pPr>
              <w:snapToGrid/>
              <w:spacing w:before="0" w:after="0" w:line="240" w:lineRule="auto"/>
              <w:ind w:left="0" w:leftChars="0" w:right="0" w:rightChars="0" w:firstLine="0" w:firstLineChars="0"/>
              <w:jc w:val="center"/>
              <w:rPr>
                <w:rFonts w:hint="default" w:ascii="仿宋" w:hAnsi="仿宋" w:eastAsia="仿宋" w:cs="仿宋"/>
                <w:i w:val="0"/>
                <w:iCs w:val="0"/>
                <w:color w:val="000000"/>
                <w:sz w:val="20"/>
                <w:szCs w:val="20"/>
                <w:u w:val="none"/>
                <w:lang w:val="en-US"/>
              </w:rPr>
            </w:pPr>
            <w:r>
              <w:rPr>
                <w:rFonts w:hint="eastAsia" w:ascii="宋体" w:hAnsi="宋体" w:eastAsia="宋体" w:cs="宋体"/>
                <w:i w:val="0"/>
                <w:strike w:val="0"/>
                <w:color w:val="auto"/>
                <w:spacing w:val="0"/>
                <w:sz w:val="20"/>
                <w:u w:val="none"/>
                <w:vertAlign w:val="baseline"/>
              </w:rPr>
              <w:t>泵体304不锈钢，Q=2m³/h，I=2.2Kw</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14:paraId="6DCA63BA">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上海韦森、浙江亿迪</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5C804B2D">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1B8BE19E">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14:paraId="08FBE0ED">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同等及以上品牌</w:t>
            </w:r>
          </w:p>
        </w:tc>
      </w:tr>
      <w:tr w14:paraId="620912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14:paraId="425AF1F9">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10</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02D089BE">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污水回流泵</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14:paraId="5E95C0B9">
            <w:pPr>
              <w:snapToGrid/>
              <w:spacing w:before="0" w:after="0" w:line="240" w:lineRule="auto"/>
              <w:ind w:left="0" w:leftChars="0" w:right="0" w:rightChars="0" w:firstLine="0" w:firstLineChars="0"/>
              <w:jc w:val="center"/>
              <w:rPr>
                <w:rFonts w:hint="default" w:ascii="仿宋" w:hAnsi="仿宋" w:eastAsia="仿宋" w:cs="仿宋"/>
                <w:i w:val="0"/>
                <w:iCs w:val="0"/>
                <w:color w:val="000000"/>
                <w:sz w:val="20"/>
                <w:szCs w:val="20"/>
                <w:u w:val="none"/>
                <w:lang w:val="en-US"/>
              </w:rPr>
            </w:pPr>
            <w:r>
              <w:rPr>
                <w:rFonts w:hint="eastAsia" w:ascii="宋体" w:hAnsi="宋体" w:eastAsia="宋体" w:cs="宋体"/>
                <w:i w:val="0"/>
                <w:strike w:val="0"/>
                <w:color w:val="auto"/>
                <w:spacing w:val="0"/>
                <w:sz w:val="20"/>
                <w:u w:val="none"/>
                <w:vertAlign w:val="baseline"/>
              </w:rPr>
              <w:t>泵体304不锈钢，Q=25m³/h，H=10m，I=1.5Kw</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14:paraId="44742158">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中国进越、浙江亿迪</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715743A0">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61DF8118">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14:paraId="1DAEE26F">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同等及以上品牌</w:t>
            </w:r>
          </w:p>
        </w:tc>
      </w:tr>
      <w:tr w14:paraId="2134E4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14:paraId="2E3C896F">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11</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5E2D27CB">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板框压滤机</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14:paraId="69EB1CA8">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外形尺寸1850×845×950mm，压滤面积10平滤板厚度50mm，进料压力＜0.6Mpa，滤板尺寸500*500mm</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14:paraId="055C648A">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山东泰合、潍坊鑫诚</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7256B90E">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台</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686CBC9F">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14:paraId="688DF447">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同等及以上品牌</w:t>
            </w:r>
          </w:p>
        </w:tc>
      </w:tr>
      <w:tr w14:paraId="3E57DC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14:paraId="5932ADEB">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12</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317D72E8">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斜板沉淀池填料</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14:paraId="6D7F0E52">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聚丙烯填料直径</w:t>
            </w:r>
            <w:r>
              <w:rPr>
                <w:rFonts w:hint="eastAsia" w:ascii="宋体" w:hAnsi="宋体" w:eastAsia="宋体" w:cs="宋体"/>
                <w:i w:val="0"/>
                <w:strike w:val="0"/>
                <w:color w:val="auto"/>
                <w:spacing w:val="0"/>
                <w:sz w:val="20"/>
                <w:u w:val="none"/>
                <w:vertAlign w:val="baseline"/>
                <w:lang w:val="en-US" w:eastAsia="zh-CN"/>
              </w:rPr>
              <w:t>50</w:t>
            </w:r>
            <w:r>
              <w:rPr>
                <w:rFonts w:hint="eastAsia" w:ascii="宋体" w:hAnsi="宋体" w:eastAsia="宋体" w:cs="宋体"/>
                <w:i w:val="0"/>
                <w:strike w:val="0"/>
                <w:color w:val="auto"/>
                <w:spacing w:val="0"/>
                <w:sz w:val="20"/>
                <w:u w:val="none"/>
                <w:vertAlign w:val="baseline"/>
              </w:rPr>
              <w:t>mm，比表面积300m/m,堆积个数22500n/m，堆积密度49KG/㎡</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14:paraId="523D64E6">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山东泰合、潍坊鑫诚</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1144302E">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台</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608ED9EB">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14:paraId="01519287">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同等及以上品牌</w:t>
            </w:r>
          </w:p>
        </w:tc>
      </w:tr>
      <w:tr w14:paraId="05161E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14:paraId="45080690">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13</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435ADDE0">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平台楼梯</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14:paraId="276BCEC5">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lang w:val="en-US" w:eastAsia="zh-CN"/>
              </w:rPr>
              <w:t>材质Q235，</w:t>
            </w:r>
            <w:r>
              <w:rPr>
                <w:rFonts w:hint="eastAsia" w:ascii="宋体" w:hAnsi="宋体" w:eastAsia="宋体" w:cs="宋体"/>
                <w:i w:val="0"/>
                <w:strike w:val="0"/>
                <w:color w:val="auto"/>
                <w:spacing w:val="0"/>
                <w:sz w:val="20"/>
                <w:u w:val="none"/>
                <w:vertAlign w:val="baseline"/>
              </w:rPr>
              <w:t>铁板，厚5mm</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14:paraId="11D64365">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lang w:val="en-US" w:eastAsia="zh-CN"/>
              </w:rPr>
              <w:t>定制</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1A4438D8">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7BD9BC29">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14:paraId="03DD9D5B">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p>
        </w:tc>
      </w:tr>
      <w:tr w14:paraId="40B72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14:paraId="109CF602">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14</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476A6C68">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lang w:val="en-US" w:eastAsia="zh-CN"/>
              </w:rPr>
              <w:t>电磁流量计</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14:paraId="6C0B05E9">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lang w:val="en-US" w:eastAsia="zh-CN"/>
              </w:rPr>
              <w:t>DN65，法兰连接；公称压力:PN16；连接材质及本体材质:碳钢CS；准确度:0.5级；输出及供电电源:4-20mA+脉冲+RS485，220VAC</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14:paraId="4F430876">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lang w:val="en-US" w:eastAsia="zh-CN"/>
              </w:rPr>
            </w:pPr>
            <w:r>
              <w:rPr>
                <w:rFonts w:hint="eastAsia" w:ascii="宋体" w:hAnsi="宋体" w:eastAsia="宋体" w:cs="宋体"/>
                <w:i w:val="0"/>
                <w:strike w:val="0"/>
                <w:color w:val="auto"/>
                <w:spacing w:val="0"/>
                <w:sz w:val="20"/>
                <w:u w:val="none"/>
                <w:vertAlign w:val="baseline"/>
                <w:lang w:val="en-US" w:eastAsia="zh-CN"/>
              </w:rPr>
              <w:t>格乐普、美控</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6F659932">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62904F57">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1</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14:paraId="353ADEF9">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同等及以上品牌</w:t>
            </w:r>
          </w:p>
        </w:tc>
      </w:tr>
      <w:tr w14:paraId="38F479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14:paraId="79A34763">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15</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51F3D5F2">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立柱</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14:paraId="4AE26A9B">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池体支架材质Q235,50mm方管</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14:paraId="59723CFB">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定制</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7413A493">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根</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1BF959CC">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12</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14:paraId="0245E59A">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p>
        </w:tc>
      </w:tr>
      <w:tr w14:paraId="17F716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14:paraId="11D5CF8A">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16</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41E9C21A">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管道</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14:paraId="1F79C893">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加药管道采用，PVC:DN25-DN100；</w:t>
            </w:r>
          </w:p>
          <w:p w14:paraId="4C9AB9C0">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污泥输送管道采用，PVC：DN65</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14:paraId="4801D0B8">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日丰、华亚</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1B271561">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米</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31C0F5A5">
            <w:pPr>
              <w:snapToGrid/>
              <w:spacing w:before="0" w:after="0" w:line="240" w:lineRule="auto"/>
              <w:ind w:left="0" w:leftChars="0" w:right="0" w:rightChars="0" w:firstLine="0" w:firstLineChars="0"/>
              <w:jc w:val="center"/>
              <w:rPr>
                <w:rFonts w:hint="default"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若干</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14:paraId="1A0C6B3F">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同等及以上品牌</w:t>
            </w:r>
          </w:p>
        </w:tc>
      </w:tr>
      <w:tr w14:paraId="176516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14:paraId="3A03782C">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17</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428123BC">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辅料</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14:paraId="7C48D856">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五金辅材</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14:paraId="6C101C8E">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0A9B1EB3">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3B72A805">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若干</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14:paraId="558A090C">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国标</w:t>
            </w:r>
          </w:p>
        </w:tc>
      </w:tr>
      <w:tr w14:paraId="361775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14:paraId="124D7903">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lang w:val="en-US" w:eastAsia="zh-CN"/>
              </w:rPr>
              <w:t>18</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0EAA2F5D">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lang w:val="en-US" w:eastAsia="zh-CN"/>
              </w:rPr>
              <w:t>电线</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14:paraId="39D1DEF2">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低压电力电缆</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14:paraId="1893EF68">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华凌、阳谷</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4C7881B4">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米</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7E4CE83E">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若干</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14:paraId="6BFB3F5F">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同等及以上品牌</w:t>
            </w:r>
          </w:p>
        </w:tc>
      </w:tr>
      <w:tr w14:paraId="5F4CFC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14:paraId="7A06232A">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lang w:val="en-US" w:eastAsia="zh-CN"/>
              </w:rPr>
              <w:t>19</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09081789">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lang w:val="en-US" w:eastAsia="zh-CN"/>
              </w:rPr>
              <w:t>穿线管</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14:paraId="030D0995">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镀锌管，Ф20</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14:paraId="760DF078">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友发、正元</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1963207F">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米</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31971128">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若干</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14:paraId="5ECEDF2C">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同等及以上品牌</w:t>
            </w:r>
          </w:p>
        </w:tc>
      </w:tr>
      <w:tr w14:paraId="1CB013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14:paraId="28FCB255">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lang w:val="en-US" w:eastAsia="zh-CN"/>
              </w:rPr>
              <w:t>20</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335EDDF5">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lang w:val="en-US" w:eastAsia="zh-CN"/>
              </w:rPr>
              <w:t>曝气管</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14:paraId="43B7E21C">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PVC：DN50</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14:paraId="12F91542">
            <w:pPr>
              <w:snapToGrid/>
              <w:spacing w:before="0" w:after="0" w:line="240" w:lineRule="auto"/>
              <w:ind w:left="0" w:leftChars="0" w:right="0" w:rightChars="0" w:firstLine="0" w:firstLineChars="0"/>
              <w:jc w:val="center"/>
              <w:rPr>
                <w:rFonts w:hint="default"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日丰、华亚</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5C1B65C6">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273AC3F1">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若干</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14:paraId="398826F9">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同等及以上品牌</w:t>
            </w:r>
          </w:p>
        </w:tc>
      </w:tr>
      <w:tr w14:paraId="21A922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14:paraId="38BD328E">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kern w:val="2"/>
                <w:sz w:val="20"/>
                <w:u w:val="none"/>
                <w:vertAlign w:val="baseline"/>
                <w:lang w:val="en-US" w:eastAsia="zh-CN" w:bidi="ar-SA"/>
              </w:rPr>
            </w:pPr>
            <w:r>
              <w:rPr>
                <w:rFonts w:hint="eastAsia" w:ascii="宋体" w:hAnsi="宋体" w:eastAsia="宋体" w:cs="宋体"/>
                <w:i w:val="0"/>
                <w:strike w:val="0"/>
                <w:color w:val="auto"/>
                <w:spacing w:val="0"/>
                <w:sz w:val="20"/>
                <w:u w:val="none"/>
                <w:vertAlign w:val="baseline"/>
                <w:lang w:val="en-US" w:eastAsia="zh-CN"/>
              </w:rPr>
              <w:t>21</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2CD87E51">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kern w:val="2"/>
                <w:sz w:val="20"/>
                <w:u w:val="none"/>
                <w:vertAlign w:val="baseline"/>
                <w:lang w:val="en-US" w:eastAsia="zh-CN" w:bidi="ar-SA"/>
              </w:rPr>
            </w:pPr>
            <w:r>
              <w:rPr>
                <w:rFonts w:hint="eastAsia" w:ascii="宋体" w:hAnsi="宋体" w:eastAsia="宋体" w:cs="宋体"/>
                <w:i w:val="0"/>
                <w:strike w:val="0"/>
                <w:color w:val="auto"/>
                <w:spacing w:val="0"/>
                <w:sz w:val="20"/>
                <w:u w:val="none"/>
                <w:vertAlign w:val="baseline"/>
                <w:lang w:val="en-US" w:eastAsia="zh-CN"/>
              </w:rPr>
              <w:t>电控柜</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14:paraId="28D83EFB">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IP65</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14:paraId="0C208792">
            <w:pPr>
              <w:snapToGrid/>
              <w:spacing w:before="0" w:after="0" w:line="240" w:lineRule="auto"/>
              <w:ind w:left="0" w:leftChars="0" w:right="0" w:rightChars="0" w:firstLine="0" w:firstLineChars="0"/>
              <w:jc w:val="center"/>
              <w:rPr>
                <w:rFonts w:hint="default"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7A9300D7">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0D9BFDD7">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1</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14:paraId="47E8AC0E">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国内知名品牌</w:t>
            </w:r>
          </w:p>
        </w:tc>
      </w:tr>
      <w:tr w14:paraId="32673B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14:paraId="06A27582">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kern w:val="2"/>
                <w:sz w:val="20"/>
                <w:u w:val="none"/>
                <w:vertAlign w:val="baseline"/>
                <w:lang w:val="en-US" w:eastAsia="zh-CN" w:bidi="ar-SA"/>
              </w:rPr>
            </w:pPr>
            <w:r>
              <w:rPr>
                <w:rFonts w:hint="eastAsia" w:ascii="宋体" w:hAnsi="宋体" w:eastAsia="宋体" w:cs="宋体"/>
                <w:i w:val="0"/>
                <w:strike w:val="0"/>
                <w:color w:val="auto"/>
                <w:spacing w:val="0"/>
                <w:sz w:val="20"/>
                <w:u w:val="none"/>
                <w:vertAlign w:val="baseline"/>
                <w:lang w:val="en-US" w:eastAsia="zh-CN"/>
              </w:rPr>
              <w:t>22</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52D57FCC">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kern w:val="2"/>
                <w:sz w:val="20"/>
                <w:u w:val="none"/>
                <w:vertAlign w:val="baseline"/>
                <w:lang w:val="en-US" w:eastAsia="zh-CN" w:bidi="ar-SA"/>
              </w:rPr>
            </w:pPr>
            <w:r>
              <w:rPr>
                <w:rFonts w:hint="eastAsia" w:ascii="宋体" w:hAnsi="宋体" w:eastAsia="宋体" w:cs="宋体"/>
                <w:i w:val="0"/>
                <w:strike w:val="0"/>
                <w:color w:val="auto"/>
                <w:spacing w:val="0"/>
                <w:sz w:val="20"/>
                <w:u w:val="none"/>
                <w:vertAlign w:val="baseline"/>
                <w:lang w:val="en-US" w:eastAsia="zh-CN"/>
              </w:rPr>
              <w:t>电器元件</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14:paraId="2FA1BCD7">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断路器、接触器等</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14:paraId="04178713">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正泰、德力西</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220F8DCB">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0A1EFCEE">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1</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14:paraId="76D97E6C">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同等及以上品牌</w:t>
            </w:r>
          </w:p>
        </w:tc>
      </w:tr>
    </w:tbl>
    <w:p w14:paraId="74EFC0AE">
      <w:pPr>
        <w:spacing w:line="360" w:lineRule="auto"/>
        <w:rPr>
          <w:rFonts w:ascii="宋体" w:hAnsi="宋体" w:eastAsia="宋体" w:cs="宋体"/>
          <w:b/>
          <w:sz w:val="24"/>
          <w:szCs w:val="24"/>
          <w:highlight w:val="yellow"/>
        </w:rPr>
      </w:pPr>
    </w:p>
    <w:p w14:paraId="20DCD292">
      <w:pPr>
        <w:spacing w:line="360" w:lineRule="auto"/>
        <w:rPr>
          <w:rFonts w:ascii="宋体" w:hAnsi="宋体" w:eastAsia="宋体" w:cs="宋体"/>
          <w:b/>
          <w:sz w:val="24"/>
          <w:szCs w:val="24"/>
        </w:rPr>
      </w:pPr>
    </w:p>
    <w:p w14:paraId="0262EFD3">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（一）一般界定</w:t>
      </w:r>
    </w:p>
    <w:p w14:paraId="364DC04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1.包括本技术标书所列明的主要货物以及货物正常运行所必需的全套连线设备、材料等。如货物端联接法兰外端面之内的、电气系统接口压线板（插座等）之内的设备、材料、联接螺栓、垫片等。</w:t>
      </w:r>
    </w:p>
    <w:p w14:paraId="7221F61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2.包括为保证货物正常安装、调试和验收完成及以前所必需的整套配件、附件及材料、油料、控制软件及程序或指令等。</w:t>
      </w:r>
    </w:p>
    <w:p w14:paraId="2FE6B82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如果终验收完成后，投标人有需要收回的配件、附件、材料、油料等，应当在投标文件的技术偏离条款中，予以详细说明；否则视同包括在供货范围之内。</w:t>
      </w:r>
    </w:p>
    <w:p w14:paraId="6423B83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3.包括货物维护维修所必需的专用工具。</w:t>
      </w:r>
    </w:p>
    <w:p w14:paraId="3B51645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3480F8E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14:paraId="0B070AE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14:paraId="488436B6">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（二）供货范围边界界定</w:t>
      </w:r>
    </w:p>
    <w:p w14:paraId="7925846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1.买方提供货物所需的建筑物（如厂房等）和构筑物（如混凝土池、砼基础等），包含正常安装施工所需的预埋件（如穿管、预埋螺栓、螺母及垫片）。</w:t>
      </w:r>
    </w:p>
    <w:p w14:paraId="33EF0AB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买方提供符合本技术标书中“采购货物概况”和“使用环境”章节所列明品质的电力、自来水、压缩空气、蒸汽、天然气（或煤气）管线至系统接口，如：系统电力接口的接线端，水、气、汽等外围管线端联接法兰外端面。</w:t>
      </w:r>
    </w:p>
    <w:p w14:paraId="414A24B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如果投标人认为能源系统接口地点以及操控地点之间的货物数量不清或难以界定，应当以书面方式询标或以单价方式报价；否则视同满足招标人要求。</w:t>
      </w:r>
    </w:p>
    <w:p w14:paraId="69E09AA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3.对于招标文件中无明确具体要求而投标人认为必须具备的其它货物，投标人必须将该部分货物单独报价（该报价含运杂费及税费等其它费用，而且不再作为其它报价涉及的其它费用的计算基数）。</w:t>
      </w:r>
    </w:p>
    <w:p w14:paraId="781A05D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4.以“交钥匙”方式采购的货物，在满足技术标书本节上述要求之外，同时包括货物正常运行、使用所需要的过桥、护栏、防护网、盖板等辅助设施。</w:t>
      </w:r>
    </w:p>
    <w:p w14:paraId="367A7F84">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14:paraId="3114E7A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1.备品备件、易损件和专用耗材是招标人为保证货物质保期之后正常运行一年所自备自用的备品备件、易损件和专用耗材。</w:t>
      </w:r>
    </w:p>
    <w:p w14:paraId="58718D3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14:paraId="61CF398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p>
    <w:p w14:paraId="0327AD85">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三、技术资料供货范围</w:t>
      </w:r>
    </w:p>
    <w:p w14:paraId="0E94052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技术资料供货范围包括：</w:t>
      </w:r>
    </w:p>
    <w:p w14:paraId="13FBFBCE">
      <w:pPr>
        <w:spacing w:line="360" w:lineRule="auto"/>
        <w:ind w:firstLine="480" w:firstLineChars="200"/>
        <w:rPr>
          <w:rFonts w:ascii="宋体" w:hAnsi="宋体" w:eastAsia="宋体" w:cs="宋体"/>
          <w:bCs/>
          <w:sz w:val="24"/>
          <w:szCs w:val="24"/>
        </w:rPr>
      </w:pPr>
      <w:r>
        <w:rPr>
          <w:rFonts w:hint="eastAsia" w:ascii="宋体" w:hAnsi="宋体" w:eastAsia="宋体" w:cs="宋体"/>
          <w:sz w:val="24"/>
          <w:szCs w:val="24"/>
        </w:rPr>
        <w:t>1.在</w:t>
      </w:r>
      <w:r>
        <w:rPr>
          <w:rFonts w:hint="eastAsia" w:ascii="宋体" w:hAnsi="宋体" w:eastAsia="宋体" w:cs="宋体"/>
          <w:bCs/>
          <w:sz w:val="24"/>
          <w:szCs w:val="24"/>
        </w:rPr>
        <w:t>合同签订后</w:t>
      </w:r>
      <w:r>
        <w:rPr>
          <w:rFonts w:hint="eastAsia" w:ascii="宋体" w:hAnsi="宋体" w:eastAsia="宋体" w:cs="宋体"/>
          <w:bCs/>
          <w:sz w:val="24"/>
          <w:szCs w:val="24"/>
          <w:u w:val="single"/>
          <w:shd w:val="pct10" w:color="auto" w:fill="FFFFFF"/>
        </w:rPr>
        <w:t xml:space="preserve"> 15 </w:t>
      </w:r>
      <w:r>
        <w:rPr>
          <w:rFonts w:hint="eastAsia" w:ascii="宋体" w:hAnsi="宋体" w:eastAsia="宋体" w:cs="宋体"/>
          <w:bCs/>
          <w:sz w:val="24"/>
          <w:szCs w:val="24"/>
        </w:rPr>
        <w:t>个日历日内，提供货物基础及相关的设计、制作所需的纸质及电子版资料；电子版文件应当能够使用常用版本软件可以阅读甚至使用，进口货物、设备应有中外文对照。</w:t>
      </w:r>
    </w:p>
    <w:p w14:paraId="685A397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2.在预验收前，提供货物各部分的功能描述文件、图片、影像等资料（进口、设备应有中外文对照）。</w:t>
      </w:r>
    </w:p>
    <w:p w14:paraId="0A88392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在终验收前，提供货物各部分的功能描述文件、图片、影像等资料（进口、设备应有中外文对照），提供为保证货物后续正常运行所需的工装、吊（挂）具明细及其图纸、具体技术要求等资料（如果供货范围包含该部分实物）。</w:t>
      </w:r>
    </w:p>
    <w:p w14:paraId="3EF2834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4.在终验收前，提供确定的维修所需要且买方可以自行采购的外购件、外协件、电气元件及主要原材料的供货厂家明细表。</w:t>
      </w:r>
    </w:p>
    <w:p w14:paraId="7612877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5.在终验收前，提供包括货物的备品备件、易损件和专用耗材的图纸及技术参数、技术要求等资料。</w:t>
      </w:r>
    </w:p>
    <w:p w14:paraId="6BA97B4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6.在终验收前，提供关于采购货物的操作维护手册、保养维修手册、安全注意事项等的使用说明书、仪器仪表检定和使用维修说明书、合格证、产品样本等技术资料（含图片和影像等资料）；</w:t>
      </w:r>
      <w:r>
        <w:rPr>
          <w:rFonts w:hint="eastAsia" w:ascii="宋体" w:hAnsi="宋体" w:eastAsia="宋体" w:cs="宋体"/>
          <w:sz w:val="24"/>
          <w:szCs w:val="24"/>
          <w:lang w:val="en-US" w:eastAsia="zh-CN"/>
        </w:rPr>
        <w:t>提供</w:t>
      </w:r>
      <w:r>
        <w:rPr>
          <w:rFonts w:hint="eastAsia" w:ascii="宋体" w:hAnsi="宋体" w:eastAsia="宋体" w:cs="Times New Roman"/>
          <w:sz w:val="24"/>
          <w:szCs w:val="24"/>
          <w:lang w:val="en-US" w:eastAsia="zh-CN"/>
        </w:rPr>
        <w:t>最终排放水质检测报告（带CMA认证）</w:t>
      </w:r>
      <w:r>
        <w:rPr>
          <w:rFonts w:hint="eastAsia" w:ascii="宋体" w:hAnsi="宋体" w:eastAsia="宋体" w:cs="宋体"/>
          <w:sz w:val="24"/>
          <w:szCs w:val="24"/>
        </w:rPr>
        <w:t>。</w:t>
      </w:r>
    </w:p>
    <w:p w14:paraId="5DFCC8D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在终验收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46C81DB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8.本条款所列的技术资料、图片、影像等，投标人应各提供5套，其中2套为电子版光盘；每份技术文件应装有目录清单。</w:t>
      </w:r>
    </w:p>
    <w:p w14:paraId="2AD6F71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9.本条款所列要求，如招标人认为投标人提供的资料不能满足要求时，有权要求投标人免费补充或增加。</w:t>
      </w:r>
    </w:p>
    <w:p w14:paraId="3377D640">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四、供货范围特别提示</w:t>
      </w:r>
    </w:p>
    <w:p w14:paraId="4B96870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p>
    <w:p w14:paraId="5AEF68A8">
      <w:pPr>
        <w:pStyle w:val="24"/>
        <w:spacing w:line="360" w:lineRule="auto"/>
      </w:pPr>
    </w:p>
    <w:p w14:paraId="5F2DE35C">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第二节  供货方式</w:t>
      </w:r>
    </w:p>
    <w:p w14:paraId="372D3664">
      <w:pPr>
        <w:spacing w:line="360" w:lineRule="auto"/>
        <w:ind w:firstLine="482" w:firstLineChars="200"/>
        <w:outlineLvl w:val="3"/>
        <w:rPr>
          <w:rFonts w:ascii="宋体" w:hAnsi="宋体" w:eastAsia="宋体" w:cs="宋体"/>
          <w:sz w:val="24"/>
          <w:szCs w:val="24"/>
        </w:rPr>
      </w:pPr>
      <w:r>
        <w:rPr>
          <w:rFonts w:hint="eastAsia" w:ascii="宋体" w:hAnsi="宋体" w:eastAsia="宋体" w:cs="宋体"/>
          <w:b/>
          <w:sz w:val="24"/>
          <w:szCs w:val="24"/>
        </w:rPr>
        <w:t>一、供货方式</w:t>
      </w:r>
    </w:p>
    <w:p w14:paraId="21633C35">
      <w:pPr>
        <w:spacing w:line="360" w:lineRule="auto"/>
        <w:ind w:firstLine="480" w:firstLineChars="200"/>
        <w:rPr>
          <w:rFonts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14:paraId="062E8D22">
      <w:pPr>
        <w:spacing w:line="360" w:lineRule="auto"/>
        <w:ind w:firstLine="482" w:firstLineChars="200"/>
        <w:outlineLvl w:val="3"/>
        <w:rPr>
          <w:rFonts w:ascii="宋体" w:hAnsi="宋体" w:eastAsia="宋体" w:cs="宋体"/>
          <w:sz w:val="24"/>
          <w:szCs w:val="24"/>
        </w:rPr>
      </w:pPr>
      <w:r>
        <w:rPr>
          <w:rFonts w:hint="eastAsia" w:ascii="宋体" w:hAnsi="宋体" w:eastAsia="宋体" w:cs="宋体"/>
          <w:b/>
          <w:bCs/>
          <w:sz w:val="24"/>
          <w:szCs w:val="24"/>
        </w:rPr>
        <w:t>二、供货地点：</w:t>
      </w:r>
      <w:r>
        <w:rPr>
          <w:rFonts w:hint="eastAsia" w:ascii="宋体" w:hAnsi="宋体" w:eastAsia="宋体" w:cs="宋体"/>
          <w:color w:val="000000"/>
          <w:sz w:val="24"/>
          <w:szCs w:val="24"/>
          <w:u w:val="single"/>
        </w:rPr>
        <w:t>济南市</w:t>
      </w:r>
      <w:r>
        <w:rPr>
          <w:rFonts w:hint="eastAsia" w:ascii="宋体" w:hAnsi="宋体" w:eastAsia="宋体" w:cs="宋体"/>
          <w:color w:val="000000"/>
          <w:sz w:val="24"/>
          <w:szCs w:val="24"/>
          <w:u w:val="single"/>
          <w:lang w:val="en-US" w:eastAsia="zh-CN"/>
        </w:rPr>
        <w:t>市中区党家庄济南成型厂党家庄厂区</w:t>
      </w:r>
      <w:r>
        <w:rPr>
          <w:rFonts w:hint="eastAsia" w:ascii="宋体" w:hAnsi="宋体" w:eastAsia="宋体" w:cs="宋体"/>
          <w:sz w:val="24"/>
          <w:szCs w:val="24"/>
        </w:rPr>
        <w:t>。</w:t>
      </w:r>
    </w:p>
    <w:p w14:paraId="0A0BAAFD">
      <w:pPr>
        <w:spacing w:line="360" w:lineRule="auto"/>
        <w:ind w:firstLine="482" w:firstLineChars="200"/>
        <w:jc w:val="left"/>
        <w:outlineLvl w:val="3"/>
        <w:rPr>
          <w:rFonts w:ascii="宋体" w:hAnsi="宋体" w:eastAsia="宋体" w:cs="宋体"/>
          <w:b/>
          <w:bCs/>
          <w:sz w:val="24"/>
          <w:szCs w:val="24"/>
        </w:rPr>
      </w:pPr>
      <w:r>
        <w:rPr>
          <w:rFonts w:hint="eastAsia" w:ascii="宋体" w:hAnsi="宋体" w:eastAsia="宋体" w:cs="宋体"/>
          <w:b/>
          <w:bCs/>
          <w:sz w:val="24"/>
          <w:szCs w:val="24"/>
        </w:rPr>
        <w:t>三、供货时间</w:t>
      </w:r>
    </w:p>
    <w:p w14:paraId="2B617823">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1.自合同签定生效之日起，</w:t>
      </w:r>
      <w:r>
        <w:rPr>
          <w:rFonts w:hint="eastAsia" w:ascii="宋体" w:hAnsi="宋体" w:eastAsia="宋体" w:cs="宋体"/>
          <w:sz w:val="24"/>
          <w:szCs w:val="24"/>
          <w:highlight w:val="none"/>
          <w:u w:val="single"/>
          <w:lang w:val="en-US" w:eastAsia="zh-CN"/>
        </w:rPr>
        <w:t>60</w:t>
      </w:r>
      <w:r>
        <w:rPr>
          <w:rFonts w:hint="eastAsia" w:ascii="宋体" w:hAnsi="宋体" w:eastAsia="宋体" w:cs="宋体"/>
          <w:sz w:val="24"/>
          <w:szCs w:val="24"/>
          <w:highlight w:val="none"/>
        </w:rPr>
        <w:t>个日历</w:t>
      </w:r>
      <w:r>
        <w:rPr>
          <w:rFonts w:hint="eastAsia" w:ascii="宋体" w:hAnsi="宋体" w:eastAsia="宋体" w:cs="宋体"/>
          <w:sz w:val="24"/>
          <w:szCs w:val="24"/>
        </w:rPr>
        <w:t>日之内交货至供货地点</w:t>
      </w:r>
      <w:r>
        <w:rPr>
          <w:rFonts w:ascii="宋体" w:hAnsi="宋体" w:eastAsia="宋体" w:cs="宋体"/>
          <w:sz w:val="24"/>
          <w:szCs w:val="24"/>
        </w:rPr>
        <w:t>。</w:t>
      </w:r>
    </w:p>
    <w:p w14:paraId="7391042A">
      <w:pPr>
        <w:spacing w:line="360" w:lineRule="auto"/>
        <w:ind w:firstLine="480" w:firstLineChars="200"/>
        <w:jc w:val="left"/>
        <w:rPr>
          <w:rFonts w:hint="eastAsia" w:ascii="宋体" w:hAnsi="宋体" w:eastAsia="宋体" w:cs="宋体"/>
          <w:sz w:val="24"/>
          <w:szCs w:val="24"/>
          <w:highlight w:val="none"/>
          <w:lang w:eastAsia="zh-CN"/>
        </w:rPr>
      </w:pPr>
      <w:r>
        <w:rPr>
          <w:rFonts w:hint="eastAsia" w:ascii="宋体" w:hAnsi="宋体" w:eastAsia="宋体" w:cs="宋体"/>
          <w:sz w:val="24"/>
          <w:highlight w:val="none"/>
        </w:rPr>
        <w:t>2.接续</w:t>
      </w:r>
      <w:r>
        <w:rPr>
          <w:rFonts w:hint="eastAsia" w:ascii="宋体" w:hAnsi="宋体" w:eastAsia="宋体" w:cs="宋体"/>
          <w:sz w:val="24"/>
          <w:highlight w:val="none"/>
          <w:lang w:val="en-US" w:eastAsia="zh-CN"/>
        </w:rPr>
        <w:t>30</w:t>
      </w:r>
      <w:r>
        <w:rPr>
          <w:rFonts w:hint="eastAsia" w:ascii="宋体" w:hAnsi="宋体" w:eastAsia="宋体" w:cs="宋体"/>
          <w:sz w:val="24"/>
          <w:highlight w:val="none"/>
        </w:rPr>
        <w:t>个日历日之内完成安装调试或根据招标方要求分段实施。</w:t>
      </w:r>
    </w:p>
    <w:p w14:paraId="2523A255">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.接续</w:t>
      </w:r>
      <w:r>
        <w:rPr>
          <w:rFonts w:hint="eastAsia" w:ascii="宋体" w:hAnsi="宋体" w:eastAsia="宋体" w:cs="宋体"/>
          <w:sz w:val="24"/>
          <w:szCs w:val="24"/>
          <w:u w:val="single"/>
          <w:shd w:val="pct10" w:color="auto" w:fill="FFFFFF"/>
        </w:rPr>
        <w:t>30</w:t>
      </w:r>
      <w:r>
        <w:rPr>
          <w:rFonts w:hint="eastAsia" w:ascii="宋体" w:hAnsi="宋体" w:eastAsia="宋体" w:cs="宋体"/>
          <w:sz w:val="24"/>
          <w:szCs w:val="24"/>
        </w:rPr>
        <w:t>个日历日之内完成终验收。</w:t>
      </w:r>
    </w:p>
    <w:p w14:paraId="357C6395">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安装调试时间或终验收时间超过规定时间的，投标人应当随标书提供详细的工期计划。</w:t>
      </w:r>
    </w:p>
    <w:p w14:paraId="778D40BE">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四、包装</w:t>
      </w:r>
    </w:p>
    <w:p w14:paraId="3D03221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14:paraId="305E847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14:paraId="68F877AA">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14:paraId="2E1D205D">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14:paraId="0AF192D1">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14:paraId="61CA170D">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14:paraId="0E1E5B4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14:paraId="46ED3A80">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8.包装箱应连续编号，不应出现重复编号。</w:t>
      </w:r>
    </w:p>
    <w:p w14:paraId="4659DC8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14:paraId="464039F7">
      <w:pPr>
        <w:adjustRightInd w:val="0"/>
        <w:snapToGrid w:val="0"/>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五、运输</w:t>
      </w:r>
    </w:p>
    <w:p w14:paraId="6BB7D35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14:paraId="01AB53D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2.同批货物（或设备）应统一包装、编号运输。</w:t>
      </w:r>
    </w:p>
    <w:p w14:paraId="7CCE08B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14:paraId="4BDE231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14:paraId="1ABFD61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14:paraId="5EECD678">
      <w:pPr>
        <w:adjustRightInd w:val="0"/>
        <w:snapToGrid w:val="0"/>
        <w:spacing w:line="420" w:lineRule="exact"/>
        <w:rPr>
          <w:rFonts w:ascii="宋体" w:hAnsi="Calibri" w:eastAsia="宋体" w:cs="Times New Roman"/>
          <w:szCs w:val="20"/>
        </w:rPr>
      </w:pPr>
    </w:p>
    <w:p w14:paraId="2CAE077D">
      <w:pPr>
        <w:widowControl/>
        <w:jc w:val="left"/>
        <w:rPr>
          <w:rFonts w:ascii="宋体" w:hAnsi="Calibri" w:eastAsia="宋体" w:cs="Times New Roman"/>
          <w:szCs w:val="20"/>
        </w:rPr>
      </w:pPr>
      <w:r>
        <w:rPr>
          <w:rFonts w:ascii="宋体" w:hAnsi="Calibri" w:eastAsia="宋体" w:cs="Times New Roman"/>
          <w:szCs w:val="20"/>
        </w:rPr>
        <w:br w:type="page"/>
      </w:r>
    </w:p>
    <w:p w14:paraId="4B4D2F4F">
      <w:pPr>
        <w:keepNext/>
        <w:keepLines/>
        <w:spacing w:line="360" w:lineRule="auto"/>
        <w:jc w:val="center"/>
        <w:outlineLvl w:val="1"/>
        <w:rPr>
          <w:rFonts w:ascii="Calibri" w:hAnsi="Calibri" w:eastAsia="宋体" w:cs="Times New Roman"/>
          <w:b/>
          <w:bCs/>
          <w:kern w:val="44"/>
          <w:sz w:val="28"/>
          <w:szCs w:val="28"/>
        </w:rPr>
      </w:pPr>
      <w:bookmarkStart w:id="25" w:name="_Toc169605884"/>
      <w:r>
        <w:rPr>
          <w:rFonts w:hint="eastAsia" w:ascii="Calibri" w:hAnsi="Calibri" w:eastAsia="宋体" w:cs="Times New Roman"/>
          <w:b/>
          <w:bCs/>
          <w:kern w:val="44"/>
          <w:sz w:val="28"/>
          <w:szCs w:val="28"/>
        </w:rPr>
        <w:t>第四章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质保期及售后服务</w:t>
      </w:r>
      <w:bookmarkEnd w:id="25"/>
    </w:p>
    <w:p w14:paraId="3F3391F4">
      <w:pPr>
        <w:pStyle w:val="237"/>
        <w:spacing w:line="360" w:lineRule="auto"/>
      </w:pPr>
      <w:r>
        <w:rPr>
          <w:rFonts w:hint="eastAsia"/>
        </w:rPr>
        <w:t>一、质保期及质保要求</w:t>
      </w:r>
    </w:p>
    <w:p w14:paraId="4963024D">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.全部供货范围内的设备、材料、零配件和工器具等，除合同特别约定外，其质保期均自终验收签字生效之日起</w:t>
      </w:r>
      <w:r>
        <w:rPr>
          <w:rFonts w:ascii="宋体" w:hAnsi="宋体" w:eastAsia="宋体" w:cs="宋体"/>
          <w:sz w:val="24"/>
          <w:szCs w:val="24"/>
          <w:u w:val="single"/>
        </w:rPr>
        <w:t xml:space="preserve"> </w:t>
      </w:r>
      <w:r>
        <w:rPr>
          <w:rFonts w:hint="eastAsia" w:ascii="宋体" w:hAnsi="宋体" w:eastAsia="宋体" w:cs="宋体"/>
          <w:sz w:val="24"/>
          <w:szCs w:val="24"/>
          <w:highlight w:val="yellow"/>
          <w:u w:val="single"/>
        </w:rPr>
        <w:t>12</w:t>
      </w:r>
      <w:r>
        <w:rPr>
          <w:rFonts w:ascii="宋体" w:hAnsi="宋体" w:eastAsia="宋体" w:cs="宋体"/>
          <w:sz w:val="24"/>
          <w:szCs w:val="24"/>
          <w:highlight w:val="yellow"/>
          <w:u w:val="single"/>
        </w:rPr>
        <w:t xml:space="preserve"> </w:t>
      </w:r>
      <w:r>
        <w:rPr>
          <w:rFonts w:hint="eastAsia" w:ascii="宋体" w:hAnsi="宋体" w:eastAsia="宋体" w:cs="宋体"/>
          <w:sz w:val="24"/>
          <w:szCs w:val="24"/>
        </w:rPr>
        <w:t>个月。</w:t>
      </w:r>
    </w:p>
    <w:p w14:paraId="6C3F63F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14:paraId="3029660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14:paraId="1A1BFD7C">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.质保期之内，如果货物出现设备、总成、关键零部件或者多处一般零部件的二次以上的更换或维修行为，则质保期自更换或维修行为结束、货物重新正常运行使用之日起重新计算。</w:t>
      </w:r>
    </w:p>
    <w:p w14:paraId="27863570">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.质保期内免费提供零部件和及时有效的服务。质保期内因货物本身缺陷造成的各种故障，卖方应负责免费维修和服务。</w:t>
      </w:r>
    </w:p>
    <w:p w14:paraId="428DB882">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.质保期终止之日起</w:t>
      </w:r>
      <w:r>
        <w:rPr>
          <w:rFonts w:hint="eastAsia" w:ascii="宋体" w:hAnsi="宋体" w:eastAsia="宋体" w:cs="宋体"/>
          <w:sz w:val="24"/>
          <w:szCs w:val="24"/>
          <w:highlight w:val="yellow"/>
          <w:u w:val="single"/>
        </w:rPr>
        <w:t>一年内</w:t>
      </w:r>
      <w:r>
        <w:rPr>
          <w:rFonts w:hint="eastAsia" w:ascii="宋体" w:hAnsi="宋体" w:eastAsia="宋体" w:cs="宋体"/>
          <w:sz w:val="24"/>
          <w:szCs w:val="24"/>
        </w:rPr>
        <w:t>重复出现的质保期之内出现的故障，仍属质保范围而且应当免费。</w:t>
      </w:r>
    </w:p>
    <w:p w14:paraId="7B056F40">
      <w:pPr>
        <w:pStyle w:val="237"/>
        <w:spacing w:line="360" w:lineRule="auto"/>
        <w:rPr>
          <w:rFonts w:ascii="宋体" w:hAnsi="宋体" w:cs="宋体"/>
        </w:rPr>
      </w:pPr>
      <w:r>
        <w:rPr>
          <w:rFonts w:hint="eastAsia" w:ascii="宋体" w:hAnsi="宋体" w:cs="宋体"/>
        </w:rPr>
        <w:t>二、技术及培训服务</w:t>
      </w:r>
    </w:p>
    <w:p w14:paraId="508F90AF">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1.应负责在买方货物使用现场，对技术、维修和操作人员提供免费的理论、技术和操作、维修等方面的技术指导和培训，并接受买方有关人员的技术咨询。培训工作日不少于</w:t>
      </w:r>
      <w:r>
        <w:rPr>
          <w:rFonts w:hint="eastAsia" w:ascii="宋体" w:hAnsi="宋体" w:eastAsia="宋体" w:cs="宋体"/>
          <w:color w:val="000000"/>
          <w:sz w:val="24"/>
          <w:szCs w:val="24"/>
          <w:u w:val="single"/>
          <w:shd w:val="pct10" w:color="auto" w:fill="FFFFFF"/>
        </w:rPr>
        <w:t>3</w:t>
      </w:r>
      <w:r>
        <w:rPr>
          <w:rFonts w:hint="eastAsia" w:ascii="宋体" w:hAnsi="宋体" w:eastAsia="宋体" w:cs="宋体"/>
          <w:color w:val="000000"/>
          <w:sz w:val="24"/>
          <w:szCs w:val="24"/>
        </w:rPr>
        <w:t>个日历日。</w:t>
      </w:r>
    </w:p>
    <w:p w14:paraId="4FF1CE69">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2.应免费提供一定数量的培训资料。</w:t>
      </w:r>
    </w:p>
    <w:p w14:paraId="58AAA14D">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3.应按要求免费积极协助和提供买方以及买方所委托的工程设计单位有关人员所需要的、与货物有关的工程设计资料、技术咨询等。</w:t>
      </w:r>
    </w:p>
    <w:p w14:paraId="51F8519F">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4.若卖方提供货物涉及到外购外协货物、而且该货物的技术质量等较为关键时，卖方应能保证得到配套厂家的技术支持，并免费为买方提供技术服务。</w:t>
      </w:r>
    </w:p>
    <w:p w14:paraId="4FEFA15E">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22975B18">
      <w:pPr>
        <w:pStyle w:val="237"/>
        <w:spacing w:line="360" w:lineRule="auto"/>
        <w:rPr>
          <w:rFonts w:ascii="宋体" w:hAnsi="宋体" w:cs="宋体"/>
        </w:rPr>
      </w:pPr>
      <w:r>
        <w:rPr>
          <w:rFonts w:hint="eastAsia" w:ascii="宋体" w:hAnsi="宋体" w:cs="宋体"/>
        </w:rPr>
        <w:t>三、安装调试及验收服务</w:t>
      </w:r>
    </w:p>
    <w:p w14:paraId="420E99A0">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指导安装调试或负责安装调试以及协助验收，投标人均应在投标文件中明确其收费额或免费约定，否则视同免费；安装调试及验收服务均应按照合同约定或协议、通知及时组织并完成。因卖方原因造成的延期，所发生的费用全部由卖方承担。</w:t>
      </w:r>
    </w:p>
    <w:p w14:paraId="14990FA3">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2.若卖方提供的货物涉及到外购外协货物、而且该货物的技术质量等较为关键时，应保证能得到供应商的技术支持，并免费为买方提供安装使用现场的指导与培训。</w:t>
      </w:r>
    </w:p>
    <w:p w14:paraId="12DEF327">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2CE945EE">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14:paraId="4D8BBFC1">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5.卖方应当向买方提供货物试验、验收的有关标准、规范和方法，同时提供货物涉及并使用的软件合法性证明。</w:t>
      </w:r>
    </w:p>
    <w:p w14:paraId="5148C08F">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6.服务缺陷视同货物缺陷和履约延期。</w:t>
      </w:r>
    </w:p>
    <w:p w14:paraId="7F5F2805">
      <w:pPr>
        <w:pStyle w:val="237"/>
        <w:spacing w:line="360" w:lineRule="auto"/>
        <w:rPr>
          <w:rFonts w:ascii="宋体" w:hAnsi="宋体" w:cs="宋体"/>
        </w:rPr>
      </w:pPr>
      <w:r>
        <w:rPr>
          <w:rFonts w:hint="eastAsia" w:ascii="宋体" w:hAnsi="宋体" w:cs="宋体"/>
        </w:rPr>
        <w:t>四、售后服务</w:t>
      </w:r>
    </w:p>
    <w:p w14:paraId="7A90A060">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1.卖方提供的货物涉及的所有售后服务均由卖方负责。如果发生问题并且收到通知，卖方应当在2小时内予以答复。</w:t>
      </w:r>
    </w:p>
    <w:p w14:paraId="506A3FC9">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2.如发现所提供的货物存在问题，需要卖方解决或配合解决时：在质保期之内，应在接到通知后</w:t>
      </w:r>
      <w:r>
        <w:rPr>
          <w:rFonts w:hint="eastAsia" w:ascii="宋体" w:hAnsi="宋体" w:eastAsia="宋体" w:cs="宋体"/>
          <w:color w:val="000000"/>
          <w:sz w:val="24"/>
          <w:szCs w:val="24"/>
          <w:u w:val="single"/>
          <w:shd w:val="pct10" w:color="auto" w:fill="FFFFFF"/>
        </w:rPr>
        <w:t>24</w:t>
      </w:r>
      <w:r>
        <w:rPr>
          <w:rFonts w:hint="eastAsia" w:ascii="宋体" w:hAnsi="宋体" w:eastAsia="宋体" w:cs="宋体"/>
          <w:color w:val="000000"/>
          <w:sz w:val="24"/>
          <w:szCs w:val="24"/>
        </w:rPr>
        <w:t>小时内派有关人员到达现场；在质保期之外，应在接到通知后</w:t>
      </w:r>
      <w:r>
        <w:rPr>
          <w:rFonts w:hint="eastAsia" w:ascii="宋体" w:hAnsi="宋体" w:eastAsia="宋体" w:cs="宋体"/>
          <w:color w:val="000000"/>
          <w:sz w:val="24"/>
          <w:szCs w:val="24"/>
          <w:u w:val="single"/>
          <w:shd w:val="pct10" w:color="auto" w:fill="FFFFFF"/>
        </w:rPr>
        <w:t>72</w:t>
      </w:r>
      <w:r>
        <w:rPr>
          <w:rFonts w:hint="eastAsia" w:ascii="宋体" w:hAnsi="宋体" w:eastAsia="宋体" w:cs="宋体"/>
          <w:color w:val="000000"/>
          <w:sz w:val="24"/>
          <w:szCs w:val="24"/>
        </w:rPr>
        <w:t>小时内派有关人员到达现场。</w:t>
      </w:r>
    </w:p>
    <w:p w14:paraId="13815B88">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3.卖方派往买方使用现场的人员，应具有较高的业务素质；现场解决问题时，不得无故拖延或推迟，应为买方提供最佳的服务。</w:t>
      </w:r>
    </w:p>
    <w:p w14:paraId="22DF8111">
      <w:pPr>
        <w:pStyle w:val="237"/>
        <w:spacing w:line="360" w:lineRule="auto"/>
        <w:rPr>
          <w:rFonts w:ascii="宋体" w:hAnsi="宋体" w:cs="宋体"/>
        </w:rPr>
      </w:pPr>
      <w:r>
        <w:rPr>
          <w:rFonts w:hint="eastAsia" w:ascii="宋体" w:hAnsi="宋体" w:cs="宋体"/>
        </w:rPr>
        <w:t>五、其它服务</w:t>
      </w:r>
    </w:p>
    <w:p w14:paraId="2F30EB1F">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1.若卖方所提供货物有需要进口的，卖方一般应自行、自费办理；必要时，买卖双方共同办理。</w:t>
      </w:r>
    </w:p>
    <w:p w14:paraId="19079202">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2.除招标文件、投标文件、答疑文件、技术标书、合同等约定之外，卖方应免费负责必要的或强制性的货物的检验、试验、化验等直接费用。</w:t>
      </w:r>
    </w:p>
    <w:p w14:paraId="2E5BE6F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3.本章节条款所列“免费”，并非指定不可收费，而是指招标文件、投标文件、答疑文件、技术交流文件、技术标书和合同等范围之外，投标人不可另行收取的费用。</w:t>
      </w:r>
    </w:p>
    <w:p w14:paraId="20DC7365">
      <w:pPr>
        <w:pStyle w:val="24"/>
        <w:rPr>
          <w:rFonts w:eastAsia="宋体"/>
        </w:rPr>
      </w:pPr>
      <w:r>
        <w:rPr>
          <w:rFonts w:eastAsia="宋体"/>
        </w:rPr>
        <w:br w:type="page"/>
      </w:r>
    </w:p>
    <w:p w14:paraId="71A11D56">
      <w:pPr>
        <w:keepNext/>
        <w:keepLines/>
        <w:spacing w:line="360" w:lineRule="auto"/>
        <w:jc w:val="center"/>
        <w:outlineLvl w:val="1"/>
        <w:rPr>
          <w:rFonts w:ascii="Calibri" w:hAnsi="Calibri" w:eastAsia="宋体" w:cs="Times New Roman"/>
          <w:b/>
          <w:bCs/>
          <w:kern w:val="44"/>
          <w:sz w:val="28"/>
          <w:szCs w:val="28"/>
        </w:rPr>
      </w:pPr>
      <w:bookmarkStart w:id="26" w:name="_Toc465187646"/>
      <w:r>
        <w:rPr>
          <w:rFonts w:hint="eastAsia" w:ascii="Calibri" w:hAnsi="Calibri" w:eastAsia="宋体" w:cs="Times New Roman"/>
          <w:b/>
          <w:bCs/>
          <w:kern w:val="44"/>
          <w:sz w:val="28"/>
          <w:szCs w:val="28"/>
        </w:rPr>
        <w:t>第五章  预验收和终验收</w:t>
      </w:r>
      <w:bookmarkEnd w:id="26"/>
    </w:p>
    <w:p w14:paraId="1F401BC4">
      <w:pPr>
        <w:pStyle w:val="237"/>
        <w:spacing w:line="360" w:lineRule="auto"/>
        <w:rPr>
          <w:rFonts w:ascii="宋体" w:hAnsi="宋体" w:cs="宋体"/>
        </w:rPr>
      </w:pPr>
      <w:r>
        <w:rPr>
          <w:rFonts w:hint="eastAsia" w:ascii="宋体" w:hAnsi="宋体" w:cs="宋体"/>
        </w:rPr>
        <w:t>一、验收依据和验收标准</w:t>
      </w:r>
    </w:p>
    <w:p w14:paraId="1BB4589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1.验收标准一般以技术标书和合同规定验收。无论技术标书和合同，是否全部并准确列明验收所涉及的相关标准，均作为验收标准之一。</w:t>
      </w:r>
    </w:p>
    <w:p w14:paraId="3DCBD6FA">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2.如果验收过程中，发现招标文件、投标文件、答疑文件、技术交流文件等与技术标书、合同存在差异，原则上以涉及条款中对买方最有利条款为验收依据。</w:t>
      </w:r>
    </w:p>
    <w:p w14:paraId="7AFFBACC">
      <w:pPr>
        <w:pStyle w:val="237"/>
        <w:spacing w:line="360" w:lineRule="auto"/>
        <w:rPr>
          <w:rFonts w:ascii="宋体" w:hAnsi="宋体" w:cs="宋体"/>
        </w:rPr>
      </w:pPr>
      <w:r>
        <w:rPr>
          <w:rFonts w:hint="eastAsia" w:ascii="宋体" w:hAnsi="宋体" w:cs="宋体"/>
        </w:rPr>
        <w:t>二、检验</w:t>
      </w:r>
    </w:p>
    <w:p w14:paraId="4B8E9A2A">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如果采购货物涉及必要的或必需的检验，投标人应当在投标文件中明确可能涉及的检验费用，并将该费用包含在投标总报价之内；不作针对性澄清或说明的，视同包含在投标总价之内。基本约定如下：</w:t>
      </w:r>
    </w:p>
    <w:p w14:paraId="6FB4BEC2">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1.国产货物的检验一般由买卖双方共同进行或按照合同要求进行。</w:t>
      </w:r>
    </w:p>
    <w:p w14:paraId="6A8DB228">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2.进口货物的检验，卖方需要按照下述要求进行：</w:t>
      </w:r>
    </w:p>
    <w:p w14:paraId="7ED5B1C9">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2.1 进口货物发货前，应对货物的质量、型号、规格、性能和数量/重量作精密、全面的检验，并出具证明书，证明所供货物符合合同规定。</w:t>
      </w:r>
    </w:p>
    <w:p w14:paraId="1BFF4C03">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2.2 应依据合同规定的要求，提供买卖双方达成一致的货物的验收标准和装箱单，作为买方检验的依据。</w:t>
      </w:r>
    </w:p>
    <w:p w14:paraId="2E5A3785">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14:paraId="5168495C">
      <w:pPr>
        <w:pStyle w:val="237"/>
        <w:spacing w:line="360" w:lineRule="auto"/>
        <w:rPr>
          <w:rFonts w:ascii="宋体" w:hAnsi="宋体" w:cs="宋体"/>
        </w:rPr>
      </w:pPr>
      <w:r>
        <w:rPr>
          <w:rFonts w:hint="eastAsia" w:ascii="宋体" w:hAnsi="宋体" w:cs="宋体"/>
        </w:rPr>
        <w:t>三、验收基本条件</w:t>
      </w:r>
    </w:p>
    <w:p w14:paraId="031B14DE">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004D4F8A">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买卖双方按照合同约定执行了合同，同时货物完成了试运行并经检验合格，则具备验收条件。</w:t>
      </w:r>
    </w:p>
    <w:p w14:paraId="3A95D2FB">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1.预验收一般条件</w:t>
      </w:r>
    </w:p>
    <w:p w14:paraId="174BA3BB">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 卖方已经按照“供货范围”要求提供了预验收资料，并且资料齐全、完整和有效。</w:t>
      </w:r>
    </w:p>
    <w:p w14:paraId="1AA5D503">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 货物应完整且所有的零部件应该安装牢固，外观无损伤，所有的焊缝饱满、无残渣等缺陷。</w:t>
      </w:r>
    </w:p>
    <w:p w14:paraId="5761101D">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 货物的油漆质量应饱满、有光泽，无掉漆、无色差、无“桔皮”等不良现象（特殊标志除外）。</w:t>
      </w:r>
    </w:p>
    <w:p w14:paraId="714FE834">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1.4 货物标牌完整、清晰、明确。</w:t>
      </w:r>
    </w:p>
    <w:p w14:paraId="337AD23D">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 货物的安全要求符合中国最新的相关法律、法规、标准和规范以及合同要求。</w:t>
      </w:r>
    </w:p>
    <w:p w14:paraId="43B0874F">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2.终验收一般条件</w:t>
      </w:r>
    </w:p>
    <w:p w14:paraId="1810089F">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2.1 经过预验收而且没有出现新的质量问题，或者满足预验收条款。</w:t>
      </w:r>
    </w:p>
    <w:p w14:paraId="33BAB1A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2.2 货物安装调试完毕，并至少经过了验收要求的负荷试运行。</w:t>
      </w:r>
    </w:p>
    <w:p w14:paraId="44129CD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2.3 货物正常运行时，噪声等环境影响因素满足国家和当地环保主管部门规定，安全措施落实、有效。</w:t>
      </w:r>
    </w:p>
    <w:p w14:paraId="379FFC4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2.4 计量仪器、仪表配套合理，采用中国的法定计量单位，计量准确、灵敏可靠。保证设计指标和仪器说明书的参数的实现（提供合格证或第三方鉴定文件）。</w:t>
      </w:r>
    </w:p>
    <w:p w14:paraId="12DEB4F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2.5 试运行期间或之后无维修、调整等行为（特殊情况除外）。</w:t>
      </w:r>
    </w:p>
    <w:p w14:paraId="2666C86F">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2.6 货物质量、技术性能等，达到签定的技术标书和合同规定的终验收标准。</w:t>
      </w:r>
    </w:p>
    <w:p w14:paraId="6AF3219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3.终验收基本要求</w:t>
      </w:r>
    </w:p>
    <w:p w14:paraId="7DB596D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3.1 出现下列问题之一，视作验收失败：</w:t>
      </w:r>
    </w:p>
    <w:p w14:paraId="7A10B7A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3.1.1 设备验收时，其参数无法满足招标书中的技术要求。</w:t>
      </w:r>
    </w:p>
    <w:p w14:paraId="1D0B61BF">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3.1.2 在整个验收过程中发生关键零部件损坏或重大故障；</w:t>
      </w:r>
    </w:p>
    <w:p w14:paraId="2F602B9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3.1.3 一般性故障超过</w:t>
      </w:r>
      <w:r>
        <w:rPr>
          <w:rFonts w:hint="eastAsia" w:ascii="宋体" w:hAnsi="宋体" w:eastAsia="宋体" w:cs="宋体"/>
          <w:sz w:val="24"/>
          <w:szCs w:val="24"/>
          <w:u w:val="single"/>
          <w:shd w:val="pct10" w:color="auto" w:fill="FFFFFF"/>
        </w:rPr>
        <w:t>2</w:t>
      </w:r>
      <w:r>
        <w:rPr>
          <w:rFonts w:hint="eastAsia" w:ascii="宋体" w:hAnsi="宋体" w:eastAsia="宋体" w:cs="宋体"/>
          <w:sz w:val="24"/>
          <w:szCs w:val="24"/>
        </w:rPr>
        <w:t>次；</w:t>
      </w:r>
    </w:p>
    <w:p w14:paraId="6A98A28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3.1.4 更换的零部件货值超过总货值的</w:t>
      </w:r>
      <w:r>
        <w:rPr>
          <w:rFonts w:hint="eastAsia" w:ascii="宋体" w:hAnsi="宋体" w:eastAsia="宋体" w:cs="宋体"/>
          <w:sz w:val="24"/>
          <w:szCs w:val="24"/>
          <w:u w:val="single"/>
          <w:shd w:val="pct10" w:color="auto" w:fill="FFFFFF"/>
        </w:rPr>
        <w:t>1</w:t>
      </w:r>
      <w:r>
        <w:rPr>
          <w:rFonts w:hint="eastAsia" w:ascii="宋体" w:hAnsi="宋体" w:eastAsia="宋体" w:cs="宋体"/>
          <w:sz w:val="24"/>
          <w:szCs w:val="24"/>
        </w:rPr>
        <w:t>%。</w:t>
      </w:r>
    </w:p>
    <w:p w14:paraId="7D7BCE1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3.2 累计负载运行实际性能（或生产率）达不到合同规定；</w:t>
      </w:r>
    </w:p>
    <w:p w14:paraId="1DB7485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3.3 终验收原则上要求一次完成。若一次验收不成功，最多允许两次；如果出现第三次验收失败，重新作价或退货；</w:t>
      </w:r>
    </w:p>
    <w:p w14:paraId="180C3AC9">
      <w:pPr>
        <w:adjustRightInd w:val="0"/>
        <w:snapToGrid w:val="0"/>
        <w:spacing w:line="360" w:lineRule="auto"/>
        <w:ind w:firstLine="480" w:firstLineChars="200"/>
        <w:rPr>
          <w:rFonts w:ascii="宋体" w:hAnsi="宋体" w:eastAsia="宋体"/>
          <w:sz w:val="24"/>
          <w:szCs w:val="24"/>
        </w:rPr>
      </w:pPr>
      <w:r>
        <w:rPr>
          <w:rFonts w:hint="eastAsia" w:ascii="宋体" w:hAnsi="宋体" w:eastAsia="宋体" w:cs="宋体"/>
          <w:sz w:val="24"/>
          <w:szCs w:val="24"/>
        </w:rPr>
        <w:t>3.4 终验收通过后买卖双方共同签署终验收报告，并移交、核对全部供货范围内物品。</w:t>
      </w:r>
    </w:p>
    <w:p w14:paraId="6C4C5893">
      <w:pPr>
        <w:pStyle w:val="24"/>
        <w:spacing w:line="360" w:lineRule="auto"/>
      </w:pPr>
    </w:p>
    <w:p w14:paraId="3ABD399C">
      <w:pPr>
        <w:pStyle w:val="238"/>
        <w:spacing w:line="360" w:lineRule="auto"/>
        <w:jc w:val="center"/>
        <w:outlineLvl w:val="1"/>
        <w:rPr>
          <w:rFonts w:eastAsia="宋体"/>
          <w:b/>
          <w:bCs w:val="0"/>
          <w:iCs/>
          <w:color w:val="auto"/>
          <w:sz w:val="28"/>
        </w:rPr>
      </w:pPr>
      <w:bookmarkStart w:id="27" w:name="_Toc465187647"/>
      <w:r>
        <w:rPr>
          <w:rFonts w:eastAsia="宋体"/>
          <w:b/>
          <w:bCs w:val="0"/>
          <w:iCs/>
          <w:color w:val="auto"/>
          <w:sz w:val="28"/>
        </w:rPr>
        <w:t>第六章  投标技术文件一般要求</w:t>
      </w:r>
      <w:bookmarkEnd w:id="27"/>
    </w:p>
    <w:p w14:paraId="795D591E">
      <w:pPr>
        <w:pStyle w:val="237"/>
        <w:spacing w:line="360" w:lineRule="auto"/>
        <w:rPr>
          <w:color w:val="auto"/>
        </w:rPr>
      </w:pPr>
      <w:r>
        <w:rPr>
          <w:color w:val="auto"/>
        </w:rPr>
        <w:t>一、技术文件一般内容要求</w:t>
      </w:r>
    </w:p>
    <w:p w14:paraId="3EACA0E0">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14:paraId="5B6A9F7F">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14:paraId="72F728A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14:paraId="68A66A2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14:paraId="4011EC3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14:paraId="5A8B7E51">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14:paraId="22D71ED4">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6.1备品备件、易损件和专用耗材明细表：</w:t>
      </w:r>
    </w:p>
    <w:p w14:paraId="36C69702">
      <w:pPr>
        <w:adjustRightInd w:val="0"/>
        <w:snapToGrid w:val="0"/>
        <w:spacing w:line="420" w:lineRule="exact"/>
        <w:ind w:firstLine="1890" w:firstLineChars="900"/>
        <w:rPr>
          <w:rFonts w:ascii="宋体" w:hAnsi="宋体" w:eastAsia="宋体" w:cs="宋体"/>
        </w:rPr>
      </w:pPr>
      <w:r>
        <w:rPr>
          <w:rFonts w:hint="eastAsia" w:ascii="宋体" w:hAnsi="宋体" w:eastAsia="宋体" w:cs="宋体"/>
        </w:rPr>
        <w:t>备品备件、易损件和专用耗材明细表             单位：元</w:t>
      </w:r>
    </w:p>
    <w:tbl>
      <w:tblPr>
        <w:tblStyle w:val="48"/>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1D87C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6B1BB65C">
            <w:pPr>
              <w:adjustRightInd w:val="0"/>
              <w:snapToGrid w:val="0"/>
              <w:spacing w:line="360" w:lineRule="exact"/>
              <w:jc w:val="center"/>
              <w:rPr>
                <w:rFonts w:ascii="宋体" w:hAnsi="宋体" w:eastAsia="宋体" w:cs="宋体"/>
              </w:rPr>
            </w:pPr>
            <w:r>
              <w:rPr>
                <w:rFonts w:hint="eastAsia" w:ascii="宋体" w:hAnsi="宋体" w:eastAsia="宋体" w:cs="宋体"/>
              </w:rPr>
              <w:t>序号</w:t>
            </w:r>
          </w:p>
        </w:tc>
        <w:tc>
          <w:tcPr>
            <w:tcW w:w="1924" w:type="dxa"/>
            <w:noWrap w:val="0"/>
            <w:vAlign w:val="top"/>
          </w:tcPr>
          <w:p w14:paraId="757186A3">
            <w:pPr>
              <w:adjustRightInd w:val="0"/>
              <w:snapToGrid w:val="0"/>
              <w:spacing w:line="360" w:lineRule="exact"/>
              <w:jc w:val="center"/>
              <w:rPr>
                <w:rFonts w:ascii="宋体" w:hAnsi="宋体" w:eastAsia="宋体" w:cs="宋体"/>
              </w:rPr>
            </w:pPr>
            <w:r>
              <w:rPr>
                <w:rFonts w:hint="eastAsia" w:ascii="宋体" w:hAnsi="宋体" w:eastAsia="宋体" w:cs="宋体"/>
              </w:rPr>
              <w:t>名称</w:t>
            </w:r>
          </w:p>
        </w:tc>
        <w:tc>
          <w:tcPr>
            <w:tcW w:w="1236" w:type="dxa"/>
            <w:noWrap w:val="0"/>
            <w:vAlign w:val="top"/>
          </w:tcPr>
          <w:p w14:paraId="7ED7C3E0">
            <w:pPr>
              <w:adjustRightInd w:val="0"/>
              <w:snapToGrid w:val="0"/>
              <w:spacing w:line="360" w:lineRule="exact"/>
              <w:jc w:val="center"/>
              <w:rPr>
                <w:rFonts w:ascii="宋体" w:hAnsi="宋体" w:eastAsia="宋体" w:cs="宋体"/>
              </w:rPr>
            </w:pPr>
            <w:r>
              <w:rPr>
                <w:rFonts w:hint="eastAsia" w:ascii="宋体" w:hAnsi="宋体" w:eastAsia="宋体" w:cs="宋体"/>
              </w:rPr>
              <w:t>型号规格</w:t>
            </w:r>
          </w:p>
        </w:tc>
        <w:tc>
          <w:tcPr>
            <w:tcW w:w="720" w:type="dxa"/>
            <w:noWrap w:val="0"/>
            <w:vAlign w:val="top"/>
          </w:tcPr>
          <w:p w14:paraId="6C96394A">
            <w:pPr>
              <w:adjustRightInd w:val="0"/>
              <w:snapToGrid w:val="0"/>
              <w:spacing w:line="360" w:lineRule="exact"/>
              <w:jc w:val="center"/>
              <w:rPr>
                <w:rFonts w:ascii="宋体" w:hAnsi="宋体" w:eastAsia="宋体" w:cs="宋体"/>
              </w:rPr>
            </w:pPr>
            <w:r>
              <w:rPr>
                <w:rFonts w:hint="eastAsia" w:ascii="宋体" w:hAnsi="宋体" w:eastAsia="宋体" w:cs="宋体"/>
              </w:rPr>
              <w:t>单位</w:t>
            </w:r>
          </w:p>
        </w:tc>
        <w:tc>
          <w:tcPr>
            <w:tcW w:w="720" w:type="dxa"/>
            <w:noWrap w:val="0"/>
            <w:vAlign w:val="top"/>
          </w:tcPr>
          <w:p w14:paraId="3DD736B8">
            <w:pPr>
              <w:adjustRightInd w:val="0"/>
              <w:snapToGrid w:val="0"/>
              <w:spacing w:line="360" w:lineRule="exact"/>
              <w:jc w:val="center"/>
              <w:rPr>
                <w:rFonts w:ascii="宋体" w:hAnsi="宋体" w:eastAsia="宋体" w:cs="宋体"/>
              </w:rPr>
            </w:pPr>
            <w:r>
              <w:rPr>
                <w:rFonts w:hint="eastAsia" w:ascii="宋体" w:hAnsi="宋体" w:eastAsia="宋体" w:cs="宋体"/>
              </w:rPr>
              <w:t>数量</w:t>
            </w:r>
          </w:p>
        </w:tc>
        <w:tc>
          <w:tcPr>
            <w:tcW w:w="720" w:type="dxa"/>
            <w:noWrap w:val="0"/>
            <w:vAlign w:val="top"/>
          </w:tcPr>
          <w:p w14:paraId="152876F8">
            <w:pPr>
              <w:adjustRightInd w:val="0"/>
              <w:snapToGrid w:val="0"/>
              <w:spacing w:line="360" w:lineRule="exact"/>
              <w:jc w:val="center"/>
              <w:rPr>
                <w:rFonts w:ascii="宋体" w:hAnsi="宋体" w:eastAsia="宋体" w:cs="宋体"/>
              </w:rPr>
            </w:pPr>
            <w:r>
              <w:rPr>
                <w:rFonts w:hint="eastAsia" w:ascii="宋体" w:hAnsi="宋体" w:eastAsia="宋体" w:cs="宋体"/>
              </w:rPr>
              <w:t>单价</w:t>
            </w:r>
          </w:p>
        </w:tc>
        <w:tc>
          <w:tcPr>
            <w:tcW w:w="720" w:type="dxa"/>
            <w:noWrap w:val="0"/>
            <w:vAlign w:val="top"/>
          </w:tcPr>
          <w:p w14:paraId="10BCED72">
            <w:pPr>
              <w:adjustRightInd w:val="0"/>
              <w:snapToGrid w:val="0"/>
              <w:spacing w:line="360" w:lineRule="exact"/>
              <w:jc w:val="center"/>
              <w:rPr>
                <w:rFonts w:ascii="宋体" w:hAnsi="宋体" w:eastAsia="宋体" w:cs="宋体"/>
              </w:rPr>
            </w:pPr>
            <w:r>
              <w:rPr>
                <w:rFonts w:hint="eastAsia" w:ascii="宋体" w:hAnsi="宋体" w:eastAsia="宋体" w:cs="宋体"/>
              </w:rPr>
              <w:t>总价</w:t>
            </w:r>
          </w:p>
        </w:tc>
        <w:tc>
          <w:tcPr>
            <w:tcW w:w="2235" w:type="dxa"/>
            <w:noWrap w:val="0"/>
            <w:vAlign w:val="top"/>
          </w:tcPr>
          <w:p w14:paraId="551E9766">
            <w:pPr>
              <w:adjustRightInd w:val="0"/>
              <w:snapToGrid w:val="0"/>
              <w:spacing w:line="360" w:lineRule="exact"/>
              <w:jc w:val="center"/>
              <w:rPr>
                <w:rFonts w:ascii="宋体" w:hAnsi="宋体" w:eastAsia="宋体" w:cs="宋体"/>
              </w:rPr>
            </w:pPr>
            <w:r>
              <w:rPr>
                <w:rFonts w:hint="eastAsia" w:ascii="宋体" w:hAnsi="宋体" w:eastAsia="宋体" w:cs="宋体"/>
              </w:rPr>
              <w:t>制造商</w:t>
            </w:r>
          </w:p>
        </w:tc>
      </w:tr>
      <w:tr w14:paraId="4944C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3935E1DA">
            <w:pPr>
              <w:adjustRightInd w:val="0"/>
              <w:snapToGrid w:val="0"/>
              <w:spacing w:line="360" w:lineRule="exact"/>
              <w:jc w:val="center"/>
              <w:rPr>
                <w:rFonts w:ascii="宋体" w:hAnsi="宋体" w:eastAsia="宋体" w:cs="宋体"/>
              </w:rPr>
            </w:pPr>
          </w:p>
        </w:tc>
        <w:tc>
          <w:tcPr>
            <w:tcW w:w="1924" w:type="dxa"/>
            <w:noWrap w:val="0"/>
            <w:vAlign w:val="top"/>
          </w:tcPr>
          <w:p w14:paraId="100165FB">
            <w:pPr>
              <w:adjustRightInd w:val="0"/>
              <w:snapToGrid w:val="0"/>
              <w:spacing w:line="360" w:lineRule="exact"/>
              <w:rPr>
                <w:rFonts w:ascii="宋体" w:hAnsi="宋体" w:eastAsia="宋体" w:cs="宋体"/>
              </w:rPr>
            </w:pPr>
          </w:p>
        </w:tc>
        <w:tc>
          <w:tcPr>
            <w:tcW w:w="1236" w:type="dxa"/>
            <w:noWrap w:val="0"/>
            <w:vAlign w:val="top"/>
          </w:tcPr>
          <w:p w14:paraId="4447842B">
            <w:pPr>
              <w:adjustRightInd w:val="0"/>
              <w:snapToGrid w:val="0"/>
              <w:spacing w:line="360" w:lineRule="exact"/>
              <w:rPr>
                <w:rFonts w:ascii="宋体" w:hAnsi="宋体" w:eastAsia="宋体" w:cs="宋体"/>
              </w:rPr>
            </w:pPr>
          </w:p>
        </w:tc>
        <w:tc>
          <w:tcPr>
            <w:tcW w:w="720" w:type="dxa"/>
            <w:noWrap w:val="0"/>
            <w:vAlign w:val="top"/>
          </w:tcPr>
          <w:p w14:paraId="709BC098">
            <w:pPr>
              <w:adjustRightInd w:val="0"/>
              <w:snapToGrid w:val="0"/>
              <w:spacing w:line="360" w:lineRule="exact"/>
              <w:jc w:val="center"/>
              <w:rPr>
                <w:rFonts w:ascii="宋体" w:hAnsi="宋体" w:eastAsia="宋体" w:cs="宋体"/>
              </w:rPr>
            </w:pPr>
          </w:p>
        </w:tc>
        <w:tc>
          <w:tcPr>
            <w:tcW w:w="720" w:type="dxa"/>
            <w:noWrap w:val="0"/>
            <w:vAlign w:val="top"/>
          </w:tcPr>
          <w:p w14:paraId="7484FDD1">
            <w:pPr>
              <w:adjustRightInd w:val="0"/>
              <w:snapToGrid w:val="0"/>
              <w:spacing w:line="360" w:lineRule="exact"/>
              <w:jc w:val="center"/>
              <w:rPr>
                <w:rFonts w:ascii="宋体" w:hAnsi="宋体" w:eastAsia="宋体" w:cs="宋体"/>
              </w:rPr>
            </w:pPr>
          </w:p>
        </w:tc>
        <w:tc>
          <w:tcPr>
            <w:tcW w:w="720" w:type="dxa"/>
            <w:noWrap w:val="0"/>
            <w:vAlign w:val="top"/>
          </w:tcPr>
          <w:p w14:paraId="5BA7839D">
            <w:pPr>
              <w:adjustRightInd w:val="0"/>
              <w:snapToGrid w:val="0"/>
              <w:spacing w:line="360" w:lineRule="exact"/>
              <w:jc w:val="center"/>
              <w:rPr>
                <w:rFonts w:ascii="宋体" w:hAnsi="宋体" w:eastAsia="宋体" w:cs="宋体"/>
              </w:rPr>
            </w:pPr>
          </w:p>
        </w:tc>
        <w:tc>
          <w:tcPr>
            <w:tcW w:w="720" w:type="dxa"/>
            <w:noWrap w:val="0"/>
            <w:vAlign w:val="top"/>
          </w:tcPr>
          <w:p w14:paraId="6E607E01">
            <w:pPr>
              <w:adjustRightInd w:val="0"/>
              <w:snapToGrid w:val="0"/>
              <w:spacing w:line="360" w:lineRule="exact"/>
              <w:jc w:val="center"/>
              <w:rPr>
                <w:rFonts w:ascii="宋体" w:hAnsi="宋体" w:eastAsia="宋体" w:cs="宋体"/>
              </w:rPr>
            </w:pPr>
          </w:p>
        </w:tc>
        <w:tc>
          <w:tcPr>
            <w:tcW w:w="2235" w:type="dxa"/>
            <w:noWrap w:val="0"/>
            <w:vAlign w:val="top"/>
          </w:tcPr>
          <w:p w14:paraId="50FB5121">
            <w:pPr>
              <w:adjustRightInd w:val="0"/>
              <w:snapToGrid w:val="0"/>
              <w:spacing w:line="360" w:lineRule="exact"/>
              <w:rPr>
                <w:rFonts w:ascii="宋体" w:hAnsi="宋体" w:eastAsia="宋体" w:cs="宋体"/>
              </w:rPr>
            </w:pPr>
          </w:p>
        </w:tc>
      </w:tr>
      <w:tr w14:paraId="70246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71278AE8">
            <w:pPr>
              <w:adjustRightInd w:val="0"/>
              <w:snapToGrid w:val="0"/>
              <w:spacing w:line="360" w:lineRule="exact"/>
              <w:jc w:val="center"/>
              <w:rPr>
                <w:rFonts w:ascii="宋体" w:hAnsi="宋体" w:eastAsia="宋体" w:cs="宋体"/>
              </w:rPr>
            </w:pPr>
          </w:p>
        </w:tc>
        <w:tc>
          <w:tcPr>
            <w:tcW w:w="1924" w:type="dxa"/>
            <w:noWrap w:val="0"/>
            <w:vAlign w:val="top"/>
          </w:tcPr>
          <w:p w14:paraId="5DFF3551">
            <w:pPr>
              <w:adjustRightInd w:val="0"/>
              <w:snapToGrid w:val="0"/>
              <w:spacing w:line="360" w:lineRule="exact"/>
              <w:rPr>
                <w:rFonts w:ascii="宋体" w:hAnsi="宋体" w:eastAsia="宋体" w:cs="宋体"/>
              </w:rPr>
            </w:pPr>
          </w:p>
        </w:tc>
        <w:tc>
          <w:tcPr>
            <w:tcW w:w="1236" w:type="dxa"/>
            <w:noWrap w:val="0"/>
            <w:vAlign w:val="top"/>
          </w:tcPr>
          <w:p w14:paraId="3265CB6A">
            <w:pPr>
              <w:adjustRightInd w:val="0"/>
              <w:snapToGrid w:val="0"/>
              <w:spacing w:line="360" w:lineRule="exact"/>
              <w:rPr>
                <w:rFonts w:ascii="宋体" w:hAnsi="宋体" w:eastAsia="宋体" w:cs="宋体"/>
              </w:rPr>
            </w:pPr>
          </w:p>
        </w:tc>
        <w:tc>
          <w:tcPr>
            <w:tcW w:w="720" w:type="dxa"/>
            <w:noWrap w:val="0"/>
            <w:vAlign w:val="top"/>
          </w:tcPr>
          <w:p w14:paraId="58EDC2F8">
            <w:pPr>
              <w:adjustRightInd w:val="0"/>
              <w:snapToGrid w:val="0"/>
              <w:spacing w:line="360" w:lineRule="exact"/>
              <w:jc w:val="center"/>
              <w:rPr>
                <w:rFonts w:ascii="宋体" w:hAnsi="宋体" w:eastAsia="宋体" w:cs="宋体"/>
              </w:rPr>
            </w:pPr>
          </w:p>
        </w:tc>
        <w:tc>
          <w:tcPr>
            <w:tcW w:w="720" w:type="dxa"/>
            <w:noWrap w:val="0"/>
            <w:vAlign w:val="top"/>
          </w:tcPr>
          <w:p w14:paraId="56D546D9">
            <w:pPr>
              <w:adjustRightInd w:val="0"/>
              <w:snapToGrid w:val="0"/>
              <w:spacing w:line="360" w:lineRule="exact"/>
              <w:jc w:val="center"/>
              <w:rPr>
                <w:rFonts w:ascii="宋体" w:hAnsi="宋体" w:eastAsia="宋体" w:cs="宋体"/>
              </w:rPr>
            </w:pPr>
          </w:p>
        </w:tc>
        <w:tc>
          <w:tcPr>
            <w:tcW w:w="720" w:type="dxa"/>
            <w:noWrap w:val="0"/>
            <w:vAlign w:val="top"/>
          </w:tcPr>
          <w:p w14:paraId="1C6061AC">
            <w:pPr>
              <w:adjustRightInd w:val="0"/>
              <w:snapToGrid w:val="0"/>
              <w:spacing w:line="360" w:lineRule="exact"/>
              <w:jc w:val="center"/>
              <w:rPr>
                <w:rFonts w:ascii="宋体" w:hAnsi="宋体" w:eastAsia="宋体" w:cs="宋体"/>
              </w:rPr>
            </w:pPr>
          </w:p>
        </w:tc>
        <w:tc>
          <w:tcPr>
            <w:tcW w:w="720" w:type="dxa"/>
            <w:noWrap w:val="0"/>
            <w:vAlign w:val="top"/>
          </w:tcPr>
          <w:p w14:paraId="434ADA86">
            <w:pPr>
              <w:adjustRightInd w:val="0"/>
              <w:snapToGrid w:val="0"/>
              <w:spacing w:line="360" w:lineRule="exact"/>
              <w:jc w:val="center"/>
              <w:rPr>
                <w:rFonts w:ascii="宋体" w:hAnsi="宋体" w:eastAsia="宋体" w:cs="宋体"/>
              </w:rPr>
            </w:pPr>
          </w:p>
        </w:tc>
        <w:tc>
          <w:tcPr>
            <w:tcW w:w="2235" w:type="dxa"/>
            <w:noWrap w:val="0"/>
            <w:vAlign w:val="top"/>
          </w:tcPr>
          <w:p w14:paraId="5192908D">
            <w:pPr>
              <w:adjustRightInd w:val="0"/>
              <w:snapToGrid w:val="0"/>
              <w:spacing w:line="360" w:lineRule="exact"/>
              <w:rPr>
                <w:rFonts w:ascii="宋体" w:hAnsi="宋体" w:eastAsia="宋体" w:cs="宋体"/>
              </w:rPr>
            </w:pPr>
          </w:p>
        </w:tc>
      </w:tr>
      <w:tr w14:paraId="778B2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4EC8368F">
            <w:pPr>
              <w:adjustRightInd w:val="0"/>
              <w:snapToGrid w:val="0"/>
              <w:spacing w:line="360" w:lineRule="exact"/>
              <w:jc w:val="center"/>
              <w:rPr>
                <w:rFonts w:ascii="宋体" w:hAnsi="宋体" w:eastAsia="宋体" w:cs="宋体"/>
              </w:rPr>
            </w:pPr>
          </w:p>
        </w:tc>
        <w:tc>
          <w:tcPr>
            <w:tcW w:w="1924" w:type="dxa"/>
            <w:noWrap w:val="0"/>
            <w:vAlign w:val="top"/>
          </w:tcPr>
          <w:p w14:paraId="62C1787E">
            <w:pPr>
              <w:adjustRightInd w:val="0"/>
              <w:snapToGrid w:val="0"/>
              <w:spacing w:line="360" w:lineRule="exact"/>
              <w:rPr>
                <w:rFonts w:ascii="宋体" w:hAnsi="宋体" w:eastAsia="宋体" w:cs="宋体"/>
              </w:rPr>
            </w:pPr>
          </w:p>
        </w:tc>
        <w:tc>
          <w:tcPr>
            <w:tcW w:w="1236" w:type="dxa"/>
            <w:noWrap w:val="0"/>
            <w:vAlign w:val="top"/>
          </w:tcPr>
          <w:p w14:paraId="0EAC4867">
            <w:pPr>
              <w:adjustRightInd w:val="0"/>
              <w:snapToGrid w:val="0"/>
              <w:spacing w:line="360" w:lineRule="exact"/>
              <w:rPr>
                <w:rFonts w:ascii="宋体" w:hAnsi="宋体" w:eastAsia="宋体" w:cs="宋体"/>
              </w:rPr>
            </w:pPr>
          </w:p>
        </w:tc>
        <w:tc>
          <w:tcPr>
            <w:tcW w:w="720" w:type="dxa"/>
            <w:noWrap w:val="0"/>
            <w:vAlign w:val="top"/>
          </w:tcPr>
          <w:p w14:paraId="237D145C">
            <w:pPr>
              <w:adjustRightInd w:val="0"/>
              <w:snapToGrid w:val="0"/>
              <w:spacing w:line="360" w:lineRule="exact"/>
              <w:jc w:val="center"/>
              <w:rPr>
                <w:rFonts w:ascii="宋体" w:hAnsi="宋体" w:eastAsia="宋体" w:cs="宋体"/>
              </w:rPr>
            </w:pPr>
          </w:p>
        </w:tc>
        <w:tc>
          <w:tcPr>
            <w:tcW w:w="720" w:type="dxa"/>
            <w:noWrap w:val="0"/>
            <w:vAlign w:val="top"/>
          </w:tcPr>
          <w:p w14:paraId="211F3EF9">
            <w:pPr>
              <w:adjustRightInd w:val="0"/>
              <w:snapToGrid w:val="0"/>
              <w:spacing w:line="360" w:lineRule="exact"/>
              <w:jc w:val="center"/>
              <w:rPr>
                <w:rFonts w:ascii="宋体" w:hAnsi="宋体" w:eastAsia="宋体" w:cs="宋体"/>
              </w:rPr>
            </w:pPr>
          </w:p>
        </w:tc>
        <w:tc>
          <w:tcPr>
            <w:tcW w:w="720" w:type="dxa"/>
            <w:noWrap w:val="0"/>
            <w:vAlign w:val="top"/>
          </w:tcPr>
          <w:p w14:paraId="12DB59D3">
            <w:pPr>
              <w:adjustRightInd w:val="0"/>
              <w:snapToGrid w:val="0"/>
              <w:spacing w:line="360" w:lineRule="exact"/>
              <w:jc w:val="center"/>
              <w:rPr>
                <w:rFonts w:ascii="宋体" w:hAnsi="宋体" w:eastAsia="宋体" w:cs="宋体"/>
              </w:rPr>
            </w:pPr>
          </w:p>
        </w:tc>
        <w:tc>
          <w:tcPr>
            <w:tcW w:w="720" w:type="dxa"/>
            <w:noWrap w:val="0"/>
            <w:vAlign w:val="top"/>
          </w:tcPr>
          <w:p w14:paraId="0F864CAD">
            <w:pPr>
              <w:adjustRightInd w:val="0"/>
              <w:snapToGrid w:val="0"/>
              <w:spacing w:line="360" w:lineRule="exact"/>
              <w:jc w:val="center"/>
              <w:rPr>
                <w:rFonts w:ascii="宋体" w:hAnsi="宋体" w:eastAsia="宋体" w:cs="宋体"/>
              </w:rPr>
            </w:pPr>
          </w:p>
        </w:tc>
        <w:tc>
          <w:tcPr>
            <w:tcW w:w="2235" w:type="dxa"/>
            <w:noWrap w:val="0"/>
            <w:vAlign w:val="top"/>
          </w:tcPr>
          <w:p w14:paraId="5FB3BA9E">
            <w:pPr>
              <w:adjustRightInd w:val="0"/>
              <w:snapToGrid w:val="0"/>
              <w:spacing w:line="360" w:lineRule="exact"/>
              <w:rPr>
                <w:rFonts w:ascii="宋体" w:hAnsi="宋体" w:eastAsia="宋体" w:cs="宋体"/>
              </w:rPr>
            </w:pPr>
          </w:p>
        </w:tc>
      </w:tr>
      <w:tr w14:paraId="41761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4375B141">
            <w:pPr>
              <w:adjustRightInd w:val="0"/>
              <w:snapToGrid w:val="0"/>
              <w:spacing w:line="360" w:lineRule="exact"/>
              <w:jc w:val="center"/>
              <w:rPr>
                <w:rFonts w:ascii="宋体" w:hAnsi="宋体" w:eastAsia="宋体" w:cs="宋体"/>
              </w:rPr>
            </w:pPr>
          </w:p>
        </w:tc>
        <w:tc>
          <w:tcPr>
            <w:tcW w:w="1924" w:type="dxa"/>
            <w:noWrap w:val="0"/>
            <w:vAlign w:val="top"/>
          </w:tcPr>
          <w:p w14:paraId="23386BC6">
            <w:pPr>
              <w:adjustRightInd w:val="0"/>
              <w:snapToGrid w:val="0"/>
              <w:spacing w:line="360" w:lineRule="exact"/>
              <w:rPr>
                <w:rFonts w:ascii="宋体" w:hAnsi="宋体" w:eastAsia="宋体" w:cs="宋体"/>
              </w:rPr>
            </w:pPr>
          </w:p>
        </w:tc>
        <w:tc>
          <w:tcPr>
            <w:tcW w:w="1236" w:type="dxa"/>
            <w:noWrap w:val="0"/>
            <w:vAlign w:val="top"/>
          </w:tcPr>
          <w:p w14:paraId="3C479394">
            <w:pPr>
              <w:adjustRightInd w:val="0"/>
              <w:snapToGrid w:val="0"/>
              <w:spacing w:line="360" w:lineRule="exact"/>
              <w:rPr>
                <w:rFonts w:ascii="宋体" w:hAnsi="宋体" w:eastAsia="宋体" w:cs="宋体"/>
              </w:rPr>
            </w:pPr>
          </w:p>
        </w:tc>
        <w:tc>
          <w:tcPr>
            <w:tcW w:w="720" w:type="dxa"/>
            <w:noWrap w:val="0"/>
            <w:vAlign w:val="top"/>
          </w:tcPr>
          <w:p w14:paraId="0D86F790">
            <w:pPr>
              <w:adjustRightInd w:val="0"/>
              <w:snapToGrid w:val="0"/>
              <w:spacing w:line="360" w:lineRule="exact"/>
              <w:jc w:val="center"/>
              <w:rPr>
                <w:rFonts w:ascii="宋体" w:hAnsi="宋体" w:eastAsia="宋体" w:cs="宋体"/>
              </w:rPr>
            </w:pPr>
          </w:p>
        </w:tc>
        <w:tc>
          <w:tcPr>
            <w:tcW w:w="720" w:type="dxa"/>
            <w:noWrap w:val="0"/>
            <w:vAlign w:val="top"/>
          </w:tcPr>
          <w:p w14:paraId="782A4CB4">
            <w:pPr>
              <w:adjustRightInd w:val="0"/>
              <w:snapToGrid w:val="0"/>
              <w:spacing w:line="360" w:lineRule="exact"/>
              <w:jc w:val="center"/>
              <w:rPr>
                <w:rFonts w:ascii="宋体" w:hAnsi="宋体" w:eastAsia="宋体" w:cs="宋体"/>
              </w:rPr>
            </w:pPr>
          </w:p>
        </w:tc>
        <w:tc>
          <w:tcPr>
            <w:tcW w:w="720" w:type="dxa"/>
            <w:noWrap w:val="0"/>
            <w:vAlign w:val="top"/>
          </w:tcPr>
          <w:p w14:paraId="29822412">
            <w:pPr>
              <w:adjustRightInd w:val="0"/>
              <w:snapToGrid w:val="0"/>
              <w:spacing w:line="360" w:lineRule="exact"/>
              <w:jc w:val="center"/>
              <w:rPr>
                <w:rFonts w:ascii="宋体" w:hAnsi="宋体" w:eastAsia="宋体" w:cs="宋体"/>
              </w:rPr>
            </w:pPr>
          </w:p>
        </w:tc>
        <w:tc>
          <w:tcPr>
            <w:tcW w:w="720" w:type="dxa"/>
            <w:noWrap w:val="0"/>
            <w:vAlign w:val="top"/>
          </w:tcPr>
          <w:p w14:paraId="42DA2C0B">
            <w:pPr>
              <w:adjustRightInd w:val="0"/>
              <w:snapToGrid w:val="0"/>
              <w:spacing w:line="360" w:lineRule="exact"/>
              <w:jc w:val="center"/>
              <w:rPr>
                <w:rFonts w:ascii="宋体" w:hAnsi="宋体" w:eastAsia="宋体" w:cs="宋体"/>
              </w:rPr>
            </w:pPr>
          </w:p>
        </w:tc>
        <w:tc>
          <w:tcPr>
            <w:tcW w:w="2235" w:type="dxa"/>
            <w:noWrap w:val="0"/>
            <w:vAlign w:val="top"/>
          </w:tcPr>
          <w:p w14:paraId="3D704BCF">
            <w:pPr>
              <w:adjustRightInd w:val="0"/>
              <w:snapToGrid w:val="0"/>
              <w:spacing w:line="360" w:lineRule="exact"/>
              <w:rPr>
                <w:rFonts w:ascii="宋体" w:hAnsi="宋体" w:eastAsia="宋体" w:cs="宋体"/>
              </w:rPr>
            </w:pPr>
          </w:p>
        </w:tc>
      </w:tr>
      <w:tr w14:paraId="68161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3DB5D6E6">
            <w:pPr>
              <w:adjustRightInd w:val="0"/>
              <w:snapToGrid w:val="0"/>
              <w:spacing w:line="360" w:lineRule="exact"/>
              <w:jc w:val="center"/>
              <w:rPr>
                <w:rFonts w:ascii="宋体" w:hAnsi="宋体" w:eastAsia="宋体" w:cs="宋体"/>
              </w:rPr>
            </w:pPr>
          </w:p>
        </w:tc>
        <w:tc>
          <w:tcPr>
            <w:tcW w:w="1924" w:type="dxa"/>
            <w:noWrap w:val="0"/>
            <w:vAlign w:val="top"/>
          </w:tcPr>
          <w:p w14:paraId="7C5E77B7">
            <w:pPr>
              <w:adjustRightInd w:val="0"/>
              <w:snapToGrid w:val="0"/>
              <w:spacing w:line="360" w:lineRule="exact"/>
              <w:rPr>
                <w:rFonts w:ascii="宋体" w:hAnsi="宋体" w:eastAsia="宋体" w:cs="宋体"/>
              </w:rPr>
            </w:pPr>
          </w:p>
        </w:tc>
        <w:tc>
          <w:tcPr>
            <w:tcW w:w="1236" w:type="dxa"/>
            <w:noWrap w:val="0"/>
            <w:vAlign w:val="top"/>
          </w:tcPr>
          <w:p w14:paraId="5661309C">
            <w:pPr>
              <w:adjustRightInd w:val="0"/>
              <w:snapToGrid w:val="0"/>
              <w:spacing w:line="360" w:lineRule="exact"/>
              <w:rPr>
                <w:rFonts w:ascii="宋体" w:hAnsi="宋体" w:eastAsia="宋体" w:cs="宋体"/>
              </w:rPr>
            </w:pPr>
          </w:p>
        </w:tc>
        <w:tc>
          <w:tcPr>
            <w:tcW w:w="720" w:type="dxa"/>
            <w:noWrap w:val="0"/>
            <w:vAlign w:val="top"/>
          </w:tcPr>
          <w:p w14:paraId="5804043D">
            <w:pPr>
              <w:adjustRightInd w:val="0"/>
              <w:snapToGrid w:val="0"/>
              <w:spacing w:line="360" w:lineRule="exact"/>
              <w:jc w:val="center"/>
              <w:rPr>
                <w:rFonts w:ascii="宋体" w:hAnsi="宋体" w:eastAsia="宋体" w:cs="宋体"/>
              </w:rPr>
            </w:pPr>
          </w:p>
        </w:tc>
        <w:tc>
          <w:tcPr>
            <w:tcW w:w="720" w:type="dxa"/>
            <w:noWrap w:val="0"/>
            <w:vAlign w:val="top"/>
          </w:tcPr>
          <w:p w14:paraId="0E5A9F85">
            <w:pPr>
              <w:adjustRightInd w:val="0"/>
              <w:snapToGrid w:val="0"/>
              <w:spacing w:line="360" w:lineRule="exact"/>
              <w:jc w:val="center"/>
              <w:rPr>
                <w:rFonts w:ascii="宋体" w:hAnsi="宋体" w:eastAsia="宋体" w:cs="宋体"/>
              </w:rPr>
            </w:pPr>
          </w:p>
        </w:tc>
        <w:tc>
          <w:tcPr>
            <w:tcW w:w="720" w:type="dxa"/>
            <w:noWrap w:val="0"/>
            <w:vAlign w:val="top"/>
          </w:tcPr>
          <w:p w14:paraId="1EF9AD21">
            <w:pPr>
              <w:adjustRightInd w:val="0"/>
              <w:snapToGrid w:val="0"/>
              <w:spacing w:line="360" w:lineRule="exact"/>
              <w:jc w:val="center"/>
              <w:rPr>
                <w:rFonts w:ascii="宋体" w:hAnsi="宋体" w:eastAsia="宋体" w:cs="宋体"/>
              </w:rPr>
            </w:pPr>
          </w:p>
        </w:tc>
        <w:tc>
          <w:tcPr>
            <w:tcW w:w="720" w:type="dxa"/>
            <w:noWrap w:val="0"/>
            <w:vAlign w:val="top"/>
          </w:tcPr>
          <w:p w14:paraId="6A1F5D84">
            <w:pPr>
              <w:adjustRightInd w:val="0"/>
              <w:snapToGrid w:val="0"/>
              <w:spacing w:line="360" w:lineRule="exact"/>
              <w:jc w:val="center"/>
              <w:rPr>
                <w:rFonts w:ascii="宋体" w:hAnsi="宋体" w:eastAsia="宋体" w:cs="宋体"/>
              </w:rPr>
            </w:pPr>
          </w:p>
        </w:tc>
        <w:tc>
          <w:tcPr>
            <w:tcW w:w="2235" w:type="dxa"/>
            <w:noWrap w:val="0"/>
            <w:vAlign w:val="top"/>
          </w:tcPr>
          <w:p w14:paraId="671C0A67">
            <w:pPr>
              <w:adjustRightInd w:val="0"/>
              <w:snapToGrid w:val="0"/>
              <w:spacing w:line="360" w:lineRule="exact"/>
              <w:rPr>
                <w:rFonts w:ascii="宋体" w:hAnsi="宋体" w:eastAsia="宋体" w:cs="宋体"/>
              </w:rPr>
            </w:pPr>
          </w:p>
        </w:tc>
      </w:tr>
      <w:tr w14:paraId="685E8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479630B9">
            <w:pPr>
              <w:adjustRightInd w:val="0"/>
              <w:snapToGrid w:val="0"/>
              <w:spacing w:line="360" w:lineRule="exact"/>
              <w:jc w:val="center"/>
              <w:rPr>
                <w:rFonts w:ascii="宋体" w:hAnsi="宋体" w:eastAsia="宋体" w:cs="宋体"/>
              </w:rPr>
            </w:pPr>
          </w:p>
        </w:tc>
        <w:tc>
          <w:tcPr>
            <w:tcW w:w="1924" w:type="dxa"/>
            <w:noWrap w:val="0"/>
            <w:vAlign w:val="top"/>
          </w:tcPr>
          <w:p w14:paraId="74DC794B">
            <w:pPr>
              <w:adjustRightInd w:val="0"/>
              <w:snapToGrid w:val="0"/>
              <w:spacing w:line="360" w:lineRule="exact"/>
              <w:rPr>
                <w:rFonts w:ascii="宋体" w:hAnsi="宋体" w:eastAsia="宋体" w:cs="宋体"/>
              </w:rPr>
            </w:pPr>
          </w:p>
        </w:tc>
        <w:tc>
          <w:tcPr>
            <w:tcW w:w="1236" w:type="dxa"/>
            <w:noWrap w:val="0"/>
            <w:vAlign w:val="top"/>
          </w:tcPr>
          <w:p w14:paraId="0F2257EB">
            <w:pPr>
              <w:adjustRightInd w:val="0"/>
              <w:snapToGrid w:val="0"/>
              <w:spacing w:line="360" w:lineRule="exact"/>
              <w:rPr>
                <w:rFonts w:ascii="宋体" w:hAnsi="宋体" w:eastAsia="宋体" w:cs="宋体"/>
              </w:rPr>
            </w:pPr>
          </w:p>
        </w:tc>
        <w:tc>
          <w:tcPr>
            <w:tcW w:w="720" w:type="dxa"/>
            <w:noWrap w:val="0"/>
            <w:vAlign w:val="top"/>
          </w:tcPr>
          <w:p w14:paraId="0B6D067F">
            <w:pPr>
              <w:adjustRightInd w:val="0"/>
              <w:snapToGrid w:val="0"/>
              <w:spacing w:line="360" w:lineRule="exact"/>
              <w:jc w:val="center"/>
              <w:rPr>
                <w:rFonts w:ascii="宋体" w:hAnsi="宋体" w:eastAsia="宋体" w:cs="宋体"/>
              </w:rPr>
            </w:pPr>
          </w:p>
        </w:tc>
        <w:tc>
          <w:tcPr>
            <w:tcW w:w="720" w:type="dxa"/>
            <w:noWrap w:val="0"/>
            <w:vAlign w:val="top"/>
          </w:tcPr>
          <w:p w14:paraId="1A4A0C96">
            <w:pPr>
              <w:adjustRightInd w:val="0"/>
              <w:snapToGrid w:val="0"/>
              <w:spacing w:line="360" w:lineRule="exact"/>
              <w:jc w:val="center"/>
              <w:rPr>
                <w:rFonts w:ascii="宋体" w:hAnsi="宋体" w:eastAsia="宋体" w:cs="宋体"/>
              </w:rPr>
            </w:pPr>
          </w:p>
        </w:tc>
        <w:tc>
          <w:tcPr>
            <w:tcW w:w="720" w:type="dxa"/>
            <w:noWrap w:val="0"/>
            <w:vAlign w:val="top"/>
          </w:tcPr>
          <w:p w14:paraId="4C45AD81">
            <w:pPr>
              <w:adjustRightInd w:val="0"/>
              <w:snapToGrid w:val="0"/>
              <w:spacing w:line="360" w:lineRule="exact"/>
              <w:jc w:val="center"/>
              <w:rPr>
                <w:rFonts w:ascii="宋体" w:hAnsi="宋体" w:eastAsia="宋体" w:cs="宋体"/>
              </w:rPr>
            </w:pPr>
          </w:p>
        </w:tc>
        <w:tc>
          <w:tcPr>
            <w:tcW w:w="720" w:type="dxa"/>
            <w:noWrap w:val="0"/>
            <w:vAlign w:val="top"/>
          </w:tcPr>
          <w:p w14:paraId="1F6CC8DA">
            <w:pPr>
              <w:adjustRightInd w:val="0"/>
              <w:snapToGrid w:val="0"/>
              <w:spacing w:line="360" w:lineRule="exact"/>
              <w:jc w:val="center"/>
              <w:rPr>
                <w:rFonts w:ascii="宋体" w:hAnsi="宋体" w:eastAsia="宋体" w:cs="宋体"/>
              </w:rPr>
            </w:pPr>
          </w:p>
        </w:tc>
        <w:tc>
          <w:tcPr>
            <w:tcW w:w="2235" w:type="dxa"/>
            <w:noWrap w:val="0"/>
            <w:vAlign w:val="top"/>
          </w:tcPr>
          <w:p w14:paraId="43834B07">
            <w:pPr>
              <w:adjustRightInd w:val="0"/>
              <w:snapToGrid w:val="0"/>
              <w:spacing w:line="360" w:lineRule="exact"/>
              <w:rPr>
                <w:rFonts w:ascii="宋体" w:hAnsi="宋体" w:eastAsia="宋体" w:cs="宋体"/>
              </w:rPr>
            </w:pPr>
          </w:p>
        </w:tc>
      </w:tr>
    </w:tbl>
    <w:p w14:paraId="097BBBB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14:paraId="56D4689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14:paraId="09F7025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14:paraId="606D631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6.5  本条款表格中的制造商，应当为全称或公认的简称。</w:t>
      </w:r>
    </w:p>
    <w:p w14:paraId="42672F87">
      <w:pPr>
        <w:pStyle w:val="237"/>
        <w:spacing w:line="360" w:lineRule="auto"/>
        <w:rPr>
          <w:rFonts w:ascii="宋体" w:hAnsi="宋体" w:cs="宋体"/>
          <w:color w:val="auto"/>
        </w:rPr>
      </w:pPr>
      <w:r>
        <w:rPr>
          <w:rFonts w:hint="eastAsia" w:ascii="宋体" w:hAnsi="宋体" w:cs="宋体"/>
          <w:color w:val="auto"/>
        </w:rPr>
        <w:t>二、技术文件中货物报价格式要求</w:t>
      </w:r>
    </w:p>
    <w:p w14:paraId="72E633A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14:paraId="6E9DF89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14:paraId="393A9F4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14:paraId="2986D4B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14:paraId="215F40C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14:paraId="34A18D72">
      <w:pPr>
        <w:pStyle w:val="237"/>
        <w:spacing w:line="360" w:lineRule="auto"/>
        <w:rPr>
          <w:rFonts w:ascii="宋体" w:hAnsi="宋体" w:cs="宋体"/>
          <w:color w:val="auto"/>
        </w:rPr>
      </w:pPr>
      <w:r>
        <w:rPr>
          <w:rFonts w:hint="eastAsia" w:ascii="宋体" w:hAnsi="宋体" w:cs="宋体"/>
          <w:color w:val="auto"/>
        </w:rPr>
        <w:t>三、验收标准及内容要求</w:t>
      </w:r>
    </w:p>
    <w:p w14:paraId="37FE209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除招标文件明确的验收标准或内容之外，投标人应当在投标文件中提供预验收（必要时）和终验收的标准以及规程；在合同签定之前，经投标人和招标人双方洽谈确认并签署，以作为验收标准执行。</w:t>
      </w:r>
    </w:p>
    <w:p w14:paraId="13181657">
      <w:pPr>
        <w:pStyle w:val="3"/>
        <w:spacing w:before="120" w:after="120" w:line="360" w:lineRule="auto"/>
        <w:rPr>
          <w:rFonts w:ascii="宋体" w:hAnsi="宋体" w:eastAsia="宋体" w:cs="宋体"/>
          <w:b w:val="0"/>
          <w:sz w:val="24"/>
          <w:szCs w:val="24"/>
        </w:rPr>
        <w:sectPr>
          <w:footerReference r:id="rId5" w:type="first"/>
          <w:headerReference r:id="rId3" w:type="default"/>
          <w:footerReference r:id="rId4" w:type="default"/>
          <w:pgSz w:w="11906" w:h="16838"/>
          <w:pgMar w:top="1588" w:right="1418" w:bottom="1134" w:left="1418" w:header="851" w:footer="992" w:gutter="0"/>
          <w:pgNumType w:fmt="numberInDash"/>
          <w:cols w:space="720" w:num="1"/>
          <w:titlePg/>
          <w:docGrid w:linePitch="312" w:charSpace="0"/>
        </w:sectPr>
      </w:pPr>
    </w:p>
    <w:p w14:paraId="25810B1B">
      <w:pPr>
        <w:pStyle w:val="238"/>
        <w:jc w:val="center"/>
        <w:outlineLvl w:val="1"/>
        <w:rPr>
          <w:rFonts w:ascii="宋体" w:hAnsi="宋体" w:eastAsia="宋体" w:cs="宋体"/>
          <w:b/>
          <w:bCs w:val="0"/>
          <w:iCs/>
          <w:color w:val="auto"/>
          <w:sz w:val="28"/>
          <w:szCs w:val="22"/>
        </w:rPr>
      </w:pPr>
      <w:r>
        <w:rPr>
          <w:rFonts w:hint="eastAsia" w:ascii="宋体" w:hAnsi="宋体" w:eastAsia="宋体" w:cs="宋体"/>
          <w:b/>
          <w:bCs w:val="0"/>
          <w:iCs/>
          <w:color w:val="auto"/>
          <w:sz w:val="28"/>
          <w:szCs w:val="22"/>
        </w:rPr>
        <w:t>第七章  其它要求及说明</w:t>
      </w:r>
    </w:p>
    <w:p w14:paraId="34E46FAE">
      <w:pPr>
        <w:pStyle w:val="237"/>
        <w:spacing w:line="360" w:lineRule="auto"/>
        <w:rPr>
          <w:rFonts w:ascii="宋体" w:hAnsi="宋体" w:cs="宋体"/>
          <w:color w:val="auto"/>
        </w:rPr>
      </w:pPr>
      <w:r>
        <w:rPr>
          <w:rFonts w:hint="eastAsia" w:ascii="宋体" w:hAnsi="宋体" w:cs="宋体"/>
          <w:color w:val="auto"/>
        </w:rPr>
        <w:t>一、要求</w:t>
      </w:r>
    </w:p>
    <w:p w14:paraId="13B4C15E">
      <w:pPr>
        <w:pStyle w:val="27"/>
        <w:spacing w:after="0" w:line="360" w:lineRule="auto"/>
        <w:ind w:left="0" w:leftChars="0" w:firstLine="480" w:firstLineChars="200"/>
        <w:rPr>
          <w:rFonts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为保证本技术标书所列采购货物的质量以及先进性、可靠性、经济性和实用性，要求投标人在投标文件中，至少应具备以下资格证明文件或资料：</w:t>
      </w:r>
    </w:p>
    <w:p w14:paraId="7C75348C">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1.投标人应是独立法人或得到法人授权的机构。应当在投标文件中提供法人营业执照（复印件）、税务登记证以及组织机构代码证（国际供应商参考该要求提供有效证明文件），并保证其真实性和有效性。</w:t>
      </w:r>
    </w:p>
    <w:p w14:paraId="5AECA30C">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2.投标人应当是通过有关资格认证的法人。应当在投标文件中提供有效期内的资格认证证书，如：ISO9001、VDA6.1、QS9000等。</w:t>
      </w:r>
    </w:p>
    <w:p w14:paraId="162342F7">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3.国产设备应附有采购货物（或设备）涉及的由“中国质量认证中心”颁发的《中国国家强制性产品认证证书》（CCC证书）。</w:t>
      </w:r>
    </w:p>
    <w:p w14:paraId="5355A33D">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4.应附有其它与投标人、采购货物有关的荣誉证书或资料。</w:t>
      </w:r>
    </w:p>
    <w:p w14:paraId="1523D328">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5.必须附有投标货物涉及产品要求的、国家或行业管理规定要求的、或者投标人认为能够体现其投标货物合法性及先进性的最高级别的证明材料（投标货物不涉及的除外）：</w:t>
      </w:r>
    </w:p>
    <w:p w14:paraId="2B24E4CF">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5.1国家相关机构颁发的有效期之内所必需的《生产许可证》；</w:t>
      </w:r>
    </w:p>
    <w:p w14:paraId="6751E6A9">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5.2产品（或技术）鉴定报告/证书、专利证书或专利许可证书、新技术成果证书等；</w:t>
      </w:r>
    </w:p>
    <w:p w14:paraId="044FBD3F">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5.3产品相关检验、试验报告，如：型式试验检验报告、安全试验检验报告、电弧效应试验报告、噪声检测报告等；</w:t>
      </w:r>
    </w:p>
    <w:p w14:paraId="392A270E">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5.4其它能够证明所供货物的质量水平、技术水平、安全性水平、节能性水平、环保性水平等相关的其它证明文件或资料、报告等；</w:t>
      </w:r>
    </w:p>
    <w:p w14:paraId="14F2C388">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5.5该类报告或证明材料对于投标人胜出乃至中标极为重要！</w:t>
      </w:r>
    </w:p>
    <w:p w14:paraId="4B13E714">
      <w:pPr>
        <w:numPr>
          <w:ilvl w:val="0"/>
          <w:numId w:val="0"/>
        </w:numPr>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6.必须附有：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14:paraId="21FB07D4">
      <w:pPr>
        <w:pStyle w:val="237"/>
        <w:spacing w:line="360" w:lineRule="auto"/>
      </w:pPr>
      <w:r>
        <w:rPr>
          <w:rFonts w:hint="eastAsia" w:ascii="宋体" w:hAnsi="宋体" w:cs="宋体"/>
          <w:color w:val="auto"/>
        </w:rPr>
        <w:t>二、其他</w:t>
      </w:r>
    </w:p>
    <w:p w14:paraId="71654C6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1.投标人可以根据自身的技术、经验等优势以及对招标文件和本技术标书的理解，写明对招标人所采购货物的优化方案或建议意见。投标人的这些努力，招标人表示感谢，并将有助于投标人优先胜出。</w:t>
      </w:r>
    </w:p>
    <w:p w14:paraId="6715A19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2.即使有建议意见或建议方案，仍应依据招标文件和本技术标书要求，编写符合要求的投标文件。建议方案或建议意见，应以单独篇章或文件，予以说明和报价。</w:t>
      </w:r>
    </w:p>
    <w:p w14:paraId="4F37855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3.请投标人仔细阅读“采购货物概况”章节内说明，针对允许分投分中的货物，招标人有权利选择其中优秀设备或服务，作为投标人合同供货范围中的指定选用设备或服务（替代投标人分投而未中标部分）。</w:t>
      </w:r>
    </w:p>
    <w:p w14:paraId="266255A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4.招标文件、投标文件、答疑文件、技术交流文件、技术标书等，在采购过程全部为有效文件，如有差异，以对招标人最有利的条款为准。</w:t>
      </w:r>
    </w:p>
    <w:p w14:paraId="264EABA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5.为避免歧义，本技术标书涉及招投标环节的条款，均将潜在的卖方称为投标人、将买方称为招标人；定标后合同签署环节以及后续的合同执行环节条款，招标人称为买方、投标人中的中标方称为卖方。</w:t>
      </w:r>
    </w:p>
    <w:p w14:paraId="3C631712">
      <w:pPr>
        <w:pStyle w:val="24"/>
      </w:pPr>
    </w:p>
    <w:p w14:paraId="03DE61B9">
      <w:pPr>
        <w:rPr>
          <w:rFonts w:hint="eastAsia" w:ascii="仿宋" w:hAnsi="仿宋" w:eastAsia="仿宋"/>
          <w:b/>
          <w:bCs/>
          <w:sz w:val="28"/>
        </w:rPr>
      </w:pPr>
      <w:r>
        <w:rPr>
          <w:rFonts w:hint="eastAsia" w:ascii="仿宋" w:hAnsi="仿宋" w:eastAsia="仿宋"/>
          <w:b/>
          <w:bCs/>
          <w:sz w:val="28"/>
        </w:rPr>
        <w:br w:type="page"/>
      </w:r>
    </w:p>
    <w:p w14:paraId="4B34645A">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附件1</w:t>
      </w:r>
      <w:bookmarkStart w:id="28" w:name="_Toc353881012"/>
      <w:bookmarkStart w:id="29" w:name="_Toc639004"/>
      <w:bookmarkStart w:id="30" w:name="_Toc212369550"/>
      <w:bookmarkStart w:id="31" w:name="_Toc25811"/>
      <w:r>
        <w:rPr>
          <w:rFonts w:hint="default" w:ascii="Times New Roman" w:hAnsi="Times New Roman" w:eastAsia="宋体" w:cs="Times New Roman"/>
          <w:b/>
          <w:bCs/>
          <w:color w:val="000000"/>
          <w:sz w:val="24"/>
          <w:szCs w:val="24"/>
        </w:rPr>
        <w:t xml:space="preserve"> 投标函</w:t>
      </w:r>
      <w:bookmarkEnd w:id="28"/>
      <w:bookmarkEnd w:id="29"/>
      <w:bookmarkEnd w:id="30"/>
      <w:bookmarkEnd w:id="31"/>
    </w:p>
    <w:p w14:paraId="547AE82C">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致：</w:t>
      </w:r>
      <w:r>
        <w:rPr>
          <w:rFonts w:hint="eastAsia" w:ascii="Times New Roman" w:hAnsi="Times New Roman" w:eastAsia="宋体" w:cs="Times New Roman"/>
          <w:color w:val="000000"/>
          <w:sz w:val="24"/>
          <w:szCs w:val="24"/>
          <w:lang w:eastAsia="zh-CN"/>
        </w:rPr>
        <w:t>中国重汽集团济南动力有限公司</w:t>
      </w:r>
      <w:r>
        <w:rPr>
          <w:rFonts w:hint="default" w:ascii="Times New Roman" w:hAnsi="Times New Roman" w:eastAsia="宋体" w:cs="Times New Roman"/>
          <w:color w:val="000000"/>
          <w:sz w:val="24"/>
          <w:szCs w:val="24"/>
        </w:rPr>
        <w:t>：</w:t>
      </w:r>
    </w:p>
    <w:p w14:paraId="3FCE183F">
      <w:pPr>
        <w:pStyle w:val="19"/>
        <w:spacing w:after="156"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根据贵方</w:t>
      </w:r>
      <w:r>
        <w:rPr>
          <w:rFonts w:hint="eastAsia" w:ascii="Times New Roman" w:hAnsi="Times New Roman" w:eastAsia="宋体" w:cs="Times New Roman"/>
          <w:color w:val="000000"/>
          <w:sz w:val="24"/>
          <w:szCs w:val="24"/>
          <w:lang w:val="en-US" w:eastAsia="zh-CN"/>
        </w:rPr>
        <w:t xml:space="preserve">  </w:t>
      </w:r>
      <w:r>
        <w:rPr>
          <w:rFonts w:hint="default" w:ascii="Times New Roman" w:hAnsi="Times New Roman" w:eastAsia="宋体" w:cs="Times New Roman"/>
          <w:b/>
          <w:bCs/>
          <w:color w:val="000000"/>
          <w:sz w:val="24"/>
          <w:szCs w:val="24"/>
          <w:u w:val="single"/>
        </w:rPr>
        <w:t xml:space="preserve"> </w:t>
      </w:r>
      <w:r>
        <w:rPr>
          <w:rFonts w:hint="eastAsia" w:ascii="Times New Roman" w:hAnsi="Times New Roman" w:eastAsia="宋体" w:cs="Times New Roman"/>
          <w:b/>
          <w:bCs/>
          <w:color w:val="000000"/>
          <w:sz w:val="24"/>
          <w:szCs w:val="24"/>
          <w:u w:val="single"/>
          <w:lang w:val="en-US" w:eastAsia="zh-CN"/>
        </w:rPr>
        <w:t xml:space="preserve">                      </w:t>
      </w:r>
      <w:r>
        <w:rPr>
          <w:rFonts w:hint="default" w:ascii="Times New Roman" w:hAnsi="Times New Roman" w:eastAsia="宋体" w:cs="Times New Roman"/>
          <w:bCs/>
          <w:snapToGrid w:val="0"/>
          <w:color w:val="000000"/>
          <w:kern w:val="0"/>
          <w:sz w:val="24"/>
          <w:szCs w:val="24"/>
        </w:rPr>
        <w:t>招标公告</w:t>
      </w:r>
      <w:r>
        <w:rPr>
          <w:rFonts w:hint="default" w:ascii="Times New Roman" w:hAnsi="Times New Roman" w:eastAsia="宋体" w:cs="Times New Roman"/>
          <w:b/>
          <w:bCs/>
          <w:snapToGrid w:val="0"/>
          <w:color w:val="000000"/>
          <w:kern w:val="0"/>
          <w:sz w:val="24"/>
          <w:szCs w:val="24"/>
          <w:u w:val="single"/>
        </w:rPr>
        <w:t xml:space="preserve">              </w:t>
      </w:r>
      <w:r>
        <w:rPr>
          <w:rFonts w:hint="default" w:ascii="Times New Roman" w:hAnsi="Times New Roman" w:eastAsia="宋体" w:cs="Times New Roman"/>
          <w:color w:val="000000"/>
          <w:sz w:val="24"/>
          <w:szCs w:val="24"/>
        </w:rPr>
        <w:t>，</w:t>
      </w:r>
      <w:r>
        <w:rPr>
          <w:rFonts w:hint="default" w:ascii="Times New Roman" w:hAnsi="Times New Roman" w:eastAsia="宋体" w:cs="Times New Roman"/>
          <w:b/>
          <w:color w:val="000000"/>
          <w:sz w:val="24"/>
          <w:szCs w:val="24"/>
          <w:u w:val="single"/>
        </w:rPr>
        <w:t xml:space="preserve">            </w:t>
      </w:r>
      <w:r>
        <w:rPr>
          <w:rFonts w:hint="default" w:ascii="Times New Roman" w:hAnsi="Times New Roman" w:eastAsia="宋体" w:cs="Times New Roman"/>
          <w:color w:val="000000"/>
          <w:sz w:val="24"/>
          <w:szCs w:val="24"/>
        </w:rPr>
        <w:t>投标公司， 法人代表人为</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，正式授权</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 xml:space="preserve"> 提交纸质投标文件：资质证明文件、商务文件和技术文件</w:t>
      </w:r>
      <w:r>
        <w:rPr>
          <w:rFonts w:hint="eastAsia" w:ascii="Times New Roman" w:hAnsi="Times New Roman" w:eastAsia="宋体" w:cs="Times New Roman"/>
          <w:color w:val="000000"/>
          <w:sz w:val="24"/>
          <w:szCs w:val="24"/>
          <w:lang w:val="en-US" w:eastAsia="zh-CN"/>
        </w:rPr>
        <w:t>的</w:t>
      </w:r>
      <w:r>
        <w:rPr>
          <w:rFonts w:hint="default" w:ascii="Times New Roman" w:hAnsi="Times New Roman" w:eastAsia="宋体" w:cs="Times New Roman"/>
          <w:color w:val="000000"/>
          <w:sz w:val="24"/>
          <w:szCs w:val="24"/>
        </w:rPr>
        <w:t>电子版投标文件一份（</w:t>
      </w:r>
      <w:r>
        <w:rPr>
          <w:rFonts w:hint="default" w:ascii="Times New Roman" w:hAnsi="Times New Roman" w:eastAsia="宋体" w:cs="Times New Roman"/>
          <w:bCs/>
          <w:color w:val="000000"/>
          <w:sz w:val="24"/>
          <w:szCs w:val="24"/>
        </w:rPr>
        <w:t>电子版投标文件为纸质盖章版的扫描件或加盖电子章；不盖章无效。</w:t>
      </w:r>
      <w:r>
        <w:rPr>
          <w:rFonts w:hint="default" w:ascii="Times New Roman" w:hAnsi="Times New Roman" w:eastAsia="宋体" w:cs="Times New Roman"/>
          <w:color w:val="000000"/>
          <w:sz w:val="24"/>
          <w:szCs w:val="24"/>
        </w:rPr>
        <w:t>）。</w:t>
      </w:r>
    </w:p>
    <w:p w14:paraId="6EC0779D">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据此函，签字代表宣布同意如下：</w:t>
      </w:r>
    </w:p>
    <w:p w14:paraId="2DD85359">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1.投标人已详细审查全部“招标文件”，包括修改文件（如有的话）以及全部参考资料和有关附件，已经了解我方对于招标文件、采购过程、采购结果有依法进行询问、质疑、投诉的权利及相关渠道和要求。</w:t>
      </w:r>
    </w:p>
    <w:p w14:paraId="0DF6F5B1">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2.投标人在投标之前已经与贵方进行了充分的沟通，完全理解并接受招标文件的各项规定和要求，对招标文件的合理性、合法性不再有异议。</w:t>
      </w:r>
    </w:p>
    <w:p w14:paraId="7E73692F">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3.本投标有效期自开标日起</w:t>
      </w:r>
      <w:r>
        <w:rPr>
          <w:rFonts w:hint="default" w:ascii="Times New Roman" w:hAnsi="Times New Roman" w:eastAsia="宋体" w:cs="Times New Roman"/>
          <w:bCs/>
          <w:color w:val="000000"/>
          <w:sz w:val="24"/>
          <w:szCs w:val="24"/>
          <w:u w:val="single"/>
        </w:rPr>
        <w:t xml:space="preserve"> 90</w:t>
      </w:r>
      <w:r>
        <w:rPr>
          <w:rFonts w:hint="default" w:ascii="Times New Roman" w:hAnsi="Times New Roman" w:eastAsia="宋体" w:cs="Times New Roman"/>
          <w:color w:val="000000"/>
          <w:sz w:val="24"/>
          <w:szCs w:val="24"/>
        </w:rPr>
        <w:t>个日历日。</w:t>
      </w:r>
    </w:p>
    <w:p w14:paraId="6BF57665">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4.如中标，本投标文件至本项目合同履行完毕止均保持有效，本投标人将按“招标文件”及政府采购法律、法规的规定履行合同责任和义务。</w:t>
      </w:r>
    </w:p>
    <w:p w14:paraId="27E8D21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5.投标人同意按照贵方要求提供与投标有关的一切数据或资料。</w:t>
      </w:r>
    </w:p>
    <w:p w14:paraId="09D72B44">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6.与本投标有关的一切正式往来信函请寄：</w:t>
      </w:r>
    </w:p>
    <w:p w14:paraId="29E6714E">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地址：                             </w:t>
      </w:r>
    </w:p>
    <w:p w14:paraId="223A3CD1">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邮编：        </w:t>
      </w:r>
    </w:p>
    <w:p w14:paraId="1FA3865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电话：        传真：                   </w:t>
      </w:r>
    </w:p>
    <w:p w14:paraId="0562ADC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投标人代表姓名：</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 xml:space="preserve">职务：          </w:t>
      </w:r>
    </w:p>
    <w:p w14:paraId="7A79458D">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开户银行：                   </w:t>
      </w:r>
    </w:p>
    <w:p w14:paraId="5AE643BF">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银行帐号：                   </w:t>
      </w:r>
    </w:p>
    <w:p w14:paraId="465DB7C5">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投标人名称（</w:t>
      </w:r>
      <w:r>
        <w:rPr>
          <w:rFonts w:hint="default" w:ascii="Times New Roman" w:hAnsi="Times New Roman" w:eastAsia="宋体" w:cs="Times New Roman"/>
          <w:bCs/>
          <w:color w:val="000000"/>
          <w:sz w:val="24"/>
          <w:szCs w:val="24"/>
        </w:rPr>
        <w:t>盖章）</w:t>
      </w:r>
      <w:r>
        <w:rPr>
          <w:rFonts w:hint="default" w:ascii="Times New Roman" w:hAnsi="Times New Roman" w:eastAsia="宋体" w:cs="Times New Roman"/>
          <w:color w:val="000000"/>
          <w:sz w:val="24"/>
          <w:szCs w:val="24"/>
        </w:rPr>
        <w:t xml:space="preserve">: </w:t>
      </w:r>
    </w:p>
    <w:p w14:paraId="1A8B7C73">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授权代表签字</w:t>
      </w:r>
      <w:r>
        <w:rPr>
          <w:rFonts w:hint="default" w:ascii="Times New Roman" w:hAnsi="Times New Roman" w:eastAsia="宋体" w:cs="Times New Roman"/>
          <w:bCs/>
          <w:color w:val="000000"/>
          <w:sz w:val="24"/>
          <w:szCs w:val="24"/>
        </w:rPr>
        <w:t>：</w:t>
      </w:r>
    </w:p>
    <w:p w14:paraId="6D9496DA">
      <w:pPr>
        <w:spacing w:line="360" w:lineRule="auto"/>
        <w:ind w:firstLine="480" w:firstLineChars="200"/>
        <w:rPr>
          <w:rFonts w:hint="default" w:ascii="Times New Roman" w:hAnsi="Times New Roman" w:eastAsia="黑体" w:cs="Times New Roman"/>
          <w:color w:val="000000"/>
          <w:sz w:val="24"/>
          <w:szCs w:val="24"/>
        </w:rPr>
      </w:pPr>
      <w:r>
        <w:rPr>
          <w:rFonts w:hint="default" w:ascii="Times New Roman" w:hAnsi="Times New Roman" w:eastAsia="宋体" w:cs="Times New Roman"/>
          <w:color w:val="000000"/>
          <w:sz w:val="24"/>
          <w:szCs w:val="24"/>
        </w:rPr>
        <w:t>日期：     年      月      日</w:t>
      </w:r>
      <w:r>
        <w:rPr>
          <w:rFonts w:hint="default" w:ascii="Times New Roman" w:hAnsi="Times New Roman" w:eastAsia="黑体" w:cs="Times New Roman"/>
          <w:color w:val="000000"/>
          <w:sz w:val="24"/>
          <w:szCs w:val="24"/>
        </w:rPr>
        <w:br w:type="page"/>
      </w:r>
    </w:p>
    <w:p w14:paraId="1C8113B8">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附件2 法定代表人授权委托书</w:t>
      </w:r>
    </w:p>
    <w:p w14:paraId="5A08BEB2">
      <w:pPr>
        <w:adjustRightInd w:val="0"/>
        <w:snapToGrid w:val="0"/>
        <w:spacing w:before="93" w:beforeLines="30" w:line="240" w:lineRule="exact"/>
        <w:jc w:val="center"/>
        <w:rPr>
          <w:rFonts w:hint="default" w:ascii="Times New Roman" w:hAnsi="Times New Roman" w:eastAsia="宋体" w:cs="Times New Roman"/>
          <w:sz w:val="24"/>
          <w:szCs w:val="20"/>
        </w:rPr>
      </w:pPr>
    </w:p>
    <w:p w14:paraId="66FCBF1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本授权委托书声明：我＿＿＿＿＿＿＿（姓名）系＿＿＿＿＿＿＿＿＿＿＿＿＿＿＿＿＿＿＿＿＿＿＿＿＿＿＿＿（投标人全称）的法定代表人，就</w:t>
      </w:r>
      <w:r>
        <w:rPr>
          <w:rFonts w:hint="default" w:ascii="Times New Roman" w:hAnsi="Times New Roman" w:eastAsia="宋体" w:cs="Times New Roman"/>
          <w:b/>
          <w:bCs/>
          <w:color w:val="000000"/>
          <w:sz w:val="24"/>
          <w:szCs w:val="24"/>
          <w:u w:val="single"/>
        </w:rPr>
        <w:t xml:space="preserve"> </w:t>
      </w:r>
      <w:r>
        <w:rPr>
          <w:rFonts w:hint="eastAsia" w:cs="Times New Roman"/>
          <w:b/>
          <w:bCs/>
          <w:color w:val="000000"/>
          <w:sz w:val="24"/>
          <w:szCs w:val="24"/>
          <w:u w:val="single"/>
          <w:lang w:val="en-US" w:eastAsia="zh-CN"/>
        </w:rPr>
        <w:t>6300T、3150T热模锻生产线搬迁复产项目-新增石墨废水预处理站</w:t>
      </w:r>
      <w:r>
        <w:rPr>
          <w:rFonts w:hint="default" w:ascii="Times New Roman" w:hAnsi="Times New Roman" w:eastAsia="宋体" w:cs="Times New Roman"/>
          <w:b/>
          <w:bCs/>
          <w:color w:val="000000"/>
          <w:sz w:val="24"/>
          <w:szCs w:val="24"/>
        </w:rPr>
        <w:t xml:space="preserve"> </w:t>
      </w:r>
      <w:r>
        <w:rPr>
          <w:rFonts w:hint="default" w:ascii="Times New Roman" w:hAnsi="Times New Roman"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4631E3F8">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全权代表无转委权。特此委托。</w:t>
      </w:r>
    </w:p>
    <w:tbl>
      <w:tblPr>
        <w:tblStyle w:val="48"/>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238B31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4BCB7917">
            <w:pPr>
              <w:adjustRightInd w:val="0"/>
              <w:snapToGrid w:val="0"/>
              <w:spacing w:before="93" w:beforeLines="30" w:line="312" w:lineRule="auto"/>
              <w:jc w:val="center"/>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附法人身份证明复印件（</w:t>
            </w:r>
            <w:r>
              <w:rPr>
                <w:rFonts w:hint="default" w:ascii="Times New Roman" w:hAnsi="Times New Roman" w:eastAsia="宋体" w:cs="Times New Roman"/>
                <w:color w:val="000000" w:themeColor="text1"/>
                <w:sz w:val="24"/>
                <w:szCs w:val="20"/>
                <w14:textFill>
                  <w14:solidFill>
                    <w14:schemeClr w14:val="tx1"/>
                  </w14:solidFill>
                </w14:textFill>
              </w:rPr>
              <w:t>正反面）</w:t>
            </w:r>
          </w:p>
          <w:p w14:paraId="65F30508">
            <w:pPr>
              <w:adjustRightInd w:val="0"/>
              <w:snapToGrid w:val="0"/>
              <w:spacing w:before="93" w:beforeLines="30" w:line="312" w:lineRule="auto"/>
              <w:jc w:val="center"/>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附授权代理人身份证明复印件（正反面）</w:t>
            </w:r>
          </w:p>
        </w:tc>
      </w:tr>
    </w:tbl>
    <w:p w14:paraId="48584AF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全权代表姓名：            性别：          年龄：</w:t>
      </w:r>
    </w:p>
    <w:p w14:paraId="02E4DCC7">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单位：                    部门：          职务：</w:t>
      </w:r>
    </w:p>
    <w:p w14:paraId="113EC5A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法定代表人签字或盖章                          </w:t>
      </w:r>
    </w:p>
    <w:p w14:paraId="2A95D264">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被授权人签字  </w:t>
      </w:r>
    </w:p>
    <w:p w14:paraId="63886B2D">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被授权人电话：                          </w:t>
      </w:r>
    </w:p>
    <w:p w14:paraId="3BE66B8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投标人名称（公章）                       </w:t>
      </w:r>
    </w:p>
    <w:p w14:paraId="0971821C">
      <w:pPr>
        <w:spacing w:line="460" w:lineRule="exact"/>
        <w:ind w:firstLine="5520" w:firstLineChars="23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152A7970">
      <w:pPr>
        <w:rPr>
          <w:rFonts w:hint="default" w:ascii="Times New Roman" w:hAnsi="Times New Roman" w:eastAsia="黑体" w:cs="Times New Roman"/>
          <w:b/>
          <w:bCs/>
          <w:color w:val="000000"/>
          <w:sz w:val="28"/>
          <w:szCs w:val="20"/>
        </w:rPr>
      </w:pPr>
    </w:p>
    <w:p w14:paraId="5C67B158">
      <w:pPr>
        <w:pStyle w:val="24"/>
        <w:rPr>
          <w:rFonts w:hint="default" w:ascii="Times New Roman" w:hAnsi="Times New Roman" w:eastAsia="黑体" w:cs="Times New Roman"/>
          <w:b/>
          <w:bCs/>
          <w:color w:val="000000"/>
          <w:sz w:val="28"/>
          <w:szCs w:val="20"/>
        </w:rPr>
      </w:pPr>
    </w:p>
    <w:p w14:paraId="2A50298C">
      <w:pPr>
        <w:rPr>
          <w:rFonts w:hint="default" w:ascii="Times New Roman" w:hAnsi="Times New Roman" w:cs="Times New Roman"/>
        </w:rPr>
        <w:sectPr>
          <w:footerReference r:id="rId8" w:type="first"/>
          <w:headerReference r:id="rId6" w:type="default"/>
          <w:footerReference r:id="rId7"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13F2D2C5">
      <w:pPr>
        <w:keepNext/>
        <w:keepLines/>
        <w:outlineLvl w:val="1"/>
        <w:rPr>
          <w:rFonts w:hint="default" w:ascii="Times New Roman" w:hAnsi="Times New Roman" w:eastAsia="宋体" w:cs="Times New Roman"/>
          <w:spacing w:val="-9"/>
          <w:sz w:val="24"/>
          <w:szCs w:val="24"/>
        </w:rPr>
      </w:pPr>
      <w:r>
        <w:rPr>
          <w:rFonts w:hint="default" w:ascii="Times New Roman" w:hAnsi="Times New Roman" w:eastAsia="宋体" w:cs="Times New Roman"/>
          <w:spacing w:val="-17"/>
          <w:sz w:val="24"/>
          <w:szCs w:val="24"/>
          <w14:textOutline w14:w="4356" w14:cap="sq" w14:cmpd="sng" w14:algn="ctr">
            <w14:solidFill>
              <w14:srgbClr w14:val="000000"/>
            </w14:solidFill>
            <w14:prstDash w14:val="solid"/>
            <w14:bevel/>
          </w14:textOutline>
        </w:rPr>
        <w:t>附</w:t>
      </w:r>
      <w:r>
        <w:rPr>
          <w:rFonts w:hint="default" w:ascii="Times New Roman" w:hAnsi="Times New Roman" w:eastAsia="宋体" w:cs="Times New Roman"/>
          <w:spacing w:val="-14"/>
          <w:sz w:val="24"/>
          <w:szCs w:val="24"/>
          <w14:textOutline w14:w="4356" w14:cap="sq" w14:cmpd="sng" w14:algn="ctr">
            <w14:solidFill>
              <w14:srgbClr w14:val="000000"/>
            </w14:solidFill>
            <w14:prstDash w14:val="solid"/>
            <w14:bevel/>
          </w14:textOutline>
        </w:rPr>
        <w:t>件</w:t>
      </w:r>
      <w:r>
        <w:rPr>
          <w:rFonts w:hint="default" w:ascii="Times New Roman" w:hAnsi="Times New Roman" w:eastAsia="宋体" w:cs="Times New Roman"/>
          <w:spacing w:val="-17"/>
          <w:sz w:val="24"/>
          <w:szCs w:val="24"/>
          <w14:textOutline w14:w="4356" w14:cap="sq" w14:cmpd="sng" w14:algn="ctr">
            <w14:solidFill>
              <w14:srgbClr w14:val="000000"/>
            </w14:solidFill>
            <w14:prstDash w14:val="solid"/>
            <w14:bevel/>
          </w14:textOutline>
        </w:rPr>
        <w:t xml:space="preserve">3 </w:t>
      </w:r>
      <w:r>
        <w:rPr>
          <w:rFonts w:hint="default" w:ascii="Times New Roman" w:hAnsi="Times New Roman" w:eastAsia="宋体" w:cs="Times New Roman"/>
          <w:spacing w:val="15"/>
          <w:position w:val="3"/>
          <w:sz w:val="24"/>
          <w:szCs w:val="24"/>
          <w14:textOutline w14:w="4356" w14:cap="sq" w14:cmpd="sng" w14:algn="ctr">
            <w14:solidFill>
              <w14:srgbClr w14:val="000000"/>
            </w14:solidFill>
            <w14:prstDash w14:val="solid"/>
            <w14:bevel/>
          </w14:textOutline>
        </w:rPr>
        <w:t>投</w:t>
      </w:r>
      <w:r>
        <w:rPr>
          <w:rFonts w:hint="default" w:ascii="Times New Roman" w:hAnsi="Times New Roman" w:eastAsia="宋体" w:cs="Times New Roman"/>
          <w:spacing w:val="8"/>
          <w:position w:val="3"/>
          <w:sz w:val="24"/>
          <w:szCs w:val="24"/>
          <w14:textOutline w14:w="4356" w14:cap="sq" w14:cmpd="sng" w14:algn="ctr">
            <w14:solidFill>
              <w14:srgbClr w14:val="000000"/>
            </w14:solidFill>
            <w14:prstDash w14:val="solid"/>
            <w14:bevel/>
          </w14:textOutline>
        </w:rPr>
        <w:t>标人基本情况及</w:t>
      </w:r>
      <w:r>
        <w:rPr>
          <w:rFonts w:hint="default" w:ascii="Times New Roman" w:hAnsi="Times New Roman" w:eastAsia="宋体" w:cs="Times New Roman"/>
          <w:spacing w:val="8"/>
          <w:sz w:val="24"/>
          <w:szCs w:val="24"/>
          <w14:textOutline w14:w="4356" w14:cap="sq" w14:cmpd="sng" w14:algn="ctr">
            <w14:solidFill>
              <w14:srgbClr w14:val="000000"/>
            </w14:solidFill>
            <w14:prstDash w14:val="solid"/>
            <w14:bevel/>
          </w14:textOutline>
        </w:rPr>
        <w:t>资产情况汇总</w:t>
      </w:r>
      <w:r>
        <w:rPr>
          <w:rFonts w:hint="default" w:ascii="Times New Roman" w:hAnsi="Times New Roman" w:eastAsia="宋体" w:cs="Times New Roman"/>
          <w:spacing w:val="7"/>
          <w:sz w:val="24"/>
          <w:szCs w:val="24"/>
          <w14:textOutline w14:w="4356" w14:cap="sq" w14:cmpd="sng" w14:algn="ctr">
            <w14:solidFill>
              <w14:srgbClr w14:val="000000"/>
            </w14:solidFill>
            <w14:prstDash w14:val="solid"/>
            <w14:bevel/>
          </w14:textOutline>
        </w:rPr>
        <w:t>表</w:t>
      </w:r>
    </w:p>
    <w:p w14:paraId="41A81E56">
      <w:pPr>
        <w:keepNext/>
        <w:keepLines/>
        <w:outlineLvl w:val="2"/>
        <w:rPr>
          <w:rFonts w:hint="default" w:ascii="Times New Roman" w:hAnsi="Times New Roman" w:eastAsia="宋体" w:cs="Times New Roman"/>
          <w:b/>
          <w:bCs/>
          <w:color w:val="000000"/>
          <w:sz w:val="24"/>
          <w:szCs w:val="24"/>
        </w:rPr>
      </w:pPr>
      <w:r>
        <w:rPr>
          <w:rFonts w:hint="default" w:ascii="Times New Roman" w:hAnsi="Times New Roman" w:eastAsia="宋体" w:cs="Times New Roman"/>
          <w:spacing w:val="-9"/>
          <w:sz w:val="24"/>
          <w:szCs w:val="24"/>
          <w14:textOutline w14:w="4356" w14:cap="flat" w14:cmpd="sng" w14:algn="ctr">
            <w14:solidFill>
              <w14:srgbClr w14:val="000000"/>
            </w14:solidFill>
            <w14:prstDash w14:val="solid"/>
            <w14:miter w14:val="0"/>
          </w14:textOutline>
        </w:rPr>
        <w:t>表</w:t>
      </w:r>
      <w:r>
        <w:rPr>
          <w:rFonts w:hint="default" w:ascii="Times New Roman" w:hAnsi="Times New Roman" w:eastAsia="宋体" w:cs="Times New Roman"/>
          <w:spacing w:val="-7"/>
          <w:sz w:val="24"/>
          <w:szCs w:val="24"/>
        </w:rPr>
        <w:t xml:space="preserve"> </w:t>
      </w:r>
      <w:r>
        <w:rPr>
          <w:rFonts w:hint="default" w:ascii="Times New Roman" w:hAnsi="Times New Roman" w:eastAsia="宋体" w:cs="Times New Roman"/>
          <w:b/>
          <w:bCs/>
          <w:spacing w:val="-7"/>
          <w:sz w:val="24"/>
          <w:szCs w:val="24"/>
        </w:rPr>
        <w:t>3-</w:t>
      </w:r>
      <w:r>
        <w:rPr>
          <w:rFonts w:hint="default" w:ascii="Times New Roman" w:hAnsi="Times New Roman" w:eastAsia="宋体" w:cs="Times New Roman"/>
          <w:spacing w:val="-7"/>
          <w:sz w:val="24"/>
          <w:szCs w:val="24"/>
          <w14:textOutline w14:w="4356" w14:cap="flat" w14:cmpd="sng" w14:algn="ctr">
            <w14:solidFill>
              <w14:srgbClr w14:val="000000"/>
            </w14:solidFill>
            <w14:prstDash w14:val="solid"/>
            <w14:miter w14:val="0"/>
          </w14:textOutline>
        </w:rPr>
        <w:t xml:space="preserve">1 </w:t>
      </w:r>
      <w:r>
        <w:rPr>
          <w:rFonts w:hint="default" w:ascii="Times New Roman" w:hAnsi="Times New Roman" w:eastAsia="宋体" w:cs="Times New Roman"/>
          <w:b/>
          <w:bCs/>
          <w:color w:val="000000"/>
          <w:sz w:val="24"/>
          <w:szCs w:val="24"/>
        </w:rPr>
        <w:t>投标人基本情况表</w:t>
      </w:r>
    </w:p>
    <w:tbl>
      <w:tblPr>
        <w:tblStyle w:val="232"/>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04D60B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7F19A39B">
            <w:pPr>
              <w:pStyle w:val="231"/>
              <w:spacing w:before="114"/>
              <w:ind w:left="720"/>
              <w:rPr>
                <w:rFonts w:hint="default" w:ascii="Times New Roman" w:hAnsi="Times New Roman" w:cs="Times New Roman"/>
              </w:rPr>
            </w:pPr>
            <w:r>
              <w:rPr>
                <w:rFonts w:hint="default" w:ascii="Times New Roman" w:hAnsi="Times New Roman" w:cs="Times New Roman"/>
              </w:rPr>
              <w:t xml:space="preserve">企业名称 </w:t>
            </w:r>
          </w:p>
        </w:tc>
        <w:tc>
          <w:tcPr>
            <w:tcW w:w="4680" w:type="dxa"/>
            <w:gridSpan w:val="4"/>
            <w:vAlign w:val="center"/>
          </w:tcPr>
          <w:p w14:paraId="5F281DD8">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14:paraId="6BAD04A9">
            <w:pPr>
              <w:pStyle w:val="231"/>
              <w:spacing w:before="106"/>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联系人 </w:t>
            </w:r>
          </w:p>
        </w:tc>
        <w:tc>
          <w:tcPr>
            <w:tcW w:w="1510" w:type="dxa"/>
            <w:vAlign w:val="center"/>
          </w:tcPr>
          <w:p w14:paraId="270E41FF">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1873F8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136BF0B9">
            <w:pPr>
              <w:pStyle w:val="231"/>
              <w:spacing w:before="114"/>
              <w:ind w:left="720"/>
              <w:rPr>
                <w:rFonts w:hint="default" w:ascii="Times New Roman" w:hAnsi="Times New Roman" w:cs="Times New Roman"/>
              </w:rPr>
            </w:pPr>
            <w:r>
              <w:rPr>
                <w:rFonts w:hint="default" w:ascii="Times New Roman" w:hAnsi="Times New Roman" w:cs="Times New Roman"/>
              </w:rPr>
              <w:t xml:space="preserve">企业地址 </w:t>
            </w:r>
          </w:p>
        </w:tc>
        <w:tc>
          <w:tcPr>
            <w:tcW w:w="4680" w:type="dxa"/>
            <w:gridSpan w:val="4"/>
            <w:vAlign w:val="center"/>
          </w:tcPr>
          <w:p w14:paraId="7B2FCB95">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14:paraId="19914E5D">
            <w:pPr>
              <w:pStyle w:val="231"/>
              <w:spacing w:before="106"/>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联系人电话 </w:t>
            </w:r>
          </w:p>
        </w:tc>
        <w:tc>
          <w:tcPr>
            <w:tcW w:w="1510" w:type="dxa"/>
            <w:vAlign w:val="center"/>
          </w:tcPr>
          <w:p w14:paraId="732B4FC2">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6E2086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7F91CFDE">
            <w:pPr>
              <w:pStyle w:val="231"/>
              <w:spacing w:before="111"/>
              <w:ind w:left="720"/>
              <w:rPr>
                <w:rFonts w:hint="default" w:ascii="Times New Roman" w:hAnsi="Times New Roman" w:cs="Times New Roman"/>
              </w:rPr>
            </w:pPr>
            <w:r>
              <w:rPr>
                <w:rFonts w:hint="default" w:ascii="Times New Roman" w:hAnsi="Times New Roman" w:cs="Times New Roman"/>
              </w:rPr>
              <w:t xml:space="preserve">企业性质 </w:t>
            </w:r>
          </w:p>
        </w:tc>
        <w:tc>
          <w:tcPr>
            <w:tcW w:w="4680" w:type="dxa"/>
            <w:gridSpan w:val="4"/>
            <w:vAlign w:val="center"/>
          </w:tcPr>
          <w:p w14:paraId="45CA68C9">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14:paraId="74FFB527">
            <w:pPr>
              <w:pStyle w:val="231"/>
              <w:spacing w:before="103"/>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注册时间 </w:t>
            </w:r>
          </w:p>
        </w:tc>
        <w:tc>
          <w:tcPr>
            <w:tcW w:w="1510" w:type="dxa"/>
            <w:vAlign w:val="center"/>
          </w:tcPr>
          <w:p w14:paraId="1C814967">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43B58A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270BB991">
            <w:pPr>
              <w:pStyle w:val="231"/>
              <w:spacing w:before="111"/>
              <w:ind w:left="509"/>
              <w:rPr>
                <w:rFonts w:hint="default" w:ascii="Times New Roman" w:hAnsi="Times New Roman" w:cs="Times New Roman"/>
                <w:highlight w:val="yellow"/>
              </w:rPr>
            </w:pPr>
            <w:r>
              <w:rPr>
                <w:rFonts w:hint="default" w:ascii="Times New Roman" w:hAnsi="Times New Roman" w:cs="Times New Roman"/>
              </w:rPr>
              <w:t xml:space="preserve">企业法人代表  </w:t>
            </w:r>
          </w:p>
        </w:tc>
        <w:tc>
          <w:tcPr>
            <w:tcW w:w="4680" w:type="dxa"/>
            <w:gridSpan w:val="4"/>
          </w:tcPr>
          <w:p w14:paraId="64C0141C">
            <w:pPr>
              <w:pStyle w:val="4"/>
              <w:keepNext w:val="0"/>
              <w:keepLines w:val="0"/>
              <w:widowControl/>
              <w:shd w:val="clear" w:color="auto" w:fill="FFFFFF"/>
              <w:spacing w:before="0" w:after="0" w:line="450" w:lineRule="atLeast"/>
              <w:rPr>
                <w:rFonts w:hint="default" w:ascii="Times New Roman" w:hAnsi="Times New Roman" w:cs="Times New Roman"/>
                <w:color w:val="000000" w:themeColor="text1"/>
                <w14:textFill>
                  <w14:solidFill>
                    <w14:schemeClr w14:val="tx1"/>
                  </w14:solidFill>
                </w14:textFill>
              </w:rPr>
            </w:pPr>
          </w:p>
        </w:tc>
        <w:tc>
          <w:tcPr>
            <w:tcW w:w="1310" w:type="dxa"/>
          </w:tcPr>
          <w:p w14:paraId="7FE7A3B6">
            <w:pPr>
              <w:pStyle w:val="231"/>
              <w:spacing w:before="103"/>
              <w:ind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企业资质</w:t>
            </w:r>
          </w:p>
        </w:tc>
        <w:tc>
          <w:tcPr>
            <w:tcW w:w="1510" w:type="dxa"/>
            <w:vAlign w:val="center"/>
          </w:tcPr>
          <w:p w14:paraId="26F8C7B2">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67AAC6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DD27F8F">
            <w:pPr>
              <w:pStyle w:val="231"/>
              <w:spacing w:before="114"/>
              <w:ind w:left="720"/>
              <w:rPr>
                <w:rFonts w:hint="default" w:ascii="Times New Roman" w:hAnsi="Times New Roman" w:cs="Times New Roman"/>
              </w:rPr>
            </w:pPr>
            <w:r>
              <w:rPr>
                <w:rFonts w:hint="default" w:ascii="Times New Roman" w:hAnsi="Times New Roman" w:cs="Times New Roman"/>
              </w:rPr>
              <w:t xml:space="preserve">品牌区分 </w:t>
            </w:r>
          </w:p>
        </w:tc>
        <w:tc>
          <w:tcPr>
            <w:tcW w:w="7500" w:type="dxa"/>
            <w:gridSpan w:val="6"/>
          </w:tcPr>
          <w:p w14:paraId="3F0C8C9B">
            <w:pPr>
              <w:pStyle w:val="231"/>
              <w:spacing w:before="106"/>
              <w:ind w:left="401"/>
              <w:rPr>
                <w:rFonts w:hint="default" w:ascii="Times New Roman" w:hAnsi="Times New Roman" w:cs="Times New Roman"/>
              </w:rPr>
            </w:pPr>
            <w:r>
              <w:rPr>
                <w:rFonts w:hint="default" w:ascii="Times New Roman" w:hAnsi="Times New Roman" w:cs="Times New Roman"/>
              </w:rPr>
              <w:t xml:space="preserve"> 自产 总代理 代理  经销 </w:t>
            </w:r>
          </w:p>
        </w:tc>
      </w:tr>
      <w:tr w14:paraId="307634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402A6D1C">
            <w:pPr>
              <w:pStyle w:val="231"/>
              <w:spacing w:before="178"/>
              <w:ind w:left="720"/>
              <w:rPr>
                <w:rFonts w:hint="default" w:ascii="Times New Roman" w:hAnsi="Times New Roman" w:cs="Times New Roman"/>
              </w:rPr>
            </w:pPr>
            <w:r>
              <w:rPr>
                <w:rFonts w:hint="default" w:ascii="Times New Roman" w:hAnsi="Times New Roman" w:cs="Times New Roman"/>
              </w:rPr>
              <w:t xml:space="preserve">品牌名称 </w:t>
            </w:r>
          </w:p>
        </w:tc>
        <w:tc>
          <w:tcPr>
            <w:tcW w:w="3583" w:type="dxa"/>
            <w:gridSpan w:val="3"/>
            <w:vAlign w:val="center"/>
          </w:tcPr>
          <w:p w14:paraId="20712E2A">
            <w:pPr>
              <w:widowControl/>
              <w:rPr>
                <w:rFonts w:hint="default" w:ascii="Times New Roman" w:hAnsi="Times New Roman" w:eastAsia="仿宋_GB2312" w:cs="Times New Roman"/>
                <w:kern w:val="0"/>
                <w:szCs w:val="21"/>
                <w:lang w:bidi="ar"/>
              </w:rPr>
            </w:pPr>
          </w:p>
        </w:tc>
        <w:tc>
          <w:tcPr>
            <w:tcW w:w="1097" w:type="dxa"/>
          </w:tcPr>
          <w:p w14:paraId="0828CCE9">
            <w:pPr>
              <w:pStyle w:val="231"/>
              <w:spacing w:before="15"/>
              <w:ind w:left="279"/>
              <w:rPr>
                <w:rFonts w:hint="default" w:ascii="Times New Roman" w:hAnsi="Times New Roman" w:cs="Times New Roman"/>
              </w:rPr>
            </w:pPr>
            <w:r>
              <w:rPr>
                <w:rFonts w:hint="default" w:ascii="Times New Roman" w:hAnsi="Times New Roman" w:cs="Times New Roman"/>
                <w:spacing w:val="-2"/>
              </w:rPr>
              <w:t>质量</w:t>
            </w:r>
            <w:r>
              <w:rPr>
                <w:rFonts w:hint="default" w:ascii="Times New Roman" w:hAnsi="Times New Roman" w:cs="Times New Roman"/>
              </w:rPr>
              <w:t xml:space="preserve"> </w:t>
            </w:r>
          </w:p>
          <w:p w14:paraId="6E1DDB88">
            <w:pPr>
              <w:pStyle w:val="231"/>
              <w:spacing w:before="30" w:line="277" w:lineRule="exact"/>
              <w:ind w:left="279"/>
              <w:rPr>
                <w:rFonts w:hint="default" w:ascii="Times New Roman" w:hAnsi="Times New Roman" w:cs="Times New Roman"/>
              </w:rPr>
            </w:pPr>
            <w:r>
              <w:rPr>
                <w:rFonts w:hint="default" w:ascii="Times New Roman" w:hAnsi="Times New Roman" w:cs="Times New Roman"/>
              </w:rPr>
              <w:t>体系</w:t>
            </w:r>
          </w:p>
        </w:tc>
        <w:tc>
          <w:tcPr>
            <w:tcW w:w="2820" w:type="dxa"/>
            <w:gridSpan w:val="2"/>
          </w:tcPr>
          <w:p w14:paraId="14AC8EC1">
            <w:pPr>
              <w:pStyle w:val="231"/>
              <w:spacing w:before="158"/>
              <w:jc w:val="center"/>
              <w:rPr>
                <w:rFonts w:hint="default" w:ascii="Times New Roman" w:hAnsi="Times New Roman" w:cs="Times New Roman"/>
                <w:sz w:val="24"/>
              </w:rPr>
            </w:pPr>
          </w:p>
        </w:tc>
      </w:tr>
      <w:tr w14:paraId="14DC18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1B4D85EA">
            <w:pPr>
              <w:pStyle w:val="231"/>
              <w:spacing w:before="149"/>
              <w:ind w:left="3345" w:right="3223"/>
              <w:jc w:val="center"/>
              <w:rPr>
                <w:rFonts w:hint="default" w:ascii="Times New Roman" w:hAnsi="Times New Roman" w:cs="Times New Roman"/>
              </w:rPr>
            </w:pPr>
            <w:r>
              <w:rPr>
                <w:rFonts w:hint="default" w:ascii="Times New Roman" w:hAnsi="Times New Roman" w:cs="Times New Roman"/>
                <w:szCs w:val="21"/>
              </w:rPr>
              <w:t>单位概况</w:t>
            </w:r>
          </w:p>
        </w:tc>
      </w:tr>
      <w:tr w14:paraId="6FE852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7E2DDE2B">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2"/>
                <w:szCs w:val="21"/>
              </w:rPr>
              <w:t>参保职工总人</w:t>
            </w:r>
            <w:r>
              <w:rPr>
                <w:rFonts w:hint="default" w:ascii="Times New Roman" w:hAnsi="Times New Roman" w:eastAsia="宋体" w:cs="Times New Roman"/>
                <w:spacing w:val="-1"/>
                <w:szCs w:val="21"/>
              </w:rPr>
              <w:t>数</w:t>
            </w:r>
          </w:p>
        </w:tc>
        <w:tc>
          <w:tcPr>
            <w:tcW w:w="990" w:type="dxa"/>
            <w:vAlign w:val="center"/>
          </w:tcPr>
          <w:p w14:paraId="10830E80">
            <w:pPr>
              <w:widowControl/>
              <w:textAlignment w:val="center"/>
              <w:rPr>
                <w:rFonts w:hint="default" w:ascii="Times New Roman" w:hAnsi="Times New Roman" w:eastAsia="宋体" w:cs="Times New Roman"/>
                <w:szCs w:val="21"/>
              </w:rPr>
            </w:pPr>
          </w:p>
        </w:tc>
        <w:tc>
          <w:tcPr>
            <w:tcW w:w="1530" w:type="dxa"/>
            <w:vAlign w:val="center"/>
          </w:tcPr>
          <w:p w14:paraId="7B816B7D">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2"/>
                <w:szCs w:val="21"/>
              </w:rPr>
              <w:t>工程技术人</w:t>
            </w:r>
            <w:r>
              <w:rPr>
                <w:rFonts w:hint="default" w:ascii="Times New Roman" w:hAnsi="Times New Roman" w:eastAsia="宋体" w:cs="Times New Roman"/>
                <w:spacing w:val="-1"/>
                <w:szCs w:val="21"/>
              </w:rPr>
              <w:t>员</w:t>
            </w:r>
          </w:p>
        </w:tc>
        <w:tc>
          <w:tcPr>
            <w:tcW w:w="1063" w:type="dxa"/>
            <w:vAlign w:val="center"/>
          </w:tcPr>
          <w:p w14:paraId="21815676">
            <w:pPr>
              <w:widowControl/>
              <w:jc w:val="center"/>
              <w:textAlignment w:val="center"/>
              <w:rPr>
                <w:rFonts w:hint="default" w:ascii="Times New Roman" w:hAnsi="Times New Roman" w:eastAsia="宋体" w:cs="Times New Roman"/>
                <w:szCs w:val="21"/>
              </w:rPr>
            </w:pPr>
          </w:p>
        </w:tc>
        <w:tc>
          <w:tcPr>
            <w:tcW w:w="1097" w:type="dxa"/>
            <w:vAlign w:val="center"/>
          </w:tcPr>
          <w:p w14:paraId="67F2D0A4">
            <w:pPr>
              <w:widowControl/>
              <w:textAlignment w:val="center"/>
              <w:rPr>
                <w:rFonts w:hint="default" w:ascii="Times New Roman" w:hAnsi="Times New Roman" w:eastAsia="宋体" w:cs="Times New Roman"/>
                <w:szCs w:val="21"/>
              </w:rPr>
            </w:pPr>
            <w:r>
              <w:rPr>
                <w:rFonts w:hint="default" w:ascii="Times New Roman" w:hAnsi="Times New Roman" w:eastAsia="宋体" w:cs="Times New Roman"/>
                <w:spacing w:val="-3"/>
                <w:szCs w:val="21"/>
              </w:rPr>
              <w:t>生</w:t>
            </w:r>
            <w:r>
              <w:rPr>
                <w:rFonts w:hint="default" w:ascii="Times New Roman" w:hAnsi="Times New Roman" w:eastAsia="宋体" w:cs="Times New Roman"/>
                <w:spacing w:val="-2"/>
                <w:szCs w:val="21"/>
              </w:rPr>
              <w:t>产、销售人员</w:t>
            </w:r>
          </w:p>
        </w:tc>
        <w:tc>
          <w:tcPr>
            <w:tcW w:w="2820" w:type="dxa"/>
            <w:gridSpan w:val="2"/>
            <w:vAlign w:val="center"/>
          </w:tcPr>
          <w:p w14:paraId="094EA4B4">
            <w:pPr>
              <w:widowControl/>
              <w:jc w:val="center"/>
              <w:textAlignment w:val="center"/>
              <w:rPr>
                <w:rFonts w:hint="default" w:ascii="Times New Roman" w:hAnsi="Times New Roman" w:eastAsia="宋体" w:cs="Times New Roman"/>
                <w:szCs w:val="21"/>
              </w:rPr>
            </w:pPr>
          </w:p>
        </w:tc>
      </w:tr>
      <w:tr w14:paraId="239C12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353A989D">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企业优势、关键产品特点</w:t>
            </w:r>
          </w:p>
        </w:tc>
        <w:tc>
          <w:tcPr>
            <w:tcW w:w="7500" w:type="dxa"/>
            <w:gridSpan w:val="6"/>
            <w:vAlign w:val="center"/>
          </w:tcPr>
          <w:p w14:paraId="206CFF75">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15EF95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2302DCB3">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color w:val="000000"/>
                <w:kern w:val="0"/>
                <w:szCs w:val="21"/>
                <w:lang w:bidi="ar"/>
              </w:rPr>
              <w:t>企业行业水平及行业口碑</w:t>
            </w:r>
          </w:p>
        </w:tc>
        <w:tc>
          <w:tcPr>
            <w:tcW w:w="7500" w:type="dxa"/>
            <w:gridSpan w:val="6"/>
            <w:vAlign w:val="center"/>
          </w:tcPr>
          <w:p w14:paraId="66E69AB1">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09181C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75B93156">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10"/>
                <w:szCs w:val="21"/>
              </w:rPr>
              <w:t>公</w:t>
            </w:r>
            <w:r>
              <w:rPr>
                <w:rFonts w:hint="default" w:ascii="Times New Roman" w:hAnsi="Times New Roman" w:eastAsia="宋体" w:cs="Times New Roman"/>
                <w:spacing w:val="-7"/>
                <w:szCs w:val="21"/>
              </w:rPr>
              <w:t>司</w:t>
            </w:r>
            <w:r>
              <w:rPr>
                <w:rFonts w:hint="default" w:ascii="Times New Roman" w:hAnsi="Times New Roman" w:eastAsia="宋体" w:cs="Times New Roman"/>
                <w:spacing w:val="-5"/>
                <w:szCs w:val="21"/>
              </w:rPr>
              <w:t>现有主要研发、</w:t>
            </w:r>
            <w:r>
              <w:rPr>
                <w:rFonts w:hint="default" w:ascii="Times New Roman" w:hAnsi="Times New Roman" w:eastAsia="宋体" w:cs="Times New Roman"/>
                <w:szCs w:val="21"/>
              </w:rPr>
              <w:t xml:space="preserve"> </w:t>
            </w:r>
            <w:r>
              <w:rPr>
                <w:rFonts w:hint="default" w:ascii="Times New Roman" w:hAnsi="Times New Roman" w:eastAsia="宋体" w:cs="Times New Roman"/>
                <w:spacing w:val="-4"/>
                <w:szCs w:val="21"/>
              </w:rPr>
              <w:t>实</w:t>
            </w:r>
            <w:r>
              <w:rPr>
                <w:rFonts w:hint="default" w:ascii="Times New Roman" w:hAnsi="Times New Roman" w:eastAsia="宋体" w:cs="Times New Roman"/>
                <w:spacing w:val="-2"/>
                <w:szCs w:val="21"/>
              </w:rPr>
              <w:t>验、生产设备</w:t>
            </w:r>
          </w:p>
        </w:tc>
        <w:tc>
          <w:tcPr>
            <w:tcW w:w="7500" w:type="dxa"/>
            <w:gridSpan w:val="6"/>
            <w:vAlign w:val="center"/>
          </w:tcPr>
          <w:p w14:paraId="17B7A806">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6A7530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1E1CD495">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近三或五年企业类似业绩及履约情况</w:t>
            </w:r>
          </w:p>
        </w:tc>
        <w:tc>
          <w:tcPr>
            <w:tcW w:w="7500" w:type="dxa"/>
            <w:gridSpan w:val="6"/>
            <w:vAlign w:val="center"/>
          </w:tcPr>
          <w:p w14:paraId="3042305E">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5E9829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15AFB111">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售后服务及质量</w:t>
            </w:r>
          </w:p>
        </w:tc>
        <w:tc>
          <w:tcPr>
            <w:tcW w:w="7500" w:type="dxa"/>
            <w:gridSpan w:val="6"/>
            <w:vAlign w:val="center"/>
          </w:tcPr>
          <w:p w14:paraId="0B0F5E90">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18D864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5C61DC30">
            <w:pPr>
              <w:widowControl/>
              <w:textAlignment w:val="center"/>
              <w:rPr>
                <w:rFonts w:hint="default" w:ascii="Times New Roman" w:hAnsi="Times New Roman" w:eastAsia="宋体" w:cs="Times New Roman"/>
                <w:kern w:val="0"/>
                <w:szCs w:val="21"/>
                <w:lang w:bidi="ar"/>
              </w:rPr>
            </w:pPr>
            <w:r>
              <w:rPr>
                <w:rFonts w:hint="default" w:ascii="Times New Roman" w:hAnsi="Times New Roman" w:eastAsia="宋体" w:cs="Times New Roman"/>
                <w:spacing w:val="-4"/>
                <w:szCs w:val="21"/>
              </w:rPr>
              <w:t>对本项目在设计、制造、进度、财务等方面采取的组织措施和相</w:t>
            </w:r>
            <w:r>
              <w:rPr>
                <w:rFonts w:hint="default" w:ascii="Times New Roman" w:hAnsi="Times New Roman" w:eastAsia="宋体" w:cs="Times New Roman"/>
                <w:spacing w:val="-2"/>
                <w:szCs w:val="21"/>
              </w:rPr>
              <w:t>关</w:t>
            </w:r>
            <w:r>
              <w:rPr>
                <w:rFonts w:hint="default" w:ascii="Times New Roman" w:hAnsi="Times New Roman" w:eastAsia="宋体" w:cs="Times New Roman"/>
                <w:spacing w:val="-3"/>
                <w:szCs w:val="21"/>
              </w:rPr>
              <w:t>人</w:t>
            </w:r>
            <w:r>
              <w:rPr>
                <w:rFonts w:hint="default" w:ascii="Times New Roman" w:hAnsi="Times New Roman" w:eastAsia="宋体" w:cs="Times New Roman"/>
                <w:spacing w:val="-2"/>
                <w:szCs w:val="21"/>
              </w:rPr>
              <w:t>员简介</w:t>
            </w:r>
          </w:p>
        </w:tc>
        <w:tc>
          <w:tcPr>
            <w:tcW w:w="7500" w:type="dxa"/>
            <w:gridSpan w:val="6"/>
            <w:vAlign w:val="center"/>
          </w:tcPr>
          <w:p w14:paraId="26CBCBD2">
            <w:pPr>
              <w:widowControl/>
              <w:jc w:val="left"/>
              <w:rPr>
                <w:rFonts w:hint="default" w:ascii="Times New Roman" w:hAnsi="Times New Roman" w:eastAsia="宋体" w:cs="Times New Roman"/>
                <w:kern w:val="0"/>
                <w:szCs w:val="21"/>
                <w:lang w:bidi="ar"/>
              </w:rPr>
            </w:pPr>
          </w:p>
        </w:tc>
      </w:tr>
    </w:tbl>
    <w:p w14:paraId="16A67250">
      <w:pPr>
        <w:pStyle w:val="24"/>
        <w:rPr>
          <w:rFonts w:hint="default" w:ascii="Times New Roman" w:hAnsi="Times New Roman" w:eastAsia="宋体" w:cs="Times New Roman"/>
          <w:b/>
          <w:bCs/>
          <w:color w:val="000000"/>
          <w:sz w:val="24"/>
          <w:szCs w:val="24"/>
        </w:rPr>
      </w:pPr>
    </w:p>
    <w:p w14:paraId="4E360575">
      <w:pPr>
        <w:pStyle w:val="24"/>
        <w:rPr>
          <w:rFonts w:hint="default" w:ascii="Times New Roman" w:hAnsi="Times New Roman" w:eastAsia="宋体" w:cs="Times New Roman"/>
          <w:b/>
          <w:bCs/>
          <w:color w:val="000000"/>
          <w:sz w:val="24"/>
          <w:szCs w:val="24"/>
        </w:rPr>
      </w:pPr>
    </w:p>
    <w:p w14:paraId="18B28C34">
      <w:pPr>
        <w:pStyle w:val="24"/>
        <w:rPr>
          <w:rFonts w:hint="default" w:ascii="Times New Roman" w:hAnsi="Times New Roman" w:eastAsia="宋体" w:cs="Times New Roman"/>
          <w:b/>
          <w:bCs/>
          <w:color w:val="000000"/>
          <w:sz w:val="24"/>
          <w:szCs w:val="24"/>
        </w:rPr>
      </w:pPr>
    </w:p>
    <w:p w14:paraId="59B9FA63">
      <w:pPr>
        <w:pStyle w:val="24"/>
        <w:rPr>
          <w:rFonts w:hint="default" w:ascii="Times New Roman" w:hAnsi="Times New Roman" w:eastAsia="宋体" w:cs="Times New Roman"/>
          <w:b/>
          <w:bCs/>
          <w:color w:val="000000"/>
          <w:sz w:val="24"/>
          <w:szCs w:val="24"/>
        </w:rPr>
      </w:pPr>
    </w:p>
    <w:p w14:paraId="70E33259">
      <w:pPr>
        <w:pStyle w:val="24"/>
        <w:rPr>
          <w:rFonts w:hint="default" w:ascii="Times New Roman" w:hAnsi="Times New Roman" w:eastAsia="宋体" w:cs="Times New Roman"/>
          <w:b/>
          <w:bCs/>
          <w:color w:val="000000"/>
          <w:sz w:val="24"/>
          <w:szCs w:val="24"/>
        </w:rPr>
      </w:pPr>
    </w:p>
    <w:p w14:paraId="37B23B42">
      <w:pPr>
        <w:pStyle w:val="24"/>
        <w:rPr>
          <w:rFonts w:hint="default" w:ascii="Times New Roman" w:hAnsi="Times New Roman" w:eastAsia="宋体" w:cs="Times New Roman"/>
          <w:b/>
          <w:bCs/>
          <w:color w:val="000000"/>
          <w:sz w:val="24"/>
          <w:szCs w:val="24"/>
        </w:rPr>
      </w:pPr>
    </w:p>
    <w:p w14:paraId="77D15F41">
      <w:pPr>
        <w:pStyle w:val="24"/>
        <w:outlineLvl w:val="2"/>
        <w:rPr>
          <w:rFonts w:hint="default" w:ascii="Times New Roman" w:hAnsi="Times New Roman" w:eastAsia="宋体" w:cs="Times New Roman"/>
          <w:b/>
          <w:bCs/>
          <w:color w:val="000000"/>
          <w:sz w:val="24"/>
          <w:szCs w:val="24"/>
        </w:rPr>
      </w:pPr>
      <w:r>
        <w:rPr>
          <w:rFonts w:hint="default" w:ascii="Times New Roman" w:hAnsi="Times New Roman" w:eastAsia="宋体" w:cs="Times New Roman"/>
          <w:spacing w:val="-9"/>
          <w:sz w:val="24"/>
          <w:szCs w:val="24"/>
          <w14:textOutline w14:w="4356" w14:cap="flat" w14:cmpd="sng" w14:algn="ctr">
            <w14:solidFill>
              <w14:srgbClr w14:val="000000"/>
            </w14:solidFill>
            <w14:prstDash w14:val="solid"/>
            <w14:miter w14:val="0"/>
          </w14:textOutline>
        </w:rPr>
        <w:t>表</w:t>
      </w:r>
      <w:r>
        <w:rPr>
          <w:rFonts w:hint="default" w:ascii="Times New Roman" w:hAnsi="Times New Roman" w:eastAsia="宋体" w:cs="Times New Roman"/>
          <w:b/>
          <w:bCs/>
          <w:spacing w:val="-7"/>
          <w:sz w:val="24"/>
          <w:szCs w:val="24"/>
        </w:rPr>
        <w:t xml:space="preserve"> 3-</w:t>
      </w:r>
      <w:r>
        <w:rPr>
          <w:rFonts w:hint="default" w:ascii="Times New Roman" w:hAnsi="Times New Roman" w:eastAsia="宋体" w:cs="Times New Roman"/>
          <w:spacing w:val="-7"/>
          <w:sz w:val="24"/>
          <w:szCs w:val="24"/>
          <w14:textOutline w14:w="4356" w14:cap="flat" w14:cmpd="sng" w14:algn="ctr">
            <w14:solidFill>
              <w14:srgbClr w14:val="000000"/>
            </w14:solidFill>
            <w14:prstDash w14:val="solid"/>
            <w14:miter w14:val="0"/>
          </w14:textOutline>
        </w:rPr>
        <w:t xml:space="preserve">2 </w:t>
      </w:r>
      <w:r>
        <w:rPr>
          <w:rFonts w:hint="default" w:ascii="Times New Roman" w:hAnsi="Times New Roman" w:eastAsia="宋体" w:cs="Times New Roman"/>
          <w:b/>
          <w:bCs/>
          <w:color w:val="000000"/>
          <w:sz w:val="24"/>
          <w:szCs w:val="24"/>
        </w:rPr>
        <w:t>资产情况汇总表</w:t>
      </w:r>
    </w:p>
    <w:tbl>
      <w:tblPr>
        <w:tblStyle w:val="48"/>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9"/>
        <w:gridCol w:w="2406"/>
        <w:gridCol w:w="2291"/>
        <w:gridCol w:w="2070"/>
      </w:tblGrid>
      <w:tr w14:paraId="2CA53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286" w:type="dxa"/>
            <w:gridSpan w:val="4"/>
            <w:vAlign w:val="center"/>
          </w:tcPr>
          <w:p w14:paraId="207C90D3">
            <w:pPr>
              <w:spacing w:line="440" w:lineRule="exact"/>
              <w:jc w:val="center"/>
              <w:rPr>
                <w:rFonts w:hint="default" w:ascii="Times New Roman" w:hAnsi="Times New Roman" w:eastAsia="宋体" w:cs="Times New Roman"/>
                <w:color w:val="000000"/>
                <w:sz w:val="24"/>
                <w:szCs w:val="24"/>
                <w:u w:val="single"/>
              </w:rPr>
            </w:pP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公司资产情况汇总表</w:t>
            </w:r>
          </w:p>
        </w:tc>
      </w:tr>
      <w:tr w14:paraId="6B6C6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212A8763">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注册资金（万元）</w:t>
            </w:r>
          </w:p>
        </w:tc>
        <w:tc>
          <w:tcPr>
            <w:tcW w:w="6767" w:type="dxa"/>
            <w:gridSpan w:val="3"/>
          </w:tcPr>
          <w:p w14:paraId="2371F87B">
            <w:pPr>
              <w:spacing w:line="440" w:lineRule="exact"/>
              <w:jc w:val="center"/>
              <w:rPr>
                <w:rFonts w:hint="default" w:ascii="Times New Roman" w:hAnsi="Times New Roman" w:cs="Times New Roman"/>
                <w:color w:val="000000"/>
                <w:sz w:val="24"/>
                <w:szCs w:val="24"/>
              </w:rPr>
            </w:pPr>
          </w:p>
        </w:tc>
      </w:tr>
      <w:tr w14:paraId="1F9AD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0D871C69">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实收资金（万元）</w:t>
            </w:r>
          </w:p>
        </w:tc>
        <w:tc>
          <w:tcPr>
            <w:tcW w:w="6767" w:type="dxa"/>
            <w:gridSpan w:val="3"/>
          </w:tcPr>
          <w:p w14:paraId="56A75C5E">
            <w:pPr>
              <w:spacing w:line="440" w:lineRule="exact"/>
              <w:jc w:val="center"/>
              <w:rPr>
                <w:rFonts w:hint="default" w:ascii="Times New Roman" w:hAnsi="Times New Roman" w:cs="Times New Roman"/>
                <w:color w:val="000000"/>
                <w:sz w:val="24"/>
                <w:szCs w:val="24"/>
              </w:rPr>
            </w:pPr>
          </w:p>
        </w:tc>
      </w:tr>
      <w:tr w14:paraId="6D6C8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295FFF8D">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年度资产情况</w:t>
            </w:r>
          </w:p>
        </w:tc>
        <w:tc>
          <w:tcPr>
            <w:tcW w:w="2406" w:type="dxa"/>
            <w:vAlign w:val="center"/>
          </w:tcPr>
          <w:p w14:paraId="421F054C">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202</w:t>
            </w:r>
            <w:r>
              <w:rPr>
                <w:rFonts w:hint="eastAsia" w:ascii="Times New Roman" w:hAnsi="Times New Roman" w:eastAsia="宋体" w:cs="Times New Roman"/>
                <w:color w:val="000000"/>
                <w:sz w:val="24"/>
                <w:szCs w:val="24"/>
                <w:lang w:val="en-US" w:eastAsia="zh-CN"/>
              </w:rPr>
              <w:t>2</w:t>
            </w:r>
            <w:r>
              <w:rPr>
                <w:rFonts w:hint="default" w:ascii="Times New Roman" w:hAnsi="Times New Roman" w:eastAsia="宋体" w:cs="Times New Roman"/>
                <w:color w:val="000000"/>
                <w:sz w:val="24"/>
                <w:szCs w:val="24"/>
              </w:rPr>
              <w:t>年</w:t>
            </w:r>
          </w:p>
        </w:tc>
        <w:tc>
          <w:tcPr>
            <w:tcW w:w="2291" w:type="dxa"/>
            <w:vAlign w:val="center"/>
          </w:tcPr>
          <w:p w14:paraId="2C62B36F">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202</w:t>
            </w:r>
            <w:r>
              <w:rPr>
                <w:rFonts w:hint="eastAsia" w:ascii="Times New Roman" w:hAnsi="Times New Roman" w:eastAsia="宋体" w:cs="Times New Roman"/>
                <w:color w:val="000000"/>
                <w:sz w:val="24"/>
                <w:szCs w:val="24"/>
                <w:lang w:val="en-US" w:eastAsia="zh-CN"/>
              </w:rPr>
              <w:t>3</w:t>
            </w:r>
            <w:r>
              <w:rPr>
                <w:rFonts w:hint="default" w:ascii="Times New Roman" w:hAnsi="Times New Roman" w:eastAsia="宋体" w:cs="Times New Roman"/>
                <w:color w:val="000000"/>
                <w:sz w:val="24"/>
                <w:szCs w:val="24"/>
              </w:rPr>
              <w:t>年</w:t>
            </w:r>
          </w:p>
        </w:tc>
        <w:tc>
          <w:tcPr>
            <w:tcW w:w="2070" w:type="dxa"/>
            <w:vAlign w:val="center"/>
          </w:tcPr>
          <w:p w14:paraId="21B1E4DC">
            <w:pPr>
              <w:spacing w:line="440" w:lineRule="exact"/>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202</w:t>
            </w:r>
            <w:r>
              <w:rPr>
                <w:rFonts w:hint="eastAsia" w:ascii="Times New Roman" w:hAnsi="Times New Roman" w:eastAsia="宋体" w:cs="Times New Roman"/>
                <w:color w:val="000000"/>
                <w:sz w:val="24"/>
                <w:szCs w:val="24"/>
                <w:lang w:val="en-US" w:eastAsia="zh-CN"/>
              </w:rPr>
              <w:t>4</w:t>
            </w:r>
            <w:r>
              <w:rPr>
                <w:rFonts w:hint="default" w:ascii="Times New Roman" w:hAnsi="Times New Roman" w:eastAsia="宋体" w:cs="Times New Roman"/>
                <w:color w:val="000000"/>
                <w:sz w:val="24"/>
                <w:szCs w:val="24"/>
              </w:rPr>
              <w:t>年</w:t>
            </w:r>
          </w:p>
        </w:tc>
      </w:tr>
      <w:tr w14:paraId="78A75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5B083161">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流动资产（万元）</w:t>
            </w:r>
          </w:p>
        </w:tc>
        <w:tc>
          <w:tcPr>
            <w:tcW w:w="2406" w:type="dxa"/>
          </w:tcPr>
          <w:p w14:paraId="4D376632">
            <w:pPr>
              <w:spacing w:line="440" w:lineRule="exact"/>
              <w:jc w:val="center"/>
              <w:rPr>
                <w:rFonts w:hint="default" w:ascii="Times New Roman" w:hAnsi="Times New Roman" w:cs="Times New Roman"/>
                <w:color w:val="000000"/>
                <w:sz w:val="24"/>
                <w:szCs w:val="24"/>
              </w:rPr>
            </w:pPr>
          </w:p>
        </w:tc>
        <w:tc>
          <w:tcPr>
            <w:tcW w:w="2291" w:type="dxa"/>
          </w:tcPr>
          <w:p w14:paraId="116B65B2">
            <w:pPr>
              <w:spacing w:line="440" w:lineRule="exact"/>
              <w:jc w:val="center"/>
              <w:rPr>
                <w:rFonts w:hint="default" w:ascii="Times New Roman" w:hAnsi="Times New Roman" w:cs="Times New Roman"/>
                <w:color w:val="000000"/>
                <w:sz w:val="24"/>
                <w:szCs w:val="24"/>
              </w:rPr>
            </w:pPr>
          </w:p>
        </w:tc>
        <w:tc>
          <w:tcPr>
            <w:tcW w:w="2070" w:type="dxa"/>
          </w:tcPr>
          <w:p w14:paraId="0666066E">
            <w:pPr>
              <w:spacing w:line="440" w:lineRule="exact"/>
              <w:jc w:val="center"/>
              <w:rPr>
                <w:rFonts w:hint="default" w:ascii="Times New Roman" w:hAnsi="Times New Roman" w:cs="Times New Roman"/>
                <w:color w:val="000000"/>
                <w:sz w:val="24"/>
                <w:szCs w:val="24"/>
              </w:rPr>
            </w:pPr>
          </w:p>
        </w:tc>
      </w:tr>
      <w:tr w14:paraId="0D071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0FFABC3C">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非流动资产（万元）</w:t>
            </w:r>
          </w:p>
        </w:tc>
        <w:tc>
          <w:tcPr>
            <w:tcW w:w="2406" w:type="dxa"/>
          </w:tcPr>
          <w:p w14:paraId="15907EBD">
            <w:pPr>
              <w:spacing w:line="440" w:lineRule="exact"/>
              <w:jc w:val="center"/>
              <w:rPr>
                <w:rFonts w:hint="default" w:ascii="Times New Roman" w:hAnsi="Times New Roman" w:cs="Times New Roman"/>
                <w:color w:val="000000"/>
                <w:sz w:val="24"/>
                <w:szCs w:val="24"/>
              </w:rPr>
            </w:pPr>
          </w:p>
        </w:tc>
        <w:tc>
          <w:tcPr>
            <w:tcW w:w="2291" w:type="dxa"/>
          </w:tcPr>
          <w:p w14:paraId="6C883E28">
            <w:pPr>
              <w:spacing w:line="440" w:lineRule="exact"/>
              <w:jc w:val="center"/>
              <w:rPr>
                <w:rFonts w:hint="default" w:ascii="Times New Roman" w:hAnsi="Times New Roman" w:cs="Times New Roman"/>
                <w:color w:val="000000"/>
                <w:sz w:val="24"/>
                <w:szCs w:val="24"/>
              </w:rPr>
            </w:pPr>
          </w:p>
        </w:tc>
        <w:tc>
          <w:tcPr>
            <w:tcW w:w="2070" w:type="dxa"/>
          </w:tcPr>
          <w:p w14:paraId="4BFC344D">
            <w:pPr>
              <w:spacing w:line="440" w:lineRule="exact"/>
              <w:jc w:val="center"/>
              <w:rPr>
                <w:rFonts w:hint="default" w:ascii="Times New Roman" w:hAnsi="Times New Roman" w:cs="Times New Roman"/>
                <w:color w:val="000000"/>
                <w:sz w:val="24"/>
                <w:szCs w:val="24"/>
              </w:rPr>
            </w:pPr>
          </w:p>
        </w:tc>
      </w:tr>
      <w:tr w14:paraId="6FD70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4186EAE9">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营业收入（万元）</w:t>
            </w:r>
          </w:p>
        </w:tc>
        <w:tc>
          <w:tcPr>
            <w:tcW w:w="2406" w:type="dxa"/>
          </w:tcPr>
          <w:p w14:paraId="2C16B1A8">
            <w:pPr>
              <w:spacing w:line="440" w:lineRule="exact"/>
              <w:jc w:val="center"/>
              <w:rPr>
                <w:rFonts w:hint="default" w:ascii="Times New Roman" w:hAnsi="Times New Roman" w:cs="Times New Roman"/>
                <w:color w:val="000000"/>
                <w:sz w:val="24"/>
                <w:szCs w:val="24"/>
                <w:highlight w:val="yellow"/>
              </w:rPr>
            </w:pPr>
          </w:p>
        </w:tc>
        <w:tc>
          <w:tcPr>
            <w:tcW w:w="2291" w:type="dxa"/>
          </w:tcPr>
          <w:p w14:paraId="5286A60A">
            <w:pPr>
              <w:spacing w:line="440" w:lineRule="exact"/>
              <w:jc w:val="center"/>
              <w:rPr>
                <w:rFonts w:hint="default" w:ascii="Times New Roman" w:hAnsi="Times New Roman" w:cs="Times New Roman"/>
                <w:color w:val="000000"/>
                <w:sz w:val="24"/>
                <w:szCs w:val="24"/>
                <w:highlight w:val="yellow"/>
              </w:rPr>
            </w:pPr>
          </w:p>
        </w:tc>
        <w:tc>
          <w:tcPr>
            <w:tcW w:w="2070" w:type="dxa"/>
          </w:tcPr>
          <w:p w14:paraId="39D55057">
            <w:pPr>
              <w:spacing w:line="440" w:lineRule="exact"/>
              <w:jc w:val="center"/>
              <w:rPr>
                <w:rFonts w:hint="default" w:ascii="Times New Roman" w:hAnsi="Times New Roman" w:cs="Times New Roman"/>
                <w:color w:val="000000"/>
                <w:sz w:val="24"/>
                <w:szCs w:val="24"/>
                <w:highlight w:val="yellow"/>
              </w:rPr>
            </w:pPr>
          </w:p>
        </w:tc>
      </w:tr>
      <w:tr w14:paraId="5889D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652E9AFC">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年底资产总值（万元）</w:t>
            </w:r>
          </w:p>
        </w:tc>
        <w:tc>
          <w:tcPr>
            <w:tcW w:w="2406" w:type="dxa"/>
          </w:tcPr>
          <w:p w14:paraId="57ED4171">
            <w:pPr>
              <w:spacing w:line="440" w:lineRule="exact"/>
              <w:jc w:val="center"/>
              <w:rPr>
                <w:rFonts w:hint="default" w:ascii="Times New Roman" w:hAnsi="Times New Roman" w:cs="Times New Roman"/>
                <w:color w:val="000000"/>
                <w:sz w:val="24"/>
                <w:szCs w:val="24"/>
              </w:rPr>
            </w:pPr>
          </w:p>
        </w:tc>
        <w:tc>
          <w:tcPr>
            <w:tcW w:w="2291" w:type="dxa"/>
          </w:tcPr>
          <w:p w14:paraId="5A91753E">
            <w:pPr>
              <w:spacing w:line="440" w:lineRule="exact"/>
              <w:jc w:val="center"/>
              <w:rPr>
                <w:rFonts w:hint="default" w:ascii="Times New Roman" w:hAnsi="Times New Roman" w:cs="Times New Roman"/>
                <w:color w:val="000000"/>
                <w:sz w:val="24"/>
                <w:szCs w:val="24"/>
              </w:rPr>
            </w:pPr>
          </w:p>
        </w:tc>
        <w:tc>
          <w:tcPr>
            <w:tcW w:w="2070" w:type="dxa"/>
          </w:tcPr>
          <w:p w14:paraId="0C3B2F18">
            <w:pPr>
              <w:spacing w:line="440" w:lineRule="exact"/>
              <w:jc w:val="center"/>
              <w:rPr>
                <w:rFonts w:hint="default" w:ascii="Times New Roman" w:hAnsi="Times New Roman" w:cs="Times New Roman"/>
                <w:color w:val="000000"/>
                <w:sz w:val="24"/>
                <w:szCs w:val="24"/>
              </w:rPr>
            </w:pPr>
          </w:p>
        </w:tc>
      </w:tr>
      <w:tr w14:paraId="7FCB6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278E61C3">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年底负债总值（万元）</w:t>
            </w:r>
          </w:p>
        </w:tc>
        <w:tc>
          <w:tcPr>
            <w:tcW w:w="2406" w:type="dxa"/>
          </w:tcPr>
          <w:p w14:paraId="54797E84">
            <w:pPr>
              <w:spacing w:line="440" w:lineRule="exact"/>
              <w:jc w:val="center"/>
              <w:rPr>
                <w:rFonts w:hint="default" w:ascii="Times New Roman" w:hAnsi="Times New Roman" w:cs="Times New Roman"/>
                <w:color w:val="000000"/>
                <w:sz w:val="24"/>
                <w:szCs w:val="24"/>
              </w:rPr>
            </w:pPr>
          </w:p>
        </w:tc>
        <w:tc>
          <w:tcPr>
            <w:tcW w:w="2291" w:type="dxa"/>
          </w:tcPr>
          <w:p w14:paraId="1B1BEA8B">
            <w:pPr>
              <w:spacing w:line="440" w:lineRule="exact"/>
              <w:jc w:val="center"/>
              <w:rPr>
                <w:rFonts w:hint="default" w:ascii="Times New Roman" w:hAnsi="Times New Roman" w:cs="Times New Roman"/>
                <w:color w:val="000000"/>
                <w:sz w:val="24"/>
                <w:szCs w:val="24"/>
              </w:rPr>
            </w:pPr>
          </w:p>
        </w:tc>
        <w:tc>
          <w:tcPr>
            <w:tcW w:w="2070" w:type="dxa"/>
          </w:tcPr>
          <w:p w14:paraId="7D4C9EFE">
            <w:pPr>
              <w:spacing w:line="440" w:lineRule="exact"/>
              <w:jc w:val="center"/>
              <w:rPr>
                <w:rFonts w:hint="default" w:ascii="Times New Roman" w:hAnsi="Times New Roman" w:cs="Times New Roman"/>
                <w:color w:val="000000"/>
                <w:sz w:val="24"/>
                <w:szCs w:val="24"/>
              </w:rPr>
            </w:pPr>
          </w:p>
        </w:tc>
      </w:tr>
      <w:tr w14:paraId="74FFC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702B93BD">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资产负债率（  %）</w:t>
            </w:r>
          </w:p>
        </w:tc>
        <w:tc>
          <w:tcPr>
            <w:tcW w:w="2406" w:type="dxa"/>
          </w:tcPr>
          <w:p w14:paraId="6AE4DC65">
            <w:pPr>
              <w:spacing w:line="440" w:lineRule="exact"/>
              <w:jc w:val="center"/>
              <w:rPr>
                <w:rFonts w:hint="default" w:ascii="Times New Roman" w:hAnsi="Times New Roman" w:cs="Times New Roman"/>
                <w:color w:val="000000"/>
                <w:sz w:val="24"/>
                <w:szCs w:val="24"/>
                <w:highlight w:val="yellow"/>
              </w:rPr>
            </w:pPr>
          </w:p>
        </w:tc>
        <w:tc>
          <w:tcPr>
            <w:tcW w:w="2291" w:type="dxa"/>
          </w:tcPr>
          <w:p w14:paraId="07983BCD">
            <w:pPr>
              <w:spacing w:line="440" w:lineRule="exact"/>
              <w:jc w:val="center"/>
              <w:rPr>
                <w:rFonts w:hint="default" w:ascii="Times New Roman" w:hAnsi="Times New Roman" w:cs="Times New Roman"/>
                <w:color w:val="000000"/>
                <w:sz w:val="24"/>
                <w:szCs w:val="24"/>
                <w:highlight w:val="yellow"/>
              </w:rPr>
            </w:pPr>
          </w:p>
        </w:tc>
        <w:tc>
          <w:tcPr>
            <w:tcW w:w="2070" w:type="dxa"/>
          </w:tcPr>
          <w:p w14:paraId="2AA69041">
            <w:pPr>
              <w:spacing w:line="440" w:lineRule="exact"/>
              <w:jc w:val="center"/>
              <w:rPr>
                <w:rFonts w:hint="default" w:ascii="Times New Roman" w:hAnsi="Times New Roman" w:cs="Times New Roman"/>
                <w:color w:val="000000"/>
                <w:sz w:val="24"/>
                <w:szCs w:val="24"/>
                <w:highlight w:val="yellow"/>
              </w:rPr>
            </w:pPr>
          </w:p>
        </w:tc>
      </w:tr>
      <w:tr w14:paraId="2BDBF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6205F2EB">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净利润（万元）</w:t>
            </w:r>
          </w:p>
        </w:tc>
        <w:tc>
          <w:tcPr>
            <w:tcW w:w="2406" w:type="dxa"/>
          </w:tcPr>
          <w:p w14:paraId="61132F79">
            <w:pPr>
              <w:spacing w:line="440" w:lineRule="exact"/>
              <w:jc w:val="center"/>
              <w:rPr>
                <w:rFonts w:hint="default" w:ascii="Times New Roman" w:hAnsi="Times New Roman" w:cs="Times New Roman"/>
                <w:color w:val="000000"/>
                <w:sz w:val="24"/>
                <w:szCs w:val="24"/>
                <w:highlight w:val="yellow"/>
              </w:rPr>
            </w:pPr>
          </w:p>
        </w:tc>
        <w:tc>
          <w:tcPr>
            <w:tcW w:w="2291" w:type="dxa"/>
          </w:tcPr>
          <w:p w14:paraId="053ED9FF">
            <w:pPr>
              <w:spacing w:line="440" w:lineRule="exact"/>
              <w:jc w:val="center"/>
              <w:rPr>
                <w:rFonts w:hint="default" w:ascii="Times New Roman" w:hAnsi="Times New Roman" w:cs="Times New Roman"/>
                <w:color w:val="000000"/>
                <w:sz w:val="24"/>
                <w:szCs w:val="24"/>
                <w:highlight w:val="yellow"/>
              </w:rPr>
            </w:pPr>
          </w:p>
        </w:tc>
        <w:tc>
          <w:tcPr>
            <w:tcW w:w="2070" w:type="dxa"/>
          </w:tcPr>
          <w:p w14:paraId="0E8347BA">
            <w:pPr>
              <w:spacing w:line="440" w:lineRule="exact"/>
              <w:jc w:val="center"/>
              <w:rPr>
                <w:rFonts w:hint="default" w:ascii="Times New Roman" w:hAnsi="Times New Roman" w:cs="Times New Roman"/>
                <w:color w:val="000000"/>
                <w:sz w:val="24"/>
                <w:szCs w:val="24"/>
                <w:highlight w:val="yellow"/>
              </w:rPr>
            </w:pPr>
          </w:p>
        </w:tc>
      </w:tr>
      <w:tr w14:paraId="470A5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5F6536FE">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未分配利润（万元）</w:t>
            </w:r>
          </w:p>
        </w:tc>
        <w:tc>
          <w:tcPr>
            <w:tcW w:w="2406" w:type="dxa"/>
          </w:tcPr>
          <w:p w14:paraId="176AD56A">
            <w:pPr>
              <w:spacing w:line="440" w:lineRule="exact"/>
              <w:jc w:val="center"/>
              <w:rPr>
                <w:rFonts w:hint="default" w:ascii="Times New Roman" w:hAnsi="Times New Roman" w:cs="Times New Roman"/>
                <w:color w:val="000000"/>
                <w:sz w:val="24"/>
                <w:szCs w:val="24"/>
              </w:rPr>
            </w:pPr>
          </w:p>
        </w:tc>
        <w:tc>
          <w:tcPr>
            <w:tcW w:w="2291" w:type="dxa"/>
          </w:tcPr>
          <w:p w14:paraId="50CFBC4E">
            <w:pPr>
              <w:spacing w:line="440" w:lineRule="exact"/>
              <w:jc w:val="center"/>
              <w:rPr>
                <w:rFonts w:hint="default" w:ascii="Times New Roman" w:hAnsi="Times New Roman" w:cs="Times New Roman"/>
                <w:color w:val="000000"/>
                <w:sz w:val="24"/>
                <w:szCs w:val="24"/>
              </w:rPr>
            </w:pPr>
          </w:p>
        </w:tc>
        <w:tc>
          <w:tcPr>
            <w:tcW w:w="2070" w:type="dxa"/>
          </w:tcPr>
          <w:p w14:paraId="767F928A">
            <w:pPr>
              <w:spacing w:line="440" w:lineRule="exact"/>
              <w:jc w:val="center"/>
              <w:rPr>
                <w:rFonts w:hint="default" w:ascii="Times New Roman" w:hAnsi="Times New Roman" w:cs="Times New Roman"/>
                <w:color w:val="000000"/>
                <w:sz w:val="24"/>
                <w:szCs w:val="24"/>
              </w:rPr>
            </w:pPr>
          </w:p>
        </w:tc>
      </w:tr>
      <w:tr w14:paraId="6955B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7AFCDBBD">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营运资金</w:t>
            </w:r>
          </w:p>
        </w:tc>
        <w:tc>
          <w:tcPr>
            <w:tcW w:w="2406" w:type="dxa"/>
          </w:tcPr>
          <w:p w14:paraId="5513EB2F">
            <w:pPr>
              <w:spacing w:line="440" w:lineRule="exact"/>
              <w:jc w:val="center"/>
              <w:rPr>
                <w:rFonts w:hint="default" w:ascii="Times New Roman" w:hAnsi="Times New Roman" w:cs="Times New Roman"/>
                <w:color w:val="000000"/>
                <w:sz w:val="24"/>
                <w:szCs w:val="24"/>
              </w:rPr>
            </w:pPr>
          </w:p>
        </w:tc>
        <w:tc>
          <w:tcPr>
            <w:tcW w:w="2291" w:type="dxa"/>
          </w:tcPr>
          <w:p w14:paraId="1E0B724A">
            <w:pPr>
              <w:spacing w:line="440" w:lineRule="exact"/>
              <w:jc w:val="center"/>
              <w:rPr>
                <w:rFonts w:hint="default" w:ascii="Times New Roman" w:hAnsi="Times New Roman" w:cs="Times New Roman"/>
                <w:color w:val="000000"/>
                <w:sz w:val="24"/>
                <w:szCs w:val="24"/>
              </w:rPr>
            </w:pPr>
          </w:p>
        </w:tc>
        <w:tc>
          <w:tcPr>
            <w:tcW w:w="2070" w:type="dxa"/>
          </w:tcPr>
          <w:p w14:paraId="23C5D61C">
            <w:pPr>
              <w:spacing w:line="440" w:lineRule="exact"/>
              <w:jc w:val="center"/>
              <w:rPr>
                <w:rFonts w:hint="default" w:ascii="Times New Roman" w:hAnsi="Times New Roman" w:cs="Times New Roman"/>
                <w:color w:val="000000"/>
                <w:sz w:val="24"/>
                <w:szCs w:val="24"/>
              </w:rPr>
            </w:pPr>
          </w:p>
        </w:tc>
      </w:tr>
      <w:tr w14:paraId="3EB7D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4F92ABC4">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（本年营业收入-上年营业收入）÷上年营业收入</w:t>
            </w:r>
          </w:p>
        </w:tc>
        <w:tc>
          <w:tcPr>
            <w:tcW w:w="2406" w:type="dxa"/>
          </w:tcPr>
          <w:p w14:paraId="497710BA">
            <w:pPr>
              <w:spacing w:line="440" w:lineRule="exact"/>
              <w:jc w:val="center"/>
              <w:rPr>
                <w:rFonts w:hint="default" w:ascii="Times New Roman" w:hAnsi="Times New Roman" w:cs="Times New Roman"/>
                <w:color w:val="000000"/>
                <w:sz w:val="24"/>
                <w:szCs w:val="24"/>
              </w:rPr>
            </w:pPr>
          </w:p>
        </w:tc>
        <w:tc>
          <w:tcPr>
            <w:tcW w:w="2291" w:type="dxa"/>
          </w:tcPr>
          <w:p w14:paraId="0BFD63C2">
            <w:pPr>
              <w:spacing w:line="440" w:lineRule="exact"/>
              <w:jc w:val="center"/>
              <w:rPr>
                <w:rFonts w:hint="default" w:ascii="Times New Roman" w:hAnsi="Times New Roman" w:cs="Times New Roman"/>
                <w:color w:val="000000"/>
                <w:sz w:val="24"/>
                <w:szCs w:val="24"/>
              </w:rPr>
            </w:pPr>
          </w:p>
        </w:tc>
        <w:tc>
          <w:tcPr>
            <w:tcW w:w="2070" w:type="dxa"/>
          </w:tcPr>
          <w:p w14:paraId="53579C71">
            <w:pPr>
              <w:spacing w:line="440" w:lineRule="exact"/>
              <w:jc w:val="center"/>
              <w:rPr>
                <w:rFonts w:hint="default" w:ascii="Times New Roman" w:hAnsi="Times New Roman" w:cs="Times New Roman"/>
                <w:color w:val="000000"/>
                <w:sz w:val="24"/>
                <w:szCs w:val="24"/>
              </w:rPr>
            </w:pPr>
          </w:p>
        </w:tc>
      </w:tr>
    </w:tbl>
    <w:p w14:paraId="47A0786A">
      <w:pPr>
        <w:spacing w:line="660" w:lineRule="exact"/>
        <w:ind w:firstLine="240" w:firstLineChars="1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14:paraId="40149726">
      <w:pPr>
        <w:spacing w:line="660" w:lineRule="exact"/>
        <w:ind w:firstLine="240" w:firstLineChars="1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14:paraId="6152FBC4">
      <w:pPr>
        <w:spacing w:line="660" w:lineRule="exact"/>
        <w:ind w:firstLine="240" w:firstLineChars="100"/>
        <w:rPr>
          <w:rFonts w:hint="default" w:ascii="Times New Roman" w:hAnsi="Times New Roman" w:eastAsia="宋体" w:cs="Times New Roman"/>
          <w:b/>
          <w:bCs/>
          <w:color w:val="000000"/>
          <w:sz w:val="28"/>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577F4E95">
      <w:pPr>
        <w:rPr>
          <w:rFonts w:hint="default" w:ascii="Times New Roman" w:hAnsi="Times New Roman" w:cs="Times New Roman"/>
        </w:rPr>
        <w:sectPr>
          <w:footerReference r:id="rId10" w:type="first"/>
          <w:footerReference r:id="rId9"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0383208B">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附件4 保密承诺函</w:t>
      </w:r>
    </w:p>
    <w:p w14:paraId="587C3615">
      <w:pPr>
        <w:spacing w:line="240" w:lineRule="exact"/>
        <w:jc w:val="center"/>
        <w:rPr>
          <w:rFonts w:hint="default" w:ascii="Times New Roman" w:hAnsi="Times New Roman" w:eastAsia="宋体" w:cs="Times New Roman"/>
          <w:b/>
          <w:bCs/>
          <w:sz w:val="36"/>
          <w:szCs w:val="20"/>
        </w:rPr>
      </w:pPr>
    </w:p>
    <w:p w14:paraId="06BF04A8">
      <w:pPr>
        <w:spacing w:line="360" w:lineRule="auto"/>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rPr>
        <w:t>项目名称：</w:t>
      </w:r>
      <w:r>
        <w:rPr>
          <w:rFonts w:hint="eastAsia" w:cs="Times New Roman"/>
          <w:b w:val="0"/>
          <w:bCs w:val="0"/>
          <w:color w:val="000000"/>
          <w:sz w:val="24"/>
          <w:szCs w:val="24"/>
          <w:u w:val="single"/>
          <w:lang w:val="en-US" w:eastAsia="zh-CN"/>
        </w:rPr>
        <w:t>6300T、3150T热模锻生产线搬迁复产项目-新增石墨废水预处理站</w:t>
      </w:r>
      <w:r>
        <w:rPr>
          <w:rFonts w:hint="default" w:ascii="Times New Roman" w:hAnsi="Times New Roman" w:eastAsia="宋体" w:cs="Times New Roman"/>
          <w:b w:val="0"/>
          <w:bCs w:val="0"/>
          <w:sz w:val="24"/>
          <w:szCs w:val="20"/>
          <w:u w:val="single"/>
        </w:rPr>
        <w:t xml:space="preserve">      </w:t>
      </w:r>
      <w:r>
        <w:rPr>
          <w:rFonts w:hint="default" w:ascii="Times New Roman" w:hAnsi="Times New Roman" w:eastAsia="宋体" w:cs="Times New Roman"/>
          <w:sz w:val="24"/>
          <w:szCs w:val="20"/>
          <w:u w:val="single"/>
        </w:rPr>
        <w:t xml:space="preserve">         </w:t>
      </w:r>
    </w:p>
    <w:p w14:paraId="619D7C8B">
      <w:pPr>
        <w:spacing w:line="360" w:lineRule="auto"/>
        <w:rPr>
          <w:rFonts w:hint="default" w:ascii="Times New Roman" w:hAnsi="Times New Roman" w:eastAsia="宋体" w:cs="Times New Roman"/>
          <w:b/>
          <w:bCs/>
          <w:sz w:val="24"/>
          <w:szCs w:val="20"/>
        </w:rPr>
      </w:pPr>
      <w:r>
        <w:rPr>
          <w:rFonts w:hint="eastAsia" w:ascii="Times New Roman" w:hAnsi="Times New Roman" w:eastAsia="宋体" w:cs="Times New Roman"/>
          <w:b/>
          <w:bCs/>
          <w:sz w:val="24"/>
          <w:szCs w:val="20"/>
          <w:lang w:eastAsia="zh-CN"/>
        </w:rPr>
        <w:t>中国重汽集团济南动力有限公司</w:t>
      </w:r>
      <w:r>
        <w:rPr>
          <w:rFonts w:hint="default" w:ascii="Times New Roman" w:hAnsi="Times New Roman" w:eastAsia="宋体" w:cs="Times New Roman"/>
          <w:b/>
          <w:bCs/>
          <w:sz w:val="24"/>
          <w:szCs w:val="20"/>
        </w:rPr>
        <w:t>：</w:t>
      </w:r>
    </w:p>
    <w:p w14:paraId="49CC455B">
      <w:pPr>
        <w:spacing w:line="360" w:lineRule="auto"/>
        <w:ind w:firstLine="48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w:t>
      </w:r>
      <w:r>
        <w:rPr>
          <w:rFonts w:hint="default" w:ascii="Times New Roman" w:hAnsi="Times New Roman" w:eastAsia="宋体" w:cs="Times New Roman"/>
          <w:sz w:val="24"/>
          <w:szCs w:val="20"/>
          <w:highlight w:val="yellow"/>
          <w:u w:val="single"/>
        </w:rPr>
        <w:t>投标单位名称</w:t>
      </w:r>
      <w:r>
        <w:rPr>
          <w:rFonts w:hint="default" w:ascii="Times New Roman" w:hAnsi="Times New Roman" w:eastAsia="宋体" w:cs="Times New Roman"/>
          <w:sz w:val="24"/>
          <w:szCs w:val="20"/>
        </w:rPr>
        <w:t>）对招标人的商业秘密作如下承诺：</w:t>
      </w:r>
    </w:p>
    <w:p w14:paraId="10B63ACB">
      <w:pPr>
        <w:spacing w:line="360" w:lineRule="auto"/>
        <w:ind w:left="479" w:leftChars="228"/>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5B088075">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26F8D0D4">
      <w:pPr>
        <w:spacing w:line="360" w:lineRule="auto"/>
        <w:ind w:firstLine="480" w:firstLineChars="200"/>
        <w:rPr>
          <w:rFonts w:hint="default" w:ascii="Times New Roman" w:hAnsi="Times New Roman" w:eastAsia="宋体" w:cs="Times New Roman"/>
          <w:sz w:val="24"/>
          <w:szCs w:val="20"/>
          <w:u w:val="single"/>
        </w:rPr>
      </w:pPr>
    </w:p>
    <w:p w14:paraId="235D1FD3">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投标人：（盖章）</w:t>
      </w:r>
    </w:p>
    <w:p w14:paraId="54ABF4B2">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法定代表人（委托代理人）：（签字）</w:t>
      </w:r>
    </w:p>
    <w:p w14:paraId="1FA040B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日  期：       年    月    日</w:t>
      </w:r>
    </w:p>
    <w:p w14:paraId="4C5B8F51">
      <w:pPr>
        <w:rPr>
          <w:rFonts w:hint="default" w:ascii="Times New Roman" w:hAnsi="Times New Roman" w:eastAsia="宋体" w:cs="Times New Roman"/>
          <w:b/>
          <w:bCs/>
          <w:color w:val="000000"/>
          <w:sz w:val="28"/>
          <w:szCs w:val="20"/>
        </w:rPr>
      </w:pPr>
    </w:p>
    <w:p w14:paraId="594BB354">
      <w:pPr>
        <w:rPr>
          <w:rFonts w:hint="default" w:ascii="Times New Roman" w:hAnsi="Times New Roman" w:cs="Times New Roman"/>
        </w:rPr>
        <w:sectPr>
          <w:footerReference r:id="rId12" w:type="first"/>
          <w:footerReference r:id="rId11"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0272557E">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附件5 技术规格偏离表</w:t>
      </w:r>
    </w:p>
    <w:p w14:paraId="4E7E7D5F">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项目名称：</w:t>
      </w:r>
      <w:r>
        <w:rPr>
          <w:rFonts w:hint="eastAsia" w:cs="Times New Roman"/>
          <w:b w:val="0"/>
          <w:bCs w:val="0"/>
          <w:color w:val="000000"/>
          <w:sz w:val="24"/>
          <w:szCs w:val="24"/>
          <w:u w:val="single"/>
          <w:lang w:val="en-US" w:eastAsia="zh-CN"/>
        </w:rPr>
        <w:t>6300T、3150T热模锻生产线搬迁复产项目-新增石墨废水预处理站</w:t>
      </w:r>
      <w:r>
        <w:rPr>
          <w:rFonts w:hint="default" w:ascii="Times New Roman" w:hAnsi="Times New Roman" w:eastAsia="宋体" w:cs="Times New Roman"/>
          <w:color w:val="000000"/>
          <w:sz w:val="24"/>
          <w:szCs w:val="24"/>
        </w:rPr>
        <w:t xml:space="preserve"> </w:t>
      </w:r>
    </w:p>
    <w:tbl>
      <w:tblPr>
        <w:tblStyle w:val="48"/>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4BFCF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0BA4AC74">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序号</w:t>
            </w:r>
          </w:p>
        </w:tc>
        <w:tc>
          <w:tcPr>
            <w:tcW w:w="3449" w:type="dxa"/>
            <w:vAlign w:val="center"/>
          </w:tcPr>
          <w:p w14:paraId="2E8317F4">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招标要求</w:t>
            </w:r>
          </w:p>
        </w:tc>
        <w:tc>
          <w:tcPr>
            <w:tcW w:w="2414" w:type="dxa"/>
            <w:vAlign w:val="center"/>
          </w:tcPr>
          <w:p w14:paraId="2632209C">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响应规格</w:t>
            </w:r>
          </w:p>
        </w:tc>
        <w:tc>
          <w:tcPr>
            <w:tcW w:w="1608" w:type="dxa"/>
            <w:vAlign w:val="center"/>
          </w:tcPr>
          <w:p w14:paraId="30599210">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是否偏离</w:t>
            </w:r>
          </w:p>
        </w:tc>
      </w:tr>
      <w:tr w14:paraId="7B7D8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01F384C">
            <w:pPr>
              <w:jc w:val="center"/>
              <w:rPr>
                <w:rFonts w:hint="default" w:ascii="Times New Roman" w:hAnsi="Times New Roman" w:eastAsia="宋体" w:cs="Times New Roman"/>
                <w:b/>
                <w:sz w:val="24"/>
                <w:szCs w:val="20"/>
              </w:rPr>
            </w:pPr>
          </w:p>
        </w:tc>
        <w:tc>
          <w:tcPr>
            <w:tcW w:w="3449" w:type="dxa"/>
          </w:tcPr>
          <w:p w14:paraId="4FA51788">
            <w:pPr>
              <w:jc w:val="center"/>
              <w:rPr>
                <w:rFonts w:hint="default" w:ascii="Times New Roman" w:hAnsi="Times New Roman" w:eastAsia="宋体" w:cs="Times New Roman"/>
                <w:b/>
                <w:sz w:val="24"/>
                <w:szCs w:val="20"/>
              </w:rPr>
            </w:pPr>
          </w:p>
        </w:tc>
        <w:tc>
          <w:tcPr>
            <w:tcW w:w="2414" w:type="dxa"/>
          </w:tcPr>
          <w:p w14:paraId="561ED269">
            <w:pPr>
              <w:jc w:val="center"/>
              <w:rPr>
                <w:rFonts w:hint="default" w:ascii="Times New Roman" w:hAnsi="Times New Roman" w:eastAsia="宋体" w:cs="Times New Roman"/>
                <w:b/>
                <w:sz w:val="24"/>
                <w:szCs w:val="20"/>
              </w:rPr>
            </w:pPr>
          </w:p>
        </w:tc>
        <w:tc>
          <w:tcPr>
            <w:tcW w:w="1608" w:type="dxa"/>
          </w:tcPr>
          <w:p w14:paraId="1B7F3D04">
            <w:pPr>
              <w:jc w:val="center"/>
              <w:rPr>
                <w:rFonts w:hint="default" w:ascii="Times New Roman" w:hAnsi="Times New Roman" w:eastAsia="宋体" w:cs="Times New Roman"/>
                <w:b/>
                <w:sz w:val="24"/>
                <w:szCs w:val="20"/>
              </w:rPr>
            </w:pPr>
          </w:p>
        </w:tc>
      </w:tr>
      <w:tr w14:paraId="361CE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BA34B9D">
            <w:pPr>
              <w:jc w:val="center"/>
              <w:rPr>
                <w:rFonts w:hint="default" w:ascii="Times New Roman" w:hAnsi="Times New Roman" w:eastAsia="宋体" w:cs="Times New Roman"/>
                <w:b/>
                <w:sz w:val="24"/>
                <w:szCs w:val="20"/>
              </w:rPr>
            </w:pPr>
          </w:p>
        </w:tc>
        <w:tc>
          <w:tcPr>
            <w:tcW w:w="3449" w:type="dxa"/>
          </w:tcPr>
          <w:p w14:paraId="73DF06EE">
            <w:pPr>
              <w:jc w:val="center"/>
              <w:rPr>
                <w:rFonts w:hint="default" w:ascii="Times New Roman" w:hAnsi="Times New Roman" w:eastAsia="宋体" w:cs="Times New Roman"/>
                <w:b/>
                <w:sz w:val="24"/>
                <w:szCs w:val="20"/>
              </w:rPr>
            </w:pPr>
          </w:p>
        </w:tc>
        <w:tc>
          <w:tcPr>
            <w:tcW w:w="2414" w:type="dxa"/>
          </w:tcPr>
          <w:p w14:paraId="397A31E1">
            <w:pPr>
              <w:jc w:val="center"/>
              <w:rPr>
                <w:rFonts w:hint="default" w:ascii="Times New Roman" w:hAnsi="Times New Roman" w:eastAsia="宋体" w:cs="Times New Roman"/>
                <w:b/>
                <w:sz w:val="24"/>
                <w:szCs w:val="20"/>
              </w:rPr>
            </w:pPr>
          </w:p>
        </w:tc>
        <w:tc>
          <w:tcPr>
            <w:tcW w:w="1608" w:type="dxa"/>
          </w:tcPr>
          <w:p w14:paraId="3F1AD132">
            <w:pPr>
              <w:jc w:val="center"/>
              <w:rPr>
                <w:rFonts w:hint="default" w:ascii="Times New Roman" w:hAnsi="Times New Roman" w:eastAsia="宋体" w:cs="Times New Roman"/>
                <w:b/>
                <w:sz w:val="24"/>
                <w:szCs w:val="20"/>
              </w:rPr>
            </w:pPr>
          </w:p>
        </w:tc>
      </w:tr>
      <w:tr w14:paraId="5955D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6D90E34">
            <w:pPr>
              <w:jc w:val="center"/>
              <w:rPr>
                <w:rFonts w:hint="default" w:ascii="Times New Roman" w:hAnsi="Times New Roman" w:eastAsia="宋体" w:cs="Times New Roman"/>
                <w:b/>
                <w:sz w:val="24"/>
                <w:szCs w:val="20"/>
              </w:rPr>
            </w:pPr>
          </w:p>
        </w:tc>
        <w:tc>
          <w:tcPr>
            <w:tcW w:w="3449" w:type="dxa"/>
          </w:tcPr>
          <w:p w14:paraId="75827AD0">
            <w:pPr>
              <w:jc w:val="center"/>
              <w:rPr>
                <w:rFonts w:hint="default" w:ascii="Times New Roman" w:hAnsi="Times New Roman" w:eastAsia="宋体" w:cs="Times New Roman"/>
                <w:b/>
                <w:sz w:val="24"/>
                <w:szCs w:val="20"/>
              </w:rPr>
            </w:pPr>
          </w:p>
        </w:tc>
        <w:tc>
          <w:tcPr>
            <w:tcW w:w="2414" w:type="dxa"/>
          </w:tcPr>
          <w:p w14:paraId="30FC4F72">
            <w:pPr>
              <w:jc w:val="center"/>
              <w:rPr>
                <w:rFonts w:hint="default" w:ascii="Times New Roman" w:hAnsi="Times New Roman" w:eastAsia="宋体" w:cs="Times New Roman"/>
                <w:b/>
                <w:sz w:val="24"/>
                <w:szCs w:val="20"/>
              </w:rPr>
            </w:pPr>
          </w:p>
        </w:tc>
        <w:tc>
          <w:tcPr>
            <w:tcW w:w="1608" w:type="dxa"/>
          </w:tcPr>
          <w:p w14:paraId="14FBB863">
            <w:pPr>
              <w:jc w:val="center"/>
              <w:rPr>
                <w:rFonts w:hint="default" w:ascii="Times New Roman" w:hAnsi="Times New Roman" w:eastAsia="宋体" w:cs="Times New Roman"/>
                <w:b/>
                <w:sz w:val="24"/>
                <w:szCs w:val="20"/>
              </w:rPr>
            </w:pPr>
          </w:p>
        </w:tc>
      </w:tr>
      <w:tr w14:paraId="7AA97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3BECE7C9">
            <w:pPr>
              <w:jc w:val="center"/>
              <w:rPr>
                <w:rFonts w:hint="default" w:ascii="Times New Roman" w:hAnsi="Times New Roman" w:eastAsia="宋体" w:cs="Times New Roman"/>
                <w:b/>
                <w:sz w:val="24"/>
                <w:szCs w:val="20"/>
              </w:rPr>
            </w:pPr>
          </w:p>
        </w:tc>
        <w:tc>
          <w:tcPr>
            <w:tcW w:w="3449" w:type="dxa"/>
          </w:tcPr>
          <w:p w14:paraId="44D15E30">
            <w:pPr>
              <w:jc w:val="center"/>
              <w:rPr>
                <w:rFonts w:hint="default" w:ascii="Times New Roman" w:hAnsi="Times New Roman" w:eastAsia="宋体" w:cs="Times New Roman"/>
                <w:b/>
                <w:sz w:val="24"/>
                <w:szCs w:val="20"/>
              </w:rPr>
            </w:pPr>
          </w:p>
        </w:tc>
        <w:tc>
          <w:tcPr>
            <w:tcW w:w="2414" w:type="dxa"/>
          </w:tcPr>
          <w:p w14:paraId="4231A2BB">
            <w:pPr>
              <w:jc w:val="center"/>
              <w:rPr>
                <w:rFonts w:hint="default" w:ascii="Times New Roman" w:hAnsi="Times New Roman" w:eastAsia="宋体" w:cs="Times New Roman"/>
                <w:b/>
                <w:sz w:val="24"/>
                <w:szCs w:val="20"/>
              </w:rPr>
            </w:pPr>
          </w:p>
        </w:tc>
        <w:tc>
          <w:tcPr>
            <w:tcW w:w="1608" w:type="dxa"/>
          </w:tcPr>
          <w:p w14:paraId="56E0048A">
            <w:pPr>
              <w:jc w:val="center"/>
              <w:rPr>
                <w:rFonts w:hint="default" w:ascii="Times New Roman" w:hAnsi="Times New Roman" w:eastAsia="宋体" w:cs="Times New Roman"/>
                <w:b/>
                <w:sz w:val="24"/>
                <w:szCs w:val="20"/>
              </w:rPr>
            </w:pPr>
          </w:p>
        </w:tc>
      </w:tr>
      <w:tr w14:paraId="2A789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5336A1F">
            <w:pPr>
              <w:jc w:val="center"/>
              <w:rPr>
                <w:rFonts w:hint="default" w:ascii="Times New Roman" w:hAnsi="Times New Roman" w:eastAsia="宋体" w:cs="Times New Roman"/>
                <w:b/>
                <w:sz w:val="24"/>
                <w:szCs w:val="20"/>
              </w:rPr>
            </w:pPr>
          </w:p>
        </w:tc>
        <w:tc>
          <w:tcPr>
            <w:tcW w:w="3449" w:type="dxa"/>
          </w:tcPr>
          <w:p w14:paraId="2F997DB2">
            <w:pPr>
              <w:jc w:val="center"/>
              <w:rPr>
                <w:rFonts w:hint="default" w:ascii="Times New Roman" w:hAnsi="Times New Roman" w:eastAsia="宋体" w:cs="Times New Roman"/>
                <w:b/>
                <w:sz w:val="24"/>
                <w:szCs w:val="20"/>
              </w:rPr>
            </w:pPr>
          </w:p>
        </w:tc>
        <w:tc>
          <w:tcPr>
            <w:tcW w:w="2414" w:type="dxa"/>
          </w:tcPr>
          <w:p w14:paraId="3E15668C">
            <w:pPr>
              <w:jc w:val="center"/>
              <w:rPr>
                <w:rFonts w:hint="default" w:ascii="Times New Roman" w:hAnsi="Times New Roman" w:eastAsia="宋体" w:cs="Times New Roman"/>
                <w:b/>
                <w:sz w:val="24"/>
                <w:szCs w:val="20"/>
              </w:rPr>
            </w:pPr>
          </w:p>
        </w:tc>
        <w:tc>
          <w:tcPr>
            <w:tcW w:w="1608" w:type="dxa"/>
          </w:tcPr>
          <w:p w14:paraId="238FA0C8">
            <w:pPr>
              <w:jc w:val="center"/>
              <w:rPr>
                <w:rFonts w:hint="default" w:ascii="Times New Roman" w:hAnsi="Times New Roman" w:eastAsia="宋体" w:cs="Times New Roman"/>
                <w:b/>
                <w:sz w:val="24"/>
                <w:szCs w:val="20"/>
              </w:rPr>
            </w:pPr>
          </w:p>
        </w:tc>
      </w:tr>
      <w:tr w14:paraId="6B98E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AB8E72A">
            <w:pPr>
              <w:jc w:val="center"/>
              <w:rPr>
                <w:rFonts w:hint="default" w:ascii="Times New Roman" w:hAnsi="Times New Roman" w:eastAsia="宋体" w:cs="Times New Roman"/>
                <w:b/>
                <w:sz w:val="24"/>
                <w:szCs w:val="20"/>
              </w:rPr>
            </w:pPr>
          </w:p>
        </w:tc>
        <w:tc>
          <w:tcPr>
            <w:tcW w:w="3449" w:type="dxa"/>
          </w:tcPr>
          <w:p w14:paraId="5B8584BD">
            <w:pPr>
              <w:jc w:val="center"/>
              <w:rPr>
                <w:rFonts w:hint="default" w:ascii="Times New Roman" w:hAnsi="Times New Roman" w:eastAsia="宋体" w:cs="Times New Roman"/>
                <w:b/>
                <w:sz w:val="24"/>
                <w:szCs w:val="20"/>
              </w:rPr>
            </w:pPr>
          </w:p>
        </w:tc>
        <w:tc>
          <w:tcPr>
            <w:tcW w:w="2414" w:type="dxa"/>
          </w:tcPr>
          <w:p w14:paraId="28BD82A1">
            <w:pPr>
              <w:jc w:val="center"/>
              <w:rPr>
                <w:rFonts w:hint="default" w:ascii="Times New Roman" w:hAnsi="Times New Roman" w:eastAsia="宋体" w:cs="Times New Roman"/>
                <w:b/>
                <w:sz w:val="24"/>
                <w:szCs w:val="20"/>
              </w:rPr>
            </w:pPr>
          </w:p>
        </w:tc>
        <w:tc>
          <w:tcPr>
            <w:tcW w:w="1608" w:type="dxa"/>
          </w:tcPr>
          <w:p w14:paraId="301986B5">
            <w:pPr>
              <w:jc w:val="center"/>
              <w:rPr>
                <w:rFonts w:hint="default" w:ascii="Times New Roman" w:hAnsi="Times New Roman" w:eastAsia="宋体" w:cs="Times New Roman"/>
                <w:b/>
                <w:sz w:val="24"/>
                <w:szCs w:val="20"/>
              </w:rPr>
            </w:pPr>
          </w:p>
        </w:tc>
      </w:tr>
      <w:tr w14:paraId="55F9B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3BE81D8">
            <w:pPr>
              <w:jc w:val="center"/>
              <w:rPr>
                <w:rFonts w:hint="default" w:ascii="Times New Roman" w:hAnsi="Times New Roman" w:eastAsia="宋体" w:cs="Times New Roman"/>
                <w:b/>
                <w:sz w:val="24"/>
                <w:szCs w:val="20"/>
              </w:rPr>
            </w:pPr>
          </w:p>
        </w:tc>
        <w:tc>
          <w:tcPr>
            <w:tcW w:w="3449" w:type="dxa"/>
          </w:tcPr>
          <w:p w14:paraId="03EB135B">
            <w:pPr>
              <w:jc w:val="center"/>
              <w:rPr>
                <w:rFonts w:hint="default" w:ascii="Times New Roman" w:hAnsi="Times New Roman" w:eastAsia="宋体" w:cs="Times New Roman"/>
                <w:b/>
                <w:sz w:val="24"/>
                <w:szCs w:val="20"/>
              </w:rPr>
            </w:pPr>
          </w:p>
        </w:tc>
        <w:tc>
          <w:tcPr>
            <w:tcW w:w="2414" w:type="dxa"/>
          </w:tcPr>
          <w:p w14:paraId="0C2755CF">
            <w:pPr>
              <w:jc w:val="center"/>
              <w:rPr>
                <w:rFonts w:hint="default" w:ascii="Times New Roman" w:hAnsi="Times New Roman" w:eastAsia="宋体" w:cs="Times New Roman"/>
                <w:b/>
                <w:sz w:val="24"/>
                <w:szCs w:val="20"/>
              </w:rPr>
            </w:pPr>
          </w:p>
        </w:tc>
        <w:tc>
          <w:tcPr>
            <w:tcW w:w="1608" w:type="dxa"/>
          </w:tcPr>
          <w:p w14:paraId="7E25F1EA">
            <w:pPr>
              <w:jc w:val="center"/>
              <w:rPr>
                <w:rFonts w:hint="default" w:ascii="Times New Roman" w:hAnsi="Times New Roman" w:eastAsia="宋体" w:cs="Times New Roman"/>
                <w:b/>
                <w:sz w:val="24"/>
                <w:szCs w:val="20"/>
              </w:rPr>
            </w:pPr>
          </w:p>
        </w:tc>
      </w:tr>
      <w:tr w14:paraId="1F295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A7254B0">
            <w:pPr>
              <w:jc w:val="center"/>
              <w:rPr>
                <w:rFonts w:hint="default" w:ascii="Times New Roman" w:hAnsi="Times New Roman" w:eastAsia="宋体" w:cs="Times New Roman"/>
                <w:b/>
                <w:sz w:val="24"/>
                <w:szCs w:val="20"/>
              </w:rPr>
            </w:pPr>
          </w:p>
        </w:tc>
        <w:tc>
          <w:tcPr>
            <w:tcW w:w="3449" w:type="dxa"/>
          </w:tcPr>
          <w:p w14:paraId="56333A34">
            <w:pPr>
              <w:jc w:val="center"/>
              <w:rPr>
                <w:rFonts w:hint="default" w:ascii="Times New Roman" w:hAnsi="Times New Roman" w:eastAsia="宋体" w:cs="Times New Roman"/>
                <w:b/>
                <w:sz w:val="24"/>
                <w:szCs w:val="20"/>
              </w:rPr>
            </w:pPr>
          </w:p>
        </w:tc>
        <w:tc>
          <w:tcPr>
            <w:tcW w:w="2414" w:type="dxa"/>
          </w:tcPr>
          <w:p w14:paraId="2CB74EC3">
            <w:pPr>
              <w:jc w:val="center"/>
              <w:rPr>
                <w:rFonts w:hint="default" w:ascii="Times New Roman" w:hAnsi="Times New Roman" w:eastAsia="宋体" w:cs="Times New Roman"/>
                <w:b/>
                <w:sz w:val="24"/>
                <w:szCs w:val="20"/>
              </w:rPr>
            </w:pPr>
          </w:p>
        </w:tc>
        <w:tc>
          <w:tcPr>
            <w:tcW w:w="1608" w:type="dxa"/>
          </w:tcPr>
          <w:p w14:paraId="72F051A9">
            <w:pPr>
              <w:jc w:val="center"/>
              <w:rPr>
                <w:rFonts w:hint="default" w:ascii="Times New Roman" w:hAnsi="Times New Roman" w:eastAsia="宋体" w:cs="Times New Roman"/>
                <w:b/>
                <w:sz w:val="24"/>
                <w:szCs w:val="20"/>
              </w:rPr>
            </w:pPr>
          </w:p>
        </w:tc>
      </w:tr>
      <w:tr w14:paraId="6C62D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1585" w:type="dxa"/>
          </w:tcPr>
          <w:p w14:paraId="1AF30137">
            <w:pPr>
              <w:jc w:val="center"/>
              <w:rPr>
                <w:rFonts w:hint="default" w:ascii="Times New Roman" w:hAnsi="Times New Roman" w:eastAsia="宋体" w:cs="Times New Roman"/>
                <w:b/>
                <w:sz w:val="24"/>
                <w:szCs w:val="20"/>
              </w:rPr>
            </w:pPr>
          </w:p>
        </w:tc>
        <w:tc>
          <w:tcPr>
            <w:tcW w:w="3449" w:type="dxa"/>
          </w:tcPr>
          <w:p w14:paraId="1D1FD8BB">
            <w:pPr>
              <w:jc w:val="center"/>
              <w:rPr>
                <w:rFonts w:hint="default" w:ascii="Times New Roman" w:hAnsi="Times New Roman" w:eastAsia="宋体" w:cs="Times New Roman"/>
                <w:b/>
                <w:sz w:val="24"/>
                <w:szCs w:val="20"/>
              </w:rPr>
            </w:pPr>
          </w:p>
        </w:tc>
        <w:tc>
          <w:tcPr>
            <w:tcW w:w="2414" w:type="dxa"/>
          </w:tcPr>
          <w:p w14:paraId="59681DED">
            <w:pPr>
              <w:jc w:val="center"/>
              <w:rPr>
                <w:rFonts w:hint="default" w:ascii="Times New Roman" w:hAnsi="Times New Roman" w:eastAsia="宋体" w:cs="Times New Roman"/>
                <w:b/>
                <w:sz w:val="24"/>
                <w:szCs w:val="20"/>
              </w:rPr>
            </w:pPr>
          </w:p>
        </w:tc>
        <w:tc>
          <w:tcPr>
            <w:tcW w:w="1608" w:type="dxa"/>
          </w:tcPr>
          <w:p w14:paraId="449A768F">
            <w:pPr>
              <w:jc w:val="center"/>
              <w:rPr>
                <w:rFonts w:hint="default" w:ascii="Times New Roman" w:hAnsi="Times New Roman" w:eastAsia="宋体" w:cs="Times New Roman"/>
                <w:b/>
                <w:sz w:val="24"/>
                <w:szCs w:val="20"/>
              </w:rPr>
            </w:pPr>
          </w:p>
        </w:tc>
      </w:tr>
      <w:tr w14:paraId="0F5DB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0149D67">
            <w:pPr>
              <w:jc w:val="center"/>
              <w:rPr>
                <w:rFonts w:hint="default" w:ascii="Times New Roman" w:hAnsi="Times New Roman" w:eastAsia="宋体" w:cs="Times New Roman"/>
                <w:b/>
                <w:sz w:val="24"/>
                <w:szCs w:val="20"/>
              </w:rPr>
            </w:pPr>
          </w:p>
        </w:tc>
        <w:tc>
          <w:tcPr>
            <w:tcW w:w="3449" w:type="dxa"/>
          </w:tcPr>
          <w:p w14:paraId="707357DA">
            <w:pPr>
              <w:jc w:val="center"/>
              <w:rPr>
                <w:rFonts w:hint="default" w:ascii="Times New Roman" w:hAnsi="Times New Roman" w:eastAsia="宋体" w:cs="Times New Roman"/>
                <w:b/>
                <w:sz w:val="24"/>
                <w:szCs w:val="20"/>
              </w:rPr>
            </w:pPr>
          </w:p>
        </w:tc>
        <w:tc>
          <w:tcPr>
            <w:tcW w:w="2414" w:type="dxa"/>
          </w:tcPr>
          <w:p w14:paraId="63069CE8">
            <w:pPr>
              <w:jc w:val="center"/>
              <w:rPr>
                <w:rFonts w:hint="default" w:ascii="Times New Roman" w:hAnsi="Times New Roman" w:eastAsia="宋体" w:cs="Times New Roman"/>
                <w:b/>
                <w:sz w:val="24"/>
                <w:szCs w:val="20"/>
              </w:rPr>
            </w:pPr>
          </w:p>
        </w:tc>
        <w:tc>
          <w:tcPr>
            <w:tcW w:w="1608" w:type="dxa"/>
          </w:tcPr>
          <w:p w14:paraId="3A3A3CAE">
            <w:pPr>
              <w:jc w:val="center"/>
              <w:rPr>
                <w:rFonts w:hint="default" w:ascii="Times New Roman" w:hAnsi="Times New Roman" w:eastAsia="宋体" w:cs="Times New Roman"/>
                <w:b/>
                <w:sz w:val="24"/>
                <w:szCs w:val="20"/>
              </w:rPr>
            </w:pPr>
          </w:p>
        </w:tc>
      </w:tr>
      <w:tr w14:paraId="205FF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A482734">
            <w:pPr>
              <w:jc w:val="center"/>
              <w:rPr>
                <w:rFonts w:hint="default" w:ascii="Times New Roman" w:hAnsi="Times New Roman" w:eastAsia="宋体" w:cs="Times New Roman"/>
                <w:b/>
                <w:sz w:val="24"/>
                <w:szCs w:val="20"/>
              </w:rPr>
            </w:pPr>
          </w:p>
        </w:tc>
        <w:tc>
          <w:tcPr>
            <w:tcW w:w="3449" w:type="dxa"/>
          </w:tcPr>
          <w:p w14:paraId="18F00F34">
            <w:pPr>
              <w:jc w:val="center"/>
              <w:rPr>
                <w:rFonts w:hint="default" w:ascii="Times New Roman" w:hAnsi="Times New Roman" w:eastAsia="宋体" w:cs="Times New Roman"/>
                <w:b/>
                <w:sz w:val="24"/>
                <w:szCs w:val="20"/>
              </w:rPr>
            </w:pPr>
          </w:p>
        </w:tc>
        <w:tc>
          <w:tcPr>
            <w:tcW w:w="2414" w:type="dxa"/>
          </w:tcPr>
          <w:p w14:paraId="33758003">
            <w:pPr>
              <w:jc w:val="center"/>
              <w:rPr>
                <w:rFonts w:hint="default" w:ascii="Times New Roman" w:hAnsi="Times New Roman" w:eastAsia="宋体" w:cs="Times New Roman"/>
                <w:b/>
                <w:sz w:val="24"/>
                <w:szCs w:val="20"/>
              </w:rPr>
            </w:pPr>
          </w:p>
        </w:tc>
        <w:tc>
          <w:tcPr>
            <w:tcW w:w="1608" w:type="dxa"/>
          </w:tcPr>
          <w:p w14:paraId="792A7AE7">
            <w:pPr>
              <w:jc w:val="center"/>
              <w:rPr>
                <w:rFonts w:hint="default" w:ascii="Times New Roman" w:hAnsi="Times New Roman" w:eastAsia="宋体" w:cs="Times New Roman"/>
                <w:b/>
                <w:sz w:val="24"/>
                <w:szCs w:val="20"/>
              </w:rPr>
            </w:pPr>
          </w:p>
        </w:tc>
      </w:tr>
      <w:tr w14:paraId="0923F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05EC4C2">
            <w:pPr>
              <w:jc w:val="center"/>
              <w:rPr>
                <w:rFonts w:hint="default" w:ascii="Times New Roman" w:hAnsi="Times New Roman" w:eastAsia="宋体" w:cs="Times New Roman"/>
                <w:b/>
                <w:sz w:val="24"/>
                <w:szCs w:val="20"/>
              </w:rPr>
            </w:pPr>
          </w:p>
        </w:tc>
        <w:tc>
          <w:tcPr>
            <w:tcW w:w="3449" w:type="dxa"/>
          </w:tcPr>
          <w:p w14:paraId="2858C937">
            <w:pPr>
              <w:jc w:val="center"/>
              <w:rPr>
                <w:rFonts w:hint="default" w:ascii="Times New Roman" w:hAnsi="Times New Roman" w:eastAsia="宋体" w:cs="Times New Roman"/>
                <w:b/>
                <w:sz w:val="24"/>
                <w:szCs w:val="20"/>
              </w:rPr>
            </w:pPr>
          </w:p>
        </w:tc>
        <w:tc>
          <w:tcPr>
            <w:tcW w:w="2414" w:type="dxa"/>
          </w:tcPr>
          <w:p w14:paraId="21BD9875">
            <w:pPr>
              <w:jc w:val="center"/>
              <w:rPr>
                <w:rFonts w:hint="default" w:ascii="Times New Roman" w:hAnsi="Times New Roman" w:eastAsia="宋体" w:cs="Times New Roman"/>
                <w:b/>
                <w:sz w:val="24"/>
                <w:szCs w:val="20"/>
              </w:rPr>
            </w:pPr>
          </w:p>
        </w:tc>
        <w:tc>
          <w:tcPr>
            <w:tcW w:w="1608" w:type="dxa"/>
          </w:tcPr>
          <w:p w14:paraId="34789635">
            <w:pPr>
              <w:jc w:val="center"/>
              <w:rPr>
                <w:rFonts w:hint="default" w:ascii="Times New Roman" w:hAnsi="Times New Roman" w:eastAsia="宋体" w:cs="Times New Roman"/>
                <w:b/>
                <w:sz w:val="24"/>
                <w:szCs w:val="20"/>
              </w:rPr>
            </w:pPr>
          </w:p>
        </w:tc>
      </w:tr>
      <w:tr w14:paraId="38E03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64F2900">
            <w:pPr>
              <w:jc w:val="center"/>
              <w:rPr>
                <w:rFonts w:hint="default" w:ascii="Times New Roman" w:hAnsi="Times New Roman" w:eastAsia="宋体" w:cs="Times New Roman"/>
                <w:b/>
                <w:sz w:val="24"/>
                <w:szCs w:val="20"/>
              </w:rPr>
            </w:pPr>
          </w:p>
        </w:tc>
        <w:tc>
          <w:tcPr>
            <w:tcW w:w="3449" w:type="dxa"/>
          </w:tcPr>
          <w:p w14:paraId="4015BDB9">
            <w:pPr>
              <w:jc w:val="center"/>
              <w:rPr>
                <w:rFonts w:hint="default" w:ascii="Times New Roman" w:hAnsi="Times New Roman" w:eastAsia="宋体" w:cs="Times New Roman"/>
                <w:b/>
                <w:sz w:val="24"/>
                <w:szCs w:val="20"/>
              </w:rPr>
            </w:pPr>
          </w:p>
        </w:tc>
        <w:tc>
          <w:tcPr>
            <w:tcW w:w="2414" w:type="dxa"/>
          </w:tcPr>
          <w:p w14:paraId="01D3FA6B">
            <w:pPr>
              <w:jc w:val="center"/>
              <w:rPr>
                <w:rFonts w:hint="default" w:ascii="Times New Roman" w:hAnsi="Times New Roman" w:eastAsia="宋体" w:cs="Times New Roman"/>
                <w:b/>
                <w:sz w:val="24"/>
                <w:szCs w:val="20"/>
              </w:rPr>
            </w:pPr>
          </w:p>
        </w:tc>
        <w:tc>
          <w:tcPr>
            <w:tcW w:w="1608" w:type="dxa"/>
          </w:tcPr>
          <w:p w14:paraId="69C2F935">
            <w:pPr>
              <w:jc w:val="center"/>
              <w:rPr>
                <w:rFonts w:hint="default" w:ascii="Times New Roman" w:hAnsi="Times New Roman" w:eastAsia="宋体" w:cs="Times New Roman"/>
                <w:b/>
                <w:sz w:val="24"/>
                <w:szCs w:val="20"/>
              </w:rPr>
            </w:pPr>
          </w:p>
        </w:tc>
      </w:tr>
      <w:tr w14:paraId="0700A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9736A71">
            <w:pPr>
              <w:jc w:val="center"/>
              <w:rPr>
                <w:rFonts w:hint="default" w:ascii="Times New Roman" w:hAnsi="Times New Roman" w:eastAsia="宋体" w:cs="Times New Roman"/>
                <w:b/>
                <w:sz w:val="24"/>
                <w:szCs w:val="20"/>
              </w:rPr>
            </w:pPr>
          </w:p>
        </w:tc>
        <w:tc>
          <w:tcPr>
            <w:tcW w:w="3449" w:type="dxa"/>
          </w:tcPr>
          <w:p w14:paraId="6031A6D5">
            <w:pPr>
              <w:jc w:val="center"/>
              <w:rPr>
                <w:rFonts w:hint="default" w:ascii="Times New Roman" w:hAnsi="Times New Roman" w:eastAsia="宋体" w:cs="Times New Roman"/>
                <w:b/>
                <w:sz w:val="24"/>
                <w:szCs w:val="20"/>
              </w:rPr>
            </w:pPr>
          </w:p>
        </w:tc>
        <w:tc>
          <w:tcPr>
            <w:tcW w:w="2414" w:type="dxa"/>
          </w:tcPr>
          <w:p w14:paraId="6548116D">
            <w:pPr>
              <w:jc w:val="center"/>
              <w:rPr>
                <w:rFonts w:hint="default" w:ascii="Times New Roman" w:hAnsi="Times New Roman" w:eastAsia="宋体" w:cs="Times New Roman"/>
                <w:b/>
                <w:sz w:val="24"/>
                <w:szCs w:val="20"/>
              </w:rPr>
            </w:pPr>
          </w:p>
        </w:tc>
        <w:tc>
          <w:tcPr>
            <w:tcW w:w="1608" w:type="dxa"/>
          </w:tcPr>
          <w:p w14:paraId="592B3FC7">
            <w:pPr>
              <w:jc w:val="center"/>
              <w:rPr>
                <w:rFonts w:hint="default" w:ascii="Times New Roman" w:hAnsi="Times New Roman" w:eastAsia="宋体" w:cs="Times New Roman"/>
                <w:b/>
                <w:sz w:val="24"/>
                <w:szCs w:val="20"/>
              </w:rPr>
            </w:pPr>
          </w:p>
        </w:tc>
      </w:tr>
    </w:tbl>
    <w:p w14:paraId="000BEF06">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14:paraId="074B8D64">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14:paraId="0D0AFA19">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54C0C9F7">
      <w:pPr>
        <w:pStyle w:val="24"/>
        <w:rPr>
          <w:rFonts w:hint="default" w:ascii="Times New Roman" w:hAnsi="Times New Roman" w:cs="Times New Roman"/>
        </w:rPr>
      </w:pPr>
    </w:p>
    <w:p w14:paraId="09D0A75C">
      <w:pPr>
        <w:pStyle w:val="24"/>
        <w:rPr>
          <w:rFonts w:hint="default" w:ascii="Times New Roman" w:hAnsi="Times New Roman" w:cs="Times New Roman"/>
        </w:rPr>
      </w:pPr>
    </w:p>
    <w:p w14:paraId="3213DD82">
      <w:pPr>
        <w:pStyle w:val="24"/>
        <w:rPr>
          <w:rFonts w:hint="default" w:ascii="Times New Roman" w:hAnsi="Times New Roman" w:cs="Times New Roman"/>
        </w:rPr>
      </w:pPr>
    </w:p>
    <w:p w14:paraId="33268E3A">
      <w:pPr>
        <w:pStyle w:val="24"/>
        <w:rPr>
          <w:rFonts w:hint="default" w:ascii="Times New Roman" w:hAnsi="Times New Roman" w:cs="Times New Roman"/>
        </w:rPr>
      </w:pPr>
    </w:p>
    <w:p w14:paraId="091562C4">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附件6 202</w:t>
      </w:r>
      <w:r>
        <w:rPr>
          <w:rFonts w:hint="eastAsia" w:ascii="Times New Roman" w:hAnsi="Times New Roman" w:eastAsia="宋体" w:cs="Times New Roman"/>
          <w:b/>
          <w:bCs/>
          <w:color w:val="000000"/>
          <w:sz w:val="24"/>
          <w:szCs w:val="24"/>
          <w:lang w:val="en-US" w:eastAsia="zh-CN"/>
        </w:rPr>
        <w:t>2</w:t>
      </w:r>
      <w:r>
        <w:rPr>
          <w:rFonts w:hint="default" w:ascii="Times New Roman" w:hAnsi="Times New Roman" w:eastAsia="宋体" w:cs="Times New Roman"/>
          <w:b/>
          <w:bCs/>
          <w:color w:val="000000"/>
          <w:sz w:val="24"/>
          <w:szCs w:val="24"/>
        </w:rPr>
        <w:t>年1月1日以来同类项目业绩一览表</w:t>
      </w:r>
    </w:p>
    <w:p w14:paraId="3771722C">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项目名称：</w:t>
      </w:r>
      <w:r>
        <w:rPr>
          <w:rFonts w:hint="eastAsia" w:cs="Times New Roman"/>
          <w:b w:val="0"/>
          <w:bCs w:val="0"/>
          <w:color w:val="000000"/>
          <w:sz w:val="24"/>
          <w:szCs w:val="24"/>
          <w:u w:val="single"/>
          <w:lang w:val="en-US" w:eastAsia="zh-CN"/>
        </w:rPr>
        <w:t>6300T、3150T热模锻生产线搬迁复产项目-新增石墨废水预处理站</w:t>
      </w:r>
    </w:p>
    <w:tbl>
      <w:tblPr>
        <w:tblStyle w:val="48"/>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54BD1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6C567A23">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序号</w:t>
            </w:r>
          </w:p>
        </w:tc>
        <w:tc>
          <w:tcPr>
            <w:tcW w:w="2082" w:type="dxa"/>
            <w:vAlign w:val="center"/>
          </w:tcPr>
          <w:p w14:paraId="38029168">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采购单位</w:t>
            </w:r>
          </w:p>
        </w:tc>
        <w:tc>
          <w:tcPr>
            <w:tcW w:w="1355" w:type="dxa"/>
            <w:vAlign w:val="center"/>
          </w:tcPr>
          <w:p w14:paraId="045D95F9">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项目名称</w:t>
            </w:r>
          </w:p>
          <w:p w14:paraId="58743480">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（万元）</w:t>
            </w:r>
          </w:p>
        </w:tc>
        <w:tc>
          <w:tcPr>
            <w:tcW w:w="826" w:type="dxa"/>
            <w:vAlign w:val="center"/>
          </w:tcPr>
          <w:p w14:paraId="0185D635">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数量</w:t>
            </w:r>
          </w:p>
        </w:tc>
        <w:tc>
          <w:tcPr>
            <w:tcW w:w="1320" w:type="dxa"/>
            <w:vAlign w:val="center"/>
          </w:tcPr>
          <w:p w14:paraId="2C645824">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合同金额</w:t>
            </w:r>
          </w:p>
        </w:tc>
        <w:tc>
          <w:tcPr>
            <w:tcW w:w="1023" w:type="dxa"/>
            <w:vAlign w:val="center"/>
          </w:tcPr>
          <w:p w14:paraId="0252773C">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合同签订时间</w:t>
            </w:r>
          </w:p>
        </w:tc>
        <w:tc>
          <w:tcPr>
            <w:tcW w:w="1590" w:type="dxa"/>
            <w:vAlign w:val="center"/>
          </w:tcPr>
          <w:p w14:paraId="56DC4E10">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联系人及</w:t>
            </w:r>
          </w:p>
          <w:p w14:paraId="0B75C2AE">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联系电话</w:t>
            </w:r>
          </w:p>
        </w:tc>
      </w:tr>
      <w:tr w14:paraId="092A2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03361FF">
            <w:pPr>
              <w:ind w:left="420" w:hanging="420"/>
              <w:rPr>
                <w:rFonts w:hint="default" w:ascii="Times New Roman" w:hAnsi="Times New Roman" w:eastAsia="宋体" w:cs="Times New Roman"/>
                <w:b/>
                <w:szCs w:val="20"/>
              </w:rPr>
            </w:pPr>
          </w:p>
        </w:tc>
        <w:tc>
          <w:tcPr>
            <w:tcW w:w="2082" w:type="dxa"/>
          </w:tcPr>
          <w:p w14:paraId="19EDA4B4">
            <w:pPr>
              <w:ind w:left="420" w:hanging="420"/>
              <w:rPr>
                <w:rFonts w:hint="default" w:ascii="Times New Roman" w:hAnsi="Times New Roman" w:eastAsia="宋体" w:cs="Times New Roman"/>
                <w:b/>
                <w:szCs w:val="20"/>
              </w:rPr>
            </w:pPr>
          </w:p>
        </w:tc>
        <w:tc>
          <w:tcPr>
            <w:tcW w:w="1355" w:type="dxa"/>
          </w:tcPr>
          <w:p w14:paraId="2FC49280">
            <w:pPr>
              <w:ind w:left="420" w:hanging="420"/>
              <w:rPr>
                <w:rFonts w:hint="default" w:ascii="Times New Roman" w:hAnsi="Times New Roman" w:eastAsia="宋体" w:cs="Times New Roman"/>
                <w:b/>
                <w:szCs w:val="20"/>
              </w:rPr>
            </w:pPr>
          </w:p>
        </w:tc>
        <w:tc>
          <w:tcPr>
            <w:tcW w:w="826" w:type="dxa"/>
          </w:tcPr>
          <w:p w14:paraId="64D0A8EA">
            <w:pPr>
              <w:ind w:left="420" w:hanging="420"/>
              <w:rPr>
                <w:rFonts w:hint="default" w:ascii="Times New Roman" w:hAnsi="Times New Roman" w:eastAsia="宋体" w:cs="Times New Roman"/>
                <w:b/>
                <w:szCs w:val="20"/>
              </w:rPr>
            </w:pPr>
          </w:p>
        </w:tc>
        <w:tc>
          <w:tcPr>
            <w:tcW w:w="1320" w:type="dxa"/>
          </w:tcPr>
          <w:p w14:paraId="6398EEDD">
            <w:pPr>
              <w:ind w:left="420" w:hanging="420"/>
              <w:rPr>
                <w:rFonts w:hint="default" w:ascii="Times New Roman" w:hAnsi="Times New Roman" w:eastAsia="宋体" w:cs="Times New Roman"/>
                <w:b/>
                <w:szCs w:val="20"/>
              </w:rPr>
            </w:pPr>
          </w:p>
        </w:tc>
        <w:tc>
          <w:tcPr>
            <w:tcW w:w="1023" w:type="dxa"/>
          </w:tcPr>
          <w:p w14:paraId="4FC12568">
            <w:pPr>
              <w:ind w:left="420" w:hanging="420"/>
              <w:rPr>
                <w:rFonts w:hint="default" w:ascii="Times New Roman" w:hAnsi="Times New Roman" w:eastAsia="宋体" w:cs="Times New Roman"/>
                <w:b/>
                <w:szCs w:val="20"/>
              </w:rPr>
            </w:pPr>
          </w:p>
        </w:tc>
        <w:tc>
          <w:tcPr>
            <w:tcW w:w="1590" w:type="dxa"/>
          </w:tcPr>
          <w:p w14:paraId="779A14FF">
            <w:pPr>
              <w:ind w:left="420" w:hanging="420"/>
              <w:rPr>
                <w:rFonts w:hint="default" w:ascii="Times New Roman" w:hAnsi="Times New Roman" w:eastAsia="宋体" w:cs="Times New Roman"/>
                <w:b/>
                <w:szCs w:val="20"/>
              </w:rPr>
            </w:pPr>
          </w:p>
        </w:tc>
      </w:tr>
      <w:tr w14:paraId="7A0EC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9E63339">
            <w:pPr>
              <w:ind w:left="420" w:hanging="420"/>
              <w:rPr>
                <w:rFonts w:hint="default" w:ascii="Times New Roman" w:hAnsi="Times New Roman" w:eastAsia="宋体" w:cs="Times New Roman"/>
                <w:b/>
                <w:szCs w:val="20"/>
              </w:rPr>
            </w:pPr>
          </w:p>
        </w:tc>
        <w:tc>
          <w:tcPr>
            <w:tcW w:w="2082" w:type="dxa"/>
          </w:tcPr>
          <w:p w14:paraId="5087E707">
            <w:pPr>
              <w:ind w:left="420" w:hanging="420"/>
              <w:rPr>
                <w:rFonts w:hint="default" w:ascii="Times New Roman" w:hAnsi="Times New Roman" w:eastAsia="宋体" w:cs="Times New Roman"/>
                <w:b/>
                <w:szCs w:val="20"/>
              </w:rPr>
            </w:pPr>
          </w:p>
        </w:tc>
        <w:tc>
          <w:tcPr>
            <w:tcW w:w="1355" w:type="dxa"/>
          </w:tcPr>
          <w:p w14:paraId="0A013699">
            <w:pPr>
              <w:ind w:left="420" w:hanging="420"/>
              <w:rPr>
                <w:rFonts w:hint="default" w:ascii="Times New Roman" w:hAnsi="Times New Roman" w:eastAsia="宋体" w:cs="Times New Roman"/>
                <w:b/>
                <w:szCs w:val="20"/>
              </w:rPr>
            </w:pPr>
          </w:p>
        </w:tc>
        <w:tc>
          <w:tcPr>
            <w:tcW w:w="826" w:type="dxa"/>
          </w:tcPr>
          <w:p w14:paraId="7E6FE0BF">
            <w:pPr>
              <w:ind w:left="420" w:hanging="420"/>
              <w:rPr>
                <w:rFonts w:hint="default" w:ascii="Times New Roman" w:hAnsi="Times New Roman" w:eastAsia="宋体" w:cs="Times New Roman"/>
                <w:b/>
                <w:szCs w:val="20"/>
              </w:rPr>
            </w:pPr>
          </w:p>
        </w:tc>
        <w:tc>
          <w:tcPr>
            <w:tcW w:w="1320" w:type="dxa"/>
          </w:tcPr>
          <w:p w14:paraId="75564B5E">
            <w:pPr>
              <w:ind w:left="420" w:hanging="420"/>
              <w:rPr>
                <w:rFonts w:hint="default" w:ascii="Times New Roman" w:hAnsi="Times New Roman" w:eastAsia="宋体" w:cs="Times New Roman"/>
                <w:b/>
                <w:szCs w:val="20"/>
              </w:rPr>
            </w:pPr>
          </w:p>
        </w:tc>
        <w:tc>
          <w:tcPr>
            <w:tcW w:w="1023" w:type="dxa"/>
          </w:tcPr>
          <w:p w14:paraId="5C10CB18">
            <w:pPr>
              <w:ind w:left="420" w:hanging="420"/>
              <w:rPr>
                <w:rFonts w:hint="default" w:ascii="Times New Roman" w:hAnsi="Times New Roman" w:eastAsia="宋体" w:cs="Times New Roman"/>
                <w:b/>
                <w:szCs w:val="20"/>
              </w:rPr>
            </w:pPr>
          </w:p>
        </w:tc>
        <w:tc>
          <w:tcPr>
            <w:tcW w:w="1590" w:type="dxa"/>
          </w:tcPr>
          <w:p w14:paraId="7E5B7C2C">
            <w:pPr>
              <w:ind w:left="420" w:hanging="420"/>
              <w:rPr>
                <w:rFonts w:hint="default" w:ascii="Times New Roman" w:hAnsi="Times New Roman" w:eastAsia="宋体" w:cs="Times New Roman"/>
                <w:b/>
                <w:szCs w:val="20"/>
              </w:rPr>
            </w:pPr>
          </w:p>
        </w:tc>
      </w:tr>
      <w:tr w14:paraId="7CEEB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E8DDE9A">
            <w:pPr>
              <w:ind w:left="420" w:hanging="420"/>
              <w:rPr>
                <w:rFonts w:hint="default" w:ascii="Times New Roman" w:hAnsi="Times New Roman" w:eastAsia="宋体" w:cs="Times New Roman"/>
                <w:b/>
                <w:szCs w:val="20"/>
              </w:rPr>
            </w:pPr>
          </w:p>
        </w:tc>
        <w:tc>
          <w:tcPr>
            <w:tcW w:w="2082" w:type="dxa"/>
          </w:tcPr>
          <w:p w14:paraId="07C23BBB">
            <w:pPr>
              <w:ind w:left="420" w:hanging="420"/>
              <w:rPr>
                <w:rFonts w:hint="default" w:ascii="Times New Roman" w:hAnsi="Times New Roman" w:eastAsia="宋体" w:cs="Times New Roman"/>
                <w:b/>
                <w:szCs w:val="20"/>
              </w:rPr>
            </w:pPr>
          </w:p>
        </w:tc>
        <w:tc>
          <w:tcPr>
            <w:tcW w:w="1355" w:type="dxa"/>
          </w:tcPr>
          <w:p w14:paraId="4EA79D9F">
            <w:pPr>
              <w:ind w:left="420" w:hanging="420"/>
              <w:rPr>
                <w:rFonts w:hint="default" w:ascii="Times New Roman" w:hAnsi="Times New Roman" w:eastAsia="宋体" w:cs="Times New Roman"/>
                <w:b/>
                <w:szCs w:val="20"/>
              </w:rPr>
            </w:pPr>
          </w:p>
        </w:tc>
        <w:tc>
          <w:tcPr>
            <w:tcW w:w="826" w:type="dxa"/>
          </w:tcPr>
          <w:p w14:paraId="6385A8CA">
            <w:pPr>
              <w:ind w:left="420" w:hanging="420"/>
              <w:rPr>
                <w:rFonts w:hint="default" w:ascii="Times New Roman" w:hAnsi="Times New Roman" w:eastAsia="宋体" w:cs="Times New Roman"/>
                <w:b/>
                <w:szCs w:val="20"/>
              </w:rPr>
            </w:pPr>
          </w:p>
        </w:tc>
        <w:tc>
          <w:tcPr>
            <w:tcW w:w="1320" w:type="dxa"/>
          </w:tcPr>
          <w:p w14:paraId="5472808F">
            <w:pPr>
              <w:ind w:left="420" w:hanging="420"/>
              <w:rPr>
                <w:rFonts w:hint="default" w:ascii="Times New Roman" w:hAnsi="Times New Roman" w:eastAsia="宋体" w:cs="Times New Roman"/>
                <w:b/>
                <w:szCs w:val="20"/>
              </w:rPr>
            </w:pPr>
          </w:p>
        </w:tc>
        <w:tc>
          <w:tcPr>
            <w:tcW w:w="1023" w:type="dxa"/>
          </w:tcPr>
          <w:p w14:paraId="1690D779">
            <w:pPr>
              <w:ind w:left="420" w:hanging="420"/>
              <w:rPr>
                <w:rFonts w:hint="default" w:ascii="Times New Roman" w:hAnsi="Times New Roman" w:eastAsia="宋体" w:cs="Times New Roman"/>
                <w:b/>
                <w:szCs w:val="20"/>
              </w:rPr>
            </w:pPr>
          </w:p>
        </w:tc>
        <w:tc>
          <w:tcPr>
            <w:tcW w:w="1590" w:type="dxa"/>
          </w:tcPr>
          <w:p w14:paraId="599B0658">
            <w:pPr>
              <w:ind w:left="420" w:hanging="420"/>
              <w:rPr>
                <w:rFonts w:hint="default" w:ascii="Times New Roman" w:hAnsi="Times New Roman" w:eastAsia="宋体" w:cs="Times New Roman"/>
                <w:b/>
                <w:szCs w:val="20"/>
              </w:rPr>
            </w:pPr>
          </w:p>
        </w:tc>
      </w:tr>
      <w:tr w14:paraId="0FB89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F21B0DE">
            <w:pPr>
              <w:ind w:left="420" w:hanging="420"/>
              <w:rPr>
                <w:rFonts w:hint="default" w:ascii="Times New Roman" w:hAnsi="Times New Roman" w:eastAsia="宋体" w:cs="Times New Roman"/>
                <w:b/>
                <w:szCs w:val="20"/>
              </w:rPr>
            </w:pPr>
          </w:p>
        </w:tc>
        <w:tc>
          <w:tcPr>
            <w:tcW w:w="2082" w:type="dxa"/>
          </w:tcPr>
          <w:p w14:paraId="1EF6ADCF">
            <w:pPr>
              <w:ind w:left="420" w:hanging="420"/>
              <w:rPr>
                <w:rFonts w:hint="default" w:ascii="Times New Roman" w:hAnsi="Times New Roman" w:eastAsia="宋体" w:cs="Times New Roman"/>
                <w:b/>
                <w:szCs w:val="20"/>
              </w:rPr>
            </w:pPr>
          </w:p>
        </w:tc>
        <w:tc>
          <w:tcPr>
            <w:tcW w:w="1355" w:type="dxa"/>
          </w:tcPr>
          <w:p w14:paraId="047D70CB">
            <w:pPr>
              <w:ind w:left="420" w:hanging="420"/>
              <w:rPr>
                <w:rFonts w:hint="default" w:ascii="Times New Roman" w:hAnsi="Times New Roman" w:eastAsia="宋体" w:cs="Times New Roman"/>
                <w:b/>
                <w:szCs w:val="20"/>
              </w:rPr>
            </w:pPr>
          </w:p>
        </w:tc>
        <w:tc>
          <w:tcPr>
            <w:tcW w:w="826" w:type="dxa"/>
          </w:tcPr>
          <w:p w14:paraId="766579B3">
            <w:pPr>
              <w:ind w:left="420" w:hanging="420"/>
              <w:rPr>
                <w:rFonts w:hint="default" w:ascii="Times New Roman" w:hAnsi="Times New Roman" w:eastAsia="宋体" w:cs="Times New Roman"/>
                <w:b/>
                <w:szCs w:val="20"/>
              </w:rPr>
            </w:pPr>
          </w:p>
        </w:tc>
        <w:tc>
          <w:tcPr>
            <w:tcW w:w="1320" w:type="dxa"/>
          </w:tcPr>
          <w:p w14:paraId="688893F9">
            <w:pPr>
              <w:ind w:left="420" w:hanging="420"/>
              <w:rPr>
                <w:rFonts w:hint="default" w:ascii="Times New Roman" w:hAnsi="Times New Roman" w:eastAsia="宋体" w:cs="Times New Roman"/>
                <w:b/>
                <w:szCs w:val="20"/>
              </w:rPr>
            </w:pPr>
          </w:p>
        </w:tc>
        <w:tc>
          <w:tcPr>
            <w:tcW w:w="1023" w:type="dxa"/>
          </w:tcPr>
          <w:p w14:paraId="5B9986E3">
            <w:pPr>
              <w:ind w:left="420" w:hanging="420"/>
              <w:rPr>
                <w:rFonts w:hint="default" w:ascii="Times New Roman" w:hAnsi="Times New Roman" w:eastAsia="宋体" w:cs="Times New Roman"/>
                <w:b/>
                <w:szCs w:val="20"/>
              </w:rPr>
            </w:pPr>
          </w:p>
        </w:tc>
        <w:tc>
          <w:tcPr>
            <w:tcW w:w="1590" w:type="dxa"/>
          </w:tcPr>
          <w:p w14:paraId="7ADFD621">
            <w:pPr>
              <w:ind w:left="420" w:hanging="420"/>
              <w:rPr>
                <w:rFonts w:hint="default" w:ascii="Times New Roman" w:hAnsi="Times New Roman" w:eastAsia="宋体" w:cs="Times New Roman"/>
                <w:b/>
                <w:szCs w:val="20"/>
              </w:rPr>
            </w:pPr>
          </w:p>
        </w:tc>
      </w:tr>
      <w:tr w14:paraId="1D0B9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9085A3C">
            <w:pPr>
              <w:ind w:left="420" w:hanging="420"/>
              <w:rPr>
                <w:rFonts w:hint="default" w:ascii="Times New Roman" w:hAnsi="Times New Roman" w:eastAsia="宋体" w:cs="Times New Roman"/>
                <w:b/>
                <w:szCs w:val="20"/>
              </w:rPr>
            </w:pPr>
          </w:p>
        </w:tc>
        <w:tc>
          <w:tcPr>
            <w:tcW w:w="2082" w:type="dxa"/>
          </w:tcPr>
          <w:p w14:paraId="4A00427D">
            <w:pPr>
              <w:ind w:left="420" w:hanging="420"/>
              <w:rPr>
                <w:rFonts w:hint="default" w:ascii="Times New Roman" w:hAnsi="Times New Roman" w:eastAsia="宋体" w:cs="Times New Roman"/>
                <w:b/>
                <w:szCs w:val="20"/>
              </w:rPr>
            </w:pPr>
          </w:p>
        </w:tc>
        <w:tc>
          <w:tcPr>
            <w:tcW w:w="1355" w:type="dxa"/>
          </w:tcPr>
          <w:p w14:paraId="3AB9FBCB">
            <w:pPr>
              <w:ind w:left="420" w:hanging="420"/>
              <w:rPr>
                <w:rFonts w:hint="default" w:ascii="Times New Roman" w:hAnsi="Times New Roman" w:eastAsia="宋体" w:cs="Times New Roman"/>
                <w:b/>
                <w:szCs w:val="20"/>
              </w:rPr>
            </w:pPr>
          </w:p>
        </w:tc>
        <w:tc>
          <w:tcPr>
            <w:tcW w:w="826" w:type="dxa"/>
          </w:tcPr>
          <w:p w14:paraId="4E6A819B">
            <w:pPr>
              <w:ind w:left="420" w:hanging="420"/>
              <w:rPr>
                <w:rFonts w:hint="default" w:ascii="Times New Roman" w:hAnsi="Times New Roman" w:eastAsia="宋体" w:cs="Times New Roman"/>
                <w:b/>
                <w:szCs w:val="20"/>
              </w:rPr>
            </w:pPr>
          </w:p>
        </w:tc>
        <w:tc>
          <w:tcPr>
            <w:tcW w:w="1320" w:type="dxa"/>
          </w:tcPr>
          <w:p w14:paraId="28B6DF2F">
            <w:pPr>
              <w:ind w:left="420" w:hanging="420"/>
              <w:rPr>
                <w:rFonts w:hint="default" w:ascii="Times New Roman" w:hAnsi="Times New Roman" w:eastAsia="宋体" w:cs="Times New Roman"/>
                <w:b/>
                <w:szCs w:val="20"/>
              </w:rPr>
            </w:pPr>
          </w:p>
        </w:tc>
        <w:tc>
          <w:tcPr>
            <w:tcW w:w="1023" w:type="dxa"/>
          </w:tcPr>
          <w:p w14:paraId="620D15CB">
            <w:pPr>
              <w:ind w:left="420" w:hanging="420"/>
              <w:rPr>
                <w:rFonts w:hint="default" w:ascii="Times New Roman" w:hAnsi="Times New Roman" w:eastAsia="宋体" w:cs="Times New Roman"/>
                <w:b/>
                <w:szCs w:val="20"/>
              </w:rPr>
            </w:pPr>
          </w:p>
        </w:tc>
        <w:tc>
          <w:tcPr>
            <w:tcW w:w="1590" w:type="dxa"/>
          </w:tcPr>
          <w:p w14:paraId="1EFA907B">
            <w:pPr>
              <w:ind w:left="420" w:hanging="420"/>
              <w:rPr>
                <w:rFonts w:hint="default" w:ascii="Times New Roman" w:hAnsi="Times New Roman" w:eastAsia="宋体" w:cs="Times New Roman"/>
                <w:b/>
                <w:szCs w:val="20"/>
              </w:rPr>
            </w:pPr>
          </w:p>
        </w:tc>
      </w:tr>
      <w:tr w14:paraId="7CAC6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0E138D6">
            <w:pPr>
              <w:ind w:left="420" w:hanging="420"/>
              <w:rPr>
                <w:rFonts w:hint="default" w:ascii="Times New Roman" w:hAnsi="Times New Roman" w:eastAsia="宋体" w:cs="Times New Roman"/>
                <w:b/>
                <w:szCs w:val="20"/>
              </w:rPr>
            </w:pPr>
          </w:p>
        </w:tc>
        <w:tc>
          <w:tcPr>
            <w:tcW w:w="2082" w:type="dxa"/>
          </w:tcPr>
          <w:p w14:paraId="7EFBFB75">
            <w:pPr>
              <w:ind w:left="420" w:hanging="420"/>
              <w:rPr>
                <w:rFonts w:hint="default" w:ascii="Times New Roman" w:hAnsi="Times New Roman" w:eastAsia="宋体" w:cs="Times New Roman"/>
                <w:b/>
                <w:szCs w:val="20"/>
              </w:rPr>
            </w:pPr>
          </w:p>
        </w:tc>
        <w:tc>
          <w:tcPr>
            <w:tcW w:w="1355" w:type="dxa"/>
          </w:tcPr>
          <w:p w14:paraId="30CF080C">
            <w:pPr>
              <w:ind w:left="420" w:hanging="420"/>
              <w:rPr>
                <w:rFonts w:hint="default" w:ascii="Times New Roman" w:hAnsi="Times New Roman" w:eastAsia="宋体" w:cs="Times New Roman"/>
                <w:b/>
                <w:szCs w:val="20"/>
              </w:rPr>
            </w:pPr>
          </w:p>
        </w:tc>
        <w:tc>
          <w:tcPr>
            <w:tcW w:w="826" w:type="dxa"/>
          </w:tcPr>
          <w:p w14:paraId="4E3E2CC4">
            <w:pPr>
              <w:ind w:left="420" w:hanging="420"/>
              <w:rPr>
                <w:rFonts w:hint="default" w:ascii="Times New Roman" w:hAnsi="Times New Roman" w:eastAsia="宋体" w:cs="Times New Roman"/>
                <w:b/>
                <w:szCs w:val="20"/>
              </w:rPr>
            </w:pPr>
          </w:p>
        </w:tc>
        <w:tc>
          <w:tcPr>
            <w:tcW w:w="1320" w:type="dxa"/>
          </w:tcPr>
          <w:p w14:paraId="1F4F872C">
            <w:pPr>
              <w:ind w:left="420" w:hanging="420"/>
              <w:rPr>
                <w:rFonts w:hint="default" w:ascii="Times New Roman" w:hAnsi="Times New Roman" w:eastAsia="宋体" w:cs="Times New Roman"/>
                <w:b/>
                <w:szCs w:val="20"/>
              </w:rPr>
            </w:pPr>
          </w:p>
        </w:tc>
        <w:tc>
          <w:tcPr>
            <w:tcW w:w="1023" w:type="dxa"/>
          </w:tcPr>
          <w:p w14:paraId="7595948B">
            <w:pPr>
              <w:ind w:left="420" w:hanging="420"/>
              <w:rPr>
                <w:rFonts w:hint="default" w:ascii="Times New Roman" w:hAnsi="Times New Roman" w:eastAsia="宋体" w:cs="Times New Roman"/>
                <w:b/>
                <w:szCs w:val="20"/>
              </w:rPr>
            </w:pPr>
          </w:p>
        </w:tc>
        <w:tc>
          <w:tcPr>
            <w:tcW w:w="1590" w:type="dxa"/>
          </w:tcPr>
          <w:p w14:paraId="36EC816B">
            <w:pPr>
              <w:ind w:left="420" w:hanging="420"/>
              <w:rPr>
                <w:rFonts w:hint="default" w:ascii="Times New Roman" w:hAnsi="Times New Roman" w:eastAsia="宋体" w:cs="Times New Roman"/>
                <w:b/>
                <w:szCs w:val="20"/>
              </w:rPr>
            </w:pPr>
          </w:p>
        </w:tc>
      </w:tr>
      <w:tr w14:paraId="1E4B3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88351F4">
            <w:pPr>
              <w:ind w:left="420" w:hanging="420"/>
              <w:rPr>
                <w:rFonts w:hint="default" w:ascii="Times New Roman" w:hAnsi="Times New Roman" w:eastAsia="宋体" w:cs="Times New Roman"/>
                <w:b/>
                <w:szCs w:val="20"/>
              </w:rPr>
            </w:pPr>
          </w:p>
        </w:tc>
        <w:tc>
          <w:tcPr>
            <w:tcW w:w="2082" w:type="dxa"/>
          </w:tcPr>
          <w:p w14:paraId="13B9304C">
            <w:pPr>
              <w:ind w:left="420" w:hanging="420"/>
              <w:rPr>
                <w:rFonts w:hint="default" w:ascii="Times New Roman" w:hAnsi="Times New Roman" w:eastAsia="宋体" w:cs="Times New Roman"/>
                <w:b/>
                <w:szCs w:val="20"/>
              </w:rPr>
            </w:pPr>
          </w:p>
        </w:tc>
        <w:tc>
          <w:tcPr>
            <w:tcW w:w="1355" w:type="dxa"/>
          </w:tcPr>
          <w:p w14:paraId="501D0C63">
            <w:pPr>
              <w:ind w:left="420" w:hanging="420"/>
              <w:rPr>
                <w:rFonts w:hint="default" w:ascii="Times New Roman" w:hAnsi="Times New Roman" w:eastAsia="宋体" w:cs="Times New Roman"/>
                <w:b/>
                <w:szCs w:val="20"/>
              </w:rPr>
            </w:pPr>
          </w:p>
        </w:tc>
        <w:tc>
          <w:tcPr>
            <w:tcW w:w="826" w:type="dxa"/>
          </w:tcPr>
          <w:p w14:paraId="2860FBDB">
            <w:pPr>
              <w:ind w:left="420" w:hanging="420"/>
              <w:rPr>
                <w:rFonts w:hint="default" w:ascii="Times New Roman" w:hAnsi="Times New Roman" w:eastAsia="宋体" w:cs="Times New Roman"/>
                <w:b/>
                <w:szCs w:val="20"/>
              </w:rPr>
            </w:pPr>
          </w:p>
        </w:tc>
        <w:tc>
          <w:tcPr>
            <w:tcW w:w="1320" w:type="dxa"/>
          </w:tcPr>
          <w:p w14:paraId="4C885BE3">
            <w:pPr>
              <w:ind w:left="420" w:hanging="420"/>
              <w:rPr>
                <w:rFonts w:hint="default" w:ascii="Times New Roman" w:hAnsi="Times New Roman" w:eastAsia="宋体" w:cs="Times New Roman"/>
                <w:b/>
                <w:szCs w:val="20"/>
              </w:rPr>
            </w:pPr>
          </w:p>
        </w:tc>
        <w:tc>
          <w:tcPr>
            <w:tcW w:w="1023" w:type="dxa"/>
          </w:tcPr>
          <w:p w14:paraId="30DA3B03">
            <w:pPr>
              <w:ind w:left="420" w:hanging="420"/>
              <w:rPr>
                <w:rFonts w:hint="default" w:ascii="Times New Roman" w:hAnsi="Times New Roman" w:eastAsia="宋体" w:cs="Times New Roman"/>
                <w:b/>
                <w:szCs w:val="20"/>
              </w:rPr>
            </w:pPr>
          </w:p>
        </w:tc>
        <w:tc>
          <w:tcPr>
            <w:tcW w:w="1590" w:type="dxa"/>
          </w:tcPr>
          <w:p w14:paraId="0DD8B997">
            <w:pPr>
              <w:ind w:left="420" w:hanging="420"/>
              <w:rPr>
                <w:rFonts w:hint="default" w:ascii="Times New Roman" w:hAnsi="Times New Roman" w:eastAsia="宋体" w:cs="Times New Roman"/>
                <w:b/>
                <w:szCs w:val="20"/>
              </w:rPr>
            </w:pPr>
          </w:p>
        </w:tc>
      </w:tr>
      <w:tr w14:paraId="34422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38EFAE3">
            <w:pPr>
              <w:ind w:left="420" w:hanging="420"/>
              <w:rPr>
                <w:rFonts w:hint="default" w:ascii="Times New Roman" w:hAnsi="Times New Roman" w:eastAsia="宋体" w:cs="Times New Roman"/>
                <w:b/>
                <w:szCs w:val="20"/>
              </w:rPr>
            </w:pPr>
          </w:p>
        </w:tc>
        <w:tc>
          <w:tcPr>
            <w:tcW w:w="2082" w:type="dxa"/>
          </w:tcPr>
          <w:p w14:paraId="4B652E0A">
            <w:pPr>
              <w:ind w:left="420" w:hanging="420"/>
              <w:rPr>
                <w:rFonts w:hint="default" w:ascii="Times New Roman" w:hAnsi="Times New Roman" w:eastAsia="宋体" w:cs="Times New Roman"/>
                <w:b/>
                <w:szCs w:val="20"/>
              </w:rPr>
            </w:pPr>
          </w:p>
        </w:tc>
        <w:tc>
          <w:tcPr>
            <w:tcW w:w="1355" w:type="dxa"/>
          </w:tcPr>
          <w:p w14:paraId="2149715C">
            <w:pPr>
              <w:ind w:left="420" w:hanging="420"/>
              <w:rPr>
                <w:rFonts w:hint="default" w:ascii="Times New Roman" w:hAnsi="Times New Roman" w:eastAsia="宋体" w:cs="Times New Roman"/>
                <w:b/>
                <w:szCs w:val="20"/>
              </w:rPr>
            </w:pPr>
          </w:p>
        </w:tc>
        <w:tc>
          <w:tcPr>
            <w:tcW w:w="826" w:type="dxa"/>
          </w:tcPr>
          <w:p w14:paraId="3EE84670">
            <w:pPr>
              <w:ind w:left="420" w:hanging="420"/>
              <w:rPr>
                <w:rFonts w:hint="default" w:ascii="Times New Roman" w:hAnsi="Times New Roman" w:eastAsia="宋体" w:cs="Times New Roman"/>
                <w:b/>
                <w:szCs w:val="20"/>
              </w:rPr>
            </w:pPr>
          </w:p>
        </w:tc>
        <w:tc>
          <w:tcPr>
            <w:tcW w:w="1320" w:type="dxa"/>
          </w:tcPr>
          <w:p w14:paraId="73932125">
            <w:pPr>
              <w:ind w:left="420" w:hanging="420"/>
              <w:rPr>
                <w:rFonts w:hint="default" w:ascii="Times New Roman" w:hAnsi="Times New Roman" w:eastAsia="宋体" w:cs="Times New Roman"/>
                <w:b/>
                <w:szCs w:val="20"/>
              </w:rPr>
            </w:pPr>
          </w:p>
        </w:tc>
        <w:tc>
          <w:tcPr>
            <w:tcW w:w="1023" w:type="dxa"/>
          </w:tcPr>
          <w:p w14:paraId="53DE2B92">
            <w:pPr>
              <w:ind w:left="420" w:hanging="420"/>
              <w:rPr>
                <w:rFonts w:hint="default" w:ascii="Times New Roman" w:hAnsi="Times New Roman" w:eastAsia="宋体" w:cs="Times New Roman"/>
                <w:b/>
                <w:szCs w:val="20"/>
              </w:rPr>
            </w:pPr>
          </w:p>
        </w:tc>
        <w:tc>
          <w:tcPr>
            <w:tcW w:w="1590" w:type="dxa"/>
          </w:tcPr>
          <w:p w14:paraId="4E7E6C0B">
            <w:pPr>
              <w:ind w:left="420" w:hanging="420"/>
              <w:rPr>
                <w:rFonts w:hint="default" w:ascii="Times New Roman" w:hAnsi="Times New Roman" w:eastAsia="宋体" w:cs="Times New Roman"/>
                <w:b/>
                <w:szCs w:val="20"/>
              </w:rPr>
            </w:pPr>
          </w:p>
        </w:tc>
      </w:tr>
      <w:tr w14:paraId="4B0ED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4ED1E7F">
            <w:pPr>
              <w:ind w:left="420" w:hanging="420"/>
              <w:rPr>
                <w:rFonts w:hint="default" w:ascii="Times New Roman" w:hAnsi="Times New Roman" w:eastAsia="宋体" w:cs="Times New Roman"/>
                <w:b/>
                <w:szCs w:val="20"/>
              </w:rPr>
            </w:pPr>
          </w:p>
        </w:tc>
        <w:tc>
          <w:tcPr>
            <w:tcW w:w="2082" w:type="dxa"/>
          </w:tcPr>
          <w:p w14:paraId="29490CE8">
            <w:pPr>
              <w:ind w:left="420" w:hanging="420"/>
              <w:rPr>
                <w:rFonts w:hint="default" w:ascii="Times New Roman" w:hAnsi="Times New Roman" w:eastAsia="宋体" w:cs="Times New Roman"/>
                <w:b/>
                <w:szCs w:val="20"/>
              </w:rPr>
            </w:pPr>
          </w:p>
        </w:tc>
        <w:tc>
          <w:tcPr>
            <w:tcW w:w="1355" w:type="dxa"/>
          </w:tcPr>
          <w:p w14:paraId="6A639E6A">
            <w:pPr>
              <w:ind w:left="420" w:hanging="420"/>
              <w:rPr>
                <w:rFonts w:hint="default" w:ascii="Times New Roman" w:hAnsi="Times New Roman" w:eastAsia="宋体" w:cs="Times New Roman"/>
                <w:b/>
                <w:szCs w:val="20"/>
              </w:rPr>
            </w:pPr>
          </w:p>
        </w:tc>
        <w:tc>
          <w:tcPr>
            <w:tcW w:w="826" w:type="dxa"/>
          </w:tcPr>
          <w:p w14:paraId="75354247">
            <w:pPr>
              <w:ind w:left="420" w:hanging="420"/>
              <w:rPr>
                <w:rFonts w:hint="default" w:ascii="Times New Roman" w:hAnsi="Times New Roman" w:eastAsia="宋体" w:cs="Times New Roman"/>
                <w:b/>
                <w:szCs w:val="20"/>
              </w:rPr>
            </w:pPr>
          </w:p>
        </w:tc>
        <w:tc>
          <w:tcPr>
            <w:tcW w:w="1320" w:type="dxa"/>
          </w:tcPr>
          <w:p w14:paraId="54BAE20B">
            <w:pPr>
              <w:ind w:left="420" w:hanging="420"/>
              <w:rPr>
                <w:rFonts w:hint="default" w:ascii="Times New Roman" w:hAnsi="Times New Roman" w:eastAsia="宋体" w:cs="Times New Roman"/>
                <w:b/>
                <w:szCs w:val="20"/>
              </w:rPr>
            </w:pPr>
          </w:p>
        </w:tc>
        <w:tc>
          <w:tcPr>
            <w:tcW w:w="1023" w:type="dxa"/>
          </w:tcPr>
          <w:p w14:paraId="092DB3C5">
            <w:pPr>
              <w:ind w:left="420" w:hanging="420"/>
              <w:rPr>
                <w:rFonts w:hint="default" w:ascii="Times New Roman" w:hAnsi="Times New Roman" w:eastAsia="宋体" w:cs="Times New Roman"/>
                <w:b/>
                <w:szCs w:val="20"/>
              </w:rPr>
            </w:pPr>
          </w:p>
        </w:tc>
        <w:tc>
          <w:tcPr>
            <w:tcW w:w="1590" w:type="dxa"/>
          </w:tcPr>
          <w:p w14:paraId="0B27CFD7">
            <w:pPr>
              <w:ind w:left="420" w:hanging="420"/>
              <w:rPr>
                <w:rFonts w:hint="default" w:ascii="Times New Roman" w:hAnsi="Times New Roman" w:eastAsia="宋体" w:cs="Times New Roman"/>
                <w:b/>
                <w:szCs w:val="20"/>
              </w:rPr>
            </w:pPr>
          </w:p>
        </w:tc>
      </w:tr>
      <w:tr w14:paraId="1A6A0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60C4035">
            <w:pPr>
              <w:ind w:left="420" w:hanging="420"/>
              <w:rPr>
                <w:rFonts w:hint="default" w:ascii="Times New Roman" w:hAnsi="Times New Roman" w:eastAsia="宋体" w:cs="Times New Roman"/>
                <w:b/>
                <w:szCs w:val="20"/>
              </w:rPr>
            </w:pPr>
          </w:p>
        </w:tc>
        <w:tc>
          <w:tcPr>
            <w:tcW w:w="2082" w:type="dxa"/>
          </w:tcPr>
          <w:p w14:paraId="2971AA56">
            <w:pPr>
              <w:ind w:left="420" w:hanging="420"/>
              <w:rPr>
                <w:rFonts w:hint="default" w:ascii="Times New Roman" w:hAnsi="Times New Roman" w:eastAsia="宋体" w:cs="Times New Roman"/>
                <w:b/>
                <w:szCs w:val="20"/>
              </w:rPr>
            </w:pPr>
          </w:p>
        </w:tc>
        <w:tc>
          <w:tcPr>
            <w:tcW w:w="1355" w:type="dxa"/>
          </w:tcPr>
          <w:p w14:paraId="4EC25F84">
            <w:pPr>
              <w:ind w:left="420" w:hanging="420"/>
              <w:rPr>
                <w:rFonts w:hint="default" w:ascii="Times New Roman" w:hAnsi="Times New Roman" w:eastAsia="宋体" w:cs="Times New Roman"/>
                <w:b/>
                <w:szCs w:val="20"/>
              </w:rPr>
            </w:pPr>
          </w:p>
        </w:tc>
        <w:tc>
          <w:tcPr>
            <w:tcW w:w="826" w:type="dxa"/>
          </w:tcPr>
          <w:p w14:paraId="7A70D453">
            <w:pPr>
              <w:ind w:left="420" w:hanging="420"/>
              <w:rPr>
                <w:rFonts w:hint="default" w:ascii="Times New Roman" w:hAnsi="Times New Roman" w:eastAsia="宋体" w:cs="Times New Roman"/>
                <w:b/>
                <w:szCs w:val="20"/>
              </w:rPr>
            </w:pPr>
          </w:p>
        </w:tc>
        <w:tc>
          <w:tcPr>
            <w:tcW w:w="1320" w:type="dxa"/>
          </w:tcPr>
          <w:p w14:paraId="748C3E8F">
            <w:pPr>
              <w:ind w:left="420" w:hanging="420"/>
              <w:rPr>
                <w:rFonts w:hint="default" w:ascii="Times New Roman" w:hAnsi="Times New Roman" w:eastAsia="宋体" w:cs="Times New Roman"/>
                <w:b/>
                <w:szCs w:val="20"/>
              </w:rPr>
            </w:pPr>
          </w:p>
        </w:tc>
        <w:tc>
          <w:tcPr>
            <w:tcW w:w="1023" w:type="dxa"/>
          </w:tcPr>
          <w:p w14:paraId="5E9945E4">
            <w:pPr>
              <w:ind w:left="420" w:hanging="420"/>
              <w:rPr>
                <w:rFonts w:hint="default" w:ascii="Times New Roman" w:hAnsi="Times New Roman" w:eastAsia="宋体" w:cs="Times New Roman"/>
                <w:b/>
                <w:szCs w:val="20"/>
              </w:rPr>
            </w:pPr>
          </w:p>
        </w:tc>
        <w:tc>
          <w:tcPr>
            <w:tcW w:w="1590" w:type="dxa"/>
          </w:tcPr>
          <w:p w14:paraId="41AED142">
            <w:pPr>
              <w:ind w:left="420" w:hanging="420"/>
              <w:rPr>
                <w:rFonts w:hint="default" w:ascii="Times New Roman" w:hAnsi="Times New Roman" w:eastAsia="宋体" w:cs="Times New Roman"/>
                <w:b/>
                <w:szCs w:val="20"/>
              </w:rPr>
            </w:pPr>
          </w:p>
        </w:tc>
      </w:tr>
      <w:tr w14:paraId="2CF95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5F0C2E0">
            <w:pPr>
              <w:ind w:left="420" w:hanging="420"/>
              <w:rPr>
                <w:rFonts w:hint="default" w:ascii="Times New Roman" w:hAnsi="Times New Roman" w:eastAsia="宋体" w:cs="Times New Roman"/>
                <w:b/>
                <w:szCs w:val="20"/>
              </w:rPr>
            </w:pPr>
          </w:p>
        </w:tc>
        <w:tc>
          <w:tcPr>
            <w:tcW w:w="2082" w:type="dxa"/>
          </w:tcPr>
          <w:p w14:paraId="57B0FF05">
            <w:pPr>
              <w:ind w:left="420" w:hanging="420"/>
              <w:rPr>
                <w:rFonts w:hint="default" w:ascii="Times New Roman" w:hAnsi="Times New Roman" w:eastAsia="宋体" w:cs="Times New Roman"/>
                <w:b/>
                <w:szCs w:val="20"/>
              </w:rPr>
            </w:pPr>
          </w:p>
        </w:tc>
        <w:tc>
          <w:tcPr>
            <w:tcW w:w="1355" w:type="dxa"/>
          </w:tcPr>
          <w:p w14:paraId="2AA91E48">
            <w:pPr>
              <w:ind w:left="420" w:hanging="420"/>
              <w:rPr>
                <w:rFonts w:hint="default" w:ascii="Times New Roman" w:hAnsi="Times New Roman" w:eastAsia="宋体" w:cs="Times New Roman"/>
                <w:b/>
                <w:szCs w:val="20"/>
              </w:rPr>
            </w:pPr>
          </w:p>
        </w:tc>
        <w:tc>
          <w:tcPr>
            <w:tcW w:w="826" w:type="dxa"/>
          </w:tcPr>
          <w:p w14:paraId="1683A2CB">
            <w:pPr>
              <w:ind w:left="420" w:hanging="420"/>
              <w:rPr>
                <w:rFonts w:hint="default" w:ascii="Times New Roman" w:hAnsi="Times New Roman" w:eastAsia="宋体" w:cs="Times New Roman"/>
                <w:b/>
                <w:szCs w:val="20"/>
              </w:rPr>
            </w:pPr>
          </w:p>
        </w:tc>
        <w:tc>
          <w:tcPr>
            <w:tcW w:w="1320" w:type="dxa"/>
          </w:tcPr>
          <w:p w14:paraId="50B35B7F">
            <w:pPr>
              <w:ind w:left="420" w:hanging="420"/>
              <w:rPr>
                <w:rFonts w:hint="default" w:ascii="Times New Roman" w:hAnsi="Times New Roman" w:eastAsia="宋体" w:cs="Times New Roman"/>
                <w:b/>
                <w:szCs w:val="20"/>
              </w:rPr>
            </w:pPr>
          </w:p>
        </w:tc>
        <w:tc>
          <w:tcPr>
            <w:tcW w:w="1023" w:type="dxa"/>
          </w:tcPr>
          <w:p w14:paraId="339C7E12">
            <w:pPr>
              <w:ind w:left="420" w:hanging="420"/>
              <w:rPr>
                <w:rFonts w:hint="default" w:ascii="Times New Roman" w:hAnsi="Times New Roman" w:eastAsia="宋体" w:cs="Times New Roman"/>
                <w:b/>
                <w:szCs w:val="20"/>
              </w:rPr>
            </w:pPr>
          </w:p>
        </w:tc>
        <w:tc>
          <w:tcPr>
            <w:tcW w:w="1590" w:type="dxa"/>
          </w:tcPr>
          <w:p w14:paraId="6F3A5A9D">
            <w:pPr>
              <w:ind w:left="420" w:hanging="420"/>
              <w:rPr>
                <w:rFonts w:hint="default" w:ascii="Times New Roman" w:hAnsi="Times New Roman" w:eastAsia="宋体" w:cs="Times New Roman"/>
                <w:b/>
                <w:szCs w:val="20"/>
              </w:rPr>
            </w:pPr>
          </w:p>
        </w:tc>
      </w:tr>
      <w:tr w14:paraId="555B2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5722904">
            <w:pPr>
              <w:ind w:left="420" w:hanging="420"/>
              <w:rPr>
                <w:rFonts w:hint="default" w:ascii="Times New Roman" w:hAnsi="Times New Roman" w:eastAsia="宋体" w:cs="Times New Roman"/>
                <w:b/>
                <w:szCs w:val="20"/>
              </w:rPr>
            </w:pPr>
          </w:p>
        </w:tc>
        <w:tc>
          <w:tcPr>
            <w:tcW w:w="2082" w:type="dxa"/>
          </w:tcPr>
          <w:p w14:paraId="362F2345">
            <w:pPr>
              <w:ind w:left="420" w:hanging="420"/>
              <w:rPr>
                <w:rFonts w:hint="default" w:ascii="Times New Roman" w:hAnsi="Times New Roman" w:eastAsia="宋体" w:cs="Times New Roman"/>
                <w:b/>
                <w:szCs w:val="20"/>
              </w:rPr>
            </w:pPr>
          </w:p>
        </w:tc>
        <w:tc>
          <w:tcPr>
            <w:tcW w:w="1355" w:type="dxa"/>
          </w:tcPr>
          <w:p w14:paraId="7C730DF4">
            <w:pPr>
              <w:ind w:left="420" w:hanging="420"/>
              <w:rPr>
                <w:rFonts w:hint="default" w:ascii="Times New Roman" w:hAnsi="Times New Roman" w:eastAsia="宋体" w:cs="Times New Roman"/>
                <w:b/>
                <w:szCs w:val="20"/>
              </w:rPr>
            </w:pPr>
          </w:p>
        </w:tc>
        <w:tc>
          <w:tcPr>
            <w:tcW w:w="826" w:type="dxa"/>
          </w:tcPr>
          <w:p w14:paraId="7EBE54D5">
            <w:pPr>
              <w:ind w:left="420" w:hanging="420"/>
              <w:rPr>
                <w:rFonts w:hint="default" w:ascii="Times New Roman" w:hAnsi="Times New Roman" w:eastAsia="宋体" w:cs="Times New Roman"/>
                <w:b/>
                <w:szCs w:val="20"/>
              </w:rPr>
            </w:pPr>
          </w:p>
        </w:tc>
        <w:tc>
          <w:tcPr>
            <w:tcW w:w="1320" w:type="dxa"/>
          </w:tcPr>
          <w:p w14:paraId="1C3F2F04">
            <w:pPr>
              <w:ind w:left="420" w:hanging="420"/>
              <w:rPr>
                <w:rFonts w:hint="default" w:ascii="Times New Roman" w:hAnsi="Times New Roman" w:eastAsia="宋体" w:cs="Times New Roman"/>
                <w:b/>
                <w:szCs w:val="20"/>
              </w:rPr>
            </w:pPr>
          </w:p>
        </w:tc>
        <w:tc>
          <w:tcPr>
            <w:tcW w:w="1023" w:type="dxa"/>
          </w:tcPr>
          <w:p w14:paraId="58494F1E">
            <w:pPr>
              <w:ind w:left="420" w:hanging="420"/>
              <w:rPr>
                <w:rFonts w:hint="default" w:ascii="Times New Roman" w:hAnsi="Times New Roman" w:eastAsia="宋体" w:cs="Times New Roman"/>
                <w:b/>
                <w:szCs w:val="20"/>
              </w:rPr>
            </w:pPr>
          </w:p>
        </w:tc>
        <w:tc>
          <w:tcPr>
            <w:tcW w:w="1590" w:type="dxa"/>
          </w:tcPr>
          <w:p w14:paraId="460DE6F1">
            <w:pPr>
              <w:ind w:left="420" w:hanging="420"/>
              <w:rPr>
                <w:rFonts w:hint="default" w:ascii="Times New Roman" w:hAnsi="Times New Roman" w:eastAsia="宋体" w:cs="Times New Roman"/>
                <w:b/>
                <w:szCs w:val="20"/>
              </w:rPr>
            </w:pPr>
          </w:p>
        </w:tc>
      </w:tr>
      <w:tr w14:paraId="60D75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46B4FEFA">
            <w:pPr>
              <w:ind w:left="420" w:hanging="420"/>
              <w:rPr>
                <w:rFonts w:hint="default" w:ascii="Times New Roman" w:hAnsi="Times New Roman" w:eastAsia="宋体" w:cs="Times New Roman"/>
                <w:b/>
                <w:szCs w:val="20"/>
              </w:rPr>
            </w:pPr>
            <w:r>
              <w:rPr>
                <w:rFonts w:hint="default" w:ascii="Times New Roman" w:hAnsi="Times New Roman" w:eastAsia="宋体" w:cs="Times New Roman"/>
                <w:b/>
                <w:szCs w:val="20"/>
              </w:rPr>
              <w:t>202</w:t>
            </w:r>
            <w:r>
              <w:rPr>
                <w:rFonts w:hint="eastAsia" w:ascii="Times New Roman" w:hAnsi="Times New Roman" w:eastAsia="宋体" w:cs="Times New Roman"/>
                <w:b/>
                <w:szCs w:val="20"/>
                <w:lang w:val="en-US" w:eastAsia="zh-CN"/>
              </w:rPr>
              <w:t>2</w:t>
            </w:r>
            <w:r>
              <w:rPr>
                <w:rFonts w:hint="default" w:ascii="Times New Roman" w:hAnsi="Times New Roman" w:eastAsia="宋体" w:cs="Times New Roman"/>
                <w:b/>
                <w:szCs w:val="20"/>
              </w:rPr>
              <w:t>年1月1日至今所有业绩合同总额汇总（必填）</w:t>
            </w:r>
          </w:p>
        </w:tc>
        <w:tc>
          <w:tcPr>
            <w:tcW w:w="826" w:type="dxa"/>
          </w:tcPr>
          <w:p w14:paraId="74D03117">
            <w:pPr>
              <w:ind w:left="420" w:hanging="420"/>
              <w:rPr>
                <w:rFonts w:hint="default" w:ascii="Times New Roman" w:hAnsi="Times New Roman" w:eastAsia="宋体" w:cs="Times New Roman"/>
                <w:b/>
                <w:szCs w:val="20"/>
              </w:rPr>
            </w:pPr>
          </w:p>
        </w:tc>
        <w:tc>
          <w:tcPr>
            <w:tcW w:w="1320" w:type="dxa"/>
          </w:tcPr>
          <w:p w14:paraId="69928A45">
            <w:pPr>
              <w:ind w:left="420" w:hanging="420"/>
              <w:rPr>
                <w:rFonts w:hint="default" w:ascii="Times New Roman" w:hAnsi="Times New Roman" w:eastAsia="宋体" w:cs="Times New Roman"/>
                <w:b/>
                <w:szCs w:val="20"/>
              </w:rPr>
            </w:pPr>
          </w:p>
        </w:tc>
        <w:tc>
          <w:tcPr>
            <w:tcW w:w="1023" w:type="dxa"/>
          </w:tcPr>
          <w:p w14:paraId="1D4E8875">
            <w:pPr>
              <w:ind w:left="420" w:hanging="420"/>
              <w:rPr>
                <w:rFonts w:hint="default" w:ascii="Times New Roman" w:hAnsi="Times New Roman" w:eastAsia="宋体" w:cs="Times New Roman"/>
                <w:b/>
                <w:szCs w:val="20"/>
              </w:rPr>
            </w:pPr>
          </w:p>
        </w:tc>
        <w:tc>
          <w:tcPr>
            <w:tcW w:w="1590" w:type="dxa"/>
          </w:tcPr>
          <w:p w14:paraId="121D143A">
            <w:pPr>
              <w:ind w:left="420" w:hanging="420"/>
              <w:rPr>
                <w:rFonts w:hint="default" w:ascii="Times New Roman" w:hAnsi="Times New Roman" w:eastAsia="宋体" w:cs="Times New Roman"/>
                <w:b/>
                <w:szCs w:val="20"/>
              </w:rPr>
            </w:pPr>
          </w:p>
        </w:tc>
      </w:tr>
    </w:tbl>
    <w:p w14:paraId="5DD8149F">
      <w:pPr>
        <w:spacing w:line="240" w:lineRule="atLeas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注：</w:t>
      </w:r>
      <w:r>
        <w:rPr>
          <w:rFonts w:hint="default" w:ascii="Times New Roman" w:hAnsi="Times New Roman" w:eastAsia="宋体" w:cs="Times New Roman"/>
          <w:kern w:val="0"/>
          <w:sz w:val="24"/>
          <w:szCs w:val="20"/>
        </w:rPr>
        <w:t>提供202</w:t>
      </w:r>
      <w:r>
        <w:rPr>
          <w:rFonts w:hint="eastAsia" w:ascii="Times New Roman" w:hAnsi="Times New Roman" w:eastAsia="宋体" w:cs="Times New Roman"/>
          <w:kern w:val="0"/>
          <w:sz w:val="24"/>
          <w:szCs w:val="20"/>
          <w:lang w:val="en-US" w:eastAsia="zh-CN"/>
        </w:rPr>
        <w:t>2</w:t>
      </w:r>
      <w:r>
        <w:rPr>
          <w:rFonts w:hint="default" w:ascii="Times New Roman" w:hAnsi="Times New Roman" w:eastAsia="宋体" w:cs="Times New Roman"/>
          <w:kern w:val="0"/>
          <w:sz w:val="24"/>
          <w:szCs w:val="20"/>
        </w:rPr>
        <w:t>年1月1日以来同类产品的制造销售业绩（用户名单、联系方式）</w:t>
      </w:r>
      <w:r>
        <w:rPr>
          <w:rFonts w:hint="default" w:ascii="Times New Roman" w:hAnsi="Times New Roman" w:eastAsia="宋体" w:cs="Times New Roman"/>
          <w:sz w:val="24"/>
          <w:szCs w:val="20"/>
        </w:rPr>
        <w:t>，并附合同复印件。</w:t>
      </w:r>
      <w:r>
        <w:rPr>
          <w:rFonts w:hint="default" w:ascii="Times New Roman" w:hAnsi="Times New Roman" w:eastAsia="宋体" w:cs="Times New Roman"/>
          <w:kern w:val="0"/>
          <w:sz w:val="24"/>
          <w:szCs w:val="20"/>
        </w:rPr>
        <w:t>该同类项目业绩一览表</w:t>
      </w:r>
      <w:r>
        <w:rPr>
          <w:rFonts w:hint="default" w:ascii="Times New Roman" w:hAnsi="Times New Roman" w:eastAsia="宋体" w:cs="Times New Roman"/>
          <w:b/>
          <w:bCs/>
          <w:kern w:val="0"/>
          <w:sz w:val="24"/>
          <w:szCs w:val="20"/>
        </w:rPr>
        <w:t>必须如实填写，应全尽全</w:t>
      </w:r>
      <w:r>
        <w:rPr>
          <w:rFonts w:hint="default" w:ascii="Times New Roman" w:hAnsi="Times New Roman" w:eastAsia="宋体" w:cs="Times New Roman"/>
          <w:kern w:val="0"/>
          <w:sz w:val="24"/>
          <w:szCs w:val="20"/>
        </w:rPr>
        <w:t>；一览表最终的所有业绩</w:t>
      </w:r>
      <w:r>
        <w:rPr>
          <w:rFonts w:hint="default" w:ascii="Times New Roman" w:hAnsi="Times New Roman" w:eastAsia="宋体" w:cs="Times New Roman"/>
          <w:b/>
          <w:bCs/>
          <w:kern w:val="0"/>
          <w:sz w:val="24"/>
          <w:szCs w:val="20"/>
        </w:rPr>
        <w:t>合同总额汇总必填</w:t>
      </w:r>
      <w:r>
        <w:rPr>
          <w:rFonts w:hint="default" w:ascii="Times New Roman" w:hAnsi="Times New Roman" w:eastAsia="宋体" w:cs="Times New Roman"/>
          <w:kern w:val="0"/>
          <w:sz w:val="24"/>
          <w:szCs w:val="20"/>
        </w:rPr>
        <w:t>，此项很重要，数据将影响现场评标专家组对投标单位的业绩考评。若未提供相应业绩证明，根据技术标评分规则，将影响现场评标专家组对投标单位业绩判定打分</w:t>
      </w:r>
      <w:r>
        <w:rPr>
          <w:rFonts w:hint="default" w:ascii="Times New Roman" w:hAnsi="Times New Roman" w:eastAsia="宋体" w:cs="Times New Roman"/>
          <w:sz w:val="24"/>
          <w:szCs w:val="20"/>
        </w:rPr>
        <w:t>。</w:t>
      </w:r>
    </w:p>
    <w:p w14:paraId="01B90DAB">
      <w:pPr>
        <w:tabs>
          <w:tab w:val="left" w:pos="1578"/>
          <w:tab w:val="left" w:pos="10083"/>
        </w:tabs>
        <w:spacing w:line="500" w:lineRule="exact"/>
        <w:rPr>
          <w:rFonts w:hint="default" w:ascii="Times New Roman" w:hAnsi="Times New Roman" w:eastAsia="宋体" w:cs="Times New Roman"/>
          <w:sz w:val="24"/>
          <w:szCs w:val="20"/>
        </w:rPr>
      </w:pPr>
    </w:p>
    <w:p w14:paraId="0B62CC31">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14:paraId="727E19D9">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14:paraId="4B19016E">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161C08EC">
      <w:pPr>
        <w:rPr>
          <w:rFonts w:hint="default" w:ascii="Times New Roman" w:hAnsi="Times New Roman" w:eastAsia="宋体" w:cs="Times New Roman"/>
          <w:sz w:val="24"/>
          <w:szCs w:val="20"/>
        </w:rPr>
      </w:pPr>
      <w:r>
        <w:rPr>
          <w:rFonts w:hint="default" w:ascii="Times New Roman" w:hAnsi="Times New Roman" w:eastAsia="宋体" w:cs="Times New Roman"/>
          <w:sz w:val="24"/>
          <w:szCs w:val="20"/>
        </w:rPr>
        <w:br w:type="page"/>
      </w:r>
    </w:p>
    <w:p w14:paraId="37470C34">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附件7 设备质量承诺函</w:t>
      </w:r>
    </w:p>
    <w:p w14:paraId="336FCF11">
      <w:pPr>
        <w:spacing w:line="240" w:lineRule="exact"/>
        <w:rPr>
          <w:rFonts w:hint="default" w:ascii="Times New Roman" w:hAnsi="Times New Roman" w:eastAsia="宋体" w:cs="Times New Roman"/>
          <w:szCs w:val="20"/>
        </w:rPr>
      </w:pPr>
      <w:r>
        <w:rPr>
          <w:rFonts w:hint="default" w:ascii="Times New Roman" w:hAnsi="Times New Roman" w:eastAsia="宋体" w:cs="Times New Roman"/>
          <w:szCs w:val="20"/>
        </w:rPr>
        <w:t xml:space="preserve">                                               </w:t>
      </w:r>
    </w:p>
    <w:p w14:paraId="0DEE228F">
      <w:pPr>
        <w:spacing w:line="360" w:lineRule="auto"/>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rPr>
        <w:t xml:space="preserve">项目名称: </w:t>
      </w:r>
      <w:r>
        <w:rPr>
          <w:rFonts w:hint="default" w:ascii="Times New Roman" w:hAnsi="Times New Roman" w:eastAsia="宋体" w:cs="Times New Roman"/>
          <w:b w:val="0"/>
          <w:bCs w:val="0"/>
          <w:sz w:val="24"/>
          <w:szCs w:val="20"/>
          <w:u w:val="single"/>
        </w:rPr>
        <w:t xml:space="preserve"> </w:t>
      </w:r>
      <w:r>
        <w:rPr>
          <w:rFonts w:hint="eastAsia" w:cs="Times New Roman"/>
          <w:b w:val="0"/>
          <w:bCs w:val="0"/>
          <w:color w:val="000000"/>
          <w:sz w:val="24"/>
          <w:szCs w:val="24"/>
          <w:u w:val="single"/>
          <w:lang w:val="en-US" w:eastAsia="zh-CN"/>
        </w:rPr>
        <w:t>6300T、3150T热模锻生产线搬迁复产项目-新增石墨废水预处理站</w:t>
      </w:r>
      <w:r>
        <w:rPr>
          <w:rFonts w:hint="default" w:ascii="Times New Roman" w:hAnsi="Times New Roman" w:eastAsia="宋体" w:cs="Times New Roman"/>
          <w:b w:val="0"/>
          <w:bCs w:val="0"/>
          <w:sz w:val="24"/>
          <w:szCs w:val="20"/>
          <w:u w:val="single"/>
        </w:rPr>
        <w:t xml:space="preserve">  </w:t>
      </w:r>
      <w:r>
        <w:rPr>
          <w:rFonts w:hint="default" w:ascii="Times New Roman" w:hAnsi="Times New Roman" w:eastAsia="宋体" w:cs="Times New Roman"/>
          <w:sz w:val="24"/>
          <w:szCs w:val="20"/>
          <w:u w:val="single"/>
        </w:rPr>
        <w:t xml:space="preserve">      </w:t>
      </w:r>
    </w:p>
    <w:p w14:paraId="145A6DBC">
      <w:pPr>
        <w:spacing w:line="360" w:lineRule="auto"/>
        <w:rPr>
          <w:rFonts w:hint="default" w:ascii="Times New Roman" w:hAnsi="Times New Roman" w:eastAsia="宋体" w:cs="Times New Roman"/>
          <w:b/>
          <w:bCs/>
          <w:sz w:val="24"/>
          <w:szCs w:val="20"/>
        </w:rPr>
      </w:pPr>
      <w:r>
        <w:rPr>
          <w:rFonts w:hint="eastAsia" w:ascii="Times New Roman" w:hAnsi="Times New Roman" w:eastAsia="宋体" w:cs="Times New Roman"/>
          <w:b/>
          <w:bCs/>
          <w:sz w:val="24"/>
          <w:szCs w:val="20"/>
          <w:lang w:eastAsia="zh-CN"/>
        </w:rPr>
        <w:t>中国重汽集团济南动力有限公司</w:t>
      </w:r>
      <w:r>
        <w:rPr>
          <w:rFonts w:hint="default" w:ascii="Times New Roman" w:hAnsi="Times New Roman" w:eastAsia="宋体" w:cs="Times New Roman"/>
          <w:b/>
          <w:bCs/>
          <w:sz w:val="24"/>
          <w:szCs w:val="20"/>
        </w:rPr>
        <w:t>：</w:t>
      </w:r>
    </w:p>
    <w:p w14:paraId="597FB8F0">
      <w:pPr>
        <w:spacing w:line="360" w:lineRule="auto"/>
        <w:ind w:firstLine="480" w:firstLineChars="2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我代表(投标单位名称)为保证中标产品的质量特作如下承诺：</w:t>
      </w:r>
    </w:p>
    <w:p w14:paraId="281A1D13">
      <w:pPr>
        <w:spacing w:line="360" w:lineRule="auto"/>
        <w:ind w:firstLine="480" w:firstLineChars="200"/>
        <w:rPr>
          <w:rFonts w:hint="default" w:ascii="Times New Roman" w:hAnsi="Times New Roman" w:eastAsia="宋体" w:cs="Times New Roman"/>
          <w:sz w:val="24"/>
          <w:szCs w:val="20"/>
          <w:u w:val="none"/>
        </w:rPr>
      </w:pPr>
    </w:p>
    <w:p w14:paraId="731E13B0">
      <w:pPr>
        <w:spacing w:line="360" w:lineRule="auto"/>
        <w:ind w:firstLine="480" w:firstLineChars="200"/>
        <w:rPr>
          <w:rFonts w:hint="default" w:ascii="Times New Roman" w:hAnsi="Times New Roman" w:eastAsia="宋体" w:cs="Times New Roman"/>
          <w:sz w:val="24"/>
          <w:szCs w:val="20"/>
          <w:u w:val="none"/>
        </w:rPr>
      </w:pPr>
    </w:p>
    <w:p w14:paraId="5414973B">
      <w:pPr>
        <w:spacing w:line="360" w:lineRule="auto"/>
        <w:ind w:firstLine="480" w:firstLineChars="200"/>
        <w:rPr>
          <w:rFonts w:hint="default" w:ascii="Times New Roman" w:hAnsi="Times New Roman" w:eastAsia="宋体" w:cs="Times New Roman"/>
          <w:sz w:val="24"/>
          <w:szCs w:val="20"/>
          <w:u w:val="none"/>
        </w:rPr>
      </w:pPr>
    </w:p>
    <w:p w14:paraId="2467CDE4">
      <w:pPr>
        <w:spacing w:line="360" w:lineRule="auto"/>
        <w:ind w:firstLine="480" w:firstLineChars="200"/>
        <w:rPr>
          <w:rFonts w:hint="default" w:ascii="Times New Roman" w:hAnsi="Times New Roman" w:eastAsia="宋体" w:cs="Times New Roman"/>
          <w:sz w:val="24"/>
          <w:szCs w:val="20"/>
          <w:u w:val="none"/>
        </w:rPr>
      </w:pPr>
    </w:p>
    <w:p w14:paraId="4E1A63C2">
      <w:pPr>
        <w:spacing w:line="360" w:lineRule="auto"/>
        <w:ind w:firstLine="480" w:firstLineChars="200"/>
        <w:rPr>
          <w:rFonts w:hint="default" w:ascii="Times New Roman" w:hAnsi="Times New Roman" w:eastAsia="宋体" w:cs="Times New Roman"/>
          <w:sz w:val="24"/>
          <w:szCs w:val="20"/>
          <w:u w:val="none"/>
        </w:rPr>
      </w:pPr>
    </w:p>
    <w:p w14:paraId="7578E30F">
      <w:pPr>
        <w:spacing w:line="360" w:lineRule="auto"/>
        <w:ind w:firstLine="480" w:firstLineChars="200"/>
        <w:rPr>
          <w:rFonts w:hint="default" w:ascii="Times New Roman" w:hAnsi="Times New Roman" w:eastAsia="宋体" w:cs="Times New Roman"/>
          <w:sz w:val="24"/>
          <w:szCs w:val="20"/>
          <w:u w:val="none"/>
        </w:rPr>
      </w:pPr>
    </w:p>
    <w:p w14:paraId="13C425C0">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14:paraId="7C359072">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69630CA0">
      <w:pPr>
        <w:rPr>
          <w:rFonts w:hint="default" w:ascii="Times New Roman" w:hAnsi="Times New Roman" w:eastAsia="宋体" w:cs="Times New Roman"/>
          <w:b/>
          <w:bCs/>
          <w:color w:val="000000"/>
          <w:sz w:val="28"/>
          <w:szCs w:val="20"/>
        </w:rPr>
      </w:pPr>
    </w:p>
    <w:p w14:paraId="21695419">
      <w:pPr>
        <w:rPr>
          <w:rFonts w:hint="default" w:ascii="Times New Roman" w:hAnsi="Times New Roman" w:cs="Times New Roman"/>
        </w:rPr>
        <w:sectPr>
          <w:footerReference r:id="rId14" w:type="first"/>
          <w:footerReference r:id="rId13"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2409A8B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219ADD36">
      <w:pPr>
        <w:spacing w:line="360" w:lineRule="auto"/>
        <w:ind w:firstLine="482" w:firstLineChars="200"/>
        <w:rPr>
          <w:rFonts w:ascii="宋体" w:hAnsi="宋体" w:eastAsia="宋体" w:cs="Times New Roman"/>
          <w:b/>
          <w:color w:val="000000"/>
          <w:sz w:val="24"/>
          <w:szCs w:val="24"/>
          <w:highlight w:val="none"/>
        </w:rPr>
      </w:pPr>
      <w:r>
        <w:rPr>
          <w:rFonts w:hint="eastAsia" w:ascii="宋体" w:hAnsi="宋体" w:eastAsia="宋体" w:cs="Times New Roman"/>
          <w:b/>
          <w:color w:val="000000"/>
          <w:sz w:val="24"/>
          <w:szCs w:val="24"/>
          <w:highlight w:val="none"/>
        </w:rPr>
        <w:t>《开标一览表》单独封存，以备唱标使用</w:t>
      </w:r>
    </w:p>
    <w:p w14:paraId="4D251A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none"/>
        </w:rPr>
        <w:t>项目名称：</w:t>
      </w:r>
      <w:r>
        <w:rPr>
          <w:rFonts w:hint="eastAsia" w:ascii="宋体" w:hAnsi="宋体" w:cs="Times New Roman"/>
          <w:color w:val="000000"/>
          <w:sz w:val="24"/>
          <w:szCs w:val="24"/>
          <w:highlight w:val="none"/>
          <w:u w:val="single"/>
          <w:lang w:eastAsia="zh-CN"/>
        </w:rPr>
        <w:t>6300T、3150T热模锻生产线搬迁复产项目-新增石墨废水预处理站</w:t>
      </w:r>
      <w:r>
        <w:rPr>
          <w:rFonts w:ascii="宋体" w:hAnsi="宋体" w:eastAsia="宋体" w:cs="Times New Roman"/>
          <w:color w:val="000000"/>
          <w:sz w:val="24"/>
          <w:szCs w:val="24"/>
          <w:highlight w:val="none"/>
        </w:rPr>
        <w:t xml:space="preserve">  </w:t>
      </w:r>
      <w:r>
        <w:rPr>
          <w:rFonts w:ascii="宋体" w:hAnsi="宋体" w:eastAsia="宋体" w:cs="Times New Roman"/>
          <w:color w:val="000000"/>
          <w:sz w:val="24"/>
          <w:szCs w:val="24"/>
        </w:rPr>
        <w:t xml:space="preserve">                                                </w:t>
      </w:r>
    </w:p>
    <w:tbl>
      <w:tblPr>
        <w:tblStyle w:val="48"/>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63DAD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238362C1">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027045E2">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28359252">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2A3B1581">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37B4CBCF">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2DFB84CA">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252202E4">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24D59F93">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32578D77">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5F607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5D8A88CA">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14:paraId="26AEA32C">
            <w:pPr>
              <w:jc w:val="center"/>
              <w:rPr>
                <w:rFonts w:hint="eastAsia" w:ascii="Times New Roman" w:hAnsi="Times New Roman" w:eastAsia="宋体" w:cs="Times New Roman"/>
                <w:b/>
                <w:szCs w:val="20"/>
                <w:lang w:eastAsia="zh-CN"/>
              </w:rPr>
            </w:pPr>
            <w:r>
              <w:rPr>
                <w:rFonts w:hint="eastAsia" w:cs="Times New Roman"/>
                <w:b/>
                <w:szCs w:val="20"/>
                <w:highlight w:val="none"/>
                <w:lang w:eastAsia="zh-CN"/>
              </w:rPr>
              <w:t>6300T、3150T热模锻生产线搬迁复产项目-新增石墨废水预处理站</w:t>
            </w:r>
          </w:p>
        </w:tc>
        <w:tc>
          <w:tcPr>
            <w:tcW w:w="848" w:type="dxa"/>
            <w:vAlign w:val="center"/>
          </w:tcPr>
          <w:p w14:paraId="14B69725">
            <w:pPr>
              <w:jc w:val="center"/>
              <w:rPr>
                <w:rFonts w:ascii="Times New Roman" w:hAnsi="Times New Roman" w:eastAsia="宋体" w:cs="Times New Roman"/>
                <w:b/>
                <w:szCs w:val="20"/>
                <w:highlight w:val="none"/>
              </w:rPr>
            </w:pPr>
            <w:r>
              <w:rPr>
                <w:rFonts w:ascii="Times New Roman" w:hAnsi="Times New Roman" w:eastAsia="宋体" w:cs="Times New Roman"/>
                <w:b/>
                <w:szCs w:val="20"/>
                <w:highlight w:val="none"/>
              </w:rPr>
              <w:t>1</w:t>
            </w:r>
          </w:p>
        </w:tc>
        <w:tc>
          <w:tcPr>
            <w:tcW w:w="2270" w:type="dxa"/>
            <w:vAlign w:val="center"/>
          </w:tcPr>
          <w:p w14:paraId="3BD116D8">
            <w:pPr>
              <w:jc w:val="center"/>
              <w:rPr>
                <w:rFonts w:ascii="等线" w:hAnsi="等线" w:eastAsia="等线" w:cs="Times New Roman"/>
                <w:b/>
                <w:szCs w:val="20"/>
              </w:rPr>
            </w:pPr>
            <w:r>
              <w:rPr>
                <w:rFonts w:hint="eastAsia" w:ascii="等线" w:hAnsi="等线" w:eastAsia="等线" w:cs="Times New Roman"/>
                <w:b/>
                <w:szCs w:val="20"/>
              </w:rPr>
              <w:t>不含税价：</w:t>
            </w:r>
          </w:p>
          <w:p w14:paraId="5F664358">
            <w:pPr>
              <w:jc w:val="center"/>
              <w:rPr>
                <w:rFonts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14:paraId="71326FDE">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36FA7CE1">
            <w:pPr>
              <w:jc w:val="center"/>
              <w:rPr>
                <w:rFonts w:ascii="Times New Roman" w:hAnsi="Times New Roman" w:eastAsia="宋体" w:cs="Times New Roman"/>
                <w:b/>
                <w:szCs w:val="20"/>
              </w:rPr>
            </w:pPr>
          </w:p>
        </w:tc>
        <w:tc>
          <w:tcPr>
            <w:tcW w:w="1243" w:type="dxa"/>
            <w:vAlign w:val="center"/>
          </w:tcPr>
          <w:p w14:paraId="42958680">
            <w:pPr>
              <w:jc w:val="center"/>
              <w:rPr>
                <w:rFonts w:ascii="Times New Roman" w:hAnsi="Times New Roman" w:eastAsia="宋体" w:cs="Times New Roman"/>
                <w:b/>
                <w:szCs w:val="20"/>
              </w:rPr>
            </w:pPr>
          </w:p>
        </w:tc>
        <w:tc>
          <w:tcPr>
            <w:tcW w:w="705" w:type="dxa"/>
            <w:vAlign w:val="center"/>
          </w:tcPr>
          <w:p w14:paraId="7D55B044">
            <w:pPr>
              <w:jc w:val="center"/>
              <w:rPr>
                <w:rFonts w:ascii="Times New Roman" w:hAnsi="Times New Roman" w:eastAsia="宋体" w:cs="Times New Roman"/>
                <w:b/>
                <w:szCs w:val="20"/>
              </w:rPr>
            </w:pPr>
          </w:p>
        </w:tc>
        <w:tc>
          <w:tcPr>
            <w:tcW w:w="699" w:type="dxa"/>
            <w:vAlign w:val="center"/>
          </w:tcPr>
          <w:p w14:paraId="5B5823C0">
            <w:pPr>
              <w:jc w:val="center"/>
              <w:rPr>
                <w:rFonts w:ascii="Times New Roman" w:hAnsi="Times New Roman" w:eastAsia="宋体" w:cs="Times New Roman"/>
                <w:b/>
                <w:szCs w:val="20"/>
              </w:rPr>
            </w:pPr>
          </w:p>
        </w:tc>
      </w:tr>
    </w:tbl>
    <w:p w14:paraId="11E042C0">
      <w:pPr>
        <w:rPr>
          <w:rFonts w:ascii="宋体" w:hAnsi="Arial" w:eastAsia="宋体" w:cs="Times New Roman"/>
          <w:sz w:val="24"/>
          <w:szCs w:val="24"/>
        </w:rPr>
      </w:pPr>
    </w:p>
    <w:p w14:paraId="636D71BA">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54FA11B8">
      <w:pPr>
        <w:numPr>
          <w:ilvl w:val="0"/>
          <w:numId w:val="9"/>
        </w:numPr>
        <w:spacing w:line="520" w:lineRule="exact"/>
        <w:rPr>
          <w:rFonts w:hint="eastAsia" w:ascii="宋体" w:hAnsi="宋体" w:eastAsia="宋体" w:cs="Times New Roman"/>
          <w:b/>
          <w:bCs/>
          <w:szCs w:val="21"/>
        </w:rPr>
      </w:pPr>
      <w:r>
        <w:rPr>
          <w:rFonts w:hint="eastAsia" w:ascii="宋体" w:hAnsi="宋体" w:eastAsia="宋体" w:cs="Times New Roman"/>
          <w:b/>
          <w:bCs/>
          <w:szCs w:val="21"/>
        </w:rPr>
        <w:t>此表中的报价必须与相应的报价明细表中的报价一致。</w:t>
      </w:r>
    </w:p>
    <w:p w14:paraId="2F2C0DC4">
      <w:pPr>
        <w:numPr>
          <w:ilvl w:val="0"/>
          <w:numId w:val="9"/>
        </w:numPr>
        <w:spacing w:line="520" w:lineRule="exact"/>
        <w:rPr>
          <w:rFonts w:hint="eastAsia" w:ascii="宋体" w:hAnsi="宋体" w:eastAsia="宋体" w:cs="Times New Roman"/>
          <w:b/>
          <w:bCs/>
          <w:szCs w:val="21"/>
          <w:lang w:val="en-US" w:eastAsia="zh-CN"/>
        </w:rPr>
      </w:pPr>
      <w:r>
        <w:rPr>
          <w:rFonts w:hint="eastAsia" w:ascii="宋体" w:hAnsi="宋体" w:eastAsia="宋体" w:cs="Times New Roman"/>
          <w:b/>
          <w:bCs/>
          <w:szCs w:val="21"/>
        </w:rPr>
        <w:t>需写明含税价、不含税价格、税率。</w:t>
      </w:r>
    </w:p>
    <w:p w14:paraId="5EBF57B7">
      <w:pPr>
        <w:numPr>
          <w:ilvl w:val="0"/>
          <w:numId w:val="9"/>
        </w:numPr>
        <w:spacing w:line="520" w:lineRule="exact"/>
        <w:rPr>
          <w:rFonts w:hint="eastAsia" w:ascii="宋体" w:hAnsi="宋体" w:eastAsia="宋体" w:cs="Times New Roman"/>
          <w:b/>
          <w:bCs/>
          <w:szCs w:val="21"/>
          <w:lang w:val="en-US" w:eastAsia="zh-CN"/>
        </w:rPr>
      </w:pPr>
      <w:r>
        <w:rPr>
          <w:rFonts w:hint="eastAsia" w:ascii="宋体" w:hAnsi="宋体" w:eastAsia="宋体" w:cs="Times New Roman"/>
          <w:b/>
          <w:bCs/>
          <w:szCs w:val="21"/>
          <w:lang w:val="en-US" w:eastAsia="zh-CN"/>
        </w:rPr>
        <w:t>投标总价大写为必填项，如发生大小写不一致，以大写为准。</w:t>
      </w:r>
    </w:p>
    <w:p w14:paraId="68E7C59B">
      <w:pPr>
        <w:numPr>
          <w:ilvl w:val="0"/>
          <w:numId w:val="9"/>
        </w:numPr>
        <w:spacing w:line="520" w:lineRule="exact"/>
        <w:rPr>
          <w:rFonts w:hint="eastAsia" w:ascii="宋体" w:hAnsi="宋体" w:eastAsia="宋体" w:cs="Times New Roman"/>
          <w:b/>
          <w:bCs/>
          <w:szCs w:val="21"/>
          <w:highlight w:val="none"/>
          <w:lang w:val="en-US" w:eastAsia="zh-CN"/>
        </w:rPr>
      </w:pPr>
      <w:r>
        <w:rPr>
          <w:rFonts w:hint="eastAsia" w:ascii="宋体" w:hAnsi="宋体" w:eastAsia="宋体" w:cs="Times New Roman"/>
          <w:b/>
          <w:bCs/>
          <w:szCs w:val="21"/>
          <w:highlight w:val="none"/>
          <w:lang w:val="en-US" w:eastAsia="zh-CN"/>
        </w:rPr>
        <w:t>投标总价包括全部（全新）产品价、表面处理费用、运杂费（包括现场卸车费）、设计、制造、安装、调试（含现场调试）、包装运输费、验收、技术及售后服务费、技术资料费、备品备件费等所有费用的总和。</w:t>
      </w:r>
    </w:p>
    <w:p w14:paraId="013C6A40">
      <w:pPr>
        <w:pStyle w:val="24"/>
        <w:rPr>
          <w:rFonts w:hAnsi="宋体" w:eastAsia="宋体" w:cs="Times New Roman"/>
          <w:b/>
          <w:bCs/>
          <w:szCs w:val="21"/>
        </w:rPr>
      </w:pPr>
    </w:p>
    <w:p w14:paraId="1C036977">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9F1B606">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8E0DC12">
      <w:pPr>
        <w:spacing w:line="660" w:lineRule="exact"/>
        <w:rPr>
          <w:rFonts w:hint="eastAsia" w:ascii="宋体" w:hAnsi="宋体"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2C74F0A">
      <w:pPr>
        <w:pStyle w:val="24"/>
        <w:rPr>
          <w:rFonts w:hint="eastAsia" w:ascii="宋体" w:hAnsi="宋体" w:eastAsia="宋体" w:cs="Times New Roman"/>
          <w:sz w:val="24"/>
          <w:szCs w:val="20"/>
        </w:rPr>
        <w:sectPr>
          <w:pgSz w:w="11906" w:h="16838"/>
          <w:pgMar w:top="1588" w:right="1418" w:bottom="1134" w:left="1418" w:header="851" w:footer="992" w:gutter="0"/>
          <w:cols w:space="720" w:num="1"/>
          <w:titlePg/>
          <w:docGrid w:type="lines" w:linePitch="312" w:charSpace="0"/>
        </w:sectPr>
      </w:pPr>
    </w:p>
    <w:p w14:paraId="5ADFADA3">
      <w:pPr>
        <w:pStyle w:val="4"/>
        <w:spacing w:after="0" w:line="240" w:lineRule="auto"/>
        <w:jc w:val="left"/>
        <w:rPr>
          <w:rFonts w:hint="eastAsia" w:ascii="宋体" w:hAnsi="宋体" w:eastAsia="宋体" w:cs="宋体"/>
          <w:spacing w:val="8"/>
          <w:sz w:val="24"/>
          <w:szCs w:val="24"/>
          <w:lang w:eastAsia="zh-CN"/>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16D13513">
      <w:pPr>
        <w:pStyle w:val="24"/>
        <w:jc w:val="center"/>
        <w:rPr>
          <w:rFonts w:hint="eastAsia" w:ascii="宋体" w:hAnsi="宋体" w:eastAsia="宋体" w:cs="Times New Roman"/>
          <w:sz w:val="24"/>
          <w:szCs w:val="20"/>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tbl>
      <w:tblPr>
        <w:tblStyle w:val="48"/>
        <w:tblW w:w="530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2401"/>
        <w:gridCol w:w="1443"/>
        <w:gridCol w:w="823"/>
        <w:gridCol w:w="811"/>
        <w:gridCol w:w="1488"/>
        <w:gridCol w:w="1936"/>
      </w:tblGrid>
      <w:tr w14:paraId="4A64C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486" w:type="pct"/>
            <w:vAlign w:val="center"/>
          </w:tcPr>
          <w:p w14:paraId="110049ED">
            <w:pPr>
              <w:pStyle w:val="19"/>
              <w:bidi w:val="0"/>
              <w:jc w:val="center"/>
              <w:rPr>
                <w:rFonts w:hint="eastAsia"/>
                <w:highlight w:val="none"/>
              </w:rPr>
            </w:pPr>
            <w:r>
              <w:rPr>
                <w:rFonts w:hint="eastAsia"/>
                <w:highlight w:val="none"/>
              </w:rPr>
              <w:t>序号</w:t>
            </w:r>
          </w:p>
        </w:tc>
        <w:tc>
          <w:tcPr>
            <w:tcW w:w="1217" w:type="pct"/>
            <w:vAlign w:val="center"/>
          </w:tcPr>
          <w:p w14:paraId="174922BD">
            <w:pPr>
              <w:pStyle w:val="19"/>
              <w:bidi w:val="0"/>
              <w:jc w:val="center"/>
              <w:rPr>
                <w:rFonts w:hint="eastAsia"/>
                <w:highlight w:val="none"/>
              </w:rPr>
            </w:pPr>
            <w:r>
              <w:rPr>
                <w:rFonts w:hint="eastAsia"/>
                <w:highlight w:val="none"/>
              </w:rPr>
              <w:t>名称</w:t>
            </w:r>
          </w:p>
        </w:tc>
        <w:tc>
          <w:tcPr>
            <w:tcW w:w="731" w:type="pct"/>
            <w:vAlign w:val="center"/>
          </w:tcPr>
          <w:p w14:paraId="520ED97A">
            <w:pPr>
              <w:pStyle w:val="19"/>
              <w:bidi w:val="0"/>
              <w:jc w:val="center"/>
              <w:rPr>
                <w:rFonts w:hint="default"/>
                <w:highlight w:val="none"/>
                <w:lang w:val="en-US" w:eastAsia="zh-CN"/>
              </w:rPr>
            </w:pPr>
            <w:r>
              <w:rPr>
                <w:rFonts w:hint="eastAsia"/>
                <w:highlight w:val="none"/>
                <w:lang w:val="en-US" w:eastAsia="zh-CN"/>
              </w:rPr>
              <w:t>未税单价（元）</w:t>
            </w:r>
          </w:p>
        </w:tc>
        <w:tc>
          <w:tcPr>
            <w:tcW w:w="417" w:type="pct"/>
            <w:vAlign w:val="center"/>
          </w:tcPr>
          <w:p w14:paraId="48F129CC">
            <w:pPr>
              <w:pStyle w:val="19"/>
              <w:bidi w:val="0"/>
              <w:jc w:val="center"/>
              <w:rPr>
                <w:rFonts w:hint="eastAsia"/>
                <w:highlight w:val="none"/>
              </w:rPr>
            </w:pPr>
            <w:r>
              <w:rPr>
                <w:rFonts w:hint="eastAsia"/>
                <w:highlight w:val="none"/>
              </w:rPr>
              <w:t>单位</w:t>
            </w:r>
          </w:p>
        </w:tc>
        <w:tc>
          <w:tcPr>
            <w:tcW w:w="411" w:type="pct"/>
            <w:vAlign w:val="center"/>
          </w:tcPr>
          <w:p w14:paraId="2A79FCDA">
            <w:pPr>
              <w:pStyle w:val="19"/>
              <w:bidi w:val="0"/>
              <w:jc w:val="center"/>
              <w:rPr>
                <w:rFonts w:hint="eastAsia"/>
                <w:highlight w:val="none"/>
              </w:rPr>
            </w:pPr>
            <w:r>
              <w:rPr>
                <w:rFonts w:hint="eastAsia"/>
                <w:highlight w:val="none"/>
              </w:rPr>
              <w:t>数量</w:t>
            </w:r>
          </w:p>
        </w:tc>
        <w:tc>
          <w:tcPr>
            <w:tcW w:w="754" w:type="pct"/>
            <w:vAlign w:val="center"/>
          </w:tcPr>
          <w:p w14:paraId="51F599EB">
            <w:pPr>
              <w:pStyle w:val="19"/>
              <w:bidi w:val="0"/>
              <w:jc w:val="center"/>
              <w:rPr>
                <w:rFonts w:hint="eastAsia"/>
                <w:highlight w:val="none"/>
              </w:rPr>
            </w:pPr>
            <w:r>
              <w:rPr>
                <w:rFonts w:hint="eastAsia"/>
                <w:highlight w:val="none"/>
                <w:lang w:val="en-US" w:eastAsia="zh-CN"/>
              </w:rPr>
              <w:t>未税总价（元）</w:t>
            </w:r>
          </w:p>
        </w:tc>
        <w:tc>
          <w:tcPr>
            <w:tcW w:w="981" w:type="pct"/>
            <w:vAlign w:val="center"/>
          </w:tcPr>
          <w:p w14:paraId="7FE9C30E">
            <w:pPr>
              <w:pStyle w:val="19"/>
              <w:bidi w:val="0"/>
              <w:jc w:val="center"/>
              <w:rPr>
                <w:rFonts w:hint="eastAsia"/>
                <w:highlight w:val="none"/>
              </w:rPr>
            </w:pPr>
            <w:r>
              <w:rPr>
                <w:rFonts w:hint="eastAsia"/>
                <w:highlight w:val="none"/>
              </w:rPr>
              <w:t>备注</w:t>
            </w:r>
          </w:p>
        </w:tc>
      </w:tr>
      <w:tr w14:paraId="6007F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4BC70953">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14:paraId="367748F3">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14:paraId="6435A6E2">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3D7E3AA5">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14:paraId="1874EE55">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14:paraId="5262893B">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14:paraId="5EEEB456">
            <w:pPr>
              <w:spacing w:line="360" w:lineRule="exact"/>
              <w:jc w:val="left"/>
              <w:rPr>
                <w:rFonts w:hint="eastAsia" w:asciiTheme="minorEastAsia" w:hAnsiTheme="minorEastAsia" w:eastAsiaTheme="minorEastAsia" w:cstheme="minorEastAsia"/>
                <w:sz w:val="24"/>
                <w:szCs w:val="24"/>
                <w:highlight w:val="none"/>
              </w:rPr>
            </w:pPr>
          </w:p>
        </w:tc>
      </w:tr>
      <w:tr w14:paraId="3F1B5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5010E731">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14:paraId="2BBCE84E">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14:paraId="641864C0">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563930BC">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14:paraId="6A773E02">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14:paraId="332CC1E1">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14:paraId="22641087">
            <w:pPr>
              <w:spacing w:line="360" w:lineRule="exact"/>
              <w:jc w:val="left"/>
              <w:rPr>
                <w:rFonts w:hint="eastAsia" w:asciiTheme="minorEastAsia" w:hAnsiTheme="minorEastAsia" w:eastAsiaTheme="minorEastAsia" w:cstheme="minorEastAsia"/>
                <w:sz w:val="24"/>
                <w:szCs w:val="24"/>
                <w:highlight w:val="none"/>
              </w:rPr>
            </w:pPr>
          </w:p>
        </w:tc>
      </w:tr>
      <w:tr w14:paraId="100D4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26C96CAB">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14:paraId="6C813A41">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14:paraId="7A71CA3C">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1DED3FB3">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14:paraId="7661EDE0">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14:paraId="5F35E29A">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14:paraId="37902DB0">
            <w:pPr>
              <w:spacing w:line="360" w:lineRule="exact"/>
              <w:jc w:val="left"/>
              <w:rPr>
                <w:rFonts w:hint="eastAsia" w:asciiTheme="minorEastAsia" w:hAnsiTheme="minorEastAsia" w:eastAsiaTheme="minorEastAsia" w:cstheme="minorEastAsia"/>
                <w:sz w:val="24"/>
                <w:szCs w:val="24"/>
                <w:highlight w:val="none"/>
                <w:lang w:val="en-US" w:eastAsia="zh-CN"/>
              </w:rPr>
            </w:pPr>
          </w:p>
        </w:tc>
      </w:tr>
      <w:tr w14:paraId="5B919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36666566">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14:paraId="2C63C2AA">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14:paraId="14100B8E">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1A9C241E">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14:paraId="73F1BFA3">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14:paraId="1A8DED63">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14:paraId="613D4049">
            <w:pPr>
              <w:spacing w:line="360" w:lineRule="exact"/>
              <w:jc w:val="left"/>
              <w:rPr>
                <w:rFonts w:hint="eastAsia" w:asciiTheme="minorEastAsia" w:hAnsiTheme="minorEastAsia" w:eastAsiaTheme="minorEastAsia" w:cstheme="minorEastAsia"/>
                <w:sz w:val="24"/>
                <w:szCs w:val="24"/>
                <w:highlight w:val="none"/>
                <w:lang w:val="en-US" w:eastAsia="zh-CN"/>
              </w:rPr>
            </w:pPr>
          </w:p>
        </w:tc>
      </w:tr>
      <w:tr w14:paraId="6FB2E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078B12C9">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14:paraId="38F8E828">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14:paraId="06ACBFE4">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007FCC36">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14:paraId="2081EED3">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14:paraId="41D779E0">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14:paraId="1EA041C5">
            <w:pPr>
              <w:spacing w:line="360" w:lineRule="exact"/>
              <w:jc w:val="left"/>
              <w:rPr>
                <w:rFonts w:hint="eastAsia" w:asciiTheme="minorEastAsia" w:hAnsiTheme="minorEastAsia" w:eastAsiaTheme="minorEastAsia" w:cstheme="minorEastAsia"/>
                <w:sz w:val="24"/>
                <w:szCs w:val="24"/>
                <w:highlight w:val="none"/>
              </w:rPr>
            </w:pPr>
          </w:p>
        </w:tc>
      </w:tr>
      <w:tr w14:paraId="780D6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2EA4371B">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14:paraId="1BCB998E">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14:paraId="7741CE15">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2C1288DA">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14:paraId="5F6F24C2">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14:paraId="61131A12">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14:paraId="64A8F93C">
            <w:pPr>
              <w:spacing w:line="360" w:lineRule="exact"/>
              <w:jc w:val="left"/>
              <w:rPr>
                <w:rFonts w:hint="eastAsia" w:asciiTheme="minorEastAsia" w:hAnsiTheme="minorEastAsia" w:eastAsiaTheme="minorEastAsia" w:cstheme="minorEastAsia"/>
                <w:sz w:val="24"/>
                <w:szCs w:val="24"/>
                <w:highlight w:val="none"/>
              </w:rPr>
            </w:pPr>
          </w:p>
        </w:tc>
      </w:tr>
      <w:tr w14:paraId="1D13C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7099EEC0">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14:paraId="013F030E">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14:paraId="3DC1BB2F">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322546AA">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14:paraId="7B3AF30B">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14:paraId="2872AB9A">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14:paraId="4A6EBCDE">
            <w:pPr>
              <w:spacing w:line="360" w:lineRule="exact"/>
              <w:jc w:val="left"/>
              <w:rPr>
                <w:rFonts w:hint="eastAsia" w:asciiTheme="minorEastAsia" w:hAnsiTheme="minorEastAsia" w:eastAsiaTheme="minorEastAsia" w:cstheme="minorEastAsia"/>
                <w:sz w:val="24"/>
                <w:szCs w:val="24"/>
                <w:highlight w:val="none"/>
              </w:rPr>
            </w:pPr>
          </w:p>
        </w:tc>
      </w:tr>
      <w:tr w14:paraId="57036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62E1B8F0">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14:paraId="72F82BA4">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14:paraId="54FBB62C">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01168A57">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14:paraId="6AB656FB">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14:paraId="3C5AC280">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14:paraId="22C705A5">
            <w:pPr>
              <w:spacing w:line="360" w:lineRule="exact"/>
              <w:jc w:val="left"/>
              <w:rPr>
                <w:rFonts w:hint="eastAsia" w:asciiTheme="minorEastAsia" w:hAnsiTheme="minorEastAsia" w:eastAsiaTheme="minorEastAsia" w:cstheme="minorEastAsia"/>
                <w:sz w:val="24"/>
                <w:szCs w:val="24"/>
                <w:highlight w:val="none"/>
              </w:rPr>
            </w:pPr>
          </w:p>
        </w:tc>
      </w:tr>
      <w:tr w14:paraId="04F72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1AFB34FC">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14:paraId="4290851F">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14:paraId="3E801906">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06313C75">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14:paraId="74EF2CFC">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14:paraId="11793657">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14:paraId="11B6303F">
            <w:pPr>
              <w:spacing w:line="360" w:lineRule="exact"/>
              <w:jc w:val="left"/>
              <w:rPr>
                <w:rFonts w:hint="eastAsia" w:asciiTheme="minorEastAsia" w:hAnsiTheme="minorEastAsia" w:eastAsiaTheme="minorEastAsia" w:cstheme="minorEastAsia"/>
                <w:sz w:val="24"/>
                <w:szCs w:val="24"/>
                <w:highlight w:val="none"/>
              </w:rPr>
            </w:pPr>
          </w:p>
        </w:tc>
      </w:tr>
      <w:tr w14:paraId="7E08D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171221CC">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14:paraId="62BA57E4">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14:paraId="073D1A14">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349A3887">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14:paraId="4C9FB3A0">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14:paraId="413BC5B9">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14:paraId="2BD84EAA">
            <w:pPr>
              <w:spacing w:line="360" w:lineRule="exact"/>
              <w:jc w:val="left"/>
              <w:rPr>
                <w:rFonts w:hint="eastAsia" w:asciiTheme="minorEastAsia" w:hAnsiTheme="minorEastAsia" w:eastAsiaTheme="minorEastAsia" w:cstheme="minorEastAsia"/>
                <w:sz w:val="24"/>
                <w:szCs w:val="24"/>
                <w:highlight w:val="none"/>
              </w:rPr>
            </w:pPr>
          </w:p>
        </w:tc>
      </w:tr>
      <w:tr w14:paraId="13E55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09595FE5">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14:paraId="7C9E7E43">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14:paraId="01BA4282">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06E43B5E">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14:paraId="6C2CF4B7">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14:paraId="639529D7">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14:paraId="42FB8AAF">
            <w:pPr>
              <w:spacing w:line="360" w:lineRule="exact"/>
              <w:jc w:val="left"/>
              <w:rPr>
                <w:rFonts w:hint="eastAsia" w:asciiTheme="minorEastAsia" w:hAnsiTheme="minorEastAsia" w:eastAsiaTheme="minorEastAsia" w:cstheme="minorEastAsia"/>
                <w:sz w:val="24"/>
                <w:szCs w:val="24"/>
                <w:highlight w:val="none"/>
              </w:rPr>
            </w:pPr>
          </w:p>
        </w:tc>
      </w:tr>
      <w:tr w14:paraId="6A5BB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5C6F400D">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14:paraId="3508E92D">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投标方认为必须配备的其他内容</w:t>
            </w:r>
          </w:p>
        </w:tc>
        <w:tc>
          <w:tcPr>
            <w:tcW w:w="731" w:type="pct"/>
            <w:tcBorders>
              <w:top w:val="single" w:color="auto" w:sz="4" w:space="0"/>
              <w:bottom w:val="single" w:color="auto" w:sz="4" w:space="0"/>
            </w:tcBorders>
            <w:vAlign w:val="center"/>
          </w:tcPr>
          <w:p w14:paraId="0739D965">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1E95A9AF">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14:paraId="49F02E72">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14:paraId="48A7A8F3">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14:paraId="788BF8B3">
            <w:pPr>
              <w:spacing w:line="360" w:lineRule="exact"/>
              <w:jc w:val="left"/>
              <w:rPr>
                <w:rFonts w:hint="eastAsia" w:asciiTheme="minorEastAsia" w:hAnsiTheme="minorEastAsia" w:eastAsiaTheme="minorEastAsia" w:cstheme="minorEastAsia"/>
                <w:sz w:val="24"/>
                <w:szCs w:val="24"/>
                <w:highlight w:val="none"/>
              </w:rPr>
            </w:pPr>
          </w:p>
        </w:tc>
      </w:tr>
      <w:tr w14:paraId="70499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435" w:type="pct"/>
            <w:gridSpan w:val="3"/>
            <w:vAlign w:val="center"/>
          </w:tcPr>
          <w:p w14:paraId="28BC3EBD">
            <w:pPr>
              <w:widowControl/>
              <w:spacing w:line="0" w:lineRule="atLeast"/>
              <w:jc w:val="center"/>
              <w:textAlignment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未税合计</w:t>
            </w:r>
          </w:p>
        </w:tc>
        <w:tc>
          <w:tcPr>
            <w:tcW w:w="2564" w:type="pct"/>
            <w:gridSpan w:val="4"/>
            <w:tcBorders>
              <w:top w:val="single" w:color="auto" w:sz="4" w:space="0"/>
            </w:tcBorders>
            <w:vAlign w:val="center"/>
          </w:tcPr>
          <w:p w14:paraId="7E5F4052">
            <w:pPr>
              <w:spacing w:line="360" w:lineRule="exact"/>
              <w:jc w:val="center"/>
              <w:rPr>
                <w:rFonts w:hint="eastAsia" w:asciiTheme="minorEastAsia" w:hAnsiTheme="minorEastAsia" w:eastAsiaTheme="minorEastAsia" w:cstheme="minorEastAsia"/>
                <w:sz w:val="24"/>
                <w:szCs w:val="24"/>
                <w:highlight w:val="none"/>
              </w:rPr>
            </w:pPr>
          </w:p>
        </w:tc>
      </w:tr>
      <w:tr w14:paraId="10E6E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2435" w:type="pct"/>
            <w:gridSpan w:val="3"/>
            <w:vAlign w:val="center"/>
          </w:tcPr>
          <w:p w14:paraId="49286C9A">
            <w:pPr>
              <w:widowControl/>
              <w:spacing w:line="0" w:lineRule="atLeast"/>
              <w:jc w:val="center"/>
              <w:textAlignment w:val="center"/>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含税合计（税率</w:t>
            </w:r>
            <w:r>
              <w:rPr>
                <w:rFonts w:hint="eastAsia" w:asciiTheme="minorEastAsia" w:hAnsiTheme="minorEastAsia" w:eastAsiaTheme="minorEastAsia" w:cstheme="minorEastAsia"/>
                <w:sz w:val="24"/>
                <w:szCs w:val="24"/>
                <w:highlight w:val="none"/>
                <w:u w:val="single"/>
                <w:lang w:val="en-US" w:eastAsia="zh-CN"/>
              </w:rPr>
              <w:t xml:space="preserve">  </w:t>
            </w:r>
            <w:r>
              <w:rPr>
                <w:rFonts w:hint="eastAsia" w:asciiTheme="minorEastAsia" w:hAnsiTheme="minorEastAsia" w:eastAsiaTheme="minorEastAsia" w:cstheme="minorEastAsia"/>
                <w:sz w:val="24"/>
                <w:szCs w:val="24"/>
                <w:highlight w:val="none"/>
                <w:lang w:val="en-US" w:eastAsia="zh-CN"/>
              </w:rPr>
              <w:t>%）</w:t>
            </w:r>
          </w:p>
        </w:tc>
        <w:tc>
          <w:tcPr>
            <w:tcW w:w="2564" w:type="pct"/>
            <w:gridSpan w:val="4"/>
            <w:tcBorders>
              <w:top w:val="single" w:color="auto" w:sz="4" w:space="0"/>
            </w:tcBorders>
            <w:vAlign w:val="center"/>
          </w:tcPr>
          <w:p w14:paraId="35B81226">
            <w:pPr>
              <w:spacing w:line="360" w:lineRule="exact"/>
              <w:jc w:val="center"/>
              <w:rPr>
                <w:rFonts w:hint="eastAsia" w:asciiTheme="minorEastAsia" w:hAnsiTheme="minorEastAsia" w:eastAsiaTheme="minorEastAsia" w:cstheme="minorEastAsia"/>
                <w:sz w:val="24"/>
                <w:szCs w:val="24"/>
                <w:highlight w:val="none"/>
              </w:rPr>
            </w:pPr>
          </w:p>
        </w:tc>
      </w:tr>
    </w:tbl>
    <w:p w14:paraId="6DD8C81E">
      <w:pPr>
        <w:spacing w:before="58" w:line="219" w:lineRule="auto"/>
        <w:ind w:left="8"/>
        <w:rPr>
          <w:rFonts w:ascii="宋体" w:hAnsi="宋体" w:eastAsia="宋体" w:cs="宋体"/>
          <w:spacing w:val="-8"/>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1.以上是各单体设备分项报价应包括的内容， 但不限于此，表中“总价合计”构成主机价格的一部分。</w:t>
      </w:r>
    </w:p>
    <w:p w14:paraId="3FBBAC17">
      <w:pPr>
        <w:spacing w:before="58" w:line="219" w:lineRule="auto"/>
        <w:ind w:left="8"/>
        <w:rPr>
          <w:rFonts w:ascii="宋体" w:hAnsi="宋体" w:eastAsia="宋体" w:cs="宋体"/>
          <w:spacing w:val="-8"/>
          <w:szCs w:val="21"/>
        </w:rPr>
      </w:pPr>
      <w:r>
        <w:rPr>
          <w:rFonts w:ascii="宋体" w:hAnsi="宋体" w:eastAsia="宋体" w:cs="宋体"/>
          <w:spacing w:val="-8"/>
          <w:szCs w:val="21"/>
        </w:rPr>
        <w:t>2.如果按单价计算的结果与总价不一致，以单价为准修正总价。</w:t>
      </w:r>
    </w:p>
    <w:p w14:paraId="32992A3E">
      <w:pPr>
        <w:spacing w:before="58" w:line="219" w:lineRule="auto"/>
        <w:ind w:left="8"/>
        <w:rPr>
          <w:rFonts w:ascii="宋体" w:hAnsi="宋体" w:eastAsia="宋体" w:cs="宋体"/>
          <w:spacing w:val="-8"/>
          <w:szCs w:val="21"/>
        </w:rPr>
      </w:pPr>
      <w:r>
        <w:rPr>
          <w:rFonts w:ascii="宋体" w:hAnsi="宋体" w:eastAsia="宋体" w:cs="宋体"/>
          <w:spacing w:val="-8"/>
          <w:szCs w:val="21"/>
        </w:rPr>
        <w:t>3.此分项报价，仅是为了方便招标人对投标文件进行分析比较，不作为限制订立合同的条件。</w:t>
      </w:r>
    </w:p>
    <w:p w14:paraId="235B4772">
      <w:pPr>
        <w:spacing w:before="58" w:line="219" w:lineRule="auto"/>
        <w:ind w:left="8"/>
        <w:rPr>
          <w:rFonts w:ascii="宋体" w:hAnsi="宋体" w:eastAsia="宋体" w:cs="宋体"/>
          <w:spacing w:val="-8"/>
          <w:szCs w:val="21"/>
        </w:rPr>
      </w:pPr>
      <w:r>
        <w:rPr>
          <w:rFonts w:hint="eastAsia" w:ascii="宋体" w:hAnsi="宋体" w:eastAsia="宋体" w:cs="宋体"/>
          <w:spacing w:val="-8"/>
          <w:szCs w:val="21"/>
        </w:rPr>
        <w:t>4.如上表中的有关费用投标人免费提供，请注明“免费”字样。</w:t>
      </w:r>
    </w:p>
    <w:p w14:paraId="767E5EED">
      <w:pPr>
        <w:spacing w:before="58" w:line="219" w:lineRule="auto"/>
        <w:ind w:left="8"/>
        <w:rPr>
          <w:rFonts w:ascii="宋体" w:hAnsi="宋体" w:eastAsia="宋体" w:cs="宋体"/>
          <w:spacing w:val="-8"/>
          <w:szCs w:val="21"/>
        </w:rPr>
      </w:pPr>
      <w:r>
        <w:rPr>
          <w:rFonts w:hint="eastAsia" w:ascii="宋体" w:hAnsi="宋体" w:eastAsia="宋体" w:cs="宋体"/>
          <w:spacing w:val="-8"/>
          <w:szCs w:val="21"/>
        </w:rPr>
        <w:t>5.该明细表所有信息均为必填项，不得删减，价格部分不得合并，可细化可增加。</w:t>
      </w:r>
    </w:p>
    <w:p w14:paraId="4757EF0C">
      <w:pPr>
        <w:spacing w:before="58" w:line="219" w:lineRule="auto"/>
        <w:ind w:left="8"/>
        <w:rPr>
          <w:rFonts w:hint="eastAsia" w:ascii="宋体" w:hAnsi="宋体" w:eastAsia="宋体" w:cs="宋体"/>
          <w:spacing w:val="-8"/>
          <w:szCs w:val="21"/>
        </w:rPr>
      </w:pPr>
      <w:r>
        <w:rPr>
          <w:rFonts w:hint="eastAsia" w:ascii="宋体" w:hAnsi="宋体" w:eastAsia="宋体" w:cs="宋体"/>
          <w:spacing w:val="-8"/>
          <w:szCs w:val="21"/>
        </w:rPr>
        <w:t>6.因填写不规范造成废标及终止招标的，责任由投标人自负。</w:t>
      </w:r>
    </w:p>
    <w:p w14:paraId="21AE942E">
      <w:pPr>
        <w:pStyle w:val="24"/>
        <w:rPr>
          <w:rFonts w:hint="eastAsia" w:ascii="宋体" w:hAnsi="宋体" w:eastAsia="宋体" w:cs="宋体"/>
          <w:spacing w:val="-6"/>
          <w:szCs w:val="21"/>
        </w:rPr>
      </w:pPr>
    </w:p>
    <w:p w14:paraId="6FF3A58E">
      <w:pPr>
        <w:pStyle w:val="24"/>
        <w:rPr>
          <w:rFonts w:hint="eastAsia" w:ascii="宋体" w:hAnsi="宋体" w:eastAsia="宋体" w:cs="宋体"/>
          <w:spacing w:val="-6"/>
          <w:szCs w:val="21"/>
        </w:rPr>
      </w:pPr>
    </w:p>
    <w:p w14:paraId="57AFB38A">
      <w:pPr>
        <w:pStyle w:val="24"/>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spacing w:val="-4"/>
          <w:sz w:val="24"/>
          <w:szCs w:val="24"/>
        </w:rPr>
        <w:t xml:space="preserve">投标人(章)：         </w:t>
      </w:r>
      <w:r>
        <w:rPr>
          <w:rFonts w:hint="eastAsia" w:ascii="宋体" w:hAnsi="宋体" w:eastAsia="宋体" w:cs="宋体"/>
          <w:spacing w:val="-4"/>
          <w:sz w:val="24"/>
          <w:szCs w:val="24"/>
          <w:lang w:val="en-US" w:eastAsia="zh-CN"/>
        </w:rPr>
        <w:t xml:space="preserve">     </w:t>
      </w:r>
      <w:r>
        <w:rPr>
          <w:rFonts w:hint="eastAsia" w:ascii="宋体" w:hAnsi="宋体" w:eastAsia="宋体" w:cs="宋体"/>
          <w:spacing w:val="-4"/>
          <w:sz w:val="24"/>
          <w:szCs w:val="24"/>
        </w:rPr>
        <w:t xml:space="preserve">   </w:t>
      </w: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3"/>
          <w:sz w:val="24"/>
          <w:szCs w:val="24"/>
          <w:lang w:val="en-US" w:eastAsia="zh-CN"/>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 xml:space="preserve">年   </w:t>
      </w:r>
      <w:r>
        <w:rPr>
          <w:rFonts w:hint="eastAsia" w:ascii="宋体" w:hAnsi="宋体" w:eastAsia="宋体" w:cs="宋体"/>
          <w:spacing w:val="-2"/>
          <w:sz w:val="24"/>
          <w:szCs w:val="24"/>
          <w:lang w:val="en-US" w:eastAsia="zh-CN"/>
        </w:rPr>
        <w:t>月   日</w:t>
      </w:r>
      <w:r>
        <w:rPr>
          <w:rFonts w:hint="eastAsia" w:ascii="宋体" w:hAnsi="宋体" w:eastAsia="宋体" w:cs="宋体"/>
          <w:spacing w:val="-2"/>
          <w:sz w:val="24"/>
          <w:szCs w:val="24"/>
        </w:rPr>
        <w:t xml:space="preserve"> </w:t>
      </w:r>
    </w:p>
    <w:p w14:paraId="595915F0">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附件10 商务条款偏离表</w:t>
      </w:r>
    </w:p>
    <w:p w14:paraId="62CF1874">
      <w:pPr>
        <w:rPr>
          <w:rFonts w:hint="default" w:ascii="Times New Roman" w:hAnsi="Times New Roman" w:eastAsia="宋体" w:cs="Times New Roman"/>
          <w:szCs w:val="20"/>
        </w:rPr>
      </w:pPr>
    </w:p>
    <w:tbl>
      <w:tblPr>
        <w:tblStyle w:val="48"/>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69B4B3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635F7F6">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14:paraId="47E3F2D2">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49C4458B">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响应规格</w:t>
            </w:r>
          </w:p>
        </w:tc>
        <w:tc>
          <w:tcPr>
            <w:tcW w:w="1645" w:type="dxa"/>
            <w:tcBorders>
              <w:top w:val="single" w:color="auto" w:sz="4" w:space="0"/>
              <w:left w:val="single" w:color="auto" w:sz="4" w:space="0"/>
              <w:bottom w:val="single" w:color="auto" w:sz="4" w:space="0"/>
            </w:tcBorders>
            <w:vAlign w:val="center"/>
          </w:tcPr>
          <w:p w14:paraId="4CCBE39B">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是否偏离</w:t>
            </w:r>
          </w:p>
          <w:p w14:paraId="6FC55776">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（提供说明）</w:t>
            </w:r>
          </w:p>
        </w:tc>
      </w:tr>
      <w:tr w14:paraId="56D2B4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420B4FF">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7A95A3EC">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48EFAAD7">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1717782">
            <w:pPr>
              <w:jc w:val="center"/>
              <w:rPr>
                <w:rFonts w:hint="default" w:ascii="Times New Roman" w:hAnsi="Times New Roman" w:eastAsia="宋体" w:cs="Times New Roman"/>
                <w:b/>
                <w:szCs w:val="20"/>
              </w:rPr>
            </w:pPr>
          </w:p>
        </w:tc>
      </w:tr>
      <w:tr w14:paraId="230DDA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3CBB3AA">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1D8D0116">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562DF38D">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7BC5BDE0">
            <w:pPr>
              <w:jc w:val="center"/>
              <w:rPr>
                <w:rFonts w:hint="default" w:ascii="Times New Roman" w:hAnsi="Times New Roman" w:eastAsia="宋体" w:cs="Times New Roman"/>
                <w:b/>
                <w:szCs w:val="21"/>
              </w:rPr>
            </w:pPr>
          </w:p>
        </w:tc>
      </w:tr>
      <w:tr w14:paraId="3D41D6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CEFFC4C">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03E2EF1C">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4835A37D">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ABD52C3">
            <w:pPr>
              <w:jc w:val="center"/>
              <w:rPr>
                <w:rFonts w:hint="default" w:ascii="Times New Roman" w:hAnsi="Times New Roman" w:eastAsia="宋体" w:cs="Times New Roman"/>
                <w:b/>
                <w:szCs w:val="20"/>
              </w:rPr>
            </w:pPr>
          </w:p>
        </w:tc>
      </w:tr>
      <w:tr w14:paraId="594FE9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57E0A55">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17FE603D">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689B37D0">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0A92E2C">
            <w:pPr>
              <w:jc w:val="center"/>
              <w:rPr>
                <w:rFonts w:hint="default" w:ascii="Times New Roman" w:hAnsi="Times New Roman" w:eastAsia="宋体" w:cs="Times New Roman"/>
                <w:b/>
                <w:szCs w:val="21"/>
              </w:rPr>
            </w:pPr>
          </w:p>
          <w:p w14:paraId="762D5774">
            <w:pPr>
              <w:jc w:val="center"/>
              <w:rPr>
                <w:rFonts w:hint="default" w:ascii="Times New Roman" w:hAnsi="Times New Roman" w:eastAsia="宋体" w:cs="Times New Roman"/>
                <w:b/>
                <w:szCs w:val="21"/>
              </w:rPr>
            </w:pPr>
          </w:p>
          <w:p w14:paraId="55D153DD">
            <w:pPr>
              <w:jc w:val="center"/>
              <w:rPr>
                <w:rFonts w:hint="default" w:ascii="Times New Roman" w:hAnsi="Times New Roman" w:eastAsia="宋体" w:cs="Times New Roman"/>
                <w:b/>
                <w:szCs w:val="21"/>
              </w:rPr>
            </w:pPr>
          </w:p>
          <w:p w14:paraId="767D941B">
            <w:pPr>
              <w:jc w:val="center"/>
              <w:rPr>
                <w:rFonts w:hint="default" w:ascii="Times New Roman" w:hAnsi="Times New Roman" w:eastAsia="宋体" w:cs="Times New Roman"/>
                <w:b/>
                <w:szCs w:val="21"/>
              </w:rPr>
            </w:pPr>
          </w:p>
          <w:p w14:paraId="1D982862">
            <w:pPr>
              <w:jc w:val="center"/>
              <w:rPr>
                <w:rFonts w:hint="default" w:ascii="Times New Roman" w:hAnsi="Times New Roman" w:eastAsia="宋体" w:cs="Times New Roman"/>
                <w:b/>
                <w:szCs w:val="21"/>
              </w:rPr>
            </w:pPr>
          </w:p>
          <w:p w14:paraId="65C56CF9">
            <w:pPr>
              <w:jc w:val="center"/>
              <w:rPr>
                <w:rFonts w:hint="default" w:ascii="Times New Roman" w:hAnsi="Times New Roman" w:eastAsia="宋体" w:cs="Times New Roman"/>
                <w:b/>
                <w:szCs w:val="21"/>
              </w:rPr>
            </w:pPr>
          </w:p>
          <w:p w14:paraId="52B961CB">
            <w:pPr>
              <w:jc w:val="center"/>
              <w:rPr>
                <w:rFonts w:hint="default" w:ascii="Times New Roman" w:hAnsi="Times New Roman" w:eastAsia="宋体" w:cs="Times New Roman"/>
                <w:b/>
                <w:szCs w:val="21"/>
              </w:rPr>
            </w:pPr>
          </w:p>
          <w:p w14:paraId="2001AA57">
            <w:pPr>
              <w:jc w:val="center"/>
              <w:rPr>
                <w:rFonts w:hint="default" w:ascii="Times New Roman" w:hAnsi="Times New Roman" w:eastAsia="宋体" w:cs="Times New Roman"/>
                <w:b/>
                <w:szCs w:val="21"/>
              </w:rPr>
            </w:pPr>
          </w:p>
          <w:p w14:paraId="0A63BED1">
            <w:pPr>
              <w:jc w:val="center"/>
              <w:rPr>
                <w:rFonts w:hint="default" w:ascii="Times New Roman" w:hAnsi="Times New Roman" w:eastAsia="宋体" w:cs="Times New Roman"/>
                <w:b/>
                <w:szCs w:val="21"/>
              </w:rPr>
            </w:pPr>
          </w:p>
          <w:p w14:paraId="1777C28C">
            <w:pPr>
              <w:jc w:val="center"/>
              <w:rPr>
                <w:rFonts w:hint="default" w:ascii="Times New Roman" w:hAnsi="Times New Roman" w:eastAsia="宋体" w:cs="Times New Roman"/>
                <w:b/>
                <w:szCs w:val="21"/>
              </w:rPr>
            </w:pPr>
          </w:p>
          <w:p w14:paraId="5852C175">
            <w:pPr>
              <w:jc w:val="center"/>
              <w:rPr>
                <w:rFonts w:hint="default" w:ascii="Times New Roman" w:hAnsi="Times New Roman" w:eastAsia="宋体" w:cs="Times New Roman"/>
                <w:b/>
                <w:szCs w:val="21"/>
              </w:rPr>
            </w:pPr>
          </w:p>
          <w:p w14:paraId="3E90AEEC">
            <w:pPr>
              <w:jc w:val="center"/>
              <w:rPr>
                <w:rFonts w:hint="default" w:ascii="Times New Roman" w:hAnsi="Times New Roman" w:eastAsia="宋体" w:cs="Times New Roman"/>
                <w:b/>
                <w:szCs w:val="21"/>
              </w:rPr>
            </w:pPr>
          </w:p>
          <w:p w14:paraId="2954BCCB">
            <w:pPr>
              <w:jc w:val="center"/>
              <w:rPr>
                <w:rFonts w:hint="default" w:ascii="Times New Roman" w:hAnsi="Times New Roman" w:eastAsia="宋体" w:cs="Times New Roman"/>
                <w:b/>
                <w:szCs w:val="21"/>
              </w:rPr>
            </w:pPr>
          </w:p>
          <w:p w14:paraId="0E103B21">
            <w:pPr>
              <w:jc w:val="center"/>
              <w:rPr>
                <w:rFonts w:hint="default" w:ascii="Times New Roman" w:hAnsi="Times New Roman" w:eastAsia="宋体" w:cs="Times New Roman"/>
                <w:b/>
                <w:szCs w:val="21"/>
              </w:rPr>
            </w:pPr>
          </w:p>
          <w:p w14:paraId="4B5D65EA">
            <w:pPr>
              <w:jc w:val="center"/>
              <w:rPr>
                <w:rFonts w:hint="default" w:ascii="Times New Roman" w:hAnsi="Times New Roman" w:eastAsia="宋体" w:cs="Times New Roman"/>
                <w:b/>
                <w:szCs w:val="21"/>
              </w:rPr>
            </w:pPr>
          </w:p>
          <w:p w14:paraId="22D68B91">
            <w:pPr>
              <w:jc w:val="center"/>
              <w:rPr>
                <w:rFonts w:hint="default" w:ascii="Times New Roman" w:hAnsi="Times New Roman" w:eastAsia="宋体" w:cs="Times New Roman"/>
                <w:b/>
                <w:szCs w:val="21"/>
              </w:rPr>
            </w:pPr>
          </w:p>
          <w:p w14:paraId="55FA956E">
            <w:pPr>
              <w:jc w:val="center"/>
              <w:rPr>
                <w:rFonts w:hint="default" w:ascii="Times New Roman" w:hAnsi="Times New Roman" w:eastAsia="宋体" w:cs="Times New Roman"/>
                <w:b/>
                <w:szCs w:val="20"/>
              </w:rPr>
            </w:pPr>
          </w:p>
        </w:tc>
      </w:tr>
      <w:tr w14:paraId="776D49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531D6FC">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38C59E8E">
            <w:pPr>
              <w:jc w:val="center"/>
              <w:rPr>
                <w:rFonts w:hint="default"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64C2CD5C">
            <w:pPr>
              <w:jc w:val="center"/>
              <w:rPr>
                <w:rFonts w:hint="default"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0F8B48A8">
            <w:pPr>
              <w:jc w:val="center"/>
              <w:rPr>
                <w:rFonts w:hint="default" w:ascii="Times New Roman" w:hAnsi="Times New Roman" w:eastAsia="宋体" w:cs="Times New Roman"/>
                <w:b/>
                <w:szCs w:val="20"/>
              </w:rPr>
            </w:pPr>
          </w:p>
        </w:tc>
      </w:tr>
    </w:tbl>
    <w:p w14:paraId="0E351098">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投标人名称：                   授权代表签字：            日期：</w:t>
      </w:r>
    </w:p>
    <w:p w14:paraId="35C0639C">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注：为避免歧义，无偏离也应要提报该表，并注明“无”字。如无该表则即使在其它部分已反映，将也被视为“无偏离”。</w:t>
      </w:r>
    </w:p>
    <w:p w14:paraId="3BAF9D2C">
      <w:pPr>
        <w:rPr>
          <w:rFonts w:hint="default" w:ascii="Times New Roman" w:hAnsi="Times New Roman" w:eastAsia="宋体" w:cs="Times New Roman"/>
          <w:szCs w:val="20"/>
        </w:rPr>
      </w:pPr>
    </w:p>
    <w:p w14:paraId="79F7C622">
      <w:pPr>
        <w:rPr>
          <w:rFonts w:hint="default" w:ascii="Times New Roman" w:hAnsi="Times New Roman" w:eastAsia="宋体" w:cs="Times New Roman"/>
          <w:b/>
          <w:bCs/>
          <w:color w:val="000000"/>
          <w:sz w:val="28"/>
          <w:szCs w:val="20"/>
        </w:rPr>
      </w:pPr>
    </w:p>
    <w:p w14:paraId="774D9662">
      <w:pPr>
        <w:rPr>
          <w:rFonts w:hint="default" w:ascii="Times New Roman" w:hAnsi="Times New Roman" w:cs="Times New Roman"/>
        </w:rPr>
        <w:sectPr>
          <w:headerReference r:id="rId15" w:type="default"/>
          <w:footerReference r:id="rId16"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6A521D3E">
      <w:pPr>
        <w:spacing w:before="110" w:line="227" w:lineRule="auto"/>
        <w:ind w:left="29"/>
        <w:outlineLvl w:val="1"/>
        <w:rPr>
          <w:rFonts w:hint="default" w:ascii="Times New Roman" w:hAnsi="Times New Roman" w:eastAsia="宋体" w:cs="Times New Roman"/>
          <w:sz w:val="24"/>
          <w:szCs w:val="24"/>
        </w:rPr>
      </w:pPr>
      <w:r>
        <w:rPr>
          <w:rFonts w:hint="default" w:ascii="Times New Roman" w:hAnsi="Times New Roman" w:eastAsia="宋体" w:cs="Times New Roman"/>
          <w:b/>
          <w:bCs/>
          <w:color w:val="000000"/>
          <w:sz w:val="24"/>
          <w:szCs w:val="24"/>
        </w:rPr>
        <w:t>附件11 投标人承诺</w:t>
      </w:r>
    </w:p>
    <w:p w14:paraId="1BB19B2F">
      <w:pPr>
        <w:spacing w:line="272" w:lineRule="auto"/>
        <w:rPr>
          <w:rFonts w:hint="default" w:ascii="Times New Roman" w:hAnsi="Times New Roman" w:cs="Times New Roman"/>
        </w:rPr>
      </w:pPr>
    </w:p>
    <w:p w14:paraId="21620BFA">
      <w:pPr>
        <w:spacing w:before="75" w:line="228" w:lineRule="auto"/>
        <w:ind w:left="134"/>
        <w:rPr>
          <w:rFonts w:hint="default" w:ascii="Times New Roman" w:hAnsi="Times New Roman" w:eastAsia="宋体" w:cs="Times New Roman"/>
          <w:sz w:val="24"/>
          <w:szCs w:val="24"/>
        </w:rPr>
      </w:pPr>
      <w:r>
        <w:rPr>
          <w:rFonts w:hint="default" w:ascii="Times New Roman" w:hAnsi="Times New Roman" w:eastAsia="宋体" w:cs="Times New Roman"/>
          <w:spacing w:val="-10"/>
          <w:sz w:val="24"/>
          <w:szCs w:val="24"/>
        </w:rPr>
        <w:t>项</w:t>
      </w:r>
      <w:r>
        <w:rPr>
          <w:rFonts w:hint="default" w:ascii="Times New Roman" w:hAnsi="Times New Roman" w:eastAsia="宋体" w:cs="Times New Roman"/>
          <w:spacing w:val="-9"/>
          <w:sz w:val="24"/>
          <w:szCs w:val="24"/>
        </w:rPr>
        <w:t>目</w:t>
      </w:r>
      <w:r>
        <w:rPr>
          <w:rFonts w:hint="default" w:ascii="Times New Roman" w:hAnsi="Times New Roman" w:eastAsia="宋体" w:cs="Times New Roman"/>
          <w:spacing w:val="-5"/>
          <w:sz w:val="24"/>
          <w:szCs w:val="24"/>
        </w:rPr>
        <w:t>名称：</w:t>
      </w:r>
      <w:r>
        <w:rPr>
          <w:rFonts w:hint="default" w:ascii="Times New Roman" w:hAnsi="Times New Roman" w:eastAsia="宋体" w:cs="Times New Roman"/>
          <w:spacing w:val="-5"/>
          <w:sz w:val="24"/>
          <w:szCs w:val="24"/>
          <w:u w:val="single"/>
        </w:rPr>
        <w:t xml:space="preserve"> </w:t>
      </w:r>
      <w:r>
        <w:rPr>
          <w:rFonts w:hint="eastAsia" w:cs="Times New Roman"/>
          <w:b w:val="0"/>
          <w:bCs w:val="0"/>
          <w:color w:val="000000"/>
          <w:sz w:val="24"/>
          <w:szCs w:val="24"/>
          <w:u w:val="single"/>
          <w:lang w:val="en-US" w:eastAsia="zh-CN"/>
        </w:rPr>
        <w:t>6300T、3150T热模锻生产线搬迁复产项目-新增石墨废水预处理站</w:t>
      </w:r>
      <w:r>
        <w:rPr>
          <w:rFonts w:hint="default" w:ascii="Times New Roman" w:hAnsi="Times New Roman" w:eastAsia="宋体" w:cs="Times New Roman"/>
          <w:b w:val="0"/>
          <w:bCs w:val="0"/>
          <w:spacing w:val="-5"/>
          <w:sz w:val="24"/>
          <w:szCs w:val="24"/>
          <w:u w:val="single"/>
        </w:rPr>
        <w:t xml:space="preserve">  </w:t>
      </w:r>
    </w:p>
    <w:p w14:paraId="0A698CA0">
      <w:pPr>
        <w:spacing w:before="306" w:line="227" w:lineRule="auto"/>
        <w:ind w:left="205"/>
        <w:rPr>
          <w:rFonts w:hint="default" w:ascii="Times New Roman" w:hAnsi="Times New Roman" w:eastAsia="宋体" w:cs="Times New Roman"/>
          <w:sz w:val="24"/>
          <w:szCs w:val="24"/>
        </w:rPr>
      </w:pPr>
      <w:r>
        <w:rPr>
          <w:rFonts w:hint="default" w:ascii="Times New Roman" w:hAnsi="Times New Roman" w:eastAsia="宋体" w:cs="Times New Roman"/>
          <w:spacing w:val="-4"/>
          <w:sz w:val="24"/>
          <w:szCs w:val="24"/>
        </w:rPr>
        <w:t xml:space="preserve">日期： </w:t>
      </w:r>
      <w:r>
        <w:rPr>
          <w:rFonts w:hint="default" w:ascii="Times New Roman" w:hAnsi="Times New Roman" w:eastAsia="宋体" w:cs="Times New Roman"/>
          <w:spacing w:val="-2"/>
          <w:sz w:val="24"/>
          <w:szCs w:val="24"/>
        </w:rPr>
        <w:t xml:space="preserve">   年   月   日</w:t>
      </w:r>
    </w:p>
    <w:p w14:paraId="5CA0E523">
      <w:pPr>
        <w:rPr>
          <w:rFonts w:hint="default" w:ascii="Times New Roman" w:hAnsi="Times New Roman" w:cs="Times New Roman"/>
        </w:rPr>
      </w:pPr>
    </w:p>
    <w:p w14:paraId="36F67B9E">
      <w:pPr>
        <w:spacing w:line="109" w:lineRule="exact"/>
        <w:rPr>
          <w:rFonts w:hint="default" w:ascii="Times New Roman" w:hAnsi="Times New Roman" w:cs="Times New Roman"/>
        </w:rPr>
      </w:pPr>
    </w:p>
    <w:tbl>
      <w:tblPr>
        <w:tblStyle w:val="232"/>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4867A8BD">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7107A811">
            <w:pPr>
              <w:spacing w:before="52" w:line="227" w:lineRule="auto"/>
              <w:ind w:left="128"/>
              <w:rPr>
                <w:rFonts w:hint="default" w:ascii="Times New Roman" w:hAnsi="Times New Roman" w:eastAsia="宋体" w:cs="Times New Roman"/>
                <w:sz w:val="24"/>
                <w:szCs w:val="24"/>
              </w:rPr>
            </w:pPr>
            <w:r>
              <w:rPr>
                <w:rFonts w:hint="default" w:ascii="Times New Roman" w:hAnsi="Times New Roman" w:eastAsia="宋体" w:cs="Times New Roman"/>
                <w:spacing w:val="5"/>
                <w:sz w:val="24"/>
                <w:szCs w:val="24"/>
              </w:rPr>
              <w:t>投</w:t>
            </w:r>
            <w:r>
              <w:rPr>
                <w:rFonts w:hint="default" w:ascii="Times New Roman" w:hAnsi="Times New Roman" w:eastAsia="宋体" w:cs="Times New Roman"/>
                <w:spacing w:val="3"/>
                <w:sz w:val="24"/>
                <w:szCs w:val="24"/>
              </w:rPr>
              <w:t>标人承诺：</w:t>
            </w:r>
          </w:p>
          <w:p w14:paraId="1F7CF5EE">
            <w:pPr>
              <w:spacing w:before="48" w:line="391" w:lineRule="auto"/>
              <w:ind w:left="125" w:right="115" w:firstLine="491"/>
              <w:rPr>
                <w:rFonts w:hint="default" w:ascii="Times New Roman" w:hAnsi="Times New Roman" w:eastAsia="宋体" w:cs="Times New Roman"/>
                <w:sz w:val="23"/>
                <w:szCs w:val="23"/>
              </w:rPr>
            </w:pPr>
            <w:r>
              <w:rPr>
                <w:rFonts w:hint="default" w:ascii="Times New Roman" w:hAnsi="Times New Roman" w:eastAsia="宋体" w:cs="Times New Roman"/>
                <w:spacing w:val="38"/>
                <w:sz w:val="24"/>
                <w:szCs w:val="24"/>
              </w:rPr>
              <w:t>我</w:t>
            </w:r>
            <w:r>
              <w:rPr>
                <w:rFonts w:hint="default" w:ascii="Times New Roman" w:hAnsi="Times New Roman" w:eastAsia="宋体" w:cs="Times New Roman"/>
                <w:spacing w:val="21"/>
                <w:sz w:val="24"/>
                <w:szCs w:val="24"/>
              </w:rPr>
              <w:t>公司承诺遵守贵公司由于招标人公司政策变化引起的随时终止项目的要求并</w:t>
            </w:r>
            <w:r>
              <w:rPr>
                <w:rFonts w:hint="default" w:ascii="Times New Roman" w:hAnsi="Times New Roman" w:eastAsia="宋体" w:cs="Times New Roman"/>
                <w:spacing w:val="12"/>
                <w:sz w:val="24"/>
                <w:szCs w:val="24"/>
              </w:rPr>
              <w:t>承</w:t>
            </w:r>
            <w:r>
              <w:rPr>
                <w:rFonts w:hint="default" w:ascii="Times New Roman" w:hAnsi="Times New Roman" w:eastAsia="宋体" w:cs="Times New Roman"/>
                <w:spacing w:val="6"/>
                <w:sz w:val="24"/>
                <w:szCs w:val="24"/>
              </w:rPr>
              <w:t>担由此带来的一切损失</w:t>
            </w:r>
            <w:r>
              <w:rPr>
                <w:rFonts w:hint="default" w:ascii="Times New Roman" w:hAnsi="Times New Roman" w:eastAsia="宋体" w:cs="Times New Roman"/>
                <w:spacing w:val="6"/>
                <w:sz w:val="23"/>
                <w:szCs w:val="23"/>
              </w:rPr>
              <w:t>。</w:t>
            </w:r>
          </w:p>
        </w:tc>
      </w:tr>
    </w:tbl>
    <w:p w14:paraId="377BC33A">
      <w:pPr>
        <w:keepNext/>
        <w:keepLines/>
        <w:rPr>
          <w:rFonts w:hint="default" w:ascii="Times New Roman" w:hAnsi="Times New Roman" w:eastAsia="宋体" w:cs="Times New Roman"/>
          <w:b/>
          <w:bCs/>
          <w:color w:val="000000"/>
          <w:sz w:val="24"/>
          <w:szCs w:val="24"/>
        </w:rPr>
      </w:pPr>
    </w:p>
    <w:p w14:paraId="01ACC731">
      <w:pPr>
        <w:spacing w:before="75" w:line="227" w:lineRule="auto"/>
        <w:ind w:left="135"/>
        <w:rPr>
          <w:rFonts w:hint="default" w:ascii="Times New Roman" w:hAnsi="Times New Roman" w:eastAsia="宋体" w:cs="Times New Roman"/>
          <w:spacing w:val="-2"/>
          <w:sz w:val="24"/>
          <w:szCs w:val="24"/>
        </w:rPr>
      </w:pPr>
    </w:p>
    <w:p w14:paraId="657F7E16">
      <w:pPr>
        <w:spacing w:before="75" w:line="227" w:lineRule="auto"/>
        <w:ind w:left="135"/>
        <w:rPr>
          <w:rFonts w:hint="default" w:ascii="Times New Roman" w:hAnsi="Times New Roman" w:eastAsia="宋体" w:cs="Times New Roman"/>
          <w:spacing w:val="-2"/>
          <w:sz w:val="24"/>
          <w:szCs w:val="24"/>
        </w:rPr>
      </w:pPr>
    </w:p>
    <w:p w14:paraId="356BFED0">
      <w:pPr>
        <w:spacing w:before="75" w:line="227" w:lineRule="auto"/>
        <w:ind w:left="135"/>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投标人名称 (盖章)：                法定代表人或授权代表(签字</w:t>
      </w:r>
      <w:r>
        <w:rPr>
          <w:rFonts w:hint="default" w:ascii="Times New Roman" w:hAnsi="Times New Roman" w:eastAsia="宋体" w:cs="Times New Roman"/>
          <w:sz w:val="24"/>
          <w:szCs w:val="24"/>
        </w:rPr>
        <w:t>)：</w:t>
      </w:r>
    </w:p>
    <w:p w14:paraId="77A40BAB">
      <w:pPr>
        <w:rPr>
          <w:rFonts w:hint="default" w:ascii="Times New Roman" w:hAnsi="Times New Roman" w:cs="Times New Roman"/>
        </w:rPr>
        <w:sectPr>
          <w:footerReference r:id="rId17" w:type="default"/>
          <w:pgSz w:w="11906" w:h="16839"/>
          <w:pgMar w:top="1431" w:right="1417" w:bottom="1179" w:left="1304" w:header="850" w:footer="992" w:gutter="0"/>
          <w:pgBorders>
            <w:top w:val="none" w:sz="0" w:space="0"/>
            <w:left w:val="none" w:sz="0" w:space="0"/>
            <w:bottom w:val="none" w:sz="0" w:space="0"/>
            <w:right w:val="none" w:sz="0" w:space="0"/>
          </w:pgBorders>
          <w:cols w:space="720" w:num="1"/>
        </w:sectPr>
      </w:pPr>
    </w:p>
    <w:p w14:paraId="143E67EA">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附件12 服务承诺函</w:t>
      </w:r>
    </w:p>
    <w:p w14:paraId="2F8FB55D">
      <w:pPr>
        <w:spacing w:line="240" w:lineRule="exact"/>
        <w:jc w:val="center"/>
        <w:rPr>
          <w:rFonts w:hint="default" w:ascii="Times New Roman" w:hAnsi="Times New Roman" w:eastAsia="宋体" w:cs="Times New Roman"/>
          <w:b/>
          <w:bCs/>
          <w:sz w:val="36"/>
          <w:szCs w:val="20"/>
        </w:rPr>
      </w:pPr>
    </w:p>
    <w:p w14:paraId="5B50677E">
      <w:pPr>
        <w:spacing w:line="360" w:lineRule="auto"/>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rPr>
        <w:t>项目名称：</w:t>
      </w:r>
      <w:r>
        <w:rPr>
          <w:rFonts w:hint="eastAsia" w:cs="Times New Roman"/>
          <w:b w:val="0"/>
          <w:bCs w:val="0"/>
          <w:color w:val="000000"/>
          <w:sz w:val="24"/>
          <w:szCs w:val="24"/>
          <w:u w:val="single"/>
          <w:lang w:val="en-US" w:eastAsia="zh-CN"/>
        </w:rPr>
        <w:t>6300T、3150T热模锻生产线搬迁复产项目-新增石墨废水预处理站</w:t>
      </w:r>
      <w:r>
        <w:rPr>
          <w:rFonts w:hint="default" w:ascii="Times New Roman" w:hAnsi="Times New Roman" w:eastAsia="宋体" w:cs="Times New Roman"/>
          <w:b w:val="0"/>
          <w:bCs w:val="0"/>
          <w:sz w:val="24"/>
          <w:szCs w:val="20"/>
          <w:u w:val="single"/>
        </w:rPr>
        <w:t xml:space="preserve"> </w:t>
      </w:r>
      <w:r>
        <w:rPr>
          <w:rFonts w:hint="default" w:ascii="Times New Roman" w:hAnsi="Times New Roman" w:eastAsia="宋体" w:cs="Times New Roman"/>
          <w:sz w:val="24"/>
          <w:szCs w:val="20"/>
          <w:u w:val="single"/>
        </w:rPr>
        <w:t xml:space="preserve"> </w:t>
      </w:r>
    </w:p>
    <w:p w14:paraId="402EE691">
      <w:pPr>
        <w:spacing w:line="360" w:lineRule="auto"/>
        <w:rPr>
          <w:rFonts w:hint="default" w:ascii="Times New Roman" w:hAnsi="Times New Roman" w:eastAsia="宋体" w:cs="Times New Roman"/>
          <w:b/>
          <w:bCs/>
          <w:sz w:val="24"/>
          <w:szCs w:val="20"/>
        </w:rPr>
      </w:pPr>
      <w:r>
        <w:rPr>
          <w:rFonts w:hint="eastAsia" w:ascii="Times New Roman" w:hAnsi="Times New Roman" w:eastAsia="宋体" w:cs="Times New Roman"/>
          <w:b/>
          <w:bCs/>
          <w:sz w:val="24"/>
          <w:szCs w:val="20"/>
          <w:lang w:eastAsia="zh-CN"/>
        </w:rPr>
        <w:t>中国重汽集团济南动力有限公司</w:t>
      </w:r>
      <w:r>
        <w:rPr>
          <w:rFonts w:hint="default" w:ascii="Times New Roman" w:hAnsi="Times New Roman" w:eastAsia="宋体" w:cs="Times New Roman"/>
          <w:b/>
          <w:bCs/>
          <w:sz w:val="24"/>
          <w:szCs w:val="20"/>
        </w:rPr>
        <w:t>：</w:t>
      </w:r>
    </w:p>
    <w:p w14:paraId="73FE74F9">
      <w:pPr>
        <w:spacing w:line="360" w:lineRule="auto"/>
        <w:ind w:firstLine="48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我代表（投标单位名称）对中标合同产品的服务作如下承诺：</w:t>
      </w:r>
    </w:p>
    <w:p w14:paraId="134F3F9D">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0636844A">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14E3948A">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2ACF60E3">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5CAF5621">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1C7F9C34">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04288A3B">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37FABE0C">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6CF92347">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0BDC39FD">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15D530C8">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26800617">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713175B7">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624C7F95">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31D7A464">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691E683C">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1C2E3CA8">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6AC66982">
      <w:pPr>
        <w:spacing w:line="360" w:lineRule="auto"/>
        <w:ind w:firstLine="480" w:firstLineChars="200"/>
        <w:rPr>
          <w:rFonts w:hint="default" w:ascii="Times New Roman" w:hAnsi="Times New Roman" w:eastAsia="宋体" w:cs="Times New Roman"/>
          <w:sz w:val="24"/>
          <w:szCs w:val="20"/>
          <w:u w:val="single"/>
        </w:rPr>
      </w:pPr>
    </w:p>
    <w:p w14:paraId="3726CF65">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投标人：（盖章）</w:t>
      </w:r>
    </w:p>
    <w:p w14:paraId="08EDCD7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法定代表人（委托代理人）：（签字）</w:t>
      </w:r>
    </w:p>
    <w:p w14:paraId="208C7BBA">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日  期：       年    月    日</w:t>
      </w:r>
    </w:p>
    <w:p w14:paraId="7D120430">
      <w:pPr>
        <w:rPr>
          <w:rFonts w:hint="default" w:ascii="Times New Roman" w:hAnsi="Times New Roman" w:eastAsia="宋体" w:cs="Times New Roman"/>
          <w:b/>
          <w:bCs/>
          <w:color w:val="000000"/>
          <w:sz w:val="28"/>
          <w:szCs w:val="20"/>
        </w:rPr>
      </w:pPr>
    </w:p>
    <w:p w14:paraId="002B8147">
      <w:pPr>
        <w:pStyle w:val="24"/>
        <w:rPr>
          <w:rFonts w:hint="default" w:ascii="Times New Roman" w:hAnsi="Times New Roman" w:eastAsia="宋体" w:cs="Times New Roman"/>
          <w:b/>
          <w:bCs/>
          <w:color w:val="000000"/>
          <w:sz w:val="28"/>
          <w:szCs w:val="20"/>
        </w:rPr>
      </w:pPr>
    </w:p>
    <w:p w14:paraId="3CDAB332">
      <w:pPr>
        <w:rPr>
          <w:rFonts w:hint="default" w:ascii="Times New Roman" w:hAnsi="Times New Roman" w:eastAsia="宋体" w:cs="Times New Roman"/>
          <w:b/>
          <w:bCs/>
          <w:color w:val="000000"/>
          <w:sz w:val="28"/>
          <w:szCs w:val="20"/>
        </w:rPr>
      </w:pPr>
    </w:p>
    <w:p w14:paraId="21685092">
      <w:pPr>
        <w:outlineLvl w:val="1"/>
        <w:rPr>
          <w:rFonts w:hint="default" w:ascii="Times New Roman" w:hAnsi="Times New Roman" w:eastAsia="宋体" w:cs="Times New Roman"/>
          <w:szCs w:val="20"/>
        </w:rPr>
      </w:pPr>
      <w:r>
        <w:rPr>
          <w:rFonts w:hint="default" w:ascii="Times New Roman" w:hAnsi="Times New Roman" w:eastAsia="宋体" w:cs="Times New Roman"/>
          <w:szCs w:val="20"/>
        </w:rPr>
        <w:br w:type="page"/>
      </w:r>
      <w:r>
        <w:rPr>
          <w:rFonts w:hint="default" w:ascii="Times New Roman" w:hAnsi="Times New Roman" w:eastAsia="宋体" w:cs="Times New Roman"/>
          <w:b/>
          <w:bCs/>
          <w:color w:val="000000"/>
          <w:sz w:val="24"/>
          <w:szCs w:val="24"/>
        </w:rPr>
        <w:t>附件13 投标文件封面及封口格式</w:t>
      </w:r>
    </w:p>
    <w:p w14:paraId="2098D705">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封面格式：</w:t>
      </w:r>
    </w:p>
    <w:tbl>
      <w:tblPr>
        <w:tblStyle w:val="48"/>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658B1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774A57D4">
            <w:pPr>
              <w:jc w:val="center"/>
              <w:rPr>
                <w:rFonts w:hint="default" w:ascii="Times New Roman" w:hAnsi="Times New Roman" w:eastAsia="宋体" w:cs="Times New Roman"/>
                <w:b/>
                <w:szCs w:val="20"/>
              </w:rPr>
            </w:pPr>
          </w:p>
          <w:p w14:paraId="45A78905">
            <w:pPr>
              <w:jc w:val="center"/>
              <w:rPr>
                <w:rFonts w:hint="default" w:ascii="Times New Roman" w:hAnsi="Times New Roman" w:eastAsia="宋体" w:cs="Times New Roman"/>
                <w:b/>
                <w:sz w:val="30"/>
                <w:szCs w:val="30"/>
              </w:rPr>
            </w:pPr>
            <w:r>
              <w:rPr>
                <w:rFonts w:hint="default" w:ascii="Times New Roman" w:hAnsi="Times New Roman" w:eastAsia="宋体" w:cs="Times New Roman"/>
                <w:b/>
                <w:sz w:val="30"/>
                <w:szCs w:val="30"/>
              </w:rPr>
              <w:t>技术/资质/商务文件</w:t>
            </w:r>
          </w:p>
          <w:p w14:paraId="24D31FF6">
            <w:pPr>
              <w:rPr>
                <w:rFonts w:hint="default" w:ascii="Times New Roman" w:hAnsi="Times New Roman" w:eastAsia="等线" w:cs="Times New Roman"/>
                <w:b/>
                <w:sz w:val="30"/>
                <w:szCs w:val="30"/>
              </w:rPr>
            </w:pPr>
          </w:p>
          <w:p w14:paraId="01A87452">
            <w:pPr>
              <w:jc w:val="center"/>
              <w:rPr>
                <w:rFonts w:hint="default" w:ascii="Times New Roman" w:hAnsi="Times New Roman" w:eastAsia="宋体" w:cs="Times New Roman"/>
                <w:b/>
                <w:sz w:val="30"/>
                <w:szCs w:val="30"/>
              </w:rPr>
            </w:pPr>
            <w:r>
              <w:rPr>
                <w:rFonts w:hint="default" w:ascii="Times New Roman" w:hAnsi="Times New Roman" w:eastAsia="宋体" w:cs="Times New Roman"/>
                <w:b/>
                <w:sz w:val="30"/>
                <w:szCs w:val="30"/>
              </w:rPr>
              <w:t>（</w:t>
            </w:r>
            <w:r>
              <w:rPr>
                <w:rFonts w:hint="default" w:ascii="Times New Roman" w:hAnsi="Times New Roman" w:eastAsia="等线" w:cs="Times New Roman"/>
                <w:b/>
                <w:sz w:val="30"/>
                <w:szCs w:val="30"/>
              </w:rPr>
              <w:t>1</w:t>
            </w:r>
            <w:r>
              <w:rPr>
                <w:rFonts w:hint="default" w:ascii="Times New Roman" w:hAnsi="Times New Roman" w:eastAsia="宋体" w:cs="Times New Roman"/>
                <w:b/>
                <w:sz w:val="30"/>
                <w:szCs w:val="30"/>
              </w:rPr>
              <w:t>正本）</w:t>
            </w:r>
          </w:p>
          <w:p w14:paraId="79A8DF51">
            <w:pPr>
              <w:jc w:val="center"/>
              <w:rPr>
                <w:rFonts w:hint="default" w:ascii="Times New Roman" w:hAnsi="Times New Roman" w:eastAsia="宋体" w:cs="Times New Roman"/>
                <w:b/>
                <w:szCs w:val="20"/>
              </w:rPr>
            </w:pPr>
          </w:p>
          <w:p w14:paraId="230B535F">
            <w:pPr>
              <w:jc w:val="center"/>
              <w:rPr>
                <w:rFonts w:hint="default" w:ascii="Times New Roman" w:hAnsi="Times New Roman" w:eastAsia="宋体" w:cs="Times New Roman"/>
                <w:b/>
                <w:szCs w:val="20"/>
              </w:rPr>
            </w:pPr>
          </w:p>
          <w:p w14:paraId="7288C55F">
            <w:pPr>
              <w:jc w:val="center"/>
              <w:rPr>
                <w:rFonts w:hint="eastAsia" w:ascii="Times New Roman" w:hAnsi="Times New Roman" w:eastAsia="宋体" w:cs="Times New Roman"/>
                <w:b/>
                <w:szCs w:val="20"/>
                <w:lang w:eastAsia="zh-CN"/>
              </w:rPr>
            </w:pPr>
            <w:r>
              <w:rPr>
                <w:rFonts w:hint="default" w:ascii="Times New Roman" w:hAnsi="Times New Roman" w:eastAsia="宋体" w:cs="Times New Roman"/>
                <w:b/>
                <w:szCs w:val="20"/>
              </w:rPr>
              <w:t>项目名称：</w:t>
            </w:r>
            <w:r>
              <w:rPr>
                <w:rFonts w:hint="eastAsia" w:cs="Times New Roman"/>
                <w:b/>
                <w:szCs w:val="20"/>
                <w:lang w:val="en-US" w:eastAsia="zh-CN"/>
              </w:rPr>
              <w:t>6300T、3150T热模锻生产线搬迁复产项目-新增石墨废水预处理站</w:t>
            </w:r>
          </w:p>
          <w:p w14:paraId="1A2A008A">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投标人名称（公章）：</w:t>
            </w:r>
          </w:p>
          <w:p w14:paraId="5F61047E">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地址：</w:t>
            </w:r>
          </w:p>
          <w:p w14:paraId="594F8077">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授权代表电话：</w:t>
            </w:r>
          </w:p>
          <w:p w14:paraId="4C581DFE">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传真：</w:t>
            </w:r>
          </w:p>
          <w:p w14:paraId="1A48B157">
            <w:pPr>
              <w:jc w:val="center"/>
              <w:rPr>
                <w:rFonts w:hint="default" w:ascii="Times New Roman" w:hAnsi="Times New Roman" w:eastAsia="宋体" w:cs="Times New Roman"/>
                <w:b/>
                <w:szCs w:val="20"/>
              </w:rPr>
            </w:pPr>
          </w:p>
          <w:p w14:paraId="697871FD">
            <w:pPr>
              <w:jc w:val="center"/>
              <w:rPr>
                <w:rFonts w:hint="default" w:ascii="Times New Roman" w:hAnsi="Times New Roman" w:eastAsia="宋体" w:cs="Times New Roman"/>
                <w:b/>
                <w:szCs w:val="20"/>
              </w:rPr>
            </w:pPr>
          </w:p>
        </w:tc>
      </w:tr>
    </w:tbl>
    <w:p w14:paraId="0E1F5E7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投标人名称：                   授权代表签字：                  日期：</w:t>
      </w:r>
    </w:p>
    <w:p w14:paraId="3E2A0743">
      <w:pPr>
        <w:rPr>
          <w:rFonts w:hint="default" w:ascii="Times New Roman" w:hAnsi="Times New Roman" w:cs="Times New Roman"/>
          <w:sz w:val="20"/>
          <w:szCs w:val="20"/>
        </w:rPr>
      </w:pPr>
      <w:r>
        <w:rPr>
          <w:rFonts w:hint="default" w:ascii="Times New Roman" w:hAnsi="Times New Roman" w:eastAsia="宋体" w:cs="Times New Roman"/>
          <w:color w:val="000000"/>
          <w:sz w:val="24"/>
          <w:szCs w:val="24"/>
        </w:rPr>
        <w:br w:type="page"/>
      </w:r>
    </w:p>
    <w:p w14:paraId="654402DE">
      <w:pPr>
        <w:outlineLvl w:val="2"/>
        <w:rPr>
          <w:rFonts w:ascii="Times New Roman" w:hAnsi="Times New Roman" w:eastAsia="宋体" w:cs="Times New Roman"/>
          <w:b/>
          <w:bCs/>
          <w:color w:val="000000"/>
          <w:sz w:val="24"/>
          <w:highlight w:val="none"/>
        </w:rPr>
      </w:pPr>
      <w:r>
        <w:rPr>
          <w:rFonts w:hint="eastAsia" w:ascii="Times New Roman" w:hAnsi="Times New Roman" w:eastAsia="宋体" w:cs="Times New Roman"/>
          <w:b/>
          <w:bCs/>
          <w:color w:val="000000"/>
          <w:sz w:val="24"/>
          <w:highlight w:val="none"/>
        </w:rPr>
        <w:t>附件14技术标评分标准</w:t>
      </w:r>
    </w:p>
    <w:tbl>
      <w:tblPr>
        <w:tblStyle w:val="48"/>
        <w:tblW w:w="101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600"/>
        <w:gridCol w:w="603"/>
        <w:gridCol w:w="2757"/>
        <w:gridCol w:w="580"/>
        <w:gridCol w:w="4910"/>
      </w:tblGrid>
      <w:tr w14:paraId="19818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718" w:type="dxa"/>
            <w:vAlign w:val="center"/>
          </w:tcPr>
          <w:p w14:paraId="228C33DB">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评价类型</w:t>
            </w:r>
          </w:p>
        </w:tc>
        <w:tc>
          <w:tcPr>
            <w:tcW w:w="600" w:type="dxa"/>
            <w:vAlign w:val="center"/>
          </w:tcPr>
          <w:p w14:paraId="223A4113">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评审内容</w:t>
            </w:r>
          </w:p>
        </w:tc>
        <w:tc>
          <w:tcPr>
            <w:tcW w:w="603" w:type="dxa"/>
            <w:vAlign w:val="center"/>
          </w:tcPr>
          <w:p w14:paraId="052EE43B">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序号</w:t>
            </w:r>
          </w:p>
        </w:tc>
        <w:tc>
          <w:tcPr>
            <w:tcW w:w="2757" w:type="dxa"/>
            <w:vAlign w:val="center"/>
          </w:tcPr>
          <w:p w14:paraId="25D000FC">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内</w:t>
            </w:r>
            <w:r>
              <w:rPr>
                <w:rFonts w:ascii="宋体" w:hAnsi="宋体" w:cs="Times New Roman"/>
                <w:b/>
                <w:sz w:val="18"/>
                <w:szCs w:val="18"/>
                <w:highlight w:val="none"/>
              </w:rPr>
              <w:t xml:space="preserve">   </w:t>
            </w:r>
            <w:r>
              <w:rPr>
                <w:rFonts w:hint="eastAsia" w:ascii="宋体" w:hAnsi="宋体" w:cs="Times New Roman"/>
                <w:b/>
                <w:sz w:val="18"/>
                <w:szCs w:val="18"/>
                <w:highlight w:val="none"/>
              </w:rPr>
              <w:t>容</w:t>
            </w:r>
          </w:p>
        </w:tc>
        <w:tc>
          <w:tcPr>
            <w:tcW w:w="580" w:type="dxa"/>
            <w:vAlign w:val="center"/>
          </w:tcPr>
          <w:p w14:paraId="0746C114">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标准分</w:t>
            </w:r>
          </w:p>
        </w:tc>
        <w:tc>
          <w:tcPr>
            <w:tcW w:w="4910" w:type="dxa"/>
            <w:vAlign w:val="center"/>
          </w:tcPr>
          <w:p w14:paraId="7E96341A">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评分标准</w:t>
            </w:r>
          </w:p>
        </w:tc>
      </w:tr>
      <w:tr w14:paraId="07DE7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8" w:type="dxa"/>
            <w:vMerge w:val="restart"/>
            <w:vAlign w:val="center"/>
          </w:tcPr>
          <w:p w14:paraId="643ADD5A">
            <w:pPr>
              <w:tabs>
                <w:tab w:val="left" w:pos="13965"/>
              </w:tabs>
              <w:jc w:val="center"/>
              <w:rPr>
                <w:rFonts w:ascii="宋体" w:hAnsi="宋体" w:eastAsia="等线" w:cs="Times New Roman"/>
                <w:b/>
                <w:bCs/>
                <w:sz w:val="18"/>
                <w:szCs w:val="18"/>
                <w:highlight w:val="none"/>
              </w:rPr>
            </w:pPr>
            <w:r>
              <w:rPr>
                <w:rFonts w:hint="eastAsia" w:ascii="宋体" w:hAnsi="宋体" w:cs="Times New Roman"/>
                <w:b/>
                <w:bCs/>
                <w:sz w:val="18"/>
                <w:szCs w:val="18"/>
                <w:highlight w:val="none"/>
              </w:rPr>
              <w:t>技术标</w:t>
            </w:r>
          </w:p>
          <w:p w14:paraId="3A7507E9">
            <w:pPr>
              <w:tabs>
                <w:tab w:val="left" w:pos="13965"/>
              </w:tabs>
              <w:rPr>
                <w:rFonts w:ascii="宋体" w:hAnsi="宋体" w:cs="Times New Roman"/>
                <w:sz w:val="18"/>
                <w:szCs w:val="18"/>
                <w:highlight w:val="none"/>
              </w:rPr>
            </w:pPr>
            <w:r>
              <w:rPr>
                <w:rFonts w:ascii="宋体" w:hAnsi="宋体" w:cs="Times New Roman"/>
                <w:sz w:val="18"/>
                <w:szCs w:val="18"/>
                <w:highlight w:val="none"/>
              </w:rPr>
              <w:t>100</w:t>
            </w:r>
            <w:r>
              <w:rPr>
                <w:rFonts w:hint="eastAsia" w:ascii="宋体" w:hAnsi="宋体" w:cs="Times New Roman"/>
                <w:sz w:val="18"/>
                <w:szCs w:val="18"/>
                <w:highlight w:val="none"/>
              </w:rPr>
              <w:t>分</w:t>
            </w:r>
          </w:p>
        </w:tc>
        <w:tc>
          <w:tcPr>
            <w:tcW w:w="600" w:type="dxa"/>
            <w:vAlign w:val="center"/>
          </w:tcPr>
          <w:p w14:paraId="66D8A704">
            <w:pPr>
              <w:tabs>
                <w:tab w:val="left" w:pos="13965"/>
              </w:tabs>
              <w:jc w:val="center"/>
              <w:rPr>
                <w:rFonts w:ascii="宋体" w:hAnsi="宋体" w:cs="Times New Roman"/>
                <w:sz w:val="18"/>
                <w:szCs w:val="18"/>
                <w:highlight w:val="none"/>
              </w:rPr>
            </w:pPr>
            <w:r>
              <w:rPr>
                <w:rFonts w:hint="eastAsia" w:ascii="宋体" w:hAnsi="宋体" w:cs="Times New Roman"/>
                <w:sz w:val="18"/>
                <w:szCs w:val="18"/>
                <w:highlight w:val="none"/>
              </w:rPr>
              <w:t>业绩</w:t>
            </w:r>
          </w:p>
        </w:tc>
        <w:tc>
          <w:tcPr>
            <w:tcW w:w="603" w:type="dxa"/>
            <w:vAlign w:val="center"/>
          </w:tcPr>
          <w:p w14:paraId="21307C0B">
            <w:pPr>
              <w:tabs>
                <w:tab w:val="left" w:pos="13965"/>
              </w:tabs>
              <w:jc w:val="center"/>
              <w:rPr>
                <w:rFonts w:ascii="宋体" w:hAnsi="宋体" w:cs="Times New Roman"/>
                <w:sz w:val="18"/>
                <w:szCs w:val="18"/>
                <w:highlight w:val="none"/>
              </w:rPr>
            </w:pPr>
            <w:r>
              <w:rPr>
                <w:rFonts w:ascii="宋体" w:hAnsi="宋体" w:cs="Times New Roman"/>
                <w:sz w:val="18"/>
                <w:szCs w:val="18"/>
                <w:highlight w:val="none"/>
              </w:rPr>
              <w:t>1</w:t>
            </w:r>
          </w:p>
        </w:tc>
        <w:tc>
          <w:tcPr>
            <w:tcW w:w="2757" w:type="dxa"/>
            <w:vAlign w:val="center"/>
          </w:tcPr>
          <w:p w14:paraId="15C6A6D8">
            <w:pPr>
              <w:rPr>
                <w:rFonts w:ascii="宋体" w:hAnsi="宋体" w:cs="Times New Roman"/>
                <w:sz w:val="18"/>
                <w:szCs w:val="18"/>
                <w:highlight w:val="none"/>
              </w:rPr>
            </w:pPr>
            <w:r>
              <w:rPr>
                <w:rFonts w:hint="eastAsia" w:ascii="宋体" w:hAnsi="宋体" w:cs="Times New Roman"/>
                <w:sz w:val="18"/>
                <w:szCs w:val="18"/>
                <w:highlight w:val="none"/>
              </w:rPr>
              <w:t>设备制造商同类型项目业绩</w:t>
            </w:r>
          </w:p>
        </w:tc>
        <w:tc>
          <w:tcPr>
            <w:tcW w:w="580" w:type="dxa"/>
            <w:vAlign w:val="center"/>
          </w:tcPr>
          <w:p w14:paraId="5DBA89EE">
            <w:pPr>
              <w:tabs>
                <w:tab w:val="left" w:pos="13965"/>
              </w:tabs>
              <w:jc w:val="center"/>
              <w:rPr>
                <w:rFonts w:ascii="宋体" w:hAnsi="宋体" w:cs="Times New Roman"/>
                <w:sz w:val="18"/>
                <w:szCs w:val="18"/>
                <w:highlight w:val="none"/>
              </w:rPr>
            </w:pPr>
            <w:r>
              <w:rPr>
                <w:rFonts w:ascii="宋体" w:hAnsi="宋体" w:cs="Times New Roman"/>
                <w:sz w:val="18"/>
                <w:szCs w:val="18"/>
                <w:highlight w:val="none"/>
              </w:rPr>
              <w:t>10</w:t>
            </w:r>
          </w:p>
        </w:tc>
        <w:tc>
          <w:tcPr>
            <w:tcW w:w="4910" w:type="dxa"/>
            <w:vAlign w:val="center"/>
          </w:tcPr>
          <w:p w14:paraId="30DB2C98">
            <w:pPr>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由评标委员会成员独立进行客观、公正的评价，按照优、良、一般进行赋分，最高</w:t>
            </w:r>
            <w:r>
              <w:rPr>
                <w:rFonts w:ascii="宋体" w:hAnsi="宋体" w:cs="Times New Roman"/>
                <w:bCs/>
                <w:sz w:val="18"/>
                <w:szCs w:val="18"/>
                <w:highlight w:val="none"/>
              </w:rPr>
              <w:t>10</w:t>
            </w:r>
            <w:r>
              <w:rPr>
                <w:rFonts w:hint="eastAsia" w:ascii="宋体" w:hAnsi="宋体" w:cs="Times New Roman"/>
                <w:bCs/>
                <w:sz w:val="18"/>
                <w:szCs w:val="18"/>
                <w:highlight w:val="none"/>
              </w:rPr>
              <w:t>分（时间以签订日期为准）。</w:t>
            </w:r>
          </w:p>
          <w:p w14:paraId="01990652">
            <w:pPr>
              <w:rPr>
                <w:rFonts w:ascii="宋体" w:hAnsi="宋体"/>
                <w:sz w:val="18"/>
                <w:szCs w:val="18"/>
                <w:highlight w:val="none"/>
              </w:rPr>
            </w:pPr>
            <w:r>
              <w:rPr>
                <w:rFonts w:hint="eastAsia" w:ascii="宋体" w:hAnsi="宋体" w:cs="Times New Roman"/>
                <w:bCs/>
                <w:sz w:val="18"/>
                <w:szCs w:val="18"/>
                <w:highlight w:val="none"/>
              </w:rPr>
              <w:t>投标人在20</w:t>
            </w:r>
            <w:r>
              <w:rPr>
                <w:rFonts w:ascii="宋体" w:hAnsi="宋体" w:cs="Times New Roman"/>
                <w:bCs/>
                <w:sz w:val="18"/>
                <w:szCs w:val="18"/>
                <w:highlight w:val="none"/>
              </w:rPr>
              <w:t>21</w:t>
            </w:r>
            <w:r>
              <w:rPr>
                <w:rFonts w:hint="eastAsia" w:ascii="宋体" w:hAnsi="宋体" w:cs="Times New Roman"/>
                <w:bCs/>
                <w:sz w:val="18"/>
                <w:szCs w:val="18"/>
                <w:highlight w:val="none"/>
              </w:rPr>
              <w:t>年1月1日以来在中国与本标同类规格产品的业绩，以合同复印件加盖公章为准（须有客户联系方式及联系人以供招标人核实确认）。</w:t>
            </w:r>
          </w:p>
        </w:tc>
      </w:tr>
      <w:tr w14:paraId="6F279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718" w:type="dxa"/>
            <w:vMerge w:val="continue"/>
            <w:vAlign w:val="center"/>
          </w:tcPr>
          <w:p w14:paraId="56178D71">
            <w:pPr>
              <w:jc w:val="center"/>
              <w:rPr>
                <w:rFonts w:ascii="宋体" w:hAnsi="宋体" w:cs="Times New Roman"/>
                <w:sz w:val="18"/>
                <w:szCs w:val="18"/>
                <w:highlight w:val="none"/>
              </w:rPr>
            </w:pPr>
          </w:p>
        </w:tc>
        <w:tc>
          <w:tcPr>
            <w:tcW w:w="600" w:type="dxa"/>
            <w:vMerge w:val="restart"/>
            <w:vAlign w:val="center"/>
          </w:tcPr>
          <w:p w14:paraId="187C83D5">
            <w:pPr>
              <w:jc w:val="center"/>
              <w:rPr>
                <w:rFonts w:ascii="宋体" w:hAnsi="宋体" w:cs="Times New Roman"/>
                <w:sz w:val="18"/>
                <w:szCs w:val="18"/>
                <w:highlight w:val="none"/>
              </w:rPr>
            </w:pPr>
            <w:r>
              <w:rPr>
                <w:rFonts w:hint="eastAsia" w:ascii="宋体" w:hAnsi="宋体" w:cs="Times New Roman"/>
                <w:sz w:val="18"/>
                <w:szCs w:val="18"/>
                <w:highlight w:val="none"/>
              </w:rPr>
              <w:t>产品技术</w:t>
            </w:r>
          </w:p>
        </w:tc>
        <w:tc>
          <w:tcPr>
            <w:tcW w:w="603" w:type="dxa"/>
            <w:vAlign w:val="center"/>
          </w:tcPr>
          <w:p w14:paraId="2CD9ECB7">
            <w:pPr>
              <w:jc w:val="center"/>
              <w:rPr>
                <w:rFonts w:ascii="宋体" w:hAnsi="宋体" w:cs="Times New Roman"/>
                <w:sz w:val="18"/>
                <w:szCs w:val="18"/>
                <w:highlight w:val="none"/>
              </w:rPr>
            </w:pPr>
            <w:r>
              <w:rPr>
                <w:rFonts w:ascii="宋体" w:hAnsi="宋体" w:cs="Times New Roman"/>
                <w:sz w:val="18"/>
                <w:szCs w:val="18"/>
                <w:highlight w:val="none"/>
              </w:rPr>
              <w:t>2</w:t>
            </w:r>
          </w:p>
        </w:tc>
        <w:tc>
          <w:tcPr>
            <w:tcW w:w="2757" w:type="dxa"/>
            <w:vAlign w:val="center"/>
          </w:tcPr>
          <w:p w14:paraId="0DCFC29F">
            <w:pPr>
              <w:rPr>
                <w:rFonts w:ascii="宋体" w:hAnsi="宋体" w:cs="Times New Roman"/>
                <w:bCs/>
                <w:sz w:val="18"/>
                <w:szCs w:val="18"/>
                <w:highlight w:val="none"/>
              </w:rPr>
            </w:pPr>
            <w:r>
              <w:rPr>
                <w:rFonts w:hint="eastAsia" w:ascii="宋体" w:hAnsi="宋体" w:cs="Times New Roman"/>
                <w:bCs/>
                <w:sz w:val="18"/>
                <w:szCs w:val="18"/>
                <w:highlight w:val="none"/>
              </w:rPr>
              <w:t>设备制造商装备制造能力、生产设备、加工工艺、完善程度</w:t>
            </w:r>
          </w:p>
        </w:tc>
        <w:tc>
          <w:tcPr>
            <w:tcW w:w="580" w:type="dxa"/>
            <w:vAlign w:val="center"/>
          </w:tcPr>
          <w:p w14:paraId="3D75DA1D">
            <w:pPr>
              <w:jc w:val="center"/>
              <w:rPr>
                <w:rFonts w:ascii="宋体" w:hAnsi="宋体" w:cs="Times New Roman"/>
                <w:sz w:val="18"/>
                <w:szCs w:val="18"/>
                <w:highlight w:val="none"/>
              </w:rPr>
            </w:pPr>
            <w:r>
              <w:rPr>
                <w:rFonts w:ascii="宋体" w:hAnsi="宋体" w:cs="Times New Roman"/>
                <w:sz w:val="18"/>
                <w:szCs w:val="18"/>
                <w:highlight w:val="none"/>
              </w:rPr>
              <w:t>15</w:t>
            </w:r>
          </w:p>
        </w:tc>
        <w:tc>
          <w:tcPr>
            <w:tcW w:w="4910" w:type="dxa"/>
            <w:vAlign w:val="center"/>
          </w:tcPr>
          <w:p w14:paraId="3F45483C">
            <w:pPr>
              <w:rPr>
                <w:rFonts w:ascii="宋体" w:hAnsi="宋体" w:cs="Times New Roman"/>
                <w:sz w:val="18"/>
                <w:szCs w:val="18"/>
                <w:highlight w:val="none"/>
              </w:rPr>
            </w:pPr>
            <w:r>
              <w:rPr>
                <w:rFonts w:hint="eastAsia" w:ascii="宋体" w:hAnsi="宋体" w:cs="Times New Roman"/>
                <w:bCs/>
                <w:sz w:val="18"/>
                <w:szCs w:val="18"/>
                <w:highlight w:val="none"/>
              </w:rPr>
              <w:t>由评标委员会成员独立进行客观、公正的评价，按照优、良、一般进行赋分，最高1</w:t>
            </w:r>
            <w:r>
              <w:rPr>
                <w:rFonts w:ascii="宋体" w:hAnsi="宋体" w:cs="Times New Roman"/>
                <w:bCs/>
                <w:sz w:val="18"/>
                <w:szCs w:val="18"/>
                <w:highlight w:val="none"/>
              </w:rPr>
              <w:t>5</w:t>
            </w:r>
            <w:r>
              <w:rPr>
                <w:rFonts w:hint="eastAsia" w:ascii="宋体" w:hAnsi="宋体" w:cs="Times New Roman"/>
                <w:bCs/>
                <w:sz w:val="18"/>
                <w:szCs w:val="18"/>
                <w:highlight w:val="none"/>
              </w:rPr>
              <w:t>分。</w:t>
            </w:r>
          </w:p>
        </w:tc>
      </w:tr>
      <w:tr w14:paraId="3AD43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2" w:hRule="atLeast"/>
          <w:jc w:val="center"/>
        </w:trPr>
        <w:tc>
          <w:tcPr>
            <w:tcW w:w="718" w:type="dxa"/>
            <w:vMerge w:val="continue"/>
            <w:vAlign w:val="center"/>
          </w:tcPr>
          <w:p w14:paraId="4AA652EA">
            <w:pPr>
              <w:jc w:val="center"/>
              <w:rPr>
                <w:rFonts w:ascii="宋体" w:hAnsi="宋体" w:cs="Times New Roman"/>
                <w:sz w:val="18"/>
                <w:szCs w:val="18"/>
                <w:highlight w:val="none"/>
              </w:rPr>
            </w:pPr>
          </w:p>
        </w:tc>
        <w:tc>
          <w:tcPr>
            <w:tcW w:w="600" w:type="dxa"/>
            <w:vMerge w:val="continue"/>
            <w:vAlign w:val="center"/>
          </w:tcPr>
          <w:p w14:paraId="50DBBE74">
            <w:pPr>
              <w:jc w:val="center"/>
              <w:rPr>
                <w:rFonts w:ascii="宋体" w:hAnsi="宋体" w:cs="Times New Roman"/>
                <w:sz w:val="18"/>
                <w:szCs w:val="18"/>
                <w:highlight w:val="none"/>
              </w:rPr>
            </w:pPr>
          </w:p>
        </w:tc>
        <w:tc>
          <w:tcPr>
            <w:tcW w:w="603" w:type="dxa"/>
            <w:vAlign w:val="center"/>
          </w:tcPr>
          <w:p w14:paraId="2D4E64F6">
            <w:pPr>
              <w:jc w:val="center"/>
              <w:rPr>
                <w:rFonts w:ascii="宋体" w:hAnsi="宋体" w:cs="Times New Roman"/>
                <w:sz w:val="18"/>
                <w:szCs w:val="18"/>
                <w:highlight w:val="none"/>
              </w:rPr>
            </w:pPr>
            <w:r>
              <w:rPr>
                <w:rFonts w:hint="eastAsia" w:ascii="宋体" w:hAnsi="宋体" w:cs="Times New Roman"/>
                <w:sz w:val="18"/>
                <w:szCs w:val="18"/>
                <w:highlight w:val="none"/>
              </w:rPr>
              <w:t>3</w:t>
            </w:r>
          </w:p>
        </w:tc>
        <w:tc>
          <w:tcPr>
            <w:tcW w:w="2757" w:type="dxa"/>
            <w:vAlign w:val="center"/>
          </w:tcPr>
          <w:p w14:paraId="23984225">
            <w:pPr>
              <w:rPr>
                <w:rFonts w:ascii="宋体" w:hAnsi="宋体" w:cs="Times New Roman"/>
                <w:bCs/>
                <w:sz w:val="18"/>
                <w:szCs w:val="18"/>
                <w:highlight w:val="none"/>
              </w:rPr>
            </w:pPr>
            <w:r>
              <w:rPr>
                <w:rFonts w:hint="eastAsia" w:ascii="宋体" w:hAnsi="宋体" w:cs="Times New Roman"/>
                <w:bCs/>
                <w:sz w:val="18"/>
                <w:szCs w:val="18"/>
                <w:highlight w:val="none"/>
              </w:rPr>
              <w:t>产品方案技术先进、各系统完善、性能可靠，设备主要核心部件，具备自身技术优势</w:t>
            </w:r>
          </w:p>
        </w:tc>
        <w:tc>
          <w:tcPr>
            <w:tcW w:w="580" w:type="dxa"/>
            <w:vAlign w:val="center"/>
          </w:tcPr>
          <w:p w14:paraId="16F76006">
            <w:pPr>
              <w:jc w:val="center"/>
              <w:rPr>
                <w:rFonts w:ascii="宋体" w:hAnsi="宋体" w:cs="Times New Roman"/>
                <w:sz w:val="18"/>
                <w:szCs w:val="18"/>
                <w:highlight w:val="none"/>
              </w:rPr>
            </w:pPr>
            <w:r>
              <w:rPr>
                <w:rFonts w:ascii="宋体" w:hAnsi="宋体" w:cs="Times New Roman"/>
                <w:sz w:val="18"/>
                <w:szCs w:val="18"/>
                <w:highlight w:val="none"/>
              </w:rPr>
              <w:t>40</w:t>
            </w:r>
          </w:p>
        </w:tc>
        <w:tc>
          <w:tcPr>
            <w:tcW w:w="4910" w:type="dxa"/>
            <w:vAlign w:val="center"/>
          </w:tcPr>
          <w:p w14:paraId="1BBA6524">
            <w:pPr>
              <w:rPr>
                <w:rFonts w:ascii="宋体" w:hAnsi="宋体" w:cs="Times New Roman"/>
                <w:bCs/>
                <w:sz w:val="18"/>
                <w:szCs w:val="18"/>
                <w:highlight w:val="none"/>
              </w:rPr>
            </w:pPr>
            <w:r>
              <w:rPr>
                <w:rFonts w:hint="eastAsia" w:ascii="宋体" w:hAnsi="宋体" w:cs="Times New Roman"/>
                <w:sz w:val="18"/>
                <w:szCs w:val="18"/>
                <w:highlight w:val="none"/>
              </w:rPr>
              <w:t>以下各项由评标委员会成员独立进行客观、公正的评价打分。</w:t>
            </w:r>
          </w:p>
          <w:p w14:paraId="07FB4D28">
            <w:pPr>
              <w:rPr>
                <w:rFonts w:ascii="宋体" w:hAnsi="宋体" w:cs="Times New Roman"/>
                <w:sz w:val="18"/>
                <w:szCs w:val="18"/>
                <w:highlight w:val="none"/>
              </w:rPr>
            </w:pPr>
            <w:r>
              <w:rPr>
                <w:rFonts w:hint="eastAsia" w:ascii="宋体" w:hAnsi="宋体" w:cs="Times New Roman"/>
                <w:bCs/>
                <w:sz w:val="18"/>
                <w:szCs w:val="18"/>
                <w:highlight w:val="none"/>
              </w:rPr>
              <w:t>投标文件中技术方案、软硬件配置、处理工艺、设施明细、技术参数、综合性能、控制方案等的先进性、符合性、适用性进行分析比较、评议、综合打分，按照优、良、一般进行赋分，最高40分。</w:t>
            </w:r>
          </w:p>
        </w:tc>
      </w:tr>
      <w:tr w14:paraId="5E689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5" w:hRule="atLeast"/>
          <w:jc w:val="center"/>
        </w:trPr>
        <w:tc>
          <w:tcPr>
            <w:tcW w:w="718" w:type="dxa"/>
            <w:vMerge w:val="continue"/>
            <w:vAlign w:val="center"/>
          </w:tcPr>
          <w:p w14:paraId="1DA51757">
            <w:pPr>
              <w:jc w:val="center"/>
              <w:rPr>
                <w:rFonts w:ascii="宋体" w:hAnsi="宋体" w:cs="Times New Roman"/>
                <w:sz w:val="18"/>
                <w:szCs w:val="18"/>
                <w:highlight w:val="none"/>
              </w:rPr>
            </w:pPr>
          </w:p>
        </w:tc>
        <w:tc>
          <w:tcPr>
            <w:tcW w:w="600" w:type="dxa"/>
            <w:vAlign w:val="center"/>
          </w:tcPr>
          <w:p w14:paraId="52A39970">
            <w:pPr>
              <w:jc w:val="center"/>
              <w:rPr>
                <w:rFonts w:ascii="宋体" w:hAnsi="宋体" w:cs="Times New Roman"/>
                <w:sz w:val="18"/>
                <w:szCs w:val="18"/>
                <w:highlight w:val="none"/>
              </w:rPr>
            </w:pPr>
            <w:r>
              <w:rPr>
                <w:rFonts w:hint="eastAsia" w:ascii="宋体" w:hAnsi="宋体" w:cs="Times New Roman"/>
                <w:sz w:val="18"/>
                <w:szCs w:val="18"/>
                <w:highlight w:val="none"/>
              </w:rPr>
              <w:t>答疑</w:t>
            </w:r>
          </w:p>
        </w:tc>
        <w:tc>
          <w:tcPr>
            <w:tcW w:w="603" w:type="dxa"/>
            <w:vAlign w:val="center"/>
          </w:tcPr>
          <w:p w14:paraId="5F044C5B">
            <w:pPr>
              <w:jc w:val="center"/>
              <w:rPr>
                <w:rFonts w:ascii="宋体" w:hAnsi="宋体" w:cs="Times New Roman"/>
                <w:sz w:val="18"/>
                <w:szCs w:val="18"/>
                <w:highlight w:val="none"/>
              </w:rPr>
            </w:pPr>
            <w:r>
              <w:rPr>
                <w:rFonts w:hint="eastAsia" w:ascii="宋体" w:hAnsi="宋体" w:cs="Times New Roman"/>
                <w:sz w:val="18"/>
                <w:szCs w:val="18"/>
                <w:highlight w:val="none"/>
              </w:rPr>
              <w:t>4</w:t>
            </w:r>
          </w:p>
        </w:tc>
        <w:tc>
          <w:tcPr>
            <w:tcW w:w="2757" w:type="dxa"/>
            <w:vAlign w:val="center"/>
          </w:tcPr>
          <w:p w14:paraId="041729CC">
            <w:pPr>
              <w:rPr>
                <w:rFonts w:ascii="宋体" w:hAnsi="宋体" w:cs="Times New Roman"/>
                <w:bCs/>
                <w:sz w:val="18"/>
                <w:szCs w:val="18"/>
                <w:highlight w:val="none"/>
              </w:rPr>
            </w:pPr>
            <w:r>
              <w:rPr>
                <w:rFonts w:hint="eastAsia" w:ascii="宋体" w:hAnsi="宋体" w:cs="Times New Roman"/>
                <w:bCs/>
                <w:sz w:val="18"/>
                <w:szCs w:val="18"/>
                <w:highlight w:val="none"/>
              </w:rPr>
              <w:t>现场答疑</w:t>
            </w:r>
          </w:p>
        </w:tc>
        <w:tc>
          <w:tcPr>
            <w:tcW w:w="580" w:type="dxa"/>
            <w:vAlign w:val="center"/>
          </w:tcPr>
          <w:p w14:paraId="2245B513">
            <w:pPr>
              <w:jc w:val="center"/>
              <w:rPr>
                <w:rFonts w:ascii="宋体" w:hAnsi="宋体" w:cs="Times New Roman"/>
                <w:sz w:val="18"/>
                <w:szCs w:val="18"/>
                <w:highlight w:val="none"/>
              </w:rPr>
            </w:pPr>
            <w:r>
              <w:rPr>
                <w:rFonts w:ascii="宋体" w:hAnsi="宋体" w:cs="Times New Roman"/>
                <w:sz w:val="18"/>
                <w:szCs w:val="18"/>
                <w:highlight w:val="none"/>
              </w:rPr>
              <w:t>5</w:t>
            </w:r>
          </w:p>
        </w:tc>
        <w:tc>
          <w:tcPr>
            <w:tcW w:w="4910" w:type="dxa"/>
            <w:vAlign w:val="center"/>
          </w:tcPr>
          <w:p w14:paraId="2B889BCB">
            <w:pPr>
              <w:rPr>
                <w:rFonts w:ascii="宋体" w:hAnsi="宋体" w:cs="Times New Roman"/>
                <w:bCs/>
                <w:sz w:val="18"/>
                <w:szCs w:val="18"/>
                <w:highlight w:val="none"/>
              </w:rPr>
            </w:pPr>
            <w:r>
              <w:rPr>
                <w:rFonts w:hint="eastAsia" w:ascii="宋体" w:hAnsi="宋体" w:cs="Times New Roman"/>
                <w:sz w:val="18"/>
                <w:szCs w:val="18"/>
                <w:highlight w:val="none"/>
              </w:rPr>
              <w:t>投标人代表对方案、技术优势的讲解，以及就该项目难点回答评标专家现场提问，打分0-5分。</w:t>
            </w:r>
          </w:p>
        </w:tc>
      </w:tr>
      <w:tr w14:paraId="58021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8" w:type="dxa"/>
            <w:vMerge w:val="continue"/>
            <w:vAlign w:val="center"/>
          </w:tcPr>
          <w:p w14:paraId="7A63F85D">
            <w:pPr>
              <w:jc w:val="center"/>
              <w:rPr>
                <w:rFonts w:ascii="宋体" w:hAnsi="宋体" w:cs="Times New Roman"/>
                <w:sz w:val="18"/>
                <w:szCs w:val="18"/>
                <w:highlight w:val="none"/>
              </w:rPr>
            </w:pPr>
          </w:p>
        </w:tc>
        <w:tc>
          <w:tcPr>
            <w:tcW w:w="600" w:type="dxa"/>
            <w:vAlign w:val="center"/>
          </w:tcPr>
          <w:p w14:paraId="0A3B77F1">
            <w:pPr>
              <w:jc w:val="center"/>
              <w:rPr>
                <w:rFonts w:ascii="宋体" w:hAnsi="宋体" w:cs="Times New Roman"/>
                <w:sz w:val="18"/>
                <w:szCs w:val="18"/>
                <w:highlight w:val="none"/>
              </w:rPr>
            </w:pPr>
            <w:r>
              <w:rPr>
                <w:rFonts w:hint="eastAsia" w:ascii="宋体" w:hAnsi="宋体" w:cs="Times New Roman"/>
                <w:sz w:val="18"/>
                <w:szCs w:val="18"/>
                <w:highlight w:val="none"/>
              </w:rPr>
              <w:t>技术偏离</w:t>
            </w:r>
          </w:p>
        </w:tc>
        <w:tc>
          <w:tcPr>
            <w:tcW w:w="603" w:type="dxa"/>
            <w:vAlign w:val="center"/>
          </w:tcPr>
          <w:p w14:paraId="489A4974">
            <w:pPr>
              <w:jc w:val="center"/>
              <w:rPr>
                <w:rFonts w:ascii="宋体" w:hAnsi="宋体" w:cs="Times New Roman"/>
                <w:sz w:val="18"/>
                <w:szCs w:val="18"/>
                <w:highlight w:val="none"/>
              </w:rPr>
            </w:pPr>
            <w:r>
              <w:rPr>
                <w:rFonts w:ascii="宋体" w:hAnsi="宋体" w:cs="Times New Roman"/>
                <w:sz w:val="18"/>
                <w:szCs w:val="18"/>
                <w:highlight w:val="none"/>
              </w:rPr>
              <w:t>5</w:t>
            </w:r>
          </w:p>
        </w:tc>
        <w:tc>
          <w:tcPr>
            <w:tcW w:w="2757" w:type="dxa"/>
            <w:vAlign w:val="center"/>
          </w:tcPr>
          <w:p w14:paraId="0FD5E60D">
            <w:pPr>
              <w:rPr>
                <w:rFonts w:ascii="宋体" w:hAnsi="宋体" w:cs="Times New Roman"/>
                <w:sz w:val="18"/>
                <w:szCs w:val="18"/>
                <w:highlight w:val="none"/>
              </w:rPr>
            </w:pPr>
            <w:r>
              <w:rPr>
                <w:rFonts w:hint="eastAsia" w:ascii="宋体" w:hAnsi="宋体" w:cs="Times New Roman"/>
                <w:bCs/>
                <w:sz w:val="18"/>
                <w:szCs w:val="18"/>
                <w:highlight w:val="none"/>
              </w:rPr>
              <w:t>技术偏离</w:t>
            </w:r>
          </w:p>
        </w:tc>
        <w:tc>
          <w:tcPr>
            <w:tcW w:w="580" w:type="dxa"/>
            <w:vAlign w:val="center"/>
          </w:tcPr>
          <w:p w14:paraId="2B93A6D9">
            <w:pPr>
              <w:jc w:val="center"/>
              <w:rPr>
                <w:rFonts w:ascii="宋体" w:hAnsi="宋体" w:cs="Times New Roman"/>
                <w:sz w:val="18"/>
                <w:szCs w:val="18"/>
                <w:highlight w:val="none"/>
              </w:rPr>
            </w:pPr>
            <w:r>
              <w:rPr>
                <w:rFonts w:ascii="宋体" w:hAnsi="宋体" w:cs="Times New Roman"/>
                <w:sz w:val="18"/>
                <w:szCs w:val="18"/>
                <w:highlight w:val="none"/>
              </w:rPr>
              <w:t>15</w:t>
            </w:r>
          </w:p>
        </w:tc>
        <w:tc>
          <w:tcPr>
            <w:tcW w:w="4910" w:type="dxa"/>
            <w:vAlign w:val="center"/>
          </w:tcPr>
          <w:p w14:paraId="58617C71">
            <w:pPr>
              <w:jc w:val="left"/>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由评标委员会成员独立进行客观、公正的评价，根据各投标单位的核心产品的配置参数、技术偏离情况，在满足我司技术基本要求的前提下偏离，无偏离得满分</w:t>
            </w:r>
            <w:r>
              <w:rPr>
                <w:rFonts w:ascii="宋体" w:hAnsi="宋体" w:cs="Times New Roman"/>
                <w:bCs/>
                <w:sz w:val="18"/>
                <w:szCs w:val="18"/>
                <w:highlight w:val="none"/>
              </w:rPr>
              <w:t>15</w:t>
            </w:r>
            <w:r>
              <w:rPr>
                <w:rFonts w:hint="eastAsia" w:ascii="宋体" w:hAnsi="宋体" w:cs="Times New Roman"/>
                <w:bCs/>
                <w:sz w:val="18"/>
                <w:szCs w:val="18"/>
                <w:highlight w:val="none"/>
              </w:rPr>
              <w:t>分，较大偏离每一项扣</w:t>
            </w:r>
            <w:r>
              <w:rPr>
                <w:rFonts w:ascii="宋体" w:hAnsi="宋体" w:cs="Times New Roman"/>
                <w:bCs/>
                <w:sz w:val="18"/>
                <w:szCs w:val="18"/>
                <w:highlight w:val="none"/>
              </w:rPr>
              <w:t>3</w:t>
            </w:r>
            <w:r>
              <w:rPr>
                <w:rFonts w:hint="eastAsia" w:ascii="宋体" w:hAnsi="宋体" w:cs="Times New Roman"/>
                <w:bCs/>
                <w:sz w:val="18"/>
                <w:szCs w:val="18"/>
                <w:highlight w:val="none"/>
              </w:rPr>
              <w:t>分，一般偏离每一项扣</w:t>
            </w:r>
            <w:r>
              <w:rPr>
                <w:rFonts w:ascii="宋体" w:hAnsi="宋体" w:cs="Times New Roman"/>
                <w:bCs/>
                <w:sz w:val="18"/>
                <w:szCs w:val="18"/>
                <w:highlight w:val="none"/>
              </w:rPr>
              <w:t>2</w:t>
            </w:r>
            <w:r>
              <w:rPr>
                <w:rFonts w:hint="eastAsia" w:ascii="宋体" w:hAnsi="宋体" w:cs="Times New Roman"/>
                <w:bCs/>
                <w:sz w:val="18"/>
                <w:szCs w:val="18"/>
                <w:highlight w:val="none"/>
              </w:rPr>
              <w:t>分，最低得分</w:t>
            </w:r>
            <w:r>
              <w:rPr>
                <w:rFonts w:ascii="宋体" w:hAnsi="宋体" w:cs="Times New Roman"/>
                <w:bCs/>
                <w:sz w:val="18"/>
                <w:szCs w:val="18"/>
                <w:highlight w:val="none"/>
              </w:rPr>
              <w:t>0</w:t>
            </w:r>
            <w:r>
              <w:rPr>
                <w:rFonts w:hint="eastAsia" w:ascii="宋体" w:hAnsi="宋体" w:cs="Times New Roman"/>
                <w:bCs/>
                <w:sz w:val="18"/>
                <w:szCs w:val="18"/>
                <w:highlight w:val="none"/>
              </w:rPr>
              <w:t>分。</w:t>
            </w:r>
          </w:p>
        </w:tc>
      </w:tr>
      <w:tr w14:paraId="769F2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8" w:type="dxa"/>
            <w:vMerge w:val="continue"/>
            <w:vAlign w:val="center"/>
          </w:tcPr>
          <w:p w14:paraId="3D7657AB">
            <w:pPr>
              <w:jc w:val="center"/>
              <w:rPr>
                <w:rFonts w:ascii="宋体" w:hAnsi="宋体" w:cs="Times New Roman"/>
                <w:sz w:val="18"/>
                <w:szCs w:val="18"/>
                <w:highlight w:val="none"/>
              </w:rPr>
            </w:pPr>
          </w:p>
        </w:tc>
        <w:tc>
          <w:tcPr>
            <w:tcW w:w="600" w:type="dxa"/>
            <w:vMerge w:val="restart"/>
            <w:vAlign w:val="center"/>
          </w:tcPr>
          <w:p w14:paraId="63D44093">
            <w:pPr>
              <w:jc w:val="center"/>
              <w:rPr>
                <w:rFonts w:ascii="宋体" w:hAnsi="宋体" w:cs="Times New Roman"/>
                <w:sz w:val="18"/>
                <w:szCs w:val="18"/>
                <w:highlight w:val="none"/>
              </w:rPr>
            </w:pPr>
            <w:r>
              <w:rPr>
                <w:rFonts w:hint="eastAsia" w:ascii="宋体" w:hAnsi="宋体" w:cs="Times New Roman"/>
                <w:sz w:val="18"/>
                <w:szCs w:val="18"/>
                <w:highlight w:val="none"/>
              </w:rPr>
              <w:t>售后服务</w:t>
            </w:r>
          </w:p>
        </w:tc>
        <w:tc>
          <w:tcPr>
            <w:tcW w:w="603" w:type="dxa"/>
            <w:vAlign w:val="center"/>
          </w:tcPr>
          <w:p w14:paraId="186CEEF9">
            <w:pPr>
              <w:jc w:val="center"/>
              <w:rPr>
                <w:rFonts w:ascii="宋体" w:hAnsi="宋体" w:cs="Times New Roman"/>
                <w:sz w:val="18"/>
                <w:szCs w:val="18"/>
                <w:highlight w:val="none"/>
              </w:rPr>
            </w:pPr>
            <w:r>
              <w:rPr>
                <w:rFonts w:ascii="宋体" w:hAnsi="宋体" w:cs="Times New Roman"/>
                <w:sz w:val="18"/>
                <w:szCs w:val="18"/>
                <w:highlight w:val="none"/>
              </w:rPr>
              <w:t>6</w:t>
            </w:r>
          </w:p>
        </w:tc>
        <w:tc>
          <w:tcPr>
            <w:tcW w:w="2757" w:type="dxa"/>
            <w:vAlign w:val="center"/>
          </w:tcPr>
          <w:p w14:paraId="1ABF8321">
            <w:pPr>
              <w:rPr>
                <w:rFonts w:ascii="宋体" w:hAnsi="宋体" w:cs="Times New Roman"/>
                <w:sz w:val="18"/>
                <w:szCs w:val="18"/>
                <w:highlight w:val="none"/>
              </w:rPr>
            </w:pPr>
            <w:r>
              <w:rPr>
                <w:rFonts w:hint="eastAsia" w:ascii="宋体" w:hAnsi="宋体" w:cs="Times New Roman"/>
                <w:sz w:val="18"/>
                <w:szCs w:val="18"/>
                <w:highlight w:val="none"/>
              </w:rPr>
              <w:t>技术培训方案：对采购方人员的技术培训方案安排科学、合理、可行</w:t>
            </w:r>
          </w:p>
        </w:tc>
        <w:tc>
          <w:tcPr>
            <w:tcW w:w="580" w:type="dxa"/>
            <w:vAlign w:val="center"/>
          </w:tcPr>
          <w:p w14:paraId="213B0874">
            <w:pPr>
              <w:jc w:val="center"/>
              <w:rPr>
                <w:rFonts w:ascii="宋体" w:hAnsi="宋体" w:cs="Times New Roman"/>
                <w:sz w:val="18"/>
                <w:szCs w:val="18"/>
                <w:highlight w:val="none"/>
              </w:rPr>
            </w:pPr>
            <w:r>
              <w:rPr>
                <w:rFonts w:ascii="宋体" w:hAnsi="宋体" w:cs="Times New Roman"/>
                <w:sz w:val="18"/>
                <w:szCs w:val="18"/>
                <w:highlight w:val="none"/>
              </w:rPr>
              <w:t>5</w:t>
            </w:r>
          </w:p>
        </w:tc>
        <w:tc>
          <w:tcPr>
            <w:tcW w:w="4910" w:type="dxa"/>
            <w:vAlign w:val="center"/>
          </w:tcPr>
          <w:p w14:paraId="1ECEE4CE">
            <w:pPr>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由评标委员会成员独立进行客观、公正的评价，按照优、良、一般进行赋分，最高5分。</w:t>
            </w:r>
          </w:p>
        </w:tc>
      </w:tr>
      <w:tr w14:paraId="143A3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8" w:type="dxa"/>
            <w:vMerge w:val="continue"/>
            <w:vAlign w:val="center"/>
          </w:tcPr>
          <w:p w14:paraId="42A65043">
            <w:pPr>
              <w:jc w:val="center"/>
              <w:rPr>
                <w:rFonts w:ascii="宋体" w:hAnsi="宋体" w:cs="Times New Roman"/>
                <w:sz w:val="18"/>
                <w:szCs w:val="18"/>
                <w:highlight w:val="none"/>
              </w:rPr>
            </w:pPr>
          </w:p>
        </w:tc>
        <w:tc>
          <w:tcPr>
            <w:tcW w:w="600" w:type="dxa"/>
            <w:vMerge w:val="continue"/>
            <w:vAlign w:val="center"/>
          </w:tcPr>
          <w:p w14:paraId="720D6653">
            <w:pPr>
              <w:jc w:val="center"/>
              <w:rPr>
                <w:rFonts w:ascii="宋体" w:hAnsi="宋体" w:cs="Times New Roman"/>
                <w:sz w:val="18"/>
                <w:szCs w:val="18"/>
                <w:highlight w:val="none"/>
              </w:rPr>
            </w:pPr>
          </w:p>
        </w:tc>
        <w:tc>
          <w:tcPr>
            <w:tcW w:w="603" w:type="dxa"/>
            <w:vAlign w:val="center"/>
          </w:tcPr>
          <w:p w14:paraId="454F8B42">
            <w:pPr>
              <w:jc w:val="center"/>
              <w:rPr>
                <w:rFonts w:ascii="宋体" w:hAnsi="宋体" w:cs="Times New Roman"/>
                <w:sz w:val="18"/>
                <w:szCs w:val="18"/>
                <w:highlight w:val="none"/>
              </w:rPr>
            </w:pPr>
            <w:r>
              <w:rPr>
                <w:rFonts w:ascii="宋体" w:hAnsi="宋体" w:cs="Times New Roman"/>
                <w:sz w:val="18"/>
                <w:szCs w:val="18"/>
                <w:highlight w:val="none"/>
              </w:rPr>
              <w:t>7</w:t>
            </w:r>
          </w:p>
        </w:tc>
        <w:tc>
          <w:tcPr>
            <w:tcW w:w="2757" w:type="dxa"/>
            <w:vAlign w:val="center"/>
          </w:tcPr>
          <w:p w14:paraId="022CB045">
            <w:pPr>
              <w:rPr>
                <w:rFonts w:ascii="宋体" w:hAnsi="宋体" w:cs="Times New Roman"/>
                <w:sz w:val="18"/>
                <w:szCs w:val="18"/>
                <w:highlight w:val="none"/>
              </w:rPr>
            </w:pPr>
            <w:r>
              <w:rPr>
                <w:rFonts w:hint="eastAsia" w:ascii="宋体" w:hAnsi="宋体" w:cs="Times New Roman"/>
                <w:bCs/>
                <w:sz w:val="18"/>
                <w:szCs w:val="18"/>
                <w:highlight w:val="none"/>
              </w:rPr>
              <w:t>投标人在中国有常驻的专业技术力量的维保机构并具有实施本项目维保的专业技术人员：</w:t>
            </w:r>
          </w:p>
        </w:tc>
        <w:tc>
          <w:tcPr>
            <w:tcW w:w="580" w:type="dxa"/>
            <w:vAlign w:val="center"/>
          </w:tcPr>
          <w:p w14:paraId="035E5CF7">
            <w:pPr>
              <w:jc w:val="center"/>
              <w:rPr>
                <w:rFonts w:ascii="宋体" w:hAnsi="宋体" w:cs="Times New Roman"/>
                <w:sz w:val="18"/>
                <w:szCs w:val="18"/>
                <w:highlight w:val="none"/>
              </w:rPr>
            </w:pPr>
            <w:r>
              <w:rPr>
                <w:rFonts w:ascii="宋体" w:hAnsi="宋体" w:cs="Times New Roman"/>
                <w:bCs/>
                <w:sz w:val="18"/>
                <w:szCs w:val="18"/>
                <w:highlight w:val="none"/>
              </w:rPr>
              <w:t>5</w:t>
            </w:r>
          </w:p>
        </w:tc>
        <w:tc>
          <w:tcPr>
            <w:tcW w:w="4910" w:type="dxa"/>
            <w:vAlign w:val="center"/>
          </w:tcPr>
          <w:p w14:paraId="0B2181A1">
            <w:pPr>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由评标委员会成员独立进行客观、公正的评价，按照优、良、一般进行赋分，最高5分。</w:t>
            </w:r>
          </w:p>
        </w:tc>
      </w:tr>
      <w:tr w14:paraId="4432D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718" w:type="dxa"/>
            <w:vMerge w:val="continue"/>
            <w:vAlign w:val="center"/>
          </w:tcPr>
          <w:p w14:paraId="51E7EA0D">
            <w:pPr>
              <w:jc w:val="center"/>
              <w:rPr>
                <w:rFonts w:ascii="宋体" w:hAnsi="宋体" w:cs="Times New Roman"/>
                <w:sz w:val="18"/>
                <w:szCs w:val="18"/>
                <w:highlight w:val="none"/>
              </w:rPr>
            </w:pPr>
          </w:p>
        </w:tc>
        <w:tc>
          <w:tcPr>
            <w:tcW w:w="600" w:type="dxa"/>
            <w:vMerge w:val="continue"/>
            <w:vAlign w:val="center"/>
          </w:tcPr>
          <w:p w14:paraId="2E9E60AF">
            <w:pPr>
              <w:jc w:val="center"/>
              <w:rPr>
                <w:rFonts w:ascii="宋体" w:hAnsi="宋体" w:cs="Times New Roman"/>
                <w:sz w:val="18"/>
                <w:szCs w:val="18"/>
                <w:highlight w:val="none"/>
              </w:rPr>
            </w:pPr>
          </w:p>
        </w:tc>
        <w:tc>
          <w:tcPr>
            <w:tcW w:w="603" w:type="dxa"/>
            <w:vAlign w:val="center"/>
          </w:tcPr>
          <w:p w14:paraId="138786BA">
            <w:pPr>
              <w:jc w:val="center"/>
              <w:rPr>
                <w:rFonts w:ascii="宋体" w:hAnsi="宋体" w:cs="Times New Roman"/>
                <w:sz w:val="18"/>
                <w:szCs w:val="18"/>
                <w:highlight w:val="none"/>
              </w:rPr>
            </w:pPr>
            <w:r>
              <w:rPr>
                <w:rFonts w:ascii="宋体" w:hAnsi="宋体" w:cs="Times New Roman"/>
                <w:sz w:val="18"/>
                <w:szCs w:val="18"/>
                <w:highlight w:val="none"/>
              </w:rPr>
              <w:t>8</w:t>
            </w:r>
          </w:p>
        </w:tc>
        <w:tc>
          <w:tcPr>
            <w:tcW w:w="2757" w:type="dxa"/>
            <w:vAlign w:val="center"/>
          </w:tcPr>
          <w:p w14:paraId="649CA58B">
            <w:pPr>
              <w:rPr>
                <w:rFonts w:ascii="宋体" w:hAnsi="宋体" w:cs="Times New Roman"/>
                <w:sz w:val="18"/>
                <w:szCs w:val="18"/>
                <w:highlight w:val="none"/>
              </w:rPr>
            </w:pPr>
            <w:r>
              <w:rPr>
                <w:rFonts w:hint="eastAsia" w:ascii="宋体" w:hAnsi="宋体" w:cs="Times New Roman"/>
                <w:sz w:val="18"/>
                <w:szCs w:val="18"/>
                <w:highlight w:val="none"/>
              </w:rPr>
              <w:t>售后服务及时周到，有相应的服务承诺和具体的保证措施</w:t>
            </w:r>
          </w:p>
        </w:tc>
        <w:tc>
          <w:tcPr>
            <w:tcW w:w="580" w:type="dxa"/>
            <w:vAlign w:val="center"/>
          </w:tcPr>
          <w:p w14:paraId="12B7522E">
            <w:pPr>
              <w:jc w:val="center"/>
              <w:rPr>
                <w:rFonts w:ascii="宋体" w:hAnsi="宋体" w:cs="Times New Roman"/>
                <w:sz w:val="18"/>
                <w:szCs w:val="18"/>
                <w:highlight w:val="none"/>
              </w:rPr>
            </w:pPr>
            <w:r>
              <w:rPr>
                <w:rFonts w:hint="eastAsia" w:ascii="宋体" w:hAnsi="宋体" w:cs="Times New Roman"/>
                <w:sz w:val="18"/>
                <w:szCs w:val="18"/>
                <w:highlight w:val="none"/>
              </w:rPr>
              <w:t>5</w:t>
            </w:r>
          </w:p>
        </w:tc>
        <w:tc>
          <w:tcPr>
            <w:tcW w:w="4910" w:type="dxa"/>
            <w:vAlign w:val="center"/>
          </w:tcPr>
          <w:p w14:paraId="04D35BE8">
            <w:pPr>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由评标委员会成员独立进行客观、公正的评价，按照优、良、一般进行赋分，最高</w:t>
            </w:r>
            <w:r>
              <w:rPr>
                <w:rFonts w:ascii="宋体" w:hAnsi="宋体" w:cs="Times New Roman"/>
                <w:bCs/>
                <w:sz w:val="18"/>
                <w:szCs w:val="18"/>
                <w:highlight w:val="none"/>
              </w:rPr>
              <w:t>5</w:t>
            </w:r>
            <w:r>
              <w:rPr>
                <w:rFonts w:hint="eastAsia" w:ascii="宋体" w:hAnsi="宋体" w:cs="Times New Roman"/>
                <w:bCs/>
                <w:sz w:val="18"/>
                <w:szCs w:val="18"/>
                <w:highlight w:val="none"/>
              </w:rPr>
              <w:t>分。</w:t>
            </w:r>
          </w:p>
        </w:tc>
      </w:tr>
      <w:tr w14:paraId="76683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2" w:hRule="atLeast"/>
          <w:jc w:val="center"/>
        </w:trPr>
        <w:tc>
          <w:tcPr>
            <w:tcW w:w="718" w:type="dxa"/>
            <w:vAlign w:val="center"/>
          </w:tcPr>
          <w:p w14:paraId="088899FB">
            <w:pPr>
              <w:jc w:val="center"/>
              <w:rPr>
                <w:rFonts w:ascii="宋体" w:hAnsi="宋体" w:eastAsia="等线" w:cs="Times New Roman"/>
                <w:sz w:val="18"/>
                <w:szCs w:val="18"/>
                <w:highlight w:val="none"/>
              </w:rPr>
            </w:pPr>
            <w:r>
              <w:rPr>
                <w:rFonts w:hint="eastAsia" w:ascii="宋体" w:hAnsi="宋体" w:cs="Times New Roman"/>
                <w:b/>
                <w:bCs/>
                <w:sz w:val="18"/>
                <w:szCs w:val="18"/>
                <w:highlight w:val="none"/>
              </w:rPr>
              <w:t>商务标</w:t>
            </w:r>
            <w:r>
              <w:rPr>
                <w:rFonts w:hint="eastAsia" w:ascii="宋体" w:hAnsi="宋体" w:cs="Times New Roman"/>
                <w:sz w:val="18"/>
                <w:szCs w:val="18"/>
                <w:highlight w:val="none"/>
              </w:rPr>
              <w:t>100分</w:t>
            </w:r>
          </w:p>
        </w:tc>
        <w:tc>
          <w:tcPr>
            <w:tcW w:w="9450" w:type="dxa"/>
            <w:gridSpan w:val="5"/>
            <w:vAlign w:val="center"/>
          </w:tcPr>
          <w:p w14:paraId="776ECD58">
            <w:pPr>
              <w:spacing w:line="360" w:lineRule="auto"/>
              <w:rPr>
                <w:rFonts w:ascii="宋体" w:hAnsi="宋体" w:eastAsia="宋体" w:cs="Times New Roman"/>
                <w:bCs/>
                <w:sz w:val="22"/>
                <w:szCs w:val="22"/>
                <w:highlight w:val="none"/>
              </w:rPr>
            </w:pPr>
            <w:r>
              <w:rPr>
                <w:rFonts w:hint="eastAsia" w:ascii="宋体" w:hAnsi="宋体" w:eastAsia="宋体" w:cs="Times New Roman"/>
                <w:bCs/>
                <w:sz w:val="22"/>
                <w:szCs w:val="22"/>
                <w:highlight w:val="none"/>
              </w:rPr>
              <w:t xml:space="preserve">评标基准价： </w:t>
            </w:r>
          </w:p>
          <w:p w14:paraId="4F7A1AB5">
            <w:pPr>
              <w:spacing w:line="360" w:lineRule="auto"/>
              <w:rPr>
                <w:rFonts w:ascii="宋体" w:hAnsi="宋体" w:eastAsia="宋体" w:cs="Times New Roman"/>
                <w:bCs/>
                <w:sz w:val="22"/>
                <w:szCs w:val="22"/>
                <w:highlight w:val="none"/>
              </w:rPr>
            </w:pPr>
            <w:r>
              <w:rPr>
                <w:rFonts w:hint="eastAsia" w:ascii="宋体" w:hAnsi="宋体" w:eastAsia="宋体" w:cs="Times New Roman"/>
                <w:bCs/>
                <w:sz w:val="22"/>
                <w:szCs w:val="22"/>
                <w:highlight w:val="none"/>
              </w:rPr>
              <w:t>1、评标基准价为所有合理有效的最终投标报价的最低价。</w:t>
            </w:r>
          </w:p>
          <w:p w14:paraId="1CA60941">
            <w:pPr>
              <w:spacing w:line="360" w:lineRule="auto"/>
              <w:rPr>
                <w:rFonts w:ascii="宋体" w:hAnsi="宋体" w:eastAsia="宋体" w:cs="Times New Roman"/>
                <w:bCs/>
                <w:sz w:val="22"/>
                <w:szCs w:val="22"/>
                <w:highlight w:val="none"/>
              </w:rPr>
            </w:pPr>
            <w:r>
              <w:rPr>
                <w:rFonts w:hint="eastAsia" w:ascii="宋体" w:hAnsi="宋体" w:eastAsia="宋体" w:cs="Times New Roman"/>
                <w:bCs/>
                <w:sz w:val="22"/>
                <w:szCs w:val="22"/>
                <w:highlight w:val="none"/>
              </w:rPr>
              <w:t>2、有效的评标基准价得100分；其他投标人的价格得分按下列公式计算：投标价格得分=100×（评标基准价/投标报价）。</w:t>
            </w:r>
          </w:p>
          <w:p w14:paraId="338A1E53">
            <w:pPr>
              <w:rPr>
                <w:rFonts w:ascii="宋体" w:hAnsi="宋体" w:cs="Times New Roman"/>
                <w:bCs/>
                <w:sz w:val="16"/>
                <w:szCs w:val="16"/>
                <w:highlight w:val="none"/>
              </w:rPr>
            </w:pPr>
            <w:r>
              <w:rPr>
                <w:rFonts w:hint="eastAsia" w:ascii="宋体" w:hAnsi="宋体" w:eastAsia="宋体" w:cs="Times New Roman"/>
                <w:bCs/>
                <w:sz w:val="22"/>
                <w:szCs w:val="22"/>
                <w:highlight w:val="none"/>
              </w:rPr>
              <w:t>注：得分值取小数点后两位，不足一个百分点的，按照四舍五入法计算。</w:t>
            </w:r>
            <w:r>
              <w:rPr>
                <w:rFonts w:ascii="宋体" w:hAnsi="宋体" w:eastAsia="宋体" w:cs="Times New Roman"/>
                <w:bCs/>
                <w:sz w:val="22"/>
                <w:szCs w:val="22"/>
                <w:highlight w:val="none"/>
              </w:rPr>
              <w:t xml:space="preserve"> </w:t>
            </w:r>
          </w:p>
        </w:tc>
      </w:tr>
      <w:tr w14:paraId="73F7B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4" w:hRule="atLeast"/>
          <w:jc w:val="center"/>
        </w:trPr>
        <w:tc>
          <w:tcPr>
            <w:tcW w:w="718" w:type="dxa"/>
            <w:vAlign w:val="center"/>
          </w:tcPr>
          <w:p w14:paraId="099F787D">
            <w:pPr>
              <w:jc w:val="center"/>
              <w:rPr>
                <w:rFonts w:ascii="宋体" w:hAnsi="宋体" w:eastAsia="等线" w:cs="Times New Roman"/>
                <w:sz w:val="18"/>
                <w:szCs w:val="18"/>
                <w:highlight w:val="none"/>
              </w:rPr>
            </w:pPr>
            <w:r>
              <w:rPr>
                <w:rFonts w:hint="eastAsia" w:ascii="宋体" w:hAnsi="宋体" w:cs="Times New Roman"/>
                <w:b/>
                <w:bCs/>
                <w:sz w:val="20"/>
                <w:szCs w:val="20"/>
                <w:highlight w:val="none"/>
              </w:rPr>
              <w:t>综合得分</w:t>
            </w:r>
          </w:p>
        </w:tc>
        <w:tc>
          <w:tcPr>
            <w:tcW w:w="9450" w:type="dxa"/>
            <w:gridSpan w:val="5"/>
            <w:vAlign w:val="center"/>
          </w:tcPr>
          <w:p w14:paraId="15FBBC85">
            <w:pPr>
              <w:tabs>
                <w:tab w:val="left" w:pos="1654"/>
              </w:tabs>
              <w:rPr>
                <w:rFonts w:ascii="宋体" w:hAnsi="宋体" w:eastAsia="等线" w:cs="Times New Roman"/>
                <w:bCs/>
                <w:sz w:val="16"/>
                <w:szCs w:val="16"/>
                <w:highlight w:val="none"/>
              </w:rPr>
            </w:pPr>
            <w:r>
              <w:rPr>
                <w:rFonts w:hint="eastAsia" w:ascii="宋体" w:hAnsi="宋体" w:cs="Times New Roman"/>
                <w:bCs/>
                <w:sz w:val="16"/>
                <w:szCs w:val="16"/>
                <w:highlight w:val="none"/>
              </w:rPr>
              <w:tab/>
            </w:r>
            <w:r>
              <w:rPr>
                <w:rFonts w:hint="eastAsia" w:ascii="宋体" w:hAnsi="Times New Roman" w:eastAsia="宋体" w:cs="Times New Roman"/>
                <w:b/>
                <w:sz w:val="22"/>
                <w:szCs w:val="22"/>
                <w:highlight w:val="none"/>
              </w:rPr>
              <w:t>综合得分=技术标得分×30%＋商务标得分×70%</w:t>
            </w:r>
          </w:p>
        </w:tc>
      </w:tr>
    </w:tbl>
    <w:p w14:paraId="27EF0E8A">
      <w:pPr>
        <w:rPr>
          <w:rFonts w:ascii="宋体" w:hAnsi="宋体" w:eastAsia="宋体" w:cs="Times New Roman"/>
          <w:b/>
          <w:bCs/>
          <w:sz w:val="24"/>
          <w:highlight w:val="none"/>
        </w:rPr>
      </w:pPr>
    </w:p>
    <w:p w14:paraId="065EE77C">
      <w:pPr>
        <w:rPr>
          <w:rFonts w:hint="eastAsia" w:hAnsi="宋体" w:eastAsia="宋体" w:cs="宋体"/>
          <w:b/>
          <w:bCs/>
          <w:color w:val="000000"/>
          <w:sz w:val="24"/>
          <w:szCs w:val="24"/>
          <w:highlight w:val="none"/>
        </w:rPr>
      </w:pPr>
      <w:r>
        <w:rPr>
          <w:rFonts w:hint="eastAsia" w:hAnsi="宋体" w:eastAsia="宋体" w:cs="宋体"/>
          <w:b/>
          <w:bCs/>
          <w:color w:val="000000"/>
          <w:sz w:val="24"/>
          <w:szCs w:val="24"/>
          <w:highlight w:val="none"/>
        </w:rPr>
        <w:br w:type="page"/>
      </w:r>
    </w:p>
    <w:p w14:paraId="0B13CA40">
      <w:pPr>
        <w:pStyle w:val="24"/>
        <w:outlineLvl w:val="2"/>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1F340AF8">
      <w:pPr>
        <w:adjustRightInd w:val="0"/>
        <w:snapToGrid w:val="0"/>
        <w:jc w:val="left"/>
        <w:rPr>
          <w:rFonts w:ascii="宋体" w:hAnsi="宋体" w:eastAsia="宋体" w:cs="宋体"/>
          <w:sz w:val="24"/>
          <w:szCs w:val="24"/>
        </w:rPr>
      </w:pPr>
    </w:p>
    <w:p w14:paraId="4428661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53F35A8F">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5FE81A02">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6"/>
                    <a:stretch>
                      <a:fillRect/>
                    </a:stretch>
                  </pic:blipFill>
                  <pic:spPr>
                    <a:xfrm>
                      <a:off x="0" y="0"/>
                      <a:ext cx="5758815" cy="2764790"/>
                    </a:xfrm>
                    <a:prstGeom prst="rect">
                      <a:avLst/>
                    </a:prstGeom>
                    <a:noFill/>
                    <a:ln>
                      <a:noFill/>
                    </a:ln>
                  </pic:spPr>
                </pic:pic>
              </a:graphicData>
            </a:graphic>
          </wp:inline>
        </w:drawing>
      </w:r>
    </w:p>
    <w:p w14:paraId="6B66287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06AC02F9">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43E0CCFD">
      <w:pPr>
        <w:snapToGrid w:val="0"/>
        <w:spacing w:line="312" w:lineRule="auto"/>
      </w:pPr>
      <w: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27" cstate="print"/>
                    <a:srcRect/>
                    <a:stretch>
                      <a:fillRect/>
                    </a:stretch>
                  </pic:blipFill>
                  <pic:spPr>
                    <a:xfrm>
                      <a:off x="0" y="0"/>
                      <a:ext cx="5760085" cy="2933065"/>
                    </a:xfrm>
                    <a:prstGeom prst="rect">
                      <a:avLst/>
                    </a:prstGeom>
                  </pic:spPr>
                </pic:pic>
              </a:graphicData>
            </a:graphic>
          </wp:inline>
        </w:drawing>
      </w:r>
    </w:p>
    <w:p w14:paraId="38147027">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0C3D2B1B">
      <w:pPr>
        <w:spacing w:line="360" w:lineRule="auto"/>
        <w:rPr>
          <w:rFonts w:ascii="宋体" w:hAnsi="宋体" w:eastAsia="宋体" w:cs="宋体"/>
          <w:sz w:val="24"/>
          <w:szCs w:val="28"/>
        </w:rPr>
      </w:pPr>
    </w:p>
    <w:p w14:paraId="73620843">
      <w:pPr>
        <w:snapToGrid w:val="0"/>
        <w:spacing w:line="312" w:lineRule="auto"/>
      </w:pPr>
      <w:r>
        <w:drawing>
          <wp:inline distT="0" distB="0" distL="0" distR="0">
            <wp:extent cx="5760085" cy="2766695"/>
            <wp:effectExtent l="0" t="0" r="5715" b="19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28" cstate="print"/>
                    <a:srcRect/>
                    <a:stretch>
                      <a:fillRect/>
                    </a:stretch>
                  </pic:blipFill>
                  <pic:spPr>
                    <a:xfrm>
                      <a:off x="0" y="0"/>
                      <a:ext cx="5760085" cy="2766695"/>
                    </a:xfrm>
                    <a:prstGeom prst="rect">
                      <a:avLst/>
                    </a:prstGeom>
                  </pic:spPr>
                </pic:pic>
              </a:graphicData>
            </a:graphic>
          </wp:inline>
        </w:drawing>
      </w:r>
    </w:p>
    <w:p w14:paraId="1DF63456">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71D49BE">
      <w:pPr>
        <w:snapToGrid w:val="0"/>
        <w:spacing w:line="312" w:lineRule="auto"/>
      </w:pPr>
      <w:r>
        <w:drawing>
          <wp:inline distT="0" distB="0" distL="0" distR="0">
            <wp:extent cx="5760085" cy="2869565"/>
            <wp:effectExtent l="0" t="0" r="5715" b="63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29" cstate="print"/>
                    <a:srcRect/>
                    <a:stretch>
                      <a:fillRect/>
                    </a:stretch>
                  </pic:blipFill>
                  <pic:spPr>
                    <a:xfrm>
                      <a:off x="0" y="0"/>
                      <a:ext cx="5760085" cy="2869565"/>
                    </a:xfrm>
                    <a:prstGeom prst="rect">
                      <a:avLst/>
                    </a:prstGeom>
                  </pic:spPr>
                </pic:pic>
              </a:graphicData>
            </a:graphic>
          </wp:inline>
        </w:drawing>
      </w:r>
    </w:p>
    <w:p w14:paraId="258F46E5">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EC3BF17">
      <w:pPr>
        <w:snapToGrid w:val="0"/>
        <w:spacing w:line="312" w:lineRule="auto"/>
      </w:pPr>
      <w:r>
        <w:drawing>
          <wp:inline distT="0" distB="0" distL="0" distR="0">
            <wp:extent cx="5760085" cy="2853055"/>
            <wp:effectExtent l="0" t="0" r="571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30" cstate="print"/>
                    <a:srcRect/>
                    <a:stretch>
                      <a:fillRect/>
                    </a:stretch>
                  </pic:blipFill>
                  <pic:spPr>
                    <a:xfrm>
                      <a:off x="0" y="0"/>
                      <a:ext cx="5760085" cy="2853055"/>
                    </a:xfrm>
                    <a:prstGeom prst="rect">
                      <a:avLst/>
                    </a:prstGeom>
                  </pic:spPr>
                </pic:pic>
              </a:graphicData>
            </a:graphic>
          </wp:inline>
        </w:drawing>
      </w:r>
    </w:p>
    <w:p w14:paraId="619779B8">
      <w:pPr>
        <w:numPr>
          <w:ilvl w:val="0"/>
          <w:numId w:val="10"/>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31"/>
                    <a:stretch>
                      <a:fillRect/>
                    </a:stretch>
                  </pic:blipFill>
                  <pic:spPr>
                    <a:xfrm>
                      <a:off x="0" y="0"/>
                      <a:ext cx="5758180" cy="3058795"/>
                    </a:xfrm>
                    <a:prstGeom prst="rect">
                      <a:avLst/>
                    </a:prstGeom>
                    <a:noFill/>
                    <a:ln>
                      <a:noFill/>
                    </a:ln>
                  </pic:spPr>
                </pic:pic>
              </a:graphicData>
            </a:graphic>
          </wp:inline>
        </w:drawing>
      </w:r>
    </w:p>
    <w:p w14:paraId="23EE8F94">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3A98D68D">
      <w:r>
        <w:drawing>
          <wp:inline distT="0" distB="0" distL="0" distR="0">
            <wp:extent cx="5760085" cy="2809875"/>
            <wp:effectExtent l="0" t="0" r="571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32" cstate="print"/>
                    <a:srcRect/>
                    <a:stretch>
                      <a:fillRect/>
                    </a:stretch>
                  </pic:blipFill>
                  <pic:spPr>
                    <a:xfrm>
                      <a:off x="0" y="0"/>
                      <a:ext cx="5760085" cy="2809875"/>
                    </a:xfrm>
                    <a:prstGeom prst="rect">
                      <a:avLst/>
                    </a:prstGeom>
                  </pic:spPr>
                </pic:pic>
              </a:graphicData>
            </a:graphic>
          </wp:inline>
        </w:drawing>
      </w:r>
    </w:p>
    <w:p w14:paraId="43BDB6C9">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377A2D12">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65FE416">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5E34F900">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 工艺设备 / 工艺设备</w:t>
      </w:r>
      <w:r>
        <w:rPr>
          <w:rFonts w:hint="eastAsia" w:ascii="宋体" w:hAnsi="宋体" w:eastAsia="宋体" w:cs="宋体"/>
          <w:b/>
          <w:bCs/>
          <w:color w:val="000000"/>
          <w:sz w:val="24"/>
          <w:szCs w:val="28"/>
          <w:highlight w:val="none"/>
        </w:rPr>
        <w:t>”，业务主管部门选择“</w:t>
      </w:r>
      <w:r>
        <w:rPr>
          <w:rFonts w:hint="eastAsia" w:ascii="宋体" w:hAnsi="宋体" w:eastAsia="宋体" w:cs="宋体"/>
          <w:b/>
          <w:bCs/>
          <w:color w:val="000000"/>
          <w:sz w:val="24"/>
          <w:szCs w:val="28"/>
          <w:highlight w:val="yellow"/>
        </w:rPr>
        <w:t>工艺研究院</w:t>
      </w:r>
      <w:r>
        <w:rPr>
          <w:rFonts w:hint="eastAsia" w:ascii="宋体" w:hAnsi="宋体" w:eastAsia="宋体" w:cs="宋体"/>
          <w:b/>
          <w:bCs/>
          <w:color w:val="000000"/>
          <w:sz w:val="24"/>
          <w:szCs w:val="28"/>
          <w:highlight w:val="none"/>
        </w:rPr>
        <w:t>”。</w:t>
      </w:r>
    </w:p>
    <w:p w14:paraId="1D2D9672">
      <w:pPr>
        <w:keepNext w:val="0"/>
        <w:keepLines w:val="0"/>
        <w:pageBreakBefore w:val="0"/>
        <w:widowControl w:val="0"/>
        <w:numPr>
          <w:ilvl w:val="0"/>
          <w:numId w:val="12"/>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5FE132AC">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30201E23">
      <w:pPr>
        <w:outlineLvl w:val="9"/>
        <w:rPr>
          <w:rFonts w:hint="default"/>
          <w:lang w:val="en-US" w:eastAsia="zh-CN"/>
        </w:rPr>
        <w:sectPr>
          <w:headerReference r:id="rId19" w:type="first"/>
          <w:footerReference r:id="rId21" w:type="first"/>
          <w:headerReference r:id="rId18" w:type="default"/>
          <w:footerReference r:id="rId20"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33"/>
                    <a:stretch>
                      <a:fillRect/>
                    </a:stretch>
                  </pic:blipFill>
                  <pic:spPr>
                    <a:xfrm>
                      <a:off x="0" y="0"/>
                      <a:ext cx="5486400" cy="2661285"/>
                    </a:xfrm>
                    <a:prstGeom prst="rect">
                      <a:avLst/>
                    </a:prstGeom>
                    <a:noFill/>
                    <a:ln>
                      <a:noFill/>
                    </a:ln>
                  </pic:spPr>
                </pic:pic>
              </a:graphicData>
            </a:graphic>
          </wp:inline>
        </w:drawing>
      </w:r>
    </w:p>
    <w:p w14:paraId="1D419B5D">
      <w:pPr>
        <w:pStyle w:val="234"/>
        <w:numPr>
          <w:ilvl w:val="0"/>
          <w:numId w:val="0"/>
        </w:numPr>
        <w:ind w:leftChars="0"/>
        <w:outlineLvl w:val="2"/>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附件二 SRM系统供应商用户手册</w:t>
      </w:r>
    </w:p>
    <w:p w14:paraId="4014C854">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54"/>
          <w:rFonts w:hint="eastAsia" w:ascii="宋体" w:hAnsi="宋体" w:eastAsia="宋体" w:cs="宋体"/>
          <w:sz w:val="24"/>
          <w:szCs w:val="24"/>
        </w:rPr>
        <w:t>http</w:t>
      </w:r>
      <w:r>
        <w:rPr>
          <w:rStyle w:val="54"/>
          <w:rFonts w:hint="eastAsia" w:ascii="宋体" w:hAnsi="宋体" w:eastAsia="宋体" w:cs="宋体"/>
          <w:sz w:val="24"/>
          <w:szCs w:val="24"/>
          <w:lang w:val="en-US" w:eastAsia="zh-CN"/>
        </w:rPr>
        <w:t>s</w:t>
      </w:r>
      <w:r>
        <w:rPr>
          <w:rStyle w:val="54"/>
          <w:rFonts w:hint="eastAsia" w:ascii="宋体" w:hAnsi="宋体" w:eastAsia="宋体" w:cs="宋体"/>
          <w:sz w:val="24"/>
          <w:szCs w:val="24"/>
        </w:rPr>
        <w:t>://ecaitong.sinotruk.com:8012/</w:t>
      </w:r>
      <w:r>
        <w:rPr>
          <w:rStyle w:val="54"/>
          <w:rFonts w:hint="eastAsia" w:ascii="宋体" w:hAnsi="宋体" w:eastAsia="宋体" w:cs="宋体"/>
          <w:sz w:val="24"/>
          <w:szCs w:val="24"/>
        </w:rPr>
        <w:fldChar w:fldCharType="end"/>
      </w:r>
    </w:p>
    <w:p w14:paraId="0224AAB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60FE9C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39D800F0">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92809BF">
      <w:r>
        <w:drawing>
          <wp:inline distT="0" distB="0" distL="0" distR="0">
            <wp:extent cx="5760085" cy="2269490"/>
            <wp:effectExtent l="0" t="0" r="5715" b="38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34" cstate="print"/>
                    <a:srcRect/>
                    <a:stretch>
                      <a:fillRect/>
                    </a:stretch>
                  </pic:blipFill>
                  <pic:spPr>
                    <a:xfrm>
                      <a:off x="0" y="0"/>
                      <a:ext cx="5760085" cy="2269490"/>
                    </a:xfrm>
                    <a:prstGeom prst="rect">
                      <a:avLst/>
                    </a:prstGeom>
                  </pic:spPr>
                </pic:pic>
              </a:graphicData>
            </a:graphic>
          </wp:inline>
        </w:drawing>
      </w:r>
    </w:p>
    <w:p w14:paraId="7F5F97E1">
      <w:pPr>
        <w:pStyle w:val="24"/>
      </w:pPr>
    </w:p>
    <w:p w14:paraId="44F04E35">
      <w:pPr>
        <w:pStyle w:val="24"/>
      </w:pPr>
      <w:r>
        <w:rPr>
          <w:rFonts w:hint="eastAsia" w:cs="Times New Roman"/>
          <w:b/>
          <w:bCs/>
          <w:highlight w:val="none"/>
          <w:lang w:val="en-US" w:eastAsia="zh-CN"/>
        </w:rPr>
        <w:t>2、应标页面否为代理商请如实选择，若为代理商应标，请在应标后联系商务联系人</w:t>
      </w:r>
    </w:p>
    <w:p w14:paraId="253C2BE3"/>
    <w:p w14:paraId="4049123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A173815">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2833D22F">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35" cstate="print"/>
                    <a:srcRect/>
                    <a:stretch>
                      <a:fillRect/>
                    </a:stretch>
                  </pic:blipFill>
                  <pic:spPr>
                    <a:xfrm>
                      <a:off x="0" y="0"/>
                      <a:ext cx="5760085" cy="2125345"/>
                    </a:xfrm>
                    <a:prstGeom prst="rect">
                      <a:avLst/>
                    </a:prstGeom>
                  </pic:spPr>
                </pic:pic>
              </a:graphicData>
            </a:graphic>
          </wp:inline>
        </w:drawing>
      </w:r>
    </w:p>
    <w:p w14:paraId="6B3098E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4AE5A03E">
      <w:pPr>
        <w:pStyle w:val="24"/>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2D8BBF64">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36" cstate="print"/>
                    <a:srcRect/>
                    <a:stretch>
                      <a:fillRect/>
                    </a:stretch>
                  </pic:blipFill>
                  <pic:spPr>
                    <a:xfrm>
                      <a:off x="0" y="0"/>
                      <a:ext cx="5490210" cy="2668905"/>
                    </a:xfrm>
                    <a:prstGeom prst="rect">
                      <a:avLst/>
                    </a:prstGeom>
                  </pic:spPr>
                </pic:pic>
              </a:graphicData>
            </a:graphic>
          </wp:inline>
        </w:drawing>
      </w:r>
    </w:p>
    <w:p w14:paraId="5FC6BCB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260FDDB">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84113DA">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B91C314">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37" cstate="print"/>
                    <a:srcRect/>
                    <a:stretch>
                      <a:fillRect/>
                    </a:stretch>
                  </pic:blipFill>
                  <pic:spPr>
                    <a:xfrm>
                      <a:off x="0" y="0"/>
                      <a:ext cx="5490210" cy="1992629"/>
                    </a:xfrm>
                    <a:prstGeom prst="rect">
                      <a:avLst/>
                    </a:prstGeom>
                  </pic:spPr>
                </pic:pic>
              </a:graphicData>
            </a:graphic>
          </wp:inline>
        </w:drawing>
      </w:r>
    </w:p>
    <w:p w14:paraId="626AAE0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1B0F8D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1028E20B">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44583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6C35D62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24B52E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1529799">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38" cstate="print"/>
                    <a:srcRect/>
                    <a:stretch>
                      <a:fillRect/>
                    </a:stretch>
                  </pic:blipFill>
                  <pic:spPr>
                    <a:xfrm>
                      <a:off x="0" y="0"/>
                      <a:ext cx="5490210" cy="2544445"/>
                    </a:xfrm>
                    <a:prstGeom prst="rect">
                      <a:avLst/>
                    </a:prstGeom>
                  </pic:spPr>
                </pic:pic>
              </a:graphicData>
            </a:graphic>
          </wp:inline>
        </w:drawing>
      </w:r>
    </w:p>
    <w:p w14:paraId="352E2EE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845FF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902E253">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DF53F64">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39" cstate="print"/>
                    <a:srcRect/>
                    <a:stretch>
                      <a:fillRect/>
                    </a:stretch>
                  </pic:blipFill>
                  <pic:spPr>
                    <a:xfrm>
                      <a:off x="0" y="0"/>
                      <a:ext cx="5760085" cy="1956435"/>
                    </a:xfrm>
                    <a:prstGeom prst="rect">
                      <a:avLst/>
                    </a:prstGeom>
                  </pic:spPr>
                </pic:pic>
              </a:graphicData>
            </a:graphic>
          </wp:inline>
        </w:drawing>
      </w:r>
    </w:p>
    <w:p w14:paraId="3FF7DF5D">
      <w:pPr>
        <w:pStyle w:val="24"/>
        <w:rPr>
          <w:rFonts w:hAnsi="宋体" w:eastAsia="宋体" w:cs="Times New Roman"/>
          <w:b/>
          <w:color w:val="000000"/>
          <w:sz w:val="24"/>
          <w:szCs w:val="24"/>
        </w:rPr>
      </w:pPr>
    </w:p>
    <w:p w14:paraId="3CEE3B78">
      <w:pPr>
        <w:pStyle w:val="24"/>
        <w:rPr>
          <w:rFonts w:hAnsi="宋体" w:eastAsia="宋体" w:cs="Times New Roman"/>
          <w:b/>
          <w:color w:val="000000"/>
          <w:sz w:val="24"/>
          <w:szCs w:val="24"/>
        </w:rPr>
      </w:pPr>
    </w:p>
    <w:p w14:paraId="67DF5B41">
      <w:pPr>
        <w:rPr>
          <w:rFonts w:hint="default" w:ascii="宋体" w:hAnsi="宋体" w:eastAsia="宋体" w:cs="宋体"/>
          <w:sz w:val="24"/>
          <w:szCs w:val="24"/>
          <w:lang w:val="en-US"/>
        </w:rPr>
      </w:pPr>
    </w:p>
    <w:p w14:paraId="3A5EB836">
      <w:pPr>
        <w:pStyle w:val="223"/>
        <w:ind w:left="0" w:leftChars="0" w:right="960" w:firstLine="0" w:firstLineChars="0"/>
        <w:jc w:val="both"/>
        <w:rPr>
          <w:rFonts w:hint="eastAsia" w:asciiTheme="minorEastAsia" w:hAnsiTheme="minorEastAsia" w:eastAsiaTheme="minorEastAsia" w:cstheme="minorEastAsia"/>
        </w:rPr>
      </w:pPr>
    </w:p>
    <w:sectPr>
      <w:headerReference r:id="rId22" w:type="default"/>
      <w:footerReference r:id="rId23" w:type="default"/>
      <w:pgSz w:w="11906" w:h="16838"/>
      <w:pgMar w:top="1134" w:right="1134" w:bottom="1134" w:left="1134" w:header="737" w:footer="573"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
    <w:altName w:val="等线"/>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MingLiU">
    <w:altName w:val="PMingLiU-ExtB"/>
    <w:panose1 w:val="02010609000101010101"/>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MS Gothic">
    <w:panose1 w:val="020B0609070205080204"/>
    <w:charset w:val="80"/>
    <w:family w:val="modern"/>
    <w:pitch w:val="default"/>
    <w:sig w:usb0="E00002FF" w:usb1="6AC7FDFB" w:usb2="08000012" w:usb3="00000000" w:csb0="4002009F" w:csb1="DFD70000"/>
  </w:font>
  <w:font w:name="CG Times (WN)">
    <w:altName w:val="Segoe Print"/>
    <w:panose1 w:val="000000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89283">
    <w:pPr>
      <w:pStyle w:val="3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361C150">
                          <w:pPr>
                            <w:pStyle w:val="30"/>
                          </w:pPr>
                          <w:r>
                            <w:fldChar w:fldCharType="begin"/>
                          </w:r>
                          <w:r>
                            <w:instrText xml:space="preserve"> PAGE  \* MERGEFORMAT </w:instrText>
                          </w:r>
                          <w:r>
                            <w:fldChar w:fldCharType="separate"/>
                          </w:r>
                          <w:r>
                            <w:t>- 29 -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U1eK8y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TV4rzICAABlBAAADgAAAAAAAAABACAAAAAfAQAAZHJzL2Uyb0RvYy54bWxQSwUG&#10;AAAAAAYABgBZAQAAwwUAAAAA&#10;">
              <v:fill on="f" focussize="0,0"/>
              <v:stroke on="f" weight="0.5pt"/>
              <v:imagedata o:title=""/>
              <o:lock v:ext="edit" aspectratio="f"/>
              <v:textbox inset="0mm,0mm,0mm,0mm" style="mso-fit-shape-to-text:t;">
                <w:txbxContent>
                  <w:p w14:paraId="7361C150">
                    <w:pPr>
                      <w:pStyle w:val="30"/>
                    </w:pPr>
                    <w:r>
                      <w:fldChar w:fldCharType="begin"/>
                    </w:r>
                    <w:r>
                      <w:instrText xml:space="preserve"> PAGE  \* MERGEFORMAT </w:instrText>
                    </w:r>
                    <w:r>
                      <w:fldChar w:fldCharType="separate"/>
                    </w:r>
                    <w:r>
                      <w:t>- 29 -</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67884">
    <w:pPr>
      <w:pStyle w:val="30"/>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6C5E69">
                          <w:pPr>
                            <w:pStyle w:val="30"/>
                          </w:pPr>
                          <w:r>
                            <w:fldChar w:fldCharType="begin"/>
                          </w:r>
                          <w:r>
                            <w:instrText xml:space="preserve"> PAGE  \* MERGEFORMAT </w:instrText>
                          </w:r>
                          <w:r>
                            <w:fldChar w:fldCharType="separate"/>
                          </w:r>
                          <w:r>
                            <w:t>109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9"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OIk7QtAgAAWAQAAA4AAABkcnMvZTJvRG9jLnhtbK1UzY7TMBC+I/EO&#10;lu80aRGrUj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OIk7QtAgAAWAQAAA4AAAAAAAAAAQAgAAAAHwEAAGRycy9lMm9Eb2MueG1sUEsFBgAAAAAG&#10;AAYAWQEAAL4FAAAAAA==&#10;">
              <v:fill on="f" focussize="0,0"/>
              <v:stroke on="f" weight="0.5pt"/>
              <v:imagedata o:title=""/>
              <o:lock v:ext="edit" aspectratio="f"/>
              <v:textbox inset="0mm,0mm,0mm,0mm" style="mso-fit-shape-to-text:t;">
                <w:txbxContent>
                  <w:p w14:paraId="3F6C5E69">
                    <w:pPr>
                      <w:pStyle w:val="30"/>
                    </w:pPr>
                    <w:r>
                      <w:fldChar w:fldCharType="begin"/>
                    </w:r>
                    <w:r>
                      <w:instrText xml:space="preserve"> PAGE  \* MERGEFORMAT </w:instrText>
                    </w:r>
                    <w:r>
                      <w:fldChar w:fldCharType="separate"/>
                    </w:r>
                    <w:r>
                      <w:t>109</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D8043D">
    <w:pPr>
      <w:spacing w:line="182" w:lineRule="auto"/>
      <w:ind w:left="6857"/>
      <w:rPr>
        <w:rFonts w:ascii="宋体" w:hAnsi="宋体" w:eastAsia="宋体" w:cs="宋体"/>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1F534E">
                          <w:pPr>
                            <w:pStyle w:val="30"/>
                          </w:pPr>
                          <w:r>
                            <w:fldChar w:fldCharType="begin"/>
                          </w:r>
                          <w:r>
                            <w:instrText xml:space="preserve"> PAGE  \* MERGEFORMAT </w:instrText>
                          </w:r>
                          <w:r>
                            <w:fldChar w:fldCharType="separate"/>
                          </w:r>
                          <w:r>
                            <w:t>108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0"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wJ8tctAgAAVwQAAA4AAAAAAAAAAQAgAAAAHwEAAGRycy9lMm9Eb2MueG1sUEsFBgAAAAAG&#10;AAYAWQEAAL4FAAAAAA==&#10;">
              <v:fill on="f" focussize="0,0"/>
              <v:stroke on="f" weight="0.5pt"/>
              <v:imagedata o:title=""/>
              <o:lock v:ext="edit" aspectratio="f"/>
              <v:textbox inset="0mm,0mm,0mm,0mm" style="mso-fit-shape-to-text:t;">
                <w:txbxContent>
                  <w:p w14:paraId="7C1F534E">
                    <w:pPr>
                      <w:pStyle w:val="30"/>
                    </w:pPr>
                    <w:r>
                      <w:fldChar w:fldCharType="begin"/>
                    </w:r>
                    <w:r>
                      <w:instrText xml:space="preserve"> PAGE  \* MERGEFORMAT </w:instrText>
                    </w:r>
                    <w:r>
                      <w:fldChar w:fldCharType="separate"/>
                    </w:r>
                    <w:r>
                      <w:t>108</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FF4658">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8FCF25">
                          <w:pPr>
                            <w:pStyle w:val="30"/>
                          </w:pPr>
                          <w:r>
                            <w:fldChar w:fldCharType="begin"/>
                          </w:r>
                          <w:r>
                            <w:instrText xml:space="preserve"> PAGE  \* MERGEFORMAT </w:instrText>
                          </w:r>
                          <w:r>
                            <w:fldChar w:fldCharType="separate"/>
                          </w:r>
                          <w:r>
                            <w:t>110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15"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zSVju0AAAAAUBAAAPAAAAAAAAAAEAIAAAACIAAABkcnMvZG93bnJldi54bWxQSwECFAAUAAAA&#10;CACHTuJA1dTxti8CAABYBAAADgAAAAAAAAABACAAAAAfAQAAZHJzL2Uyb0RvYy54bWxQSwUGAAAA&#10;AAYABgBZAQAAwAUAAAAA&#10;">
              <v:fill on="f" focussize="0,0"/>
              <v:stroke on="f" weight="0.5pt"/>
              <v:imagedata o:title=""/>
              <o:lock v:ext="edit" aspectratio="f"/>
              <v:textbox inset="0mm,0mm,0mm,0mm" style="mso-fit-shape-to-text:t;">
                <w:txbxContent>
                  <w:p w14:paraId="758FCF25">
                    <w:pPr>
                      <w:pStyle w:val="30"/>
                    </w:pPr>
                    <w:r>
                      <w:fldChar w:fldCharType="begin"/>
                    </w:r>
                    <w:r>
                      <w:instrText xml:space="preserve"> PAGE  \* MERGEFORMAT </w:instrText>
                    </w:r>
                    <w:r>
                      <w:fldChar w:fldCharType="separate"/>
                    </w:r>
                    <w:r>
                      <w:t>110</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6C9511">
                          <w:pPr>
                            <w:pStyle w:val="3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486C9511">
                    <w:pPr>
                      <w:pStyle w:val="3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5DE4B">
    <w:pPr>
      <w:pStyle w:val="30"/>
      <w:jc w:val="center"/>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5F8E294">
                          <w:pPr>
                            <w:pStyle w:val="3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14:paraId="25F8E294">
                    <w:pPr>
                      <w:pStyle w:val="3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80EE6">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A8C882">
                          <w:pPr>
                            <w:pStyle w:val="30"/>
                          </w:pPr>
                          <w:r>
                            <w:t xml:space="preserve">第 </w:t>
                          </w:r>
                          <w:r>
                            <w:fldChar w:fldCharType="begin"/>
                          </w:r>
                          <w:r>
                            <w:instrText xml:space="preserve"> PAGE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BA8C882">
                    <w:pPr>
                      <w:pStyle w:val="30"/>
                    </w:pPr>
                    <w:r>
                      <w:t xml:space="preserve">第 </w:t>
                    </w:r>
                    <w:r>
                      <w:fldChar w:fldCharType="begin"/>
                    </w:r>
                    <w:r>
                      <w:instrText xml:space="preserve"> PAGE  \* MERGEFORMAT </w:instrText>
                    </w:r>
                    <w:r>
                      <w:fldChar w:fldCharType="separate"/>
                    </w:r>
                    <w:r>
                      <w:t>40</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20022B">
    <w:pPr>
      <w:pStyle w:val="3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1406596">
                          <w:pPr>
                            <w:pStyle w:val="30"/>
                          </w:pPr>
                          <w:r>
                            <w:fldChar w:fldCharType="begin"/>
                          </w:r>
                          <w:r>
                            <w:instrText xml:space="preserve"> PAGE  \* MERGEFORMAT </w:instrText>
                          </w:r>
                          <w:r>
                            <w:fldChar w:fldCharType="separate"/>
                          </w:r>
                          <w:r>
                            <w:t>- 17 -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EGwwyAgAAZQQAAA4AAABkcnMvZTJvRG9jLnhtbK1UzY7TMBC+I/EO&#10;lu80bVes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n31dpwuXDwAlzrGijQNPUyk1JUerdDu&#10;2p7nzhQn0HSmmxRv+aZGKVvmwz1zGA2Uj8cT7rCU0iCl6S1KKuO+/us8xqNj8FLSYNRyqvGyKJEf&#10;NDoJwDAYbjB2g6EP6tZgdtEc1JJMXHBBDmbpjPqCF7WKOeBimiNTTsNg3oZu3PEiuVitUhBmz7Kw&#10;1Q+WR+goj7erQ4CcSeUoSqcEuhM3mL7Up/6lxPH+c5+inv4O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8QbDDICAABlBAAADgAAAAAAAAABACAAAAAfAQAAZHJzL2Uyb0RvYy54bWxQSwUG&#10;AAAAAAYABgBZAQAAwwUAAAAA&#10;">
              <v:fill on="f" focussize="0,0"/>
              <v:stroke on="f" weight="0.5pt"/>
              <v:imagedata o:title=""/>
              <o:lock v:ext="edit" aspectratio="f"/>
              <v:textbox inset="0mm,0mm,0mm,0mm" style="mso-fit-shape-to-text:t;">
                <w:txbxContent>
                  <w:p w14:paraId="61406596">
                    <w:pPr>
                      <w:pStyle w:val="30"/>
                    </w:pPr>
                    <w:r>
                      <w:fldChar w:fldCharType="begin"/>
                    </w:r>
                    <w:r>
                      <w:instrText xml:space="preserve"> PAGE  \* MERGEFORMAT </w:instrText>
                    </w:r>
                    <w:r>
                      <w:fldChar w:fldCharType="separate"/>
                    </w:r>
                    <w:r>
                      <w:t>- 17 -</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008226">
    <w:pPr>
      <w:pStyle w:val="3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562F89">
                          <w:pPr>
                            <w:pStyle w:val="30"/>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0"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AbC+FRLgIAAFgEAAAOAAAAAAAAAAEAIAAAAB8BAABkcnMvZTJvRG9jLnhtbFBLBQYAAAAA&#10;BgAGAFkBAAC/BQAAAAA=&#10;">
              <v:fill on="f" focussize="0,0"/>
              <v:stroke on="f" weight="0.5pt"/>
              <v:imagedata o:title=""/>
              <o:lock v:ext="edit" aspectratio="f"/>
              <v:textbox inset="0mm,0mm,0mm,0mm" style="mso-fit-shape-to-text:t;">
                <w:txbxContent>
                  <w:p w14:paraId="50562F89">
                    <w:pPr>
                      <w:pStyle w:val="30"/>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2993D9">
    <w:pPr>
      <w:pStyle w:val="3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BBE812">
                          <w:pPr>
                            <w:pStyle w:val="30"/>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1"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0iCokuAgAAWA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tIgqJLgIAAFgEAAAOAAAAAAAAAAEAIAAAAB8BAABkcnMvZTJvRG9jLnhtbFBLBQYAAAAA&#10;BgAGAFkBAAC/BQAAAAA=&#10;">
              <v:fill on="f" focussize="0,0"/>
              <v:stroke on="f" weight="0.5pt"/>
              <v:imagedata o:title=""/>
              <o:lock v:ext="edit" aspectratio="f"/>
              <v:textbox inset="0mm,0mm,0mm,0mm" style="mso-fit-shape-to-text:t;">
                <w:txbxContent>
                  <w:p w14:paraId="7CBBE812">
                    <w:pPr>
                      <w:pStyle w:val="30"/>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623FC">
    <w:pPr>
      <w:pStyle w:val="3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40A2DE">
                          <w:pPr>
                            <w:pStyle w:val="30"/>
                          </w:pPr>
                          <w:r>
                            <w:fldChar w:fldCharType="begin"/>
                          </w:r>
                          <w:r>
                            <w:instrText xml:space="preserve"> PAGE  \* MERGEFORMAT </w:instrText>
                          </w:r>
                          <w:r>
                            <w:fldChar w:fldCharType="separate"/>
                          </w:r>
                          <w:r>
                            <w:t>96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2"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TWguAgAAWAQAAA4AAABkcnMvZTJvRG9jLnhtbK1UzY7TMBC+I/EO&#10;lu80adGu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0P01oLgIAAFgEAAAOAAAAAAAAAAEAIAAAAB8BAABkcnMvZTJvRG9jLnhtbFBLBQYAAAAA&#10;BgAGAFkBAAC/BQAAAAA=&#10;">
              <v:fill on="f" focussize="0,0"/>
              <v:stroke on="f" weight="0.5pt"/>
              <v:imagedata o:title=""/>
              <o:lock v:ext="edit" aspectratio="f"/>
              <v:textbox inset="0mm,0mm,0mm,0mm" style="mso-fit-shape-to-text:t;">
                <w:txbxContent>
                  <w:p w14:paraId="4040A2DE">
                    <w:pPr>
                      <w:pStyle w:val="30"/>
                    </w:pPr>
                    <w:r>
                      <w:fldChar w:fldCharType="begin"/>
                    </w:r>
                    <w:r>
                      <w:instrText xml:space="preserve"> PAGE  \* MERGEFORMAT </w:instrText>
                    </w:r>
                    <w:r>
                      <w:fldChar w:fldCharType="separate"/>
                    </w:r>
                    <w:r>
                      <w:t>96</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F18832">
    <w:pPr>
      <w:pStyle w:val="30"/>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8DAC2E">
                          <w:pPr>
                            <w:pStyle w:val="30"/>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3"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DxhuQtAgAAWAQAAA4AAAAAAAAAAQAgAAAAHwEAAGRycy9lMm9Eb2MueG1sUEsFBgAAAAAG&#10;AAYAWQEAAL4FAAAAAA==&#10;">
              <v:fill on="f" focussize="0,0"/>
              <v:stroke on="f" weight="0.5pt"/>
              <v:imagedata o:title=""/>
              <o:lock v:ext="edit" aspectratio="f"/>
              <v:textbox inset="0mm,0mm,0mm,0mm" style="mso-fit-shape-to-text:t;">
                <w:txbxContent>
                  <w:p w14:paraId="7F8DAC2E">
                    <w:pPr>
                      <w:pStyle w:val="30"/>
                    </w:pPr>
                    <w:r>
                      <w:fldChar w:fldCharType="begin"/>
                    </w:r>
                    <w:r>
                      <w:instrText xml:space="preserve"> PAGE  \* MERGEFORMAT </w:instrText>
                    </w:r>
                    <w:r>
                      <w:fldChar w:fldCharType="separate"/>
                    </w:r>
                    <w:r>
                      <w:t>95</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B6F91">
    <w:pPr>
      <w:pStyle w:val="30"/>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494342">
                          <w:pPr>
                            <w:pStyle w:val="3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4"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L1CvktAgAAWA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L1CvktAgAAWAQAAA4AAAAAAAAAAQAgAAAAHwEAAGRycy9lMm9Eb2MueG1sUEsFBgAAAAAG&#10;AAYAWQEAAL4FAAAAAA==&#10;">
              <v:fill on="f" focussize="0,0"/>
              <v:stroke on="f" weight="0.5pt"/>
              <v:imagedata o:title=""/>
              <o:lock v:ext="edit" aspectratio="f"/>
              <v:textbox inset="0mm,0mm,0mm,0mm" style="mso-fit-shape-to-text:t;">
                <w:txbxContent>
                  <w:p w14:paraId="0A494342">
                    <w:pPr>
                      <w:pStyle w:val="3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AF21B">
    <w:pPr>
      <w:pStyle w:val="30"/>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11F475">
                          <w:pPr>
                            <w:pStyle w:val="30"/>
                          </w:pPr>
                          <w:r>
                            <w:fldChar w:fldCharType="begin"/>
                          </w:r>
                          <w:r>
                            <w:instrText xml:space="preserve"> PAGE  \* MERGEFORMAT </w:instrText>
                          </w:r>
                          <w:r>
                            <w:fldChar w:fldCharType="separate"/>
                          </w:r>
                          <w:r>
                            <w:t>97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5"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VsZAgtAgAAWA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VsZAgtAgAAWAQAAA4AAAAAAAAAAQAgAAAAHwEAAGRycy9lMm9Eb2MueG1sUEsFBgAAAAAG&#10;AAYAWQEAAL4FAAAAAA==&#10;">
              <v:fill on="f" focussize="0,0"/>
              <v:stroke on="f" weight="0.5pt"/>
              <v:imagedata o:title=""/>
              <o:lock v:ext="edit" aspectratio="f"/>
              <v:textbox inset="0mm,0mm,0mm,0mm" style="mso-fit-shape-to-text:t;">
                <w:txbxContent>
                  <w:p w14:paraId="1611F475">
                    <w:pPr>
                      <w:pStyle w:val="30"/>
                    </w:pPr>
                    <w:r>
                      <w:fldChar w:fldCharType="begin"/>
                    </w:r>
                    <w:r>
                      <w:instrText xml:space="preserve"> PAGE  \* MERGEFORMAT </w:instrText>
                    </w:r>
                    <w:r>
                      <w:fldChar w:fldCharType="separate"/>
                    </w:r>
                    <w:r>
                      <w:t>97</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FCFB1">
    <w:pPr>
      <w:pStyle w:val="30"/>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9A9DCB">
                          <w:pPr>
                            <w:pStyle w:val="3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mSxAItAgAAWA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mSxAItAgAAWAQAAA4AAAAAAAAAAQAgAAAAHwEAAGRycy9lMm9Eb2MueG1sUEsFBgAAAAAG&#10;AAYAWQEAAL4FAAAAAA==&#10;">
              <v:fill on="f" focussize="0,0"/>
              <v:stroke on="f" weight="0.5pt"/>
              <v:imagedata o:title=""/>
              <o:lock v:ext="edit" aspectratio="f"/>
              <v:textbox inset="0mm,0mm,0mm,0mm" style="mso-fit-shape-to-text:t;">
                <w:txbxContent>
                  <w:p w14:paraId="639A9DCB">
                    <w:pPr>
                      <w:pStyle w:val="30"/>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27D6C0">
    <w:pPr>
      <w:pStyle w:val="3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29B14E">
    <w:pPr>
      <w:pStyle w:val="31"/>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A855E3">
    <w:pPr>
      <w:pStyle w:val="3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31"/>
    </w:pPr>
  </w:p>
  <w:p w14:paraId="75DC59E1">
    <w:pPr>
      <w:pStyle w:val="3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39094">
    <w:pPr>
      <w:pStyle w:val="3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B7FDD">
    <w:pPr>
      <w:pStyle w:val="31"/>
      <w:pBdr>
        <w:bottom w:val="single" w:color="auto" w:sz="6" w:space="0"/>
      </w:pBdr>
      <w:jc w:val="both"/>
      <w:rPr>
        <w:rFonts w:hint="eastAsia" w:eastAsia="宋体"/>
        <w:sz w:val="16"/>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1B3AF5"/>
    <w:multiLevelType w:val="singleLevel"/>
    <w:tmpl w:val="891B3AF5"/>
    <w:lvl w:ilvl="0" w:tentative="0">
      <w:start w:val="1"/>
      <w:numFmt w:val="decimal"/>
      <w:lvlText w:val="%1."/>
      <w:lvlJc w:val="left"/>
      <w:pPr>
        <w:tabs>
          <w:tab w:val="left" w:pos="312"/>
        </w:tabs>
      </w:pPr>
    </w:lvl>
  </w:abstractNum>
  <w:abstractNum w:abstractNumId="1">
    <w:nsid w:val="D569400B"/>
    <w:multiLevelType w:val="singleLevel"/>
    <w:tmpl w:val="D569400B"/>
    <w:lvl w:ilvl="0" w:tentative="0">
      <w:start w:val="1"/>
      <w:numFmt w:val="decimal"/>
      <w:suff w:val="nothing"/>
      <w:lvlText w:val="%1．"/>
      <w:lvlJc w:val="left"/>
      <w:pPr>
        <w:ind w:left="0" w:firstLine="400"/>
      </w:pPr>
      <w:rPr>
        <w:rFonts w:hint="default"/>
      </w:rPr>
    </w:lvl>
  </w:abstractNum>
  <w:abstractNum w:abstractNumId="2">
    <w:nsid w:val="F54BF83F"/>
    <w:multiLevelType w:val="singleLevel"/>
    <w:tmpl w:val="F54BF83F"/>
    <w:lvl w:ilvl="0" w:tentative="0">
      <w:start w:val="1"/>
      <w:numFmt w:val="decimal"/>
      <w:suff w:val="space"/>
      <w:lvlText w:val="%1."/>
      <w:lvlJc w:val="left"/>
      <w:pPr>
        <w:ind w:left="0" w:firstLine="0"/>
      </w:pPr>
    </w:lvl>
  </w:abstractNum>
  <w:abstractNum w:abstractNumId="3">
    <w:nsid w:val="00000003"/>
    <w:multiLevelType w:val="singleLevel"/>
    <w:tmpl w:val="00000003"/>
    <w:lvl w:ilvl="0" w:tentative="0">
      <w:start w:val="5"/>
      <w:numFmt w:val="decimal"/>
      <w:lvlText w:val="%1."/>
      <w:lvlJc w:val="left"/>
      <w:pPr>
        <w:tabs>
          <w:tab w:val="left" w:pos="312"/>
        </w:tabs>
      </w:pPr>
    </w:lvl>
  </w:abstractNum>
  <w:abstractNum w:abstractNumId="4">
    <w:nsid w:val="06882CE3"/>
    <w:multiLevelType w:val="multilevel"/>
    <w:tmpl w:val="06882CE3"/>
    <w:lvl w:ilvl="0" w:tentative="0">
      <w:start w:val="1"/>
      <w:numFmt w:val="decimal"/>
      <w:pStyle w:val="230"/>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5">
    <w:nsid w:val="16DF253D"/>
    <w:multiLevelType w:val="multilevel"/>
    <w:tmpl w:val="16DF253D"/>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36C7309A"/>
    <w:multiLevelType w:val="multilevel"/>
    <w:tmpl w:val="36C7309A"/>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4AF0723E"/>
    <w:multiLevelType w:val="singleLevel"/>
    <w:tmpl w:val="4AF0723E"/>
    <w:lvl w:ilvl="0" w:tentative="0">
      <w:start w:val="2"/>
      <w:numFmt w:val="chineseCounting"/>
      <w:suff w:val="nothing"/>
      <w:lvlText w:val="%1、"/>
      <w:lvlJc w:val="left"/>
      <w:rPr>
        <w:rFonts w:hint="eastAsia"/>
      </w:rPr>
    </w:lvl>
  </w:abstractNum>
  <w:abstractNum w:abstractNumId="8">
    <w:nsid w:val="56D20133"/>
    <w:multiLevelType w:val="multilevel"/>
    <w:tmpl w:val="56D20133"/>
    <w:lvl w:ilvl="0" w:tentative="0">
      <w:start w:val="1"/>
      <w:numFmt w:val="chineseCountingThousand"/>
      <w:pStyle w:val="228"/>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9">
    <w:nsid w:val="656A6EAE"/>
    <w:multiLevelType w:val="multilevel"/>
    <w:tmpl w:val="656A6EAE"/>
    <w:lvl w:ilvl="0" w:tentative="0">
      <w:start w:val="1"/>
      <w:numFmt w:val="chineseCountingThousand"/>
      <w:pStyle w:val="23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0">
    <w:nsid w:val="7623664E"/>
    <w:multiLevelType w:val="multilevel"/>
    <w:tmpl w:val="7623664E"/>
    <w:lvl w:ilvl="0" w:tentative="0">
      <w:start w:val="1"/>
      <w:numFmt w:val="decimal"/>
      <w:lvlText w:val="%1."/>
      <w:lvlJc w:val="left"/>
      <w:pPr>
        <w:ind w:left="900" w:hanging="420"/>
      </w:pPr>
      <w:rPr>
        <w:rFonts w:hint="default"/>
        <w:b w:val="0"/>
        <w:bCs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77315800"/>
    <w:multiLevelType w:val="multilevel"/>
    <w:tmpl w:val="77315800"/>
    <w:lvl w:ilvl="0" w:tentative="0">
      <w:start w:val="1"/>
      <w:numFmt w:val="decimal"/>
      <w:lvlText w:val="%1."/>
      <w:lvlJc w:val="left"/>
      <w:pPr>
        <w:ind w:left="900" w:hanging="420"/>
      </w:pPr>
      <w:rPr>
        <w:rFonts w:hint="eastAsia"/>
      </w:rPr>
    </w:lvl>
    <w:lvl w:ilvl="1" w:tentative="0">
      <w:start w:val="1"/>
      <w:numFmt w:val="decimal"/>
      <w:lvlText w:val="（%2）"/>
      <w:lvlJc w:val="left"/>
      <w:pPr>
        <w:ind w:left="1620" w:hanging="7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8"/>
  </w:num>
  <w:num w:numId="2">
    <w:abstractNumId w:val="4"/>
  </w:num>
  <w:num w:numId="3">
    <w:abstractNumId w:val="9"/>
  </w:num>
  <w:num w:numId="4">
    <w:abstractNumId w:val="1"/>
  </w:num>
  <w:num w:numId="5">
    <w:abstractNumId w:val="11"/>
  </w:num>
  <w:num w:numId="6">
    <w:abstractNumId w:val="6"/>
  </w:num>
  <w:num w:numId="7">
    <w:abstractNumId w:val="5"/>
  </w:num>
  <w:num w:numId="8">
    <w:abstractNumId w:val="10"/>
  </w:num>
  <w:num w:numId="9">
    <w:abstractNumId w:val="0"/>
  </w:num>
  <w:num w:numId="10">
    <w:abstractNumId w:val="3"/>
  </w:num>
  <w:num w:numId="11">
    <w:abstractNumId w:val="2"/>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00"/>
  <w:drawingGridVerticalSpacing w:val="156"/>
  <w:displayHorizontalDrawingGridEvery w:val="1"/>
  <w:displayVerticalDrawingGridEvery w:val="1"/>
  <w:noPunctuationKerning w:val="1"/>
  <w:characterSpacingControl w:val="doNotCompress"/>
  <w:doNotValidateAgainstSchema/>
  <w:doNotDemarcateInvalidXml/>
  <w:hdrShapeDefaults>
    <o:shapelayout v:ext="edit">
      <o:idmap v:ext="edit" data="2"/>
    </o:shapelayout>
  </w:hdrShapeDefaults>
  <w:compat>
    <w:spaceForUL/>
    <w:doNotLeaveBackslashAlon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NhYmM5YTljOTRlZTk3ZmFmNWUyODJhYWQ3OWU2M2UifQ=="/>
  </w:docVars>
  <w:rsids>
    <w:rsidRoot w:val="00172A27"/>
    <w:rsid w:val="0000183C"/>
    <w:rsid w:val="000034D1"/>
    <w:rsid w:val="000035EA"/>
    <w:rsid w:val="000051AC"/>
    <w:rsid w:val="000057B7"/>
    <w:rsid w:val="00005EF2"/>
    <w:rsid w:val="00006E7C"/>
    <w:rsid w:val="0001216B"/>
    <w:rsid w:val="00012DD9"/>
    <w:rsid w:val="0001356E"/>
    <w:rsid w:val="000154DC"/>
    <w:rsid w:val="00016105"/>
    <w:rsid w:val="00016EBC"/>
    <w:rsid w:val="000208C0"/>
    <w:rsid w:val="00020D9D"/>
    <w:rsid w:val="000221BA"/>
    <w:rsid w:val="000229A8"/>
    <w:rsid w:val="00022C4A"/>
    <w:rsid w:val="00023AF8"/>
    <w:rsid w:val="00024807"/>
    <w:rsid w:val="00024C03"/>
    <w:rsid w:val="0002506A"/>
    <w:rsid w:val="00026E24"/>
    <w:rsid w:val="000300AB"/>
    <w:rsid w:val="00030E46"/>
    <w:rsid w:val="00031697"/>
    <w:rsid w:val="0003328B"/>
    <w:rsid w:val="00033873"/>
    <w:rsid w:val="00034C6D"/>
    <w:rsid w:val="00037FCD"/>
    <w:rsid w:val="000400D6"/>
    <w:rsid w:val="00040F60"/>
    <w:rsid w:val="00041C94"/>
    <w:rsid w:val="00044CB4"/>
    <w:rsid w:val="000473F7"/>
    <w:rsid w:val="000506BD"/>
    <w:rsid w:val="000508B3"/>
    <w:rsid w:val="000518BB"/>
    <w:rsid w:val="00052BAB"/>
    <w:rsid w:val="00052FFD"/>
    <w:rsid w:val="00054F55"/>
    <w:rsid w:val="00056C4B"/>
    <w:rsid w:val="00061356"/>
    <w:rsid w:val="0006371E"/>
    <w:rsid w:val="00064255"/>
    <w:rsid w:val="0006582E"/>
    <w:rsid w:val="000709BD"/>
    <w:rsid w:val="00071413"/>
    <w:rsid w:val="000719F0"/>
    <w:rsid w:val="00074606"/>
    <w:rsid w:val="00074F21"/>
    <w:rsid w:val="00076878"/>
    <w:rsid w:val="00076B92"/>
    <w:rsid w:val="00080790"/>
    <w:rsid w:val="000810CD"/>
    <w:rsid w:val="00081348"/>
    <w:rsid w:val="000813EA"/>
    <w:rsid w:val="00081EEF"/>
    <w:rsid w:val="0008416F"/>
    <w:rsid w:val="000855A4"/>
    <w:rsid w:val="00085731"/>
    <w:rsid w:val="00086335"/>
    <w:rsid w:val="0008717F"/>
    <w:rsid w:val="00090E18"/>
    <w:rsid w:val="00090EEF"/>
    <w:rsid w:val="00090FE6"/>
    <w:rsid w:val="0009439B"/>
    <w:rsid w:val="000956AD"/>
    <w:rsid w:val="000A0AD7"/>
    <w:rsid w:val="000A2AE6"/>
    <w:rsid w:val="000A2DB9"/>
    <w:rsid w:val="000A3E5C"/>
    <w:rsid w:val="000A7434"/>
    <w:rsid w:val="000A7B57"/>
    <w:rsid w:val="000B0B7C"/>
    <w:rsid w:val="000B2DE5"/>
    <w:rsid w:val="000B4F69"/>
    <w:rsid w:val="000B55C9"/>
    <w:rsid w:val="000D0CD1"/>
    <w:rsid w:val="000D1A07"/>
    <w:rsid w:val="000D2025"/>
    <w:rsid w:val="000D4041"/>
    <w:rsid w:val="000D4B6A"/>
    <w:rsid w:val="000D4D7E"/>
    <w:rsid w:val="000D516A"/>
    <w:rsid w:val="000D5B76"/>
    <w:rsid w:val="000E0745"/>
    <w:rsid w:val="000E2E8D"/>
    <w:rsid w:val="000E36C0"/>
    <w:rsid w:val="000E41D9"/>
    <w:rsid w:val="000E4609"/>
    <w:rsid w:val="000E511C"/>
    <w:rsid w:val="000E5161"/>
    <w:rsid w:val="000E6470"/>
    <w:rsid w:val="000E793B"/>
    <w:rsid w:val="000F0B85"/>
    <w:rsid w:val="000F1F00"/>
    <w:rsid w:val="000F2444"/>
    <w:rsid w:val="000F24FD"/>
    <w:rsid w:val="000F39B7"/>
    <w:rsid w:val="000F39CC"/>
    <w:rsid w:val="000F4892"/>
    <w:rsid w:val="000F6612"/>
    <w:rsid w:val="000F6BB5"/>
    <w:rsid w:val="000F722B"/>
    <w:rsid w:val="001009E0"/>
    <w:rsid w:val="00101369"/>
    <w:rsid w:val="00103A1D"/>
    <w:rsid w:val="001041F0"/>
    <w:rsid w:val="00105EBB"/>
    <w:rsid w:val="0010751C"/>
    <w:rsid w:val="00107E3B"/>
    <w:rsid w:val="001114FF"/>
    <w:rsid w:val="00111C06"/>
    <w:rsid w:val="0011258E"/>
    <w:rsid w:val="001141C7"/>
    <w:rsid w:val="00114BBB"/>
    <w:rsid w:val="0011501D"/>
    <w:rsid w:val="001178E9"/>
    <w:rsid w:val="00120AA5"/>
    <w:rsid w:val="001211E6"/>
    <w:rsid w:val="00121397"/>
    <w:rsid w:val="00121F17"/>
    <w:rsid w:val="001222B8"/>
    <w:rsid w:val="001231A7"/>
    <w:rsid w:val="00124D44"/>
    <w:rsid w:val="00127BD4"/>
    <w:rsid w:val="0013029A"/>
    <w:rsid w:val="00131D9A"/>
    <w:rsid w:val="00133BEC"/>
    <w:rsid w:val="001341AB"/>
    <w:rsid w:val="00134C4E"/>
    <w:rsid w:val="0013763B"/>
    <w:rsid w:val="00137FE1"/>
    <w:rsid w:val="00140F66"/>
    <w:rsid w:val="0014272A"/>
    <w:rsid w:val="001439A4"/>
    <w:rsid w:val="00144987"/>
    <w:rsid w:val="0014520D"/>
    <w:rsid w:val="0014669E"/>
    <w:rsid w:val="00147CD9"/>
    <w:rsid w:val="00154B2B"/>
    <w:rsid w:val="00155123"/>
    <w:rsid w:val="00157E21"/>
    <w:rsid w:val="0016528E"/>
    <w:rsid w:val="00170873"/>
    <w:rsid w:val="0017217F"/>
    <w:rsid w:val="00172A27"/>
    <w:rsid w:val="00172F05"/>
    <w:rsid w:val="0017342A"/>
    <w:rsid w:val="00173865"/>
    <w:rsid w:val="001738BE"/>
    <w:rsid w:val="001744A8"/>
    <w:rsid w:val="00174A12"/>
    <w:rsid w:val="00174E52"/>
    <w:rsid w:val="0017511C"/>
    <w:rsid w:val="00175CC4"/>
    <w:rsid w:val="00176DD3"/>
    <w:rsid w:val="0017790F"/>
    <w:rsid w:val="00180708"/>
    <w:rsid w:val="00183225"/>
    <w:rsid w:val="00185FA0"/>
    <w:rsid w:val="001871ED"/>
    <w:rsid w:val="001876B0"/>
    <w:rsid w:val="00193C83"/>
    <w:rsid w:val="00194697"/>
    <w:rsid w:val="0019620A"/>
    <w:rsid w:val="001962F4"/>
    <w:rsid w:val="00197BC5"/>
    <w:rsid w:val="00197FC6"/>
    <w:rsid w:val="001A01C2"/>
    <w:rsid w:val="001A0A5C"/>
    <w:rsid w:val="001A1078"/>
    <w:rsid w:val="001A1FC4"/>
    <w:rsid w:val="001A3453"/>
    <w:rsid w:val="001A382C"/>
    <w:rsid w:val="001A4258"/>
    <w:rsid w:val="001A514B"/>
    <w:rsid w:val="001A5A78"/>
    <w:rsid w:val="001A6A83"/>
    <w:rsid w:val="001A6D0F"/>
    <w:rsid w:val="001A71ED"/>
    <w:rsid w:val="001A776E"/>
    <w:rsid w:val="001B020A"/>
    <w:rsid w:val="001B0810"/>
    <w:rsid w:val="001B2C24"/>
    <w:rsid w:val="001B37BA"/>
    <w:rsid w:val="001B469B"/>
    <w:rsid w:val="001B5339"/>
    <w:rsid w:val="001C0478"/>
    <w:rsid w:val="001C1AF1"/>
    <w:rsid w:val="001C23F2"/>
    <w:rsid w:val="001C2D80"/>
    <w:rsid w:val="001C37EB"/>
    <w:rsid w:val="001C3C7E"/>
    <w:rsid w:val="001C4A93"/>
    <w:rsid w:val="001C7654"/>
    <w:rsid w:val="001D02D4"/>
    <w:rsid w:val="001D06E0"/>
    <w:rsid w:val="001D0EEF"/>
    <w:rsid w:val="001D1CCB"/>
    <w:rsid w:val="001D35B3"/>
    <w:rsid w:val="001D3EB8"/>
    <w:rsid w:val="001D6245"/>
    <w:rsid w:val="001D719D"/>
    <w:rsid w:val="001E0118"/>
    <w:rsid w:val="001E0FE8"/>
    <w:rsid w:val="001E22B6"/>
    <w:rsid w:val="001E2B36"/>
    <w:rsid w:val="001E43E9"/>
    <w:rsid w:val="001E5110"/>
    <w:rsid w:val="001E64F1"/>
    <w:rsid w:val="001E7757"/>
    <w:rsid w:val="001E79E2"/>
    <w:rsid w:val="001E7CE9"/>
    <w:rsid w:val="001F1EF8"/>
    <w:rsid w:val="001F3DB4"/>
    <w:rsid w:val="001F4637"/>
    <w:rsid w:val="001F56A5"/>
    <w:rsid w:val="001F6038"/>
    <w:rsid w:val="001F767C"/>
    <w:rsid w:val="001F780E"/>
    <w:rsid w:val="001F7A8B"/>
    <w:rsid w:val="00200474"/>
    <w:rsid w:val="00204094"/>
    <w:rsid w:val="002056DC"/>
    <w:rsid w:val="00205FBA"/>
    <w:rsid w:val="00206209"/>
    <w:rsid w:val="00206845"/>
    <w:rsid w:val="00207BA9"/>
    <w:rsid w:val="00207C4C"/>
    <w:rsid w:val="00212288"/>
    <w:rsid w:val="002126A3"/>
    <w:rsid w:val="00215A7F"/>
    <w:rsid w:val="00215FE2"/>
    <w:rsid w:val="00216F63"/>
    <w:rsid w:val="00221300"/>
    <w:rsid w:val="00221D58"/>
    <w:rsid w:val="00222929"/>
    <w:rsid w:val="00223427"/>
    <w:rsid w:val="00225284"/>
    <w:rsid w:val="002253AD"/>
    <w:rsid w:val="002257DF"/>
    <w:rsid w:val="00226053"/>
    <w:rsid w:val="00226302"/>
    <w:rsid w:val="00226BA1"/>
    <w:rsid w:val="002273AE"/>
    <w:rsid w:val="002307D0"/>
    <w:rsid w:val="00230F26"/>
    <w:rsid w:val="00233392"/>
    <w:rsid w:val="00236155"/>
    <w:rsid w:val="002373F7"/>
    <w:rsid w:val="00240826"/>
    <w:rsid w:val="00240C91"/>
    <w:rsid w:val="002420A4"/>
    <w:rsid w:val="00244D60"/>
    <w:rsid w:val="0025035D"/>
    <w:rsid w:val="0025114F"/>
    <w:rsid w:val="00253A72"/>
    <w:rsid w:val="00254DCB"/>
    <w:rsid w:val="002556BE"/>
    <w:rsid w:val="00257753"/>
    <w:rsid w:val="00260850"/>
    <w:rsid w:val="00260B68"/>
    <w:rsid w:val="002610B2"/>
    <w:rsid w:val="00262747"/>
    <w:rsid w:val="002629AD"/>
    <w:rsid w:val="00262F57"/>
    <w:rsid w:val="0026364D"/>
    <w:rsid w:val="0026538D"/>
    <w:rsid w:val="00266D11"/>
    <w:rsid w:val="002701A6"/>
    <w:rsid w:val="00270935"/>
    <w:rsid w:val="00273669"/>
    <w:rsid w:val="0027397B"/>
    <w:rsid w:val="002742F4"/>
    <w:rsid w:val="002765F0"/>
    <w:rsid w:val="00280578"/>
    <w:rsid w:val="00280D1A"/>
    <w:rsid w:val="0028178C"/>
    <w:rsid w:val="00281B3E"/>
    <w:rsid w:val="0028405F"/>
    <w:rsid w:val="002844AC"/>
    <w:rsid w:val="00284EFF"/>
    <w:rsid w:val="002854BD"/>
    <w:rsid w:val="00285B17"/>
    <w:rsid w:val="00285F28"/>
    <w:rsid w:val="0028791A"/>
    <w:rsid w:val="00287E7D"/>
    <w:rsid w:val="002901F0"/>
    <w:rsid w:val="00291C5E"/>
    <w:rsid w:val="00293D1A"/>
    <w:rsid w:val="002940F2"/>
    <w:rsid w:val="00294513"/>
    <w:rsid w:val="0029713B"/>
    <w:rsid w:val="002A1089"/>
    <w:rsid w:val="002A2A13"/>
    <w:rsid w:val="002A499F"/>
    <w:rsid w:val="002A580F"/>
    <w:rsid w:val="002A7A04"/>
    <w:rsid w:val="002A7D01"/>
    <w:rsid w:val="002A7D64"/>
    <w:rsid w:val="002B0589"/>
    <w:rsid w:val="002B0603"/>
    <w:rsid w:val="002B0848"/>
    <w:rsid w:val="002B3414"/>
    <w:rsid w:val="002B54AE"/>
    <w:rsid w:val="002B6D24"/>
    <w:rsid w:val="002B6E0F"/>
    <w:rsid w:val="002B7724"/>
    <w:rsid w:val="002C05DB"/>
    <w:rsid w:val="002C14BF"/>
    <w:rsid w:val="002C1583"/>
    <w:rsid w:val="002C1A8C"/>
    <w:rsid w:val="002C27CC"/>
    <w:rsid w:val="002C2DB1"/>
    <w:rsid w:val="002C4908"/>
    <w:rsid w:val="002C6753"/>
    <w:rsid w:val="002D16E1"/>
    <w:rsid w:val="002D1A3B"/>
    <w:rsid w:val="002D24CF"/>
    <w:rsid w:val="002D5046"/>
    <w:rsid w:val="002D6DD2"/>
    <w:rsid w:val="002D7971"/>
    <w:rsid w:val="002E0178"/>
    <w:rsid w:val="002E02E6"/>
    <w:rsid w:val="002E140F"/>
    <w:rsid w:val="002E365E"/>
    <w:rsid w:val="002E4BCE"/>
    <w:rsid w:val="002E7019"/>
    <w:rsid w:val="002F1905"/>
    <w:rsid w:val="002F3CC6"/>
    <w:rsid w:val="002F4F2E"/>
    <w:rsid w:val="002F7DBB"/>
    <w:rsid w:val="003004BA"/>
    <w:rsid w:val="00302015"/>
    <w:rsid w:val="00302335"/>
    <w:rsid w:val="00302614"/>
    <w:rsid w:val="00303641"/>
    <w:rsid w:val="00306283"/>
    <w:rsid w:val="00310532"/>
    <w:rsid w:val="00311044"/>
    <w:rsid w:val="003112D9"/>
    <w:rsid w:val="0031445C"/>
    <w:rsid w:val="003147C5"/>
    <w:rsid w:val="00314AD0"/>
    <w:rsid w:val="00316504"/>
    <w:rsid w:val="00317723"/>
    <w:rsid w:val="00317E9C"/>
    <w:rsid w:val="00317EEA"/>
    <w:rsid w:val="003224D2"/>
    <w:rsid w:val="00322F94"/>
    <w:rsid w:val="0032565B"/>
    <w:rsid w:val="00327187"/>
    <w:rsid w:val="003303FF"/>
    <w:rsid w:val="003314C7"/>
    <w:rsid w:val="00333652"/>
    <w:rsid w:val="00335FB7"/>
    <w:rsid w:val="0034003A"/>
    <w:rsid w:val="00340370"/>
    <w:rsid w:val="00340AC2"/>
    <w:rsid w:val="00341B8B"/>
    <w:rsid w:val="00342361"/>
    <w:rsid w:val="003430C6"/>
    <w:rsid w:val="00343DD7"/>
    <w:rsid w:val="00343FE7"/>
    <w:rsid w:val="00344082"/>
    <w:rsid w:val="00344FF9"/>
    <w:rsid w:val="00345A38"/>
    <w:rsid w:val="003460FA"/>
    <w:rsid w:val="003469AD"/>
    <w:rsid w:val="003479BD"/>
    <w:rsid w:val="00347F92"/>
    <w:rsid w:val="0035334C"/>
    <w:rsid w:val="00355A7C"/>
    <w:rsid w:val="00357548"/>
    <w:rsid w:val="003619C5"/>
    <w:rsid w:val="00363122"/>
    <w:rsid w:val="003659FE"/>
    <w:rsid w:val="00367455"/>
    <w:rsid w:val="00372AE8"/>
    <w:rsid w:val="00372C72"/>
    <w:rsid w:val="003778D8"/>
    <w:rsid w:val="003800EE"/>
    <w:rsid w:val="003810C2"/>
    <w:rsid w:val="0038339D"/>
    <w:rsid w:val="003845C4"/>
    <w:rsid w:val="00384B94"/>
    <w:rsid w:val="0038583D"/>
    <w:rsid w:val="00385E69"/>
    <w:rsid w:val="00386767"/>
    <w:rsid w:val="00387488"/>
    <w:rsid w:val="003875BA"/>
    <w:rsid w:val="0038788C"/>
    <w:rsid w:val="0039370F"/>
    <w:rsid w:val="00393FCE"/>
    <w:rsid w:val="003946A1"/>
    <w:rsid w:val="00394AAD"/>
    <w:rsid w:val="00396025"/>
    <w:rsid w:val="0039605B"/>
    <w:rsid w:val="003A0F9F"/>
    <w:rsid w:val="003A15C2"/>
    <w:rsid w:val="003A304A"/>
    <w:rsid w:val="003A3D36"/>
    <w:rsid w:val="003A46FF"/>
    <w:rsid w:val="003A49B8"/>
    <w:rsid w:val="003A4E10"/>
    <w:rsid w:val="003A5BE8"/>
    <w:rsid w:val="003A6586"/>
    <w:rsid w:val="003A6CA2"/>
    <w:rsid w:val="003B2AC4"/>
    <w:rsid w:val="003B792C"/>
    <w:rsid w:val="003C05FB"/>
    <w:rsid w:val="003C3F8F"/>
    <w:rsid w:val="003C511F"/>
    <w:rsid w:val="003C6427"/>
    <w:rsid w:val="003C6695"/>
    <w:rsid w:val="003C674D"/>
    <w:rsid w:val="003C71AC"/>
    <w:rsid w:val="003C754D"/>
    <w:rsid w:val="003C7C44"/>
    <w:rsid w:val="003D0365"/>
    <w:rsid w:val="003D2235"/>
    <w:rsid w:val="003D343B"/>
    <w:rsid w:val="003D3F7A"/>
    <w:rsid w:val="003D5147"/>
    <w:rsid w:val="003D6DE2"/>
    <w:rsid w:val="003D6E42"/>
    <w:rsid w:val="003E2E79"/>
    <w:rsid w:val="003E4195"/>
    <w:rsid w:val="003E4811"/>
    <w:rsid w:val="003E4EC6"/>
    <w:rsid w:val="003E658A"/>
    <w:rsid w:val="003F12A0"/>
    <w:rsid w:val="003F12DE"/>
    <w:rsid w:val="003F34AF"/>
    <w:rsid w:val="003F3957"/>
    <w:rsid w:val="003F3A3C"/>
    <w:rsid w:val="003F3A49"/>
    <w:rsid w:val="003F743B"/>
    <w:rsid w:val="00400244"/>
    <w:rsid w:val="00400532"/>
    <w:rsid w:val="0040099D"/>
    <w:rsid w:val="00400A31"/>
    <w:rsid w:val="00401E95"/>
    <w:rsid w:val="00404ADD"/>
    <w:rsid w:val="004061D7"/>
    <w:rsid w:val="00407D78"/>
    <w:rsid w:val="00411603"/>
    <w:rsid w:val="004119D0"/>
    <w:rsid w:val="00412546"/>
    <w:rsid w:val="0041266B"/>
    <w:rsid w:val="00412A74"/>
    <w:rsid w:val="00412FF8"/>
    <w:rsid w:val="0041385C"/>
    <w:rsid w:val="00413BB2"/>
    <w:rsid w:val="00413F5B"/>
    <w:rsid w:val="00415F3E"/>
    <w:rsid w:val="004165F6"/>
    <w:rsid w:val="004168F3"/>
    <w:rsid w:val="00417A9A"/>
    <w:rsid w:val="004213DF"/>
    <w:rsid w:val="004225D7"/>
    <w:rsid w:val="004229AA"/>
    <w:rsid w:val="00425CEA"/>
    <w:rsid w:val="00426B8C"/>
    <w:rsid w:val="00432229"/>
    <w:rsid w:val="004327FF"/>
    <w:rsid w:val="0043403A"/>
    <w:rsid w:val="00442430"/>
    <w:rsid w:val="00442705"/>
    <w:rsid w:val="004437DE"/>
    <w:rsid w:val="00443906"/>
    <w:rsid w:val="00443F93"/>
    <w:rsid w:val="00444238"/>
    <w:rsid w:val="00445272"/>
    <w:rsid w:val="00446B68"/>
    <w:rsid w:val="00447BFC"/>
    <w:rsid w:val="00447C1D"/>
    <w:rsid w:val="00451C64"/>
    <w:rsid w:val="004526DA"/>
    <w:rsid w:val="004534DD"/>
    <w:rsid w:val="00453788"/>
    <w:rsid w:val="004658A3"/>
    <w:rsid w:val="00467AF4"/>
    <w:rsid w:val="00470DD6"/>
    <w:rsid w:val="004714BE"/>
    <w:rsid w:val="0047179D"/>
    <w:rsid w:val="004725DE"/>
    <w:rsid w:val="004729F0"/>
    <w:rsid w:val="00472B3D"/>
    <w:rsid w:val="0047324B"/>
    <w:rsid w:val="0047473E"/>
    <w:rsid w:val="00475B28"/>
    <w:rsid w:val="00475C12"/>
    <w:rsid w:val="00476DB4"/>
    <w:rsid w:val="0047730E"/>
    <w:rsid w:val="00480089"/>
    <w:rsid w:val="0048095C"/>
    <w:rsid w:val="00480F87"/>
    <w:rsid w:val="0048108B"/>
    <w:rsid w:val="0048182C"/>
    <w:rsid w:val="00482DFB"/>
    <w:rsid w:val="00487150"/>
    <w:rsid w:val="004906A8"/>
    <w:rsid w:val="004912FB"/>
    <w:rsid w:val="00492C35"/>
    <w:rsid w:val="00494E20"/>
    <w:rsid w:val="00496276"/>
    <w:rsid w:val="0049670E"/>
    <w:rsid w:val="00497CF2"/>
    <w:rsid w:val="00497DD7"/>
    <w:rsid w:val="004A3844"/>
    <w:rsid w:val="004A3EC9"/>
    <w:rsid w:val="004A4EEB"/>
    <w:rsid w:val="004A4EFC"/>
    <w:rsid w:val="004A75A1"/>
    <w:rsid w:val="004B07AB"/>
    <w:rsid w:val="004B09ED"/>
    <w:rsid w:val="004B1C37"/>
    <w:rsid w:val="004B3FAC"/>
    <w:rsid w:val="004B4C51"/>
    <w:rsid w:val="004B4CBA"/>
    <w:rsid w:val="004B6053"/>
    <w:rsid w:val="004C05CD"/>
    <w:rsid w:val="004C0F70"/>
    <w:rsid w:val="004C104F"/>
    <w:rsid w:val="004C1B1E"/>
    <w:rsid w:val="004C30BF"/>
    <w:rsid w:val="004C37DB"/>
    <w:rsid w:val="004C561A"/>
    <w:rsid w:val="004C7F81"/>
    <w:rsid w:val="004D1B2F"/>
    <w:rsid w:val="004D1DF4"/>
    <w:rsid w:val="004D2F9C"/>
    <w:rsid w:val="004D33B4"/>
    <w:rsid w:val="004D3986"/>
    <w:rsid w:val="004D45BB"/>
    <w:rsid w:val="004D69B7"/>
    <w:rsid w:val="004D6BC1"/>
    <w:rsid w:val="004D78D0"/>
    <w:rsid w:val="004D7B65"/>
    <w:rsid w:val="004E27D0"/>
    <w:rsid w:val="004E4252"/>
    <w:rsid w:val="004E45AC"/>
    <w:rsid w:val="004E4D8C"/>
    <w:rsid w:val="004E6388"/>
    <w:rsid w:val="004F05CB"/>
    <w:rsid w:val="004F39EF"/>
    <w:rsid w:val="004F4063"/>
    <w:rsid w:val="004F55EE"/>
    <w:rsid w:val="004F5A7E"/>
    <w:rsid w:val="004F5CDB"/>
    <w:rsid w:val="004F6E85"/>
    <w:rsid w:val="004F70E8"/>
    <w:rsid w:val="00502DA9"/>
    <w:rsid w:val="00504EB4"/>
    <w:rsid w:val="005058E6"/>
    <w:rsid w:val="00505E3E"/>
    <w:rsid w:val="005069FA"/>
    <w:rsid w:val="005079E6"/>
    <w:rsid w:val="00507D24"/>
    <w:rsid w:val="00510196"/>
    <w:rsid w:val="00513C5E"/>
    <w:rsid w:val="005147ED"/>
    <w:rsid w:val="00514D8E"/>
    <w:rsid w:val="005158A0"/>
    <w:rsid w:val="00517318"/>
    <w:rsid w:val="00517634"/>
    <w:rsid w:val="00520AD6"/>
    <w:rsid w:val="00520FB1"/>
    <w:rsid w:val="005220FB"/>
    <w:rsid w:val="005228D9"/>
    <w:rsid w:val="00523E76"/>
    <w:rsid w:val="00524362"/>
    <w:rsid w:val="00525C45"/>
    <w:rsid w:val="005274AD"/>
    <w:rsid w:val="0053171B"/>
    <w:rsid w:val="0053235C"/>
    <w:rsid w:val="005333AD"/>
    <w:rsid w:val="00541AEA"/>
    <w:rsid w:val="00543E63"/>
    <w:rsid w:val="00550BB8"/>
    <w:rsid w:val="0055162C"/>
    <w:rsid w:val="005532A7"/>
    <w:rsid w:val="0056056C"/>
    <w:rsid w:val="00560C52"/>
    <w:rsid w:val="0056148B"/>
    <w:rsid w:val="005626C3"/>
    <w:rsid w:val="005630EA"/>
    <w:rsid w:val="00563DFC"/>
    <w:rsid w:val="0056438D"/>
    <w:rsid w:val="0056666A"/>
    <w:rsid w:val="00567322"/>
    <w:rsid w:val="00567874"/>
    <w:rsid w:val="00572C39"/>
    <w:rsid w:val="00573EFB"/>
    <w:rsid w:val="0057432F"/>
    <w:rsid w:val="0057452B"/>
    <w:rsid w:val="00576A79"/>
    <w:rsid w:val="00577A20"/>
    <w:rsid w:val="0058117D"/>
    <w:rsid w:val="0058185E"/>
    <w:rsid w:val="0058271C"/>
    <w:rsid w:val="0058395D"/>
    <w:rsid w:val="00583F48"/>
    <w:rsid w:val="00584944"/>
    <w:rsid w:val="005859B1"/>
    <w:rsid w:val="00585B13"/>
    <w:rsid w:val="005869A3"/>
    <w:rsid w:val="00590CAC"/>
    <w:rsid w:val="00593852"/>
    <w:rsid w:val="005948E1"/>
    <w:rsid w:val="00596B83"/>
    <w:rsid w:val="0059763B"/>
    <w:rsid w:val="00597661"/>
    <w:rsid w:val="005A0976"/>
    <w:rsid w:val="005A65C2"/>
    <w:rsid w:val="005A677E"/>
    <w:rsid w:val="005A7FE7"/>
    <w:rsid w:val="005B0CF4"/>
    <w:rsid w:val="005B129B"/>
    <w:rsid w:val="005B2EDB"/>
    <w:rsid w:val="005B43A0"/>
    <w:rsid w:val="005B704C"/>
    <w:rsid w:val="005C00A6"/>
    <w:rsid w:val="005C0DAD"/>
    <w:rsid w:val="005C2EF0"/>
    <w:rsid w:val="005C77C6"/>
    <w:rsid w:val="005D1312"/>
    <w:rsid w:val="005D2299"/>
    <w:rsid w:val="005D3286"/>
    <w:rsid w:val="005D3B93"/>
    <w:rsid w:val="005E2DC6"/>
    <w:rsid w:val="005E5313"/>
    <w:rsid w:val="005E7349"/>
    <w:rsid w:val="005E77B4"/>
    <w:rsid w:val="005F2A3C"/>
    <w:rsid w:val="005F2CB4"/>
    <w:rsid w:val="005F3148"/>
    <w:rsid w:val="005F36D4"/>
    <w:rsid w:val="005F49FC"/>
    <w:rsid w:val="005F4CA1"/>
    <w:rsid w:val="005F684D"/>
    <w:rsid w:val="005F723B"/>
    <w:rsid w:val="006023F6"/>
    <w:rsid w:val="00602728"/>
    <w:rsid w:val="006042BC"/>
    <w:rsid w:val="00606076"/>
    <w:rsid w:val="00607030"/>
    <w:rsid w:val="00611928"/>
    <w:rsid w:val="00613AB6"/>
    <w:rsid w:val="006144F7"/>
    <w:rsid w:val="00617FB9"/>
    <w:rsid w:val="006206E7"/>
    <w:rsid w:val="00620E56"/>
    <w:rsid w:val="0062271D"/>
    <w:rsid w:val="00622DA6"/>
    <w:rsid w:val="00623625"/>
    <w:rsid w:val="0062401E"/>
    <w:rsid w:val="00624849"/>
    <w:rsid w:val="00626341"/>
    <w:rsid w:val="0062681C"/>
    <w:rsid w:val="006315E8"/>
    <w:rsid w:val="00635D34"/>
    <w:rsid w:val="006365EA"/>
    <w:rsid w:val="006402A2"/>
    <w:rsid w:val="0064204D"/>
    <w:rsid w:val="006425DF"/>
    <w:rsid w:val="00642CD0"/>
    <w:rsid w:val="00643ED4"/>
    <w:rsid w:val="0064748F"/>
    <w:rsid w:val="006519E0"/>
    <w:rsid w:val="00651B5F"/>
    <w:rsid w:val="00654EB5"/>
    <w:rsid w:val="006552D1"/>
    <w:rsid w:val="00656AD1"/>
    <w:rsid w:val="00657070"/>
    <w:rsid w:val="00657653"/>
    <w:rsid w:val="00657E3E"/>
    <w:rsid w:val="0066019C"/>
    <w:rsid w:val="0066077E"/>
    <w:rsid w:val="00660851"/>
    <w:rsid w:val="0066232A"/>
    <w:rsid w:val="006623D7"/>
    <w:rsid w:val="0066251A"/>
    <w:rsid w:val="0066278C"/>
    <w:rsid w:val="00663166"/>
    <w:rsid w:val="006634B0"/>
    <w:rsid w:val="006702A4"/>
    <w:rsid w:val="00672113"/>
    <w:rsid w:val="0067340D"/>
    <w:rsid w:val="00675972"/>
    <w:rsid w:val="006769A5"/>
    <w:rsid w:val="006803BE"/>
    <w:rsid w:val="00680525"/>
    <w:rsid w:val="00680BB0"/>
    <w:rsid w:val="00682959"/>
    <w:rsid w:val="0068374A"/>
    <w:rsid w:val="00683915"/>
    <w:rsid w:val="0068450D"/>
    <w:rsid w:val="00687A6C"/>
    <w:rsid w:val="0069014B"/>
    <w:rsid w:val="0069251C"/>
    <w:rsid w:val="0069264F"/>
    <w:rsid w:val="00694843"/>
    <w:rsid w:val="0069489E"/>
    <w:rsid w:val="0069495C"/>
    <w:rsid w:val="00696CEB"/>
    <w:rsid w:val="0069726A"/>
    <w:rsid w:val="006978A6"/>
    <w:rsid w:val="00697BEF"/>
    <w:rsid w:val="006A0788"/>
    <w:rsid w:val="006A1DB5"/>
    <w:rsid w:val="006A37F3"/>
    <w:rsid w:val="006B255B"/>
    <w:rsid w:val="006B27F0"/>
    <w:rsid w:val="006B2D1B"/>
    <w:rsid w:val="006B5530"/>
    <w:rsid w:val="006B5614"/>
    <w:rsid w:val="006B5D63"/>
    <w:rsid w:val="006B5F7C"/>
    <w:rsid w:val="006B6F8F"/>
    <w:rsid w:val="006B745E"/>
    <w:rsid w:val="006B75A8"/>
    <w:rsid w:val="006C1436"/>
    <w:rsid w:val="006C14BF"/>
    <w:rsid w:val="006C18C7"/>
    <w:rsid w:val="006C2985"/>
    <w:rsid w:val="006C4791"/>
    <w:rsid w:val="006C4AE9"/>
    <w:rsid w:val="006C6EDE"/>
    <w:rsid w:val="006C7347"/>
    <w:rsid w:val="006D1CEA"/>
    <w:rsid w:val="006D224F"/>
    <w:rsid w:val="006D43F2"/>
    <w:rsid w:val="006D4A6D"/>
    <w:rsid w:val="006D55BF"/>
    <w:rsid w:val="006D6420"/>
    <w:rsid w:val="006D6678"/>
    <w:rsid w:val="006D7746"/>
    <w:rsid w:val="006E01FF"/>
    <w:rsid w:val="006E0641"/>
    <w:rsid w:val="006E6C8F"/>
    <w:rsid w:val="006E720D"/>
    <w:rsid w:val="006F0694"/>
    <w:rsid w:val="006F08E3"/>
    <w:rsid w:val="006F133C"/>
    <w:rsid w:val="006F2E2A"/>
    <w:rsid w:val="006F41F3"/>
    <w:rsid w:val="006F500C"/>
    <w:rsid w:val="006F7F31"/>
    <w:rsid w:val="00700394"/>
    <w:rsid w:val="00701B9D"/>
    <w:rsid w:val="00702A07"/>
    <w:rsid w:val="007036E1"/>
    <w:rsid w:val="007048CC"/>
    <w:rsid w:val="00704AF6"/>
    <w:rsid w:val="00711650"/>
    <w:rsid w:val="00711E11"/>
    <w:rsid w:val="0071249B"/>
    <w:rsid w:val="00712F1B"/>
    <w:rsid w:val="0071516B"/>
    <w:rsid w:val="007166DF"/>
    <w:rsid w:val="00720BDE"/>
    <w:rsid w:val="00725008"/>
    <w:rsid w:val="00725A54"/>
    <w:rsid w:val="00727DDA"/>
    <w:rsid w:val="00730156"/>
    <w:rsid w:val="007311BA"/>
    <w:rsid w:val="00733117"/>
    <w:rsid w:val="007332E2"/>
    <w:rsid w:val="00734CA8"/>
    <w:rsid w:val="0074067C"/>
    <w:rsid w:val="0074267D"/>
    <w:rsid w:val="0074279F"/>
    <w:rsid w:val="0074375D"/>
    <w:rsid w:val="00743905"/>
    <w:rsid w:val="00744A71"/>
    <w:rsid w:val="007451B9"/>
    <w:rsid w:val="00745DE0"/>
    <w:rsid w:val="007462F0"/>
    <w:rsid w:val="0074676E"/>
    <w:rsid w:val="00747073"/>
    <w:rsid w:val="007474BC"/>
    <w:rsid w:val="00747BD7"/>
    <w:rsid w:val="00747EB4"/>
    <w:rsid w:val="007517C1"/>
    <w:rsid w:val="00752ABE"/>
    <w:rsid w:val="00753086"/>
    <w:rsid w:val="00753184"/>
    <w:rsid w:val="00753188"/>
    <w:rsid w:val="00755ECE"/>
    <w:rsid w:val="00756B65"/>
    <w:rsid w:val="00756F7F"/>
    <w:rsid w:val="00757C5F"/>
    <w:rsid w:val="0076264D"/>
    <w:rsid w:val="00762BA1"/>
    <w:rsid w:val="00763AA3"/>
    <w:rsid w:val="00764418"/>
    <w:rsid w:val="007651A0"/>
    <w:rsid w:val="007672ED"/>
    <w:rsid w:val="00767A39"/>
    <w:rsid w:val="0077038F"/>
    <w:rsid w:val="00770408"/>
    <w:rsid w:val="00770D3F"/>
    <w:rsid w:val="0077119B"/>
    <w:rsid w:val="0077155D"/>
    <w:rsid w:val="00772D8D"/>
    <w:rsid w:val="00774491"/>
    <w:rsid w:val="007747F5"/>
    <w:rsid w:val="00774B8D"/>
    <w:rsid w:val="00781E07"/>
    <w:rsid w:val="007833AD"/>
    <w:rsid w:val="0078409F"/>
    <w:rsid w:val="00791029"/>
    <w:rsid w:val="00792262"/>
    <w:rsid w:val="00792435"/>
    <w:rsid w:val="00792744"/>
    <w:rsid w:val="00793AE3"/>
    <w:rsid w:val="00794A7C"/>
    <w:rsid w:val="00795266"/>
    <w:rsid w:val="00795481"/>
    <w:rsid w:val="0079687C"/>
    <w:rsid w:val="007975DD"/>
    <w:rsid w:val="00797F7D"/>
    <w:rsid w:val="007A2C62"/>
    <w:rsid w:val="007A406E"/>
    <w:rsid w:val="007A40A2"/>
    <w:rsid w:val="007A742F"/>
    <w:rsid w:val="007B0E5E"/>
    <w:rsid w:val="007B0F4D"/>
    <w:rsid w:val="007B3A42"/>
    <w:rsid w:val="007B3E41"/>
    <w:rsid w:val="007B4D52"/>
    <w:rsid w:val="007B6063"/>
    <w:rsid w:val="007C02A0"/>
    <w:rsid w:val="007C0A6A"/>
    <w:rsid w:val="007C36B1"/>
    <w:rsid w:val="007C47BB"/>
    <w:rsid w:val="007C4D1C"/>
    <w:rsid w:val="007C5446"/>
    <w:rsid w:val="007C5B0F"/>
    <w:rsid w:val="007C6584"/>
    <w:rsid w:val="007C692B"/>
    <w:rsid w:val="007C6E59"/>
    <w:rsid w:val="007D0C14"/>
    <w:rsid w:val="007D0FFC"/>
    <w:rsid w:val="007D1DBD"/>
    <w:rsid w:val="007D371F"/>
    <w:rsid w:val="007D4642"/>
    <w:rsid w:val="007D46EC"/>
    <w:rsid w:val="007D5F95"/>
    <w:rsid w:val="007E079B"/>
    <w:rsid w:val="007E1C48"/>
    <w:rsid w:val="007E2352"/>
    <w:rsid w:val="007E2418"/>
    <w:rsid w:val="007E2BCD"/>
    <w:rsid w:val="007E33CA"/>
    <w:rsid w:val="007E4F10"/>
    <w:rsid w:val="007E5590"/>
    <w:rsid w:val="007E63C5"/>
    <w:rsid w:val="007F0682"/>
    <w:rsid w:val="007F094F"/>
    <w:rsid w:val="007F0C59"/>
    <w:rsid w:val="007F47EB"/>
    <w:rsid w:val="007F5452"/>
    <w:rsid w:val="007F59DC"/>
    <w:rsid w:val="007F5DCC"/>
    <w:rsid w:val="007F7EC4"/>
    <w:rsid w:val="00800BED"/>
    <w:rsid w:val="00801291"/>
    <w:rsid w:val="0080241F"/>
    <w:rsid w:val="008025D4"/>
    <w:rsid w:val="00802B05"/>
    <w:rsid w:val="00802BDE"/>
    <w:rsid w:val="00802D07"/>
    <w:rsid w:val="00802E50"/>
    <w:rsid w:val="00802FB2"/>
    <w:rsid w:val="00804E29"/>
    <w:rsid w:val="00804E2F"/>
    <w:rsid w:val="00804FFE"/>
    <w:rsid w:val="00807920"/>
    <w:rsid w:val="00807B4E"/>
    <w:rsid w:val="00810EDF"/>
    <w:rsid w:val="0081139D"/>
    <w:rsid w:val="00811AB9"/>
    <w:rsid w:val="00811CA5"/>
    <w:rsid w:val="008120EF"/>
    <w:rsid w:val="0081361E"/>
    <w:rsid w:val="00813B59"/>
    <w:rsid w:val="00815FA8"/>
    <w:rsid w:val="00816184"/>
    <w:rsid w:val="008171E7"/>
    <w:rsid w:val="008220E6"/>
    <w:rsid w:val="00823763"/>
    <w:rsid w:val="00823A3C"/>
    <w:rsid w:val="00824406"/>
    <w:rsid w:val="00824B7E"/>
    <w:rsid w:val="0082747B"/>
    <w:rsid w:val="00831A3A"/>
    <w:rsid w:val="008323A4"/>
    <w:rsid w:val="008341C8"/>
    <w:rsid w:val="008354C5"/>
    <w:rsid w:val="00841CDA"/>
    <w:rsid w:val="008422B0"/>
    <w:rsid w:val="0084495A"/>
    <w:rsid w:val="00845B9F"/>
    <w:rsid w:val="00845DE3"/>
    <w:rsid w:val="008466FD"/>
    <w:rsid w:val="00851165"/>
    <w:rsid w:val="00852922"/>
    <w:rsid w:val="00853C68"/>
    <w:rsid w:val="0085467E"/>
    <w:rsid w:val="0085618A"/>
    <w:rsid w:val="008563D6"/>
    <w:rsid w:val="00856C46"/>
    <w:rsid w:val="00857DB3"/>
    <w:rsid w:val="00860102"/>
    <w:rsid w:val="0086364A"/>
    <w:rsid w:val="00863897"/>
    <w:rsid w:val="00864195"/>
    <w:rsid w:val="0086444F"/>
    <w:rsid w:val="00864706"/>
    <w:rsid w:val="008653B6"/>
    <w:rsid w:val="00865828"/>
    <w:rsid w:val="008711BD"/>
    <w:rsid w:val="00871A34"/>
    <w:rsid w:val="00873B3E"/>
    <w:rsid w:val="00873CFB"/>
    <w:rsid w:val="00874455"/>
    <w:rsid w:val="00874E73"/>
    <w:rsid w:val="008763EA"/>
    <w:rsid w:val="0088035D"/>
    <w:rsid w:val="00880FDE"/>
    <w:rsid w:val="0088260A"/>
    <w:rsid w:val="00883462"/>
    <w:rsid w:val="00883698"/>
    <w:rsid w:val="00883904"/>
    <w:rsid w:val="008843EE"/>
    <w:rsid w:val="00884CC7"/>
    <w:rsid w:val="00884CDA"/>
    <w:rsid w:val="00884DB9"/>
    <w:rsid w:val="0088518B"/>
    <w:rsid w:val="008857C4"/>
    <w:rsid w:val="00885954"/>
    <w:rsid w:val="00885B77"/>
    <w:rsid w:val="00886508"/>
    <w:rsid w:val="00886A7D"/>
    <w:rsid w:val="00886AB9"/>
    <w:rsid w:val="00890B92"/>
    <w:rsid w:val="00890D01"/>
    <w:rsid w:val="0089336A"/>
    <w:rsid w:val="00893F29"/>
    <w:rsid w:val="008958AF"/>
    <w:rsid w:val="008964B8"/>
    <w:rsid w:val="00897C76"/>
    <w:rsid w:val="008A34BE"/>
    <w:rsid w:val="008A5010"/>
    <w:rsid w:val="008B01EC"/>
    <w:rsid w:val="008B0477"/>
    <w:rsid w:val="008B04A9"/>
    <w:rsid w:val="008B10EE"/>
    <w:rsid w:val="008B1B0D"/>
    <w:rsid w:val="008B3259"/>
    <w:rsid w:val="008B3DDA"/>
    <w:rsid w:val="008B3EFC"/>
    <w:rsid w:val="008B54B3"/>
    <w:rsid w:val="008B5650"/>
    <w:rsid w:val="008B571D"/>
    <w:rsid w:val="008B6630"/>
    <w:rsid w:val="008B6E95"/>
    <w:rsid w:val="008B7474"/>
    <w:rsid w:val="008C11A0"/>
    <w:rsid w:val="008C26AF"/>
    <w:rsid w:val="008C45E0"/>
    <w:rsid w:val="008C5E75"/>
    <w:rsid w:val="008C68B7"/>
    <w:rsid w:val="008D00D0"/>
    <w:rsid w:val="008D14D0"/>
    <w:rsid w:val="008D3C59"/>
    <w:rsid w:val="008D5B99"/>
    <w:rsid w:val="008D67A2"/>
    <w:rsid w:val="008D6906"/>
    <w:rsid w:val="008E0578"/>
    <w:rsid w:val="008E0C83"/>
    <w:rsid w:val="008E1077"/>
    <w:rsid w:val="008E20EB"/>
    <w:rsid w:val="008E3AE7"/>
    <w:rsid w:val="008E44C0"/>
    <w:rsid w:val="008E7F80"/>
    <w:rsid w:val="008F0665"/>
    <w:rsid w:val="008F0701"/>
    <w:rsid w:val="008F43FD"/>
    <w:rsid w:val="008F68C9"/>
    <w:rsid w:val="00900424"/>
    <w:rsid w:val="0090307D"/>
    <w:rsid w:val="00903D21"/>
    <w:rsid w:val="009048A7"/>
    <w:rsid w:val="009057A8"/>
    <w:rsid w:val="00905B6E"/>
    <w:rsid w:val="0090734A"/>
    <w:rsid w:val="00907476"/>
    <w:rsid w:val="009074EE"/>
    <w:rsid w:val="009078D8"/>
    <w:rsid w:val="00910DEF"/>
    <w:rsid w:val="00911884"/>
    <w:rsid w:val="00911E93"/>
    <w:rsid w:val="00911FAD"/>
    <w:rsid w:val="00917973"/>
    <w:rsid w:val="00917C32"/>
    <w:rsid w:val="00922ABC"/>
    <w:rsid w:val="009234D2"/>
    <w:rsid w:val="009239F8"/>
    <w:rsid w:val="00923E11"/>
    <w:rsid w:val="00924A72"/>
    <w:rsid w:val="00924C69"/>
    <w:rsid w:val="00925880"/>
    <w:rsid w:val="00930070"/>
    <w:rsid w:val="00930E20"/>
    <w:rsid w:val="0093319B"/>
    <w:rsid w:val="00934D1D"/>
    <w:rsid w:val="00934D8D"/>
    <w:rsid w:val="00937864"/>
    <w:rsid w:val="00937A57"/>
    <w:rsid w:val="00937D20"/>
    <w:rsid w:val="0094263A"/>
    <w:rsid w:val="00942F53"/>
    <w:rsid w:val="00943311"/>
    <w:rsid w:val="00945229"/>
    <w:rsid w:val="009455EC"/>
    <w:rsid w:val="009517FA"/>
    <w:rsid w:val="00951EA8"/>
    <w:rsid w:val="0095344D"/>
    <w:rsid w:val="009543EE"/>
    <w:rsid w:val="00954E5F"/>
    <w:rsid w:val="00955ACB"/>
    <w:rsid w:val="0095643B"/>
    <w:rsid w:val="009626F6"/>
    <w:rsid w:val="009654B2"/>
    <w:rsid w:val="00966DE1"/>
    <w:rsid w:val="009675F5"/>
    <w:rsid w:val="00970E30"/>
    <w:rsid w:val="00971DC1"/>
    <w:rsid w:val="00972244"/>
    <w:rsid w:val="00973D5B"/>
    <w:rsid w:val="00974638"/>
    <w:rsid w:val="00981286"/>
    <w:rsid w:val="00982A91"/>
    <w:rsid w:val="0098399D"/>
    <w:rsid w:val="00983B20"/>
    <w:rsid w:val="00984190"/>
    <w:rsid w:val="00985302"/>
    <w:rsid w:val="0098556B"/>
    <w:rsid w:val="00985AB1"/>
    <w:rsid w:val="009928AE"/>
    <w:rsid w:val="0099392D"/>
    <w:rsid w:val="00994108"/>
    <w:rsid w:val="009960A8"/>
    <w:rsid w:val="009965BE"/>
    <w:rsid w:val="0099700E"/>
    <w:rsid w:val="009975FF"/>
    <w:rsid w:val="009A0C60"/>
    <w:rsid w:val="009A0D13"/>
    <w:rsid w:val="009A1867"/>
    <w:rsid w:val="009A1A8E"/>
    <w:rsid w:val="009A26D1"/>
    <w:rsid w:val="009A2F94"/>
    <w:rsid w:val="009A3BE6"/>
    <w:rsid w:val="009A4175"/>
    <w:rsid w:val="009A4459"/>
    <w:rsid w:val="009A5807"/>
    <w:rsid w:val="009A596E"/>
    <w:rsid w:val="009A64A8"/>
    <w:rsid w:val="009A764F"/>
    <w:rsid w:val="009B0F74"/>
    <w:rsid w:val="009B11D7"/>
    <w:rsid w:val="009B2E6C"/>
    <w:rsid w:val="009B35C9"/>
    <w:rsid w:val="009B6873"/>
    <w:rsid w:val="009B6C49"/>
    <w:rsid w:val="009C0C1C"/>
    <w:rsid w:val="009C0E2F"/>
    <w:rsid w:val="009C508B"/>
    <w:rsid w:val="009D016B"/>
    <w:rsid w:val="009D1C73"/>
    <w:rsid w:val="009D287F"/>
    <w:rsid w:val="009D3ABA"/>
    <w:rsid w:val="009D5E72"/>
    <w:rsid w:val="009D7B5C"/>
    <w:rsid w:val="009E069E"/>
    <w:rsid w:val="009E25DC"/>
    <w:rsid w:val="009E2808"/>
    <w:rsid w:val="009E3188"/>
    <w:rsid w:val="009E42D1"/>
    <w:rsid w:val="009E44A7"/>
    <w:rsid w:val="009E5847"/>
    <w:rsid w:val="009E759C"/>
    <w:rsid w:val="009F0EC0"/>
    <w:rsid w:val="009F132F"/>
    <w:rsid w:val="009F1546"/>
    <w:rsid w:val="009F1AB6"/>
    <w:rsid w:val="009F1D3B"/>
    <w:rsid w:val="009F24DB"/>
    <w:rsid w:val="009F530E"/>
    <w:rsid w:val="009F6077"/>
    <w:rsid w:val="009F788A"/>
    <w:rsid w:val="00A034D9"/>
    <w:rsid w:val="00A036B2"/>
    <w:rsid w:val="00A038CC"/>
    <w:rsid w:val="00A04840"/>
    <w:rsid w:val="00A0636D"/>
    <w:rsid w:val="00A06A25"/>
    <w:rsid w:val="00A07211"/>
    <w:rsid w:val="00A10652"/>
    <w:rsid w:val="00A14FF0"/>
    <w:rsid w:val="00A17B89"/>
    <w:rsid w:val="00A24FC4"/>
    <w:rsid w:val="00A270B7"/>
    <w:rsid w:val="00A27775"/>
    <w:rsid w:val="00A3119A"/>
    <w:rsid w:val="00A32671"/>
    <w:rsid w:val="00A32DEB"/>
    <w:rsid w:val="00A3359F"/>
    <w:rsid w:val="00A34418"/>
    <w:rsid w:val="00A3600F"/>
    <w:rsid w:val="00A40BAA"/>
    <w:rsid w:val="00A41002"/>
    <w:rsid w:val="00A4186B"/>
    <w:rsid w:val="00A42333"/>
    <w:rsid w:val="00A42A3F"/>
    <w:rsid w:val="00A43AC9"/>
    <w:rsid w:val="00A444A8"/>
    <w:rsid w:val="00A44E87"/>
    <w:rsid w:val="00A45D04"/>
    <w:rsid w:val="00A50402"/>
    <w:rsid w:val="00A50AB2"/>
    <w:rsid w:val="00A50DF8"/>
    <w:rsid w:val="00A51478"/>
    <w:rsid w:val="00A53860"/>
    <w:rsid w:val="00A56E4F"/>
    <w:rsid w:val="00A56F18"/>
    <w:rsid w:val="00A56FEE"/>
    <w:rsid w:val="00A57500"/>
    <w:rsid w:val="00A57CD5"/>
    <w:rsid w:val="00A604C6"/>
    <w:rsid w:val="00A60872"/>
    <w:rsid w:val="00A63DB9"/>
    <w:rsid w:val="00A641B4"/>
    <w:rsid w:val="00A6498E"/>
    <w:rsid w:val="00A649DA"/>
    <w:rsid w:val="00A65CE7"/>
    <w:rsid w:val="00A675A8"/>
    <w:rsid w:val="00A67A9E"/>
    <w:rsid w:val="00A71009"/>
    <w:rsid w:val="00A73517"/>
    <w:rsid w:val="00A73A01"/>
    <w:rsid w:val="00A74CDD"/>
    <w:rsid w:val="00A75578"/>
    <w:rsid w:val="00A75593"/>
    <w:rsid w:val="00A8119F"/>
    <w:rsid w:val="00A85BCA"/>
    <w:rsid w:val="00A85E73"/>
    <w:rsid w:val="00A873DE"/>
    <w:rsid w:val="00A87A35"/>
    <w:rsid w:val="00A91104"/>
    <w:rsid w:val="00A91D21"/>
    <w:rsid w:val="00A924F8"/>
    <w:rsid w:val="00A92D41"/>
    <w:rsid w:val="00A932B3"/>
    <w:rsid w:val="00A9430C"/>
    <w:rsid w:val="00A9438E"/>
    <w:rsid w:val="00A968B8"/>
    <w:rsid w:val="00A97483"/>
    <w:rsid w:val="00AA024E"/>
    <w:rsid w:val="00AA1438"/>
    <w:rsid w:val="00AA23F7"/>
    <w:rsid w:val="00AA2FF8"/>
    <w:rsid w:val="00AA5ADD"/>
    <w:rsid w:val="00AA6D8C"/>
    <w:rsid w:val="00AB18DE"/>
    <w:rsid w:val="00AB1EAE"/>
    <w:rsid w:val="00AB28EF"/>
    <w:rsid w:val="00AB2986"/>
    <w:rsid w:val="00AB2AD0"/>
    <w:rsid w:val="00AB30DC"/>
    <w:rsid w:val="00AB4814"/>
    <w:rsid w:val="00AB4AAE"/>
    <w:rsid w:val="00AB4B1E"/>
    <w:rsid w:val="00AB50FA"/>
    <w:rsid w:val="00AB546B"/>
    <w:rsid w:val="00AB553F"/>
    <w:rsid w:val="00AB5F1C"/>
    <w:rsid w:val="00AC0EBA"/>
    <w:rsid w:val="00AC11AF"/>
    <w:rsid w:val="00AC1FBA"/>
    <w:rsid w:val="00AC2A5F"/>
    <w:rsid w:val="00AC2D1E"/>
    <w:rsid w:val="00AC332E"/>
    <w:rsid w:val="00AC3C83"/>
    <w:rsid w:val="00AC4A2C"/>
    <w:rsid w:val="00AC6CF0"/>
    <w:rsid w:val="00AC7161"/>
    <w:rsid w:val="00AC7750"/>
    <w:rsid w:val="00AD0F9D"/>
    <w:rsid w:val="00AD14FD"/>
    <w:rsid w:val="00AD2BC4"/>
    <w:rsid w:val="00AD6077"/>
    <w:rsid w:val="00AD7ECF"/>
    <w:rsid w:val="00AE1876"/>
    <w:rsid w:val="00AE2A66"/>
    <w:rsid w:val="00AE52A8"/>
    <w:rsid w:val="00AE60E8"/>
    <w:rsid w:val="00AE6C39"/>
    <w:rsid w:val="00AF1048"/>
    <w:rsid w:val="00AF2206"/>
    <w:rsid w:val="00AF3406"/>
    <w:rsid w:val="00AF41D2"/>
    <w:rsid w:val="00AF469B"/>
    <w:rsid w:val="00AF52B6"/>
    <w:rsid w:val="00AF55F7"/>
    <w:rsid w:val="00AF58B4"/>
    <w:rsid w:val="00AF6619"/>
    <w:rsid w:val="00B005E4"/>
    <w:rsid w:val="00B0185C"/>
    <w:rsid w:val="00B0231F"/>
    <w:rsid w:val="00B023C5"/>
    <w:rsid w:val="00B0493C"/>
    <w:rsid w:val="00B0644E"/>
    <w:rsid w:val="00B067CA"/>
    <w:rsid w:val="00B12AAF"/>
    <w:rsid w:val="00B12EF2"/>
    <w:rsid w:val="00B14CD0"/>
    <w:rsid w:val="00B14F65"/>
    <w:rsid w:val="00B156E0"/>
    <w:rsid w:val="00B15AE1"/>
    <w:rsid w:val="00B15C72"/>
    <w:rsid w:val="00B16015"/>
    <w:rsid w:val="00B1602B"/>
    <w:rsid w:val="00B17809"/>
    <w:rsid w:val="00B226DF"/>
    <w:rsid w:val="00B25684"/>
    <w:rsid w:val="00B25C2A"/>
    <w:rsid w:val="00B35976"/>
    <w:rsid w:val="00B35F87"/>
    <w:rsid w:val="00B369FA"/>
    <w:rsid w:val="00B3782C"/>
    <w:rsid w:val="00B40316"/>
    <w:rsid w:val="00B414D1"/>
    <w:rsid w:val="00B4209B"/>
    <w:rsid w:val="00B439EA"/>
    <w:rsid w:val="00B45123"/>
    <w:rsid w:val="00B46988"/>
    <w:rsid w:val="00B46A15"/>
    <w:rsid w:val="00B508B8"/>
    <w:rsid w:val="00B517EC"/>
    <w:rsid w:val="00B53B9E"/>
    <w:rsid w:val="00B5578A"/>
    <w:rsid w:val="00B57E11"/>
    <w:rsid w:val="00B607DE"/>
    <w:rsid w:val="00B60F1A"/>
    <w:rsid w:val="00B61DEF"/>
    <w:rsid w:val="00B62335"/>
    <w:rsid w:val="00B62A85"/>
    <w:rsid w:val="00B66873"/>
    <w:rsid w:val="00B70C39"/>
    <w:rsid w:val="00B71015"/>
    <w:rsid w:val="00B738F6"/>
    <w:rsid w:val="00B740AB"/>
    <w:rsid w:val="00B75479"/>
    <w:rsid w:val="00B771AC"/>
    <w:rsid w:val="00B81993"/>
    <w:rsid w:val="00B82597"/>
    <w:rsid w:val="00B836B2"/>
    <w:rsid w:val="00B84DD3"/>
    <w:rsid w:val="00B85399"/>
    <w:rsid w:val="00B92FF3"/>
    <w:rsid w:val="00B9593F"/>
    <w:rsid w:val="00B960F6"/>
    <w:rsid w:val="00BA05D9"/>
    <w:rsid w:val="00BA258C"/>
    <w:rsid w:val="00BA5929"/>
    <w:rsid w:val="00BA7753"/>
    <w:rsid w:val="00BA7819"/>
    <w:rsid w:val="00BA7EB5"/>
    <w:rsid w:val="00BB27BF"/>
    <w:rsid w:val="00BB4202"/>
    <w:rsid w:val="00BB6847"/>
    <w:rsid w:val="00BB7F06"/>
    <w:rsid w:val="00BC2B2D"/>
    <w:rsid w:val="00BC2B5E"/>
    <w:rsid w:val="00BC5878"/>
    <w:rsid w:val="00BC78D7"/>
    <w:rsid w:val="00BC7BFA"/>
    <w:rsid w:val="00BD0BD3"/>
    <w:rsid w:val="00BD16C2"/>
    <w:rsid w:val="00BD504C"/>
    <w:rsid w:val="00BD5804"/>
    <w:rsid w:val="00BD5ECF"/>
    <w:rsid w:val="00BE21BA"/>
    <w:rsid w:val="00BE2784"/>
    <w:rsid w:val="00BE3272"/>
    <w:rsid w:val="00BE454D"/>
    <w:rsid w:val="00BE5339"/>
    <w:rsid w:val="00BE546E"/>
    <w:rsid w:val="00BE56C4"/>
    <w:rsid w:val="00BE63B9"/>
    <w:rsid w:val="00BE652C"/>
    <w:rsid w:val="00BF0184"/>
    <w:rsid w:val="00BF10E6"/>
    <w:rsid w:val="00BF1A9D"/>
    <w:rsid w:val="00BF1AC6"/>
    <w:rsid w:val="00BF38D6"/>
    <w:rsid w:val="00BF5BAD"/>
    <w:rsid w:val="00BF72B6"/>
    <w:rsid w:val="00BF7A65"/>
    <w:rsid w:val="00BF7BCC"/>
    <w:rsid w:val="00C0013C"/>
    <w:rsid w:val="00C00688"/>
    <w:rsid w:val="00C015D3"/>
    <w:rsid w:val="00C02944"/>
    <w:rsid w:val="00C02CAD"/>
    <w:rsid w:val="00C04D82"/>
    <w:rsid w:val="00C072AE"/>
    <w:rsid w:val="00C07497"/>
    <w:rsid w:val="00C10496"/>
    <w:rsid w:val="00C15A45"/>
    <w:rsid w:val="00C1700F"/>
    <w:rsid w:val="00C201E8"/>
    <w:rsid w:val="00C21CD5"/>
    <w:rsid w:val="00C229BD"/>
    <w:rsid w:val="00C2358A"/>
    <w:rsid w:val="00C2450B"/>
    <w:rsid w:val="00C24861"/>
    <w:rsid w:val="00C26917"/>
    <w:rsid w:val="00C2793A"/>
    <w:rsid w:val="00C315B5"/>
    <w:rsid w:val="00C3197D"/>
    <w:rsid w:val="00C322EE"/>
    <w:rsid w:val="00C353D8"/>
    <w:rsid w:val="00C35AA4"/>
    <w:rsid w:val="00C36ECA"/>
    <w:rsid w:val="00C37132"/>
    <w:rsid w:val="00C37610"/>
    <w:rsid w:val="00C37861"/>
    <w:rsid w:val="00C37BB9"/>
    <w:rsid w:val="00C41B86"/>
    <w:rsid w:val="00C41E0E"/>
    <w:rsid w:val="00C42987"/>
    <w:rsid w:val="00C42CD2"/>
    <w:rsid w:val="00C43AB3"/>
    <w:rsid w:val="00C47A50"/>
    <w:rsid w:val="00C47B6D"/>
    <w:rsid w:val="00C5093C"/>
    <w:rsid w:val="00C50DC4"/>
    <w:rsid w:val="00C52F54"/>
    <w:rsid w:val="00C53085"/>
    <w:rsid w:val="00C53AAA"/>
    <w:rsid w:val="00C54889"/>
    <w:rsid w:val="00C565A0"/>
    <w:rsid w:val="00C568EA"/>
    <w:rsid w:val="00C57D28"/>
    <w:rsid w:val="00C60C2B"/>
    <w:rsid w:val="00C60DC2"/>
    <w:rsid w:val="00C62E9C"/>
    <w:rsid w:val="00C67645"/>
    <w:rsid w:val="00C71017"/>
    <w:rsid w:val="00C71A1D"/>
    <w:rsid w:val="00C73186"/>
    <w:rsid w:val="00C73316"/>
    <w:rsid w:val="00C73725"/>
    <w:rsid w:val="00C73C01"/>
    <w:rsid w:val="00C73FEE"/>
    <w:rsid w:val="00C758CD"/>
    <w:rsid w:val="00C77882"/>
    <w:rsid w:val="00C778F2"/>
    <w:rsid w:val="00C80DA2"/>
    <w:rsid w:val="00C81557"/>
    <w:rsid w:val="00C82850"/>
    <w:rsid w:val="00C82F75"/>
    <w:rsid w:val="00C86135"/>
    <w:rsid w:val="00C8666D"/>
    <w:rsid w:val="00C8783C"/>
    <w:rsid w:val="00C91FF1"/>
    <w:rsid w:val="00C93288"/>
    <w:rsid w:val="00C93545"/>
    <w:rsid w:val="00C93F02"/>
    <w:rsid w:val="00C95625"/>
    <w:rsid w:val="00C96FEB"/>
    <w:rsid w:val="00C9702B"/>
    <w:rsid w:val="00C97492"/>
    <w:rsid w:val="00CA0000"/>
    <w:rsid w:val="00CA0DF0"/>
    <w:rsid w:val="00CA38D5"/>
    <w:rsid w:val="00CA39C5"/>
    <w:rsid w:val="00CA4D0A"/>
    <w:rsid w:val="00CA4D7C"/>
    <w:rsid w:val="00CA584D"/>
    <w:rsid w:val="00CA68B6"/>
    <w:rsid w:val="00CA70BB"/>
    <w:rsid w:val="00CA725D"/>
    <w:rsid w:val="00CA7598"/>
    <w:rsid w:val="00CB0242"/>
    <w:rsid w:val="00CB203B"/>
    <w:rsid w:val="00CB251E"/>
    <w:rsid w:val="00CB4D28"/>
    <w:rsid w:val="00CB6E69"/>
    <w:rsid w:val="00CC00EE"/>
    <w:rsid w:val="00CC1015"/>
    <w:rsid w:val="00CC12A0"/>
    <w:rsid w:val="00CC17A6"/>
    <w:rsid w:val="00CC2EAC"/>
    <w:rsid w:val="00CC44E8"/>
    <w:rsid w:val="00CC47A7"/>
    <w:rsid w:val="00CC5379"/>
    <w:rsid w:val="00CC64E5"/>
    <w:rsid w:val="00CC7996"/>
    <w:rsid w:val="00CD0A84"/>
    <w:rsid w:val="00CD0CBF"/>
    <w:rsid w:val="00CD0E6F"/>
    <w:rsid w:val="00CD2B25"/>
    <w:rsid w:val="00CD4A95"/>
    <w:rsid w:val="00CD592E"/>
    <w:rsid w:val="00CD74A9"/>
    <w:rsid w:val="00CE0898"/>
    <w:rsid w:val="00CE1C46"/>
    <w:rsid w:val="00CE2EC0"/>
    <w:rsid w:val="00CE4C5F"/>
    <w:rsid w:val="00CE5C7C"/>
    <w:rsid w:val="00CE78BA"/>
    <w:rsid w:val="00CE79C7"/>
    <w:rsid w:val="00CF0C9E"/>
    <w:rsid w:val="00CF0DA7"/>
    <w:rsid w:val="00CF2036"/>
    <w:rsid w:val="00CF2613"/>
    <w:rsid w:val="00CF44DA"/>
    <w:rsid w:val="00CF7031"/>
    <w:rsid w:val="00D008F8"/>
    <w:rsid w:val="00D009FD"/>
    <w:rsid w:val="00D02A1B"/>
    <w:rsid w:val="00D04646"/>
    <w:rsid w:val="00D0561C"/>
    <w:rsid w:val="00D05F57"/>
    <w:rsid w:val="00D0667A"/>
    <w:rsid w:val="00D07A32"/>
    <w:rsid w:val="00D1162E"/>
    <w:rsid w:val="00D11B06"/>
    <w:rsid w:val="00D11FA3"/>
    <w:rsid w:val="00D12064"/>
    <w:rsid w:val="00D139B3"/>
    <w:rsid w:val="00D13ACC"/>
    <w:rsid w:val="00D13D8A"/>
    <w:rsid w:val="00D1401C"/>
    <w:rsid w:val="00D14BDC"/>
    <w:rsid w:val="00D14C1F"/>
    <w:rsid w:val="00D14CB2"/>
    <w:rsid w:val="00D17908"/>
    <w:rsid w:val="00D17C19"/>
    <w:rsid w:val="00D20FC1"/>
    <w:rsid w:val="00D225D1"/>
    <w:rsid w:val="00D2496A"/>
    <w:rsid w:val="00D25243"/>
    <w:rsid w:val="00D25B0A"/>
    <w:rsid w:val="00D2657D"/>
    <w:rsid w:val="00D27267"/>
    <w:rsid w:val="00D27C85"/>
    <w:rsid w:val="00D322EC"/>
    <w:rsid w:val="00D32300"/>
    <w:rsid w:val="00D3598A"/>
    <w:rsid w:val="00D35C99"/>
    <w:rsid w:val="00D37022"/>
    <w:rsid w:val="00D3794E"/>
    <w:rsid w:val="00D40588"/>
    <w:rsid w:val="00D41477"/>
    <w:rsid w:val="00D42DCE"/>
    <w:rsid w:val="00D4318F"/>
    <w:rsid w:val="00D456C4"/>
    <w:rsid w:val="00D463BC"/>
    <w:rsid w:val="00D46544"/>
    <w:rsid w:val="00D46D94"/>
    <w:rsid w:val="00D4730F"/>
    <w:rsid w:val="00D50B3A"/>
    <w:rsid w:val="00D51F9E"/>
    <w:rsid w:val="00D536B6"/>
    <w:rsid w:val="00D53B2D"/>
    <w:rsid w:val="00D53F79"/>
    <w:rsid w:val="00D5484E"/>
    <w:rsid w:val="00D553A7"/>
    <w:rsid w:val="00D61427"/>
    <w:rsid w:val="00D620F1"/>
    <w:rsid w:val="00D639E3"/>
    <w:rsid w:val="00D66027"/>
    <w:rsid w:val="00D6734D"/>
    <w:rsid w:val="00D67449"/>
    <w:rsid w:val="00D72A64"/>
    <w:rsid w:val="00D76F6A"/>
    <w:rsid w:val="00D7714D"/>
    <w:rsid w:val="00D81EB3"/>
    <w:rsid w:val="00D82D4B"/>
    <w:rsid w:val="00D830BF"/>
    <w:rsid w:val="00D83519"/>
    <w:rsid w:val="00D83EAC"/>
    <w:rsid w:val="00D848F5"/>
    <w:rsid w:val="00D90010"/>
    <w:rsid w:val="00D902E3"/>
    <w:rsid w:val="00D90529"/>
    <w:rsid w:val="00D91182"/>
    <w:rsid w:val="00D92374"/>
    <w:rsid w:val="00D951C9"/>
    <w:rsid w:val="00D956D4"/>
    <w:rsid w:val="00D9644E"/>
    <w:rsid w:val="00D96643"/>
    <w:rsid w:val="00D9727A"/>
    <w:rsid w:val="00D9783E"/>
    <w:rsid w:val="00D97AD8"/>
    <w:rsid w:val="00DA03DB"/>
    <w:rsid w:val="00DA11E1"/>
    <w:rsid w:val="00DA16AF"/>
    <w:rsid w:val="00DA23A9"/>
    <w:rsid w:val="00DA4B2D"/>
    <w:rsid w:val="00DA56FF"/>
    <w:rsid w:val="00DA5FE7"/>
    <w:rsid w:val="00DA61DA"/>
    <w:rsid w:val="00DA7195"/>
    <w:rsid w:val="00DA76B1"/>
    <w:rsid w:val="00DB0A51"/>
    <w:rsid w:val="00DB1225"/>
    <w:rsid w:val="00DB4084"/>
    <w:rsid w:val="00DB510B"/>
    <w:rsid w:val="00DB69A3"/>
    <w:rsid w:val="00DB7189"/>
    <w:rsid w:val="00DB7770"/>
    <w:rsid w:val="00DC0022"/>
    <w:rsid w:val="00DC2020"/>
    <w:rsid w:val="00DC3286"/>
    <w:rsid w:val="00DC50F7"/>
    <w:rsid w:val="00DC61D0"/>
    <w:rsid w:val="00DC6C37"/>
    <w:rsid w:val="00DC71CA"/>
    <w:rsid w:val="00DD0DA7"/>
    <w:rsid w:val="00DD0E2E"/>
    <w:rsid w:val="00DD21A9"/>
    <w:rsid w:val="00DD2AE7"/>
    <w:rsid w:val="00DD31B3"/>
    <w:rsid w:val="00DD721E"/>
    <w:rsid w:val="00DD76A1"/>
    <w:rsid w:val="00DD792D"/>
    <w:rsid w:val="00DE01CC"/>
    <w:rsid w:val="00DE0224"/>
    <w:rsid w:val="00DE0C13"/>
    <w:rsid w:val="00DE18C7"/>
    <w:rsid w:val="00DE4430"/>
    <w:rsid w:val="00DE6F44"/>
    <w:rsid w:val="00DE7073"/>
    <w:rsid w:val="00DE74C4"/>
    <w:rsid w:val="00DF0041"/>
    <w:rsid w:val="00DF0792"/>
    <w:rsid w:val="00DF09DB"/>
    <w:rsid w:val="00DF4BE6"/>
    <w:rsid w:val="00DF689B"/>
    <w:rsid w:val="00DF7DA8"/>
    <w:rsid w:val="00DF7F45"/>
    <w:rsid w:val="00E004BB"/>
    <w:rsid w:val="00E00695"/>
    <w:rsid w:val="00E0176C"/>
    <w:rsid w:val="00E01847"/>
    <w:rsid w:val="00E0443E"/>
    <w:rsid w:val="00E0476C"/>
    <w:rsid w:val="00E04E1C"/>
    <w:rsid w:val="00E04FF0"/>
    <w:rsid w:val="00E06239"/>
    <w:rsid w:val="00E07592"/>
    <w:rsid w:val="00E07886"/>
    <w:rsid w:val="00E07E51"/>
    <w:rsid w:val="00E10CA9"/>
    <w:rsid w:val="00E11FAA"/>
    <w:rsid w:val="00E13B08"/>
    <w:rsid w:val="00E14DD3"/>
    <w:rsid w:val="00E14DED"/>
    <w:rsid w:val="00E15371"/>
    <w:rsid w:val="00E17F1F"/>
    <w:rsid w:val="00E22824"/>
    <w:rsid w:val="00E24A25"/>
    <w:rsid w:val="00E25E87"/>
    <w:rsid w:val="00E27D7A"/>
    <w:rsid w:val="00E30B65"/>
    <w:rsid w:val="00E30E29"/>
    <w:rsid w:val="00E33F70"/>
    <w:rsid w:val="00E34731"/>
    <w:rsid w:val="00E34A56"/>
    <w:rsid w:val="00E36AD8"/>
    <w:rsid w:val="00E3770C"/>
    <w:rsid w:val="00E42CB7"/>
    <w:rsid w:val="00E42CF6"/>
    <w:rsid w:val="00E434D6"/>
    <w:rsid w:val="00E457E5"/>
    <w:rsid w:val="00E47DF1"/>
    <w:rsid w:val="00E51AA2"/>
    <w:rsid w:val="00E56024"/>
    <w:rsid w:val="00E566AF"/>
    <w:rsid w:val="00E61AB2"/>
    <w:rsid w:val="00E620C2"/>
    <w:rsid w:val="00E63407"/>
    <w:rsid w:val="00E67919"/>
    <w:rsid w:val="00E67DBA"/>
    <w:rsid w:val="00E73C39"/>
    <w:rsid w:val="00E73E4B"/>
    <w:rsid w:val="00E74920"/>
    <w:rsid w:val="00E74B3A"/>
    <w:rsid w:val="00E75171"/>
    <w:rsid w:val="00E75F1D"/>
    <w:rsid w:val="00E77EAB"/>
    <w:rsid w:val="00E81626"/>
    <w:rsid w:val="00E83D00"/>
    <w:rsid w:val="00E847D1"/>
    <w:rsid w:val="00E92944"/>
    <w:rsid w:val="00E933CE"/>
    <w:rsid w:val="00E93BCB"/>
    <w:rsid w:val="00E94848"/>
    <w:rsid w:val="00E94BB4"/>
    <w:rsid w:val="00E95617"/>
    <w:rsid w:val="00E97889"/>
    <w:rsid w:val="00EA19E0"/>
    <w:rsid w:val="00EA2649"/>
    <w:rsid w:val="00EA2C87"/>
    <w:rsid w:val="00EA4335"/>
    <w:rsid w:val="00EA4E72"/>
    <w:rsid w:val="00EA5D28"/>
    <w:rsid w:val="00EA5E52"/>
    <w:rsid w:val="00EA6477"/>
    <w:rsid w:val="00EB26B7"/>
    <w:rsid w:val="00EB6D65"/>
    <w:rsid w:val="00EB6FBB"/>
    <w:rsid w:val="00EB7DB9"/>
    <w:rsid w:val="00EC0801"/>
    <w:rsid w:val="00EC0AD1"/>
    <w:rsid w:val="00EC129E"/>
    <w:rsid w:val="00EC2CD6"/>
    <w:rsid w:val="00EC5C12"/>
    <w:rsid w:val="00EC71DA"/>
    <w:rsid w:val="00EC7407"/>
    <w:rsid w:val="00ED169F"/>
    <w:rsid w:val="00ED1B1F"/>
    <w:rsid w:val="00ED269E"/>
    <w:rsid w:val="00ED4B6C"/>
    <w:rsid w:val="00ED5AE0"/>
    <w:rsid w:val="00ED71DA"/>
    <w:rsid w:val="00ED7739"/>
    <w:rsid w:val="00EE0830"/>
    <w:rsid w:val="00EE2C65"/>
    <w:rsid w:val="00EE30F4"/>
    <w:rsid w:val="00EE3936"/>
    <w:rsid w:val="00EE4E27"/>
    <w:rsid w:val="00EE5712"/>
    <w:rsid w:val="00EE583A"/>
    <w:rsid w:val="00EF0F44"/>
    <w:rsid w:val="00EF25AA"/>
    <w:rsid w:val="00EF2ECC"/>
    <w:rsid w:val="00EF5A4E"/>
    <w:rsid w:val="00EF5D3F"/>
    <w:rsid w:val="00EF6B8A"/>
    <w:rsid w:val="00F00C04"/>
    <w:rsid w:val="00F011EF"/>
    <w:rsid w:val="00F01C19"/>
    <w:rsid w:val="00F0269D"/>
    <w:rsid w:val="00F02A58"/>
    <w:rsid w:val="00F032FB"/>
    <w:rsid w:val="00F06B0A"/>
    <w:rsid w:val="00F107F0"/>
    <w:rsid w:val="00F10CDD"/>
    <w:rsid w:val="00F112B8"/>
    <w:rsid w:val="00F11FC7"/>
    <w:rsid w:val="00F120F5"/>
    <w:rsid w:val="00F1319F"/>
    <w:rsid w:val="00F13E1A"/>
    <w:rsid w:val="00F14328"/>
    <w:rsid w:val="00F152E4"/>
    <w:rsid w:val="00F15D1F"/>
    <w:rsid w:val="00F15FA5"/>
    <w:rsid w:val="00F171E0"/>
    <w:rsid w:val="00F20721"/>
    <w:rsid w:val="00F20EB9"/>
    <w:rsid w:val="00F21651"/>
    <w:rsid w:val="00F235BC"/>
    <w:rsid w:val="00F23EBB"/>
    <w:rsid w:val="00F247A7"/>
    <w:rsid w:val="00F24A54"/>
    <w:rsid w:val="00F2669E"/>
    <w:rsid w:val="00F26ACA"/>
    <w:rsid w:val="00F27B66"/>
    <w:rsid w:val="00F31888"/>
    <w:rsid w:val="00F319C0"/>
    <w:rsid w:val="00F31B88"/>
    <w:rsid w:val="00F3225D"/>
    <w:rsid w:val="00F33333"/>
    <w:rsid w:val="00F33413"/>
    <w:rsid w:val="00F336B4"/>
    <w:rsid w:val="00F33A6D"/>
    <w:rsid w:val="00F3612D"/>
    <w:rsid w:val="00F404EB"/>
    <w:rsid w:val="00F40581"/>
    <w:rsid w:val="00F42C5D"/>
    <w:rsid w:val="00F42EBD"/>
    <w:rsid w:val="00F43E5E"/>
    <w:rsid w:val="00F44975"/>
    <w:rsid w:val="00F44FFA"/>
    <w:rsid w:val="00F450E2"/>
    <w:rsid w:val="00F45A28"/>
    <w:rsid w:val="00F45B91"/>
    <w:rsid w:val="00F45BB8"/>
    <w:rsid w:val="00F46177"/>
    <w:rsid w:val="00F462B7"/>
    <w:rsid w:val="00F47403"/>
    <w:rsid w:val="00F545B0"/>
    <w:rsid w:val="00F56259"/>
    <w:rsid w:val="00F5704B"/>
    <w:rsid w:val="00F62008"/>
    <w:rsid w:val="00F62864"/>
    <w:rsid w:val="00F62AB3"/>
    <w:rsid w:val="00F62FB4"/>
    <w:rsid w:val="00F63A53"/>
    <w:rsid w:val="00F63ACF"/>
    <w:rsid w:val="00F65383"/>
    <w:rsid w:val="00F653BB"/>
    <w:rsid w:val="00F70A8D"/>
    <w:rsid w:val="00F70DA7"/>
    <w:rsid w:val="00F71005"/>
    <w:rsid w:val="00F715AF"/>
    <w:rsid w:val="00F7272A"/>
    <w:rsid w:val="00F75FC6"/>
    <w:rsid w:val="00F7733F"/>
    <w:rsid w:val="00F774D8"/>
    <w:rsid w:val="00F77937"/>
    <w:rsid w:val="00F77F06"/>
    <w:rsid w:val="00F817D8"/>
    <w:rsid w:val="00F82062"/>
    <w:rsid w:val="00F8487C"/>
    <w:rsid w:val="00F84953"/>
    <w:rsid w:val="00F901F8"/>
    <w:rsid w:val="00F9239A"/>
    <w:rsid w:val="00F947C2"/>
    <w:rsid w:val="00F94AD5"/>
    <w:rsid w:val="00F952FC"/>
    <w:rsid w:val="00F95DEF"/>
    <w:rsid w:val="00F96069"/>
    <w:rsid w:val="00F96BE5"/>
    <w:rsid w:val="00FA0AC7"/>
    <w:rsid w:val="00FA1848"/>
    <w:rsid w:val="00FA20F2"/>
    <w:rsid w:val="00FA362F"/>
    <w:rsid w:val="00FA5E33"/>
    <w:rsid w:val="00FA5F37"/>
    <w:rsid w:val="00FA6277"/>
    <w:rsid w:val="00FA633E"/>
    <w:rsid w:val="00FA6390"/>
    <w:rsid w:val="00FA6C94"/>
    <w:rsid w:val="00FA7005"/>
    <w:rsid w:val="00FA74D4"/>
    <w:rsid w:val="00FA76D6"/>
    <w:rsid w:val="00FB0CBC"/>
    <w:rsid w:val="00FB1FE7"/>
    <w:rsid w:val="00FB3D78"/>
    <w:rsid w:val="00FB534D"/>
    <w:rsid w:val="00FB5720"/>
    <w:rsid w:val="00FB69E2"/>
    <w:rsid w:val="00FB7480"/>
    <w:rsid w:val="00FC0EAC"/>
    <w:rsid w:val="00FC11CE"/>
    <w:rsid w:val="00FC2A41"/>
    <w:rsid w:val="00FC4DED"/>
    <w:rsid w:val="00FC5711"/>
    <w:rsid w:val="00FC57D4"/>
    <w:rsid w:val="00FD016D"/>
    <w:rsid w:val="00FD09A9"/>
    <w:rsid w:val="00FD1115"/>
    <w:rsid w:val="00FD274D"/>
    <w:rsid w:val="00FD2C75"/>
    <w:rsid w:val="00FD30BE"/>
    <w:rsid w:val="00FD43FB"/>
    <w:rsid w:val="00FD46D9"/>
    <w:rsid w:val="00FD50A0"/>
    <w:rsid w:val="00FE0053"/>
    <w:rsid w:val="00FE07EC"/>
    <w:rsid w:val="00FE1CFD"/>
    <w:rsid w:val="00FE3BAB"/>
    <w:rsid w:val="00FE52CD"/>
    <w:rsid w:val="00FE5A39"/>
    <w:rsid w:val="00FF14C4"/>
    <w:rsid w:val="00FF1EB0"/>
    <w:rsid w:val="00FF221F"/>
    <w:rsid w:val="00FF3101"/>
    <w:rsid w:val="00FF3B34"/>
    <w:rsid w:val="00FF551E"/>
    <w:rsid w:val="00FF7885"/>
    <w:rsid w:val="01A53B93"/>
    <w:rsid w:val="0271589A"/>
    <w:rsid w:val="02E74D14"/>
    <w:rsid w:val="02FC5AB3"/>
    <w:rsid w:val="035E6B0B"/>
    <w:rsid w:val="04B15209"/>
    <w:rsid w:val="04D70225"/>
    <w:rsid w:val="05160EF2"/>
    <w:rsid w:val="0AD876A7"/>
    <w:rsid w:val="0BEB0202"/>
    <w:rsid w:val="0D326CC2"/>
    <w:rsid w:val="0E3B77DA"/>
    <w:rsid w:val="0EA03360"/>
    <w:rsid w:val="0F5B6CC7"/>
    <w:rsid w:val="1378147A"/>
    <w:rsid w:val="14CD4184"/>
    <w:rsid w:val="1868332D"/>
    <w:rsid w:val="19355040"/>
    <w:rsid w:val="1DA82577"/>
    <w:rsid w:val="1E1170AC"/>
    <w:rsid w:val="22A44CDF"/>
    <w:rsid w:val="23C056A6"/>
    <w:rsid w:val="29C928E7"/>
    <w:rsid w:val="2A7C02EC"/>
    <w:rsid w:val="2A8F7CD5"/>
    <w:rsid w:val="2B3F4DD2"/>
    <w:rsid w:val="2B477C1E"/>
    <w:rsid w:val="2B9654FA"/>
    <w:rsid w:val="2DB54478"/>
    <w:rsid w:val="2E7345D1"/>
    <w:rsid w:val="322900DB"/>
    <w:rsid w:val="353F5A8C"/>
    <w:rsid w:val="36DE1355"/>
    <w:rsid w:val="36E22E88"/>
    <w:rsid w:val="393D26BB"/>
    <w:rsid w:val="3A5B7C10"/>
    <w:rsid w:val="3D9C2881"/>
    <w:rsid w:val="3E516500"/>
    <w:rsid w:val="3F801B0E"/>
    <w:rsid w:val="413C1020"/>
    <w:rsid w:val="41A55A6F"/>
    <w:rsid w:val="429D2840"/>
    <w:rsid w:val="43256EEE"/>
    <w:rsid w:val="45902AEF"/>
    <w:rsid w:val="48A82A9E"/>
    <w:rsid w:val="4A082E0A"/>
    <w:rsid w:val="4AC268B8"/>
    <w:rsid w:val="4CC51E60"/>
    <w:rsid w:val="4CD949FD"/>
    <w:rsid w:val="4F4A4FC8"/>
    <w:rsid w:val="508341B3"/>
    <w:rsid w:val="50D63321"/>
    <w:rsid w:val="51654692"/>
    <w:rsid w:val="54D7260C"/>
    <w:rsid w:val="55176E8F"/>
    <w:rsid w:val="57E02431"/>
    <w:rsid w:val="58055C15"/>
    <w:rsid w:val="58AE4B70"/>
    <w:rsid w:val="5A842C2A"/>
    <w:rsid w:val="5F377063"/>
    <w:rsid w:val="5FF411EE"/>
    <w:rsid w:val="62E50A5D"/>
    <w:rsid w:val="633A3E82"/>
    <w:rsid w:val="643D185D"/>
    <w:rsid w:val="65E3187B"/>
    <w:rsid w:val="673F2C72"/>
    <w:rsid w:val="68C06BDA"/>
    <w:rsid w:val="69F8009E"/>
    <w:rsid w:val="6AB76068"/>
    <w:rsid w:val="6C9132F0"/>
    <w:rsid w:val="6D5B701C"/>
    <w:rsid w:val="6D5E04BB"/>
    <w:rsid w:val="6E423C99"/>
    <w:rsid w:val="72276117"/>
    <w:rsid w:val="73263829"/>
    <w:rsid w:val="734D2DC8"/>
    <w:rsid w:val="736A2597"/>
    <w:rsid w:val="73E6120B"/>
    <w:rsid w:val="74995770"/>
    <w:rsid w:val="75CD3E17"/>
    <w:rsid w:val="7771624F"/>
    <w:rsid w:val="790C526F"/>
    <w:rsid w:val="7A8F4EBB"/>
    <w:rsid w:val="7B802C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iPriority="0"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1"/>
    <w:qFormat/>
    <w:uiPriority w:val="0"/>
    <w:pPr>
      <w:keepNext/>
      <w:keepLines/>
      <w:spacing w:before="340" w:after="330" w:line="576" w:lineRule="auto"/>
      <w:outlineLvl w:val="0"/>
    </w:pPr>
    <w:rPr>
      <w:b/>
      <w:kern w:val="44"/>
      <w:sz w:val="44"/>
      <w:lang w:val="zh-CN"/>
    </w:rPr>
  </w:style>
  <w:style w:type="paragraph" w:styleId="2">
    <w:name w:val="heading 2"/>
    <w:basedOn w:val="1"/>
    <w:next w:val="1"/>
    <w:link w:val="62"/>
    <w:qFormat/>
    <w:uiPriority w:val="0"/>
    <w:pPr>
      <w:keepNext/>
      <w:keepLines/>
      <w:adjustRightInd w:val="0"/>
      <w:spacing w:before="260" w:after="260" w:line="416" w:lineRule="atLeast"/>
      <w:textAlignment w:val="baseline"/>
      <w:outlineLvl w:val="1"/>
    </w:pPr>
    <w:rPr>
      <w:rFonts w:ascii="Arial" w:hAnsi="Arial" w:eastAsia="黑体"/>
      <w:b/>
      <w:kern w:val="0"/>
      <w:sz w:val="32"/>
      <w:lang w:val="zh-CN"/>
    </w:rPr>
  </w:style>
  <w:style w:type="paragraph" w:styleId="4">
    <w:name w:val="heading 3"/>
    <w:basedOn w:val="1"/>
    <w:next w:val="1"/>
    <w:link w:val="63"/>
    <w:qFormat/>
    <w:uiPriority w:val="0"/>
    <w:pPr>
      <w:keepNext/>
      <w:keepLines/>
      <w:adjustRightInd w:val="0"/>
      <w:spacing w:before="260" w:after="260" w:line="416" w:lineRule="atLeast"/>
      <w:textAlignment w:val="baseline"/>
      <w:outlineLvl w:val="2"/>
    </w:pPr>
    <w:rPr>
      <w:b/>
      <w:kern w:val="0"/>
      <w:sz w:val="32"/>
      <w:lang w:val="zh-CN"/>
    </w:rPr>
  </w:style>
  <w:style w:type="paragraph" w:styleId="5">
    <w:name w:val="heading 4"/>
    <w:basedOn w:val="1"/>
    <w:next w:val="1"/>
    <w:link w:val="65"/>
    <w:qFormat/>
    <w:uiPriority w:val="0"/>
    <w:pPr>
      <w:keepNext/>
      <w:keepLines/>
      <w:spacing w:before="280" w:after="290" w:line="372" w:lineRule="auto"/>
      <w:outlineLvl w:val="3"/>
    </w:pPr>
    <w:rPr>
      <w:rFonts w:ascii="Arial" w:hAnsi="Arial" w:eastAsia="黑体"/>
      <w:b/>
      <w:sz w:val="28"/>
      <w:lang w:val="zh-CN"/>
    </w:rPr>
  </w:style>
  <w:style w:type="paragraph" w:styleId="6">
    <w:name w:val="heading 5"/>
    <w:basedOn w:val="1"/>
    <w:next w:val="7"/>
    <w:link w:val="66"/>
    <w:qFormat/>
    <w:uiPriority w:val="0"/>
    <w:pPr>
      <w:keepNext/>
      <w:keepLines/>
      <w:spacing w:before="280" w:after="290" w:line="372" w:lineRule="auto"/>
      <w:outlineLvl w:val="4"/>
    </w:pPr>
    <w:rPr>
      <w:b/>
      <w:sz w:val="28"/>
      <w:lang w:val="zh-CN"/>
    </w:rPr>
  </w:style>
  <w:style w:type="paragraph" w:styleId="8">
    <w:name w:val="heading 6"/>
    <w:basedOn w:val="1"/>
    <w:next w:val="7"/>
    <w:link w:val="67"/>
    <w:qFormat/>
    <w:uiPriority w:val="0"/>
    <w:pPr>
      <w:keepNext/>
      <w:keepLines/>
      <w:spacing w:before="240" w:after="64" w:line="317" w:lineRule="auto"/>
      <w:outlineLvl w:val="5"/>
    </w:pPr>
    <w:rPr>
      <w:rFonts w:ascii="Arial" w:hAnsi="Arial" w:eastAsia="黑体"/>
      <w:b/>
      <w:sz w:val="24"/>
      <w:lang w:val="zh-CN"/>
    </w:rPr>
  </w:style>
  <w:style w:type="paragraph" w:styleId="9">
    <w:name w:val="heading 7"/>
    <w:basedOn w:val="1"/>
    <w:next w:val="7"/>
    <w:link w:val="68"/>
    <w:qFormat/>
    <w:uiPriority w:val="0"/>
    <w:pPr>
      <w:keepNext/>
      <w:keepLines/>
      <w:spacing w:before="240" w:after="64" w:line="317" w:lineRule="auto"/>
      <w:outlineLvl w:val="6"/>
    </w:pPr>
    <w:rPr>
      <w:b/>
      <w:sz w:val="24"/>
      <w:lang w:val="zh-CN"/>
    </w:rPr>
  </w:style>
  <w:style w:type="paragraph" w:styleId="10">
    <w:name w:val="heading 8"/>
    <w:basedOn w:val="1"/>
    <w:next w:val="7"/>
    <w:link w:val="69"/>
    <w:qFormat/>
    <w:uiPriority w:val="0"/>
    <w:pPr>
      <w:keepNext/>
      <w:keepLines/>
      <w:spacing w:before="240" w:after="64" w:line="317" w:lineRule="auto"/>
      <w:outlineLvl w:val="7"/>
    </w:pPr>
    <w:rPr>
      <w:rFonts w:ascii="Arial" w:hAnsi="Arial" w:eastAsia="黑体"/>
      <w:sz w:val="24"/>
      <w:lang w:val="zh-CN"/>
    </w:rPr>
  </w:style>
  <w:style w:type="paragraph" w:styleId="11">
    <w:name w:val="heading 9"/>
    <w:basedOn w:val="1"/>
    <w:next w:val="7"/>
    <w:link w:val="70"/>
    <w:qFormat/>
    <w:uiPriority w:val="0"/>
    <w:pPr>
      <w:keepNext/>
      <w:keepLines/>
      <w:spacing w:before="240" w:after="64" w:line="317" w:lineRule="auto"/>
      <w:outlineLvl w:val="8"/>
    </w:pPr>
    <w:rPr>
      <w:rFonts w:ascii="Arial" w:hAnsi="Arial" w:eastAsia="黑体"/>
      <w:lang w:val="zh-CN"/>
    </w:rPr>
  </w:style>
  <w:style w:type="character" w:default="1" w:styleId="50">
    <w:name w:val="Default Paragraph Font"/>
    <w:semiHidden/>
    <w:unhideWhenUsed/>
    <w:qFormat/>
    <w:uiPriority w:val="1"/>
  </w:style>
  <w:style w:type="table" w:default="1" w:styleId="48">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64"/>
    <w:qFormat/>
    <w:uiPriority w:val="0"/>
    <w:pPr>
      <w:ind w:firstLine="420"/>
    </w:pPr>
    <w:rPr>
      <w:kern w:val="0"/>
      <w:sz w:val="20"/>
    </w:rPr>
  </w:style>
  <w:style w:type="paragraph" w:styleId="12">
    <w:name w:val="toc 7"/>
    <w:basedOn w:val="1"/>
    <w:next w:val="1"/>
    <w:qFormat/>
    <w:uiPriority w:val="0"/>
    <w:pPr>
      <w:ind w:left="2520" w:leftChars="1200"/>
    </w:pPr>
  </w:style>
  <w:style w:type="paragraph" w:styleId="13">
    <w:name w:val="Note Heading"/>
    <w:basedOn w:val="1"/>
    <w:next w:val="1"/>
    <w:link w:val="115"/>
    <w:qFormat/>
    <w:uiPriority w:val="0"/>
    <w:pPr>
      <w:adjustRightInd w:val="0"/>
      <w:snapToGrid w:val="0"/>
      <w:jc w:val="center"/>
    </w:pPr>
    <w:rPr>
      <w:lang w:val="zh-CN" w:eastAsia="zh-TW"/>
    </w:rPr>
  </w:style>
  <w:style w:type="paragraph" w:styleId="14">
    <w:name w:val="caption"/>
    <w:basedOn w:val="1"/>
    <w:next w:val="1"/>
    <w:qFormat/>
    <w:uiPriority w:val="0"/>
    <w:rPr>
      <w:rFonts w:ascii="Cambria" w:hAnsi="Cambria" w:eastAsia="黑体"/>
    </w:rPr>
  </w:style>
  <w:style w:type="paragraph" w:styleId="15">
    <w:name w:val="Document Map"/>
    <w:basedOn w:val="1"/>
    <w:link w:val="111"/>
    <w:qFormat/>
    <w:uiPriority w:val="0"/>
    <w:pPr>
      <w:shd w:val="clear" w:color="auto" w:fill="000080"/>
    </w:pPr>
    <w:rPr>
      <w:kern w:val="0"/>
      <w:sz w:val="20"/>
    </w:rPr>
  </w:style>
  <w:style w:type="paragraph" w:styleId="16">
    <w:name w:val="toa heading"/>
    <w:basedOn w:val="1"/>
    <w:next w:val="1"/>
    <w:qFormat/>
    <w:uiPriority w:val="0"/>
    <w:pPr>
      <w:adjustRightInd w:val="0"/>
      <w:spacing w:before="120" w:line="312" w:lineRule="atLeast"/>
      <w:textAlignment w:val="baseline"/>
    </w:pPr>
    <w:rPr>
      <w:rFonts w:ascii="Arial" w:hAnsi="Arial"/>
      <w:sz w:val="24"/>
    </w:rPr>
  </w:style>
  <w:style w:type="paragraph" w:styleId="17">
    <w:name w:val="annotation text"/>
    <w:basedOn w:val="1"/>
    <w:link w:val="105"/>
    <w:qFormat/>
    <w:uiPriority w:val="0"/>
    <w:pPr>
      <w:adjustRightInd w:val="0"/>
      <w:spacing w:line="360" w:lineRule="atLeast"/>
      <w:textAlignment w:val="baseline"/>
    </w:pPr>
    <w:rPr>
      <w:kern w:val="0"/>
      <w:sz w:val="24"/>
      <w:lang w:val="zh-CN"/>
    </w:rPr>
  </w:style>
  <w:style w:type="paragraph" w:styleId="18">
    <w:name w:val="Body Text 3"/>
    <w:basedOn w:val="1"/>
    <w:link w:val="82"/>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19">
    <w:name w:val="Body Text"/>
    <w:basedOn w:val="1"/>
    <w:link w:val="77"/>
    <w:qFormat/>
    <w:uiPriority w:val="99"/>
    <w:rPr>
      <w:sz w:val="24"/>
    </w:rPr>
  </w:style>
  <w:style w:type="paragraph" w:styleId="20">
    <w:name w:val="Body Text Indent"/>
    <w:basedOn w:val="1"/>
    <w:link w:val="110"/>
    <w:qFormat/>
    <w:uiPriority w:val="0"/>
    <w:pPr>
      <w:ind w:firstLine="360"/>
    </w:pPr>
    <w:rPr>
      <w:kern w:val="0"/>
      <w:sz w:val="28"/>
      <w:szCs w:val="24"/>
    </w:rPr>
  </w:style>
  <w:style w:type="paragraph" w:styleId="21">
    <w:name w:val="Block Text"/>
    <w:basedOn w:val="1"/>
    <w:qFormat/>
    <w:uiPriority w:val="0"/>
    <w:pPr>
      <w:ind w:left="-540" w:right="-1054"/>
    </w:pPr>
    <w:rPr>
      <w:sz w:val="28"/>
    </w:rPr>
  </w:style>
  <w:style w:type="paragraph" w:styleId="22">
    <w:name w:val="toc 5"/>
    <w:basedOn w:val="1"/>
    <w:next w:val="1"/>
    <w:qFormat/>
    <w:uiPriority w:val="0"/>
    <w:pPr>
      <w:ind w:left="1680" w:leftChars="800"/>
    </w:pPr>
  </w:style>
  <w:style w:type="paragraph" w:styleId="23">
    <w:name w:val="toc 3"/>
    <w:basedOn w:val="1"/>
    <w:next w:val="1"/>
    <w:qFormat/>
    <w:uiPriority w:val="39"/>
    <w:pPr>
      <w:ind w:left="840" w:leftChars="400"/>
    </w:pPr>
  </w:style>
  <w:style w:type="paragraph" w:styleId="24">
    <w:name w:val="Plain Text"/>
    <w:basedOn w:val="1"/>
    <w:link w:val="88"/>
    <w:qFormat/>
    <w:uiPriority w:val="99"/>
    <w:pPr>
      <w:overflowPunct w:val="0"/>
      <w:spacing w:line="360" w:lineRule="auto"/>
    </w:pPr>
    <w:rPr>
      <w:rFonts w:ascii="宋体" w:hAnsi="Courier New" w:eastAsia="仿宋_GB2312"/>
      <w:sz w:val="24"/>
      <w:lang w:val="zh-CN"/>
    </w:rPr>
  </w:style>
  <w:style w:type="paragraph" w:styleId="25">
    <w:name w:val="toc 8"/>
    <w:basedOn w:val="1"/>
    <w:next w:val="1"/>
    <w:qFormat/>
    <w:uiPriority w:val="0"/>
    <w:pPr>
      <w:ind w:left="2940" w:leftChars="1400"/>
    </w:pPr>
  </w:style>
  <w:style w:type="paragraph" w:styleId="26">
    <w:name w:val="Date"/>
    <w:basedOn w:val="1"/>
    <w:next w:val="1"/>
    <w:link w:val="126"/>
    <w:qFormat/>
    <w:uiPriority w:val="99"/>
    <w:rPr>
      <w:kern w:val="0"/>
      <w:sz w:val="24"/>
    </w:rPr>
  </w:style>
  <w:style w:type="paragraph" w:styleId="27">
    <w:name w:val="Body Text Indent 2"/>
    <w:basedOn w:val="1"/>
    <w:link w:val="76"/>
    <w:qFormat/>
    <w:uiPriority w:val="0"/>
    <w:pPr>
      <w:spacing w:before="60" w:after="60"/>
      <w:ind w:left="720" w:hanging="720"/>
    </w:pPr>
    <w:rPr>
      <w:color w:val="000000"/>
      <w:kern w:val="0"/>
      <w:sz w:val="24"/>
    </w:rPr>
  </w:style>
  <w:style w:type="paragraph" w:styleId="28">
    <w:name w:val="endnote text"/>
    <w:basedOn w:val="1"/>
    <w:link w:val="206"/>
    <w:semiHidden/>
    <w:unhideWhenUsed/>
    <w:qFormat/>
    <w:uiPriority w:val="0"/>
    <w:pPr>
      <w:snapToGrid w:val="0"/>
      <w:jc w:val="left"/>
    </w:pPr>
    <w:rPr>
      <w:rFonts w:eastAsia="??"/>
      <w:color w:val="000000"/>
      <w:kern w:val="0"/>
      <w:sz w:val="24"/>
      <w:szCs w:val="24"/>
      <w:lang w:val="zh-CN"/>
    </w:rPr>
  </w:style>
  <w:style w:type="paragraph" w:styleId="29">
    <w:name w:val="Balloon Text"/>
    <w:basedOn w:val="1"/>
    <w:link w:val="107"/>
    <w:qFormat/>
    <w:uiPriority w:val="0"/>
    <w:rPr>
      <w:sz w:val="18"/>
      <w:szCs w:val="18"/>
      <w:lang w:val="zh-CN"/>
    </w:rPr>
  </w:style>
  <w:style w:type="paragraph" w:styleId="30">
    <w:name w:val="footer"/>
    <w:basedOn w:val="1"/>
    <w:link w:val="175"/>
    <w:qFormat/>
    <w:uiPriority w:val="99"/>
    <w:pPr>
      <w:tabs>
        <w:tab w:val="center" w:pos="4153"/>
        <w:tab w:val="right" w:pos="8306"/>
      </w:tabs>
      <w:snapToGrid w:val="0"/>
    </w:pPr>
    <w:rPr>
      <w:sz w:val="18"/>
      <w:lang w:val="zh-CN"/>
    </w:rPr>
  </w:style>
  <w:style w:type="paragraph" w:styleId="31">
    <w:name w:val="header"/>
    <w:basedOn w:val="1"/>
    <w:link w:val="162"/>
    <w:qFormat/>
    <w:uiPriority w:val="99"/>
    <w:pPr>
      <w:pBdr>
        <w:bottom w:val="single" w:color="auto" w:sz="6" w:space="1"/>
      </w:pBdr>
      <w:tabs>
        <w:tab w:val="center" w:pos="4153"/>
        <w:tab w:val="right" w:pos="8306"/>
      </w:tabs>
      <w:snapToGrid w:val="0"/>
      <w:jc w:val="center"/>
    </w:pPr>
    <w:rPr>
      <w:sz w:val="18"/>
      <w:lang w:val="zh-CN"/>
    </w:rPr>
  </w:style>
  <w:style w:type="paragraph" w:styleId="32">
    <w:name w:val="toc 1"/>
    <w:basedOn w:val="1"/>
    <w:next w:val="1"/>
    <w:qFormat/>
    <w:uiPriority w:val="39"/>
  </w:style>
  <w:style w:type="paragraph" w:styleId="33">
    <w:name w:val="toc 4"/>
    <w:basedOn w:val="1"/>
    <w:next w:val="1"/>
    <w:qFormat/>
    <w:uiPriority w:val="0"/>
    <w:pPr>
      <w:ind w:left="1260" w:leftChars="600"/>
    </w:pPr>
  </w:style>
  <w:style w:type="paragraph" w:styleId="34">
    <w:name w:val="Subtitle"/>
    <w:basedOn w:val="1"/>
    <w:next w:val="1"/>
    <w:link w:val="99"/>
    <w:qFormat/>
    <w:uiPriority w:val="0"/>
    <w:pPr>
      <w:spacing w:before="240" w:after="60" w:line="312" w:lineRule="auto"/>
      <w:jc w:val="center"/>
      <w:outlineLvl w:val="1"/>
    </w:pPr>
    <w:rPr>
      <w:rFonts w:ascii="Cambria" w:hAnsi="Cambria"/>
      <w:b/>
      <w:bCs/>
      <w:kern w:val="28"/>
      <w:sz w:val="32"/>
      <w:szCs w:val="32"/>
    </w:rPr>
  </w:style>
  <w:style w:type="paragraph" w:styleId="35">
    <w:name w:val="footnote text"/>
    <w:basedOn w:val="1"/>
    <w:link w:val="129"/>
    <w:qFormat/>
    <w:uiPriority w:val="0"/>
    <w:pPr>
      <w:snapToGrid w:val="0"/>
    </w:pPr>
    <w:rPr>
      <w:sz w:val="18"/>
      <w:szCs w:val="18"/>
      <w:lang w:val="zh-CN"/>
    </w:rPr>
  </w:style>
  <w:style w:type="paragraph" w:styleId="36">
    <w:name w:val="toc 6"/>
    <w:basedOn w:val="1"/>
    <w:next w:val="1"/>
    <w:qFormat/>
    <w:uiPriority w:val="0"/>
    <w:pPr>
      <w:ind w:left="2100" w:leftChars="1000"/>
    </w:pPr>
  </w:style>
  <w:style w:type="paragraph" w:styleId="37">
    <w:name w:val="Body Text Indent 3"/>
    <w:basedOn w:val="1"/>
    <w:link w:val="83"/>
    <w:qFormat/>
    <w:uiPriority w:val="0"/>
    <w:pPr>
      <w:ind w:firstLine="720"/>
    </w:pPr>
    <w:rPr>
      <w:kern w:val="0"/>
      <w:sz w:val="24"/>
    </w:rPr>
  </w:style>
  <w:style w:type="paragraph" w:styleId="38">
    <w:name w:val="table of figures"/>
    <w:basedOn w:val="1"/>
    <w:next w:val="1"/>
    <w:qFormat/>
    <w:uiPriority w:val="0"/>
    <w:pPr>
      <w:ind w:left="440" w:hanging="440"/>
    </w:pPr>
    <w:rPr>
      <w:rFonts w:ascii="Arial" w:hAnsi="Arial"/>
      <w:sz w:val="22"/>
      <w:lang w:val="en-GB" w:eastAsia="en-US"/>
    </w:rPr>
  </w:style>
  <w:style w:type="paragraph" w:styleId="39">
    <w:name w:val="toc 2"/>
    <w:basedOn w:val="1"/>
    <w:next w:val="1"/>
    <w:qFormat/>
    <w:uiPriority w:val="39"/>
    <w:pPr>
      <w:ind w:left="420" w:leftChars="200"/>
    </w:pPr>
  </w:style>
  <w:style w:type="paragraph" w:styleId="40">
    <w:name w:val="toc 9"/>
    <w:basedOn w:val="1"/>
    <w:next w:val="1"/>
    <w:qFormat/>
    <w:uiPriority w:val="0"/>
    <w:pPr>
      <w:ind w:left="3360" w:leftChars="1600"/>
    </w:pPr>
  </w:style>
  <w:style w:type="paragraph" w:styleId="41">
    <w:name w:val="Body Text 2"/>
    <w:basedOn w:val="1"/>
    <w:link w:val="100"/>
    <w:qFormat/>
    <w:uiPriority w:val="0"/>
    <w:pPr>
      <w:spacing w:before="60" w:after="60"/>
    </w:pPr>
    <w:rPr>
      <w:color w:val="0000FF"/>
      <w:kern w:val="0"/>
      <w:sz w:val="24"/>
    </w:rPr>
  </w:style>
  <w:style w:type="paragraph" w:styleId="42">
    <w:name w:val="HTML Preformatted"/>
    <w:basedOn w:val="1"/>
    <w:link w:val="132"/>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szCs w:val="24"/>
    </w:rPr>
  </w:style>
  <w:style w:type="paragraph" w:styleId="43">
    <w:name w:val="Normal (Web)"/>
    <w:basedOn w:val="1"/>
    <w:qFormat/>
    <w:uiPriority w:val="99"/>
    <w:rPr>
      <w:rFonts w:ascii="宋体" w:hAnsi="宋体" w:cs="宋体"/>
      <w:sz w:val="24"/>
      <w:szCs w:val="24"/>
    </w:rPr>
  </w:style>
  <w:style w:type="paragraph" w:styleId="44">
    <w:name w:val="Title"/>
    <w:basedOn w:val="1"/>
    <w:next w:val="1"/>
    <w:link w:val="96"/>
    <w:qFormat/>
    <w:uiPriority w:val="0"/>
    <w:pPr>
      <w:spacing w:before="240" w:after="60"/>
      <w:jc w:val="center"/>
      <w:outlineLvl w:val="0"/>
    </w:pPr>
    <w:rPr>
      <w:rFonts w:ascii="Cambria" w:hAnsi="Cambria"/>
      <w:b/>
      <w:bCs/>
      <w:kern w:val="0"/>
      <w:sz w:val="32"/>
      <w:szCs w:val="32"/>
      <w:lang w:val="zh-CN"/>
    </w:rPr>
  </w:style>
  <w:style w:type="paragraph" w:styleId="45">
    <w:name w:val="annotation subject"/>
    <w:basedOn w:val="17"/>
    <w:next w:val="17"/>
    <w:link w:val="120"/>
    <w:qFormat/>
    <w:uiPriority w:val="0"/>
    <w:pPr>
      <w:adjustRightInd/>
      <w:spacing w:line="240" w:lineRule="auto"/>
      <w:textAlignment w:val="auto"/>
    </w:pPr>
  </w:style>
  <w:style w:type="paragraph" w:styleId="46">
    <w:name w:val="Body Text First Indent"/>
    <w:basedOn w:val="19"/>
    <w:link w:val="121"/>
    <w:qFormat/>
    <w:uiPriority w:val="0"/>
    <w:pPr>
      <w:spacing w:after="120"/>
      <w:ind w:firstLine="420" w:firstLineChars="100"/>
    </w:pPr>
    <w:rPr>
      <w:rFonts w:ascii="宋体" w:hAnsi="宋体"/>
      <w:color w:val="000000"/>
      <w:lang w:val="zh-CN"/>
    </w:rPr>
  </w:style>
  <w:style w:type="paragraph" w:styleId="47">
    <w:name w:val="Body Text First Indent 2"/>
    <w:basedOn w:val="20"/>
    <w:link w:val="109"/>
    <w:qFormat/>
    <w:uiPriority w:val="0"/>
    <w:pPr>
      <w:spacing w:after="120"/>
      <w:ind w:left="420" w:leftChars="200" w:firstLine="420" w:firstLineChars="200"/>
    </w:pPr>
    <w:rPr>
      <w:kern w:val="2"/>
      <w:sz w:val="21"/>
    </w:rPr>
  </w:style>
  <w:style w:type="table" w:styleId="49">
    <w:name w:val="Table Grid"/>
    <w:basedOn w:val="48"/>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1">
    <w:name w:val="Strong"/>
    <w:qFormat/>
    <w:uiPriority w:val="0"/>
    <w:rPr>
      <w:b/>
      <w:bCs/>
    </w:rPr>
  </w:style>
  <w:style w:type="character" w:styleId="52">
    <w:name w:val="page number"/>
    <w:basedOn w:val="50"/>
    <w:qFormat/>
    <w:uiPriority w:val="0"/>
  </w:style>
  <w:style w:type="character" w:styleId="53">
    <w:name w:val="Emphasis"/>
    <w:qFormat/>
    <w:uiPriority w:val="0"/>
    <w:rPr>
      <w:i/>
      <w:iCs/>
    </w:rPr>
  </w:style>
  <w:style w:type="character" w:styleId="54">
    <w:name w:val="Hyperlink"/>
    <w:basedOn w:val="50"/>
    <w:qFormat/>
    <w:uiPriority w:val="99"/>
    <w:rPr>
      <w:color w:val="0000FF"/>
      <w:u w:val="single"/>
    </w:rPr>
  </w:style>
  <w:style w:type="character" w:styleId="55">
    <w:name w:val="annotation reference"/>
    <w:qFormat/>
    <w:uiPriority w:val="0"/>
    <w:rPr>
      <w:sz w:val="21"/>
      <w:szCs w:val="21"/>
    </w:rPr>
  </w:style>
  <w:style w:type="character" w:styleId="56">
    <w:name w:val="footnote reference"/>
    <w:qFormat/>
    <w:uiPriority w:val="0"/>
    <w:rPr>
      <w:vertAlign w:val="superscript"/>
    </w:rPr>
  </w:style>
  <w:style w:type="paragraph" w:customStyle="1" w:styleId="57">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58">
    <w:name w:val="一级条标题"/>
    <w:basedOn w:val="59"/>
    <w:next w:val="60"/>
    <w:qFormat/>
    <w:uiPriority w:val="0"/>
    <w:pPr>
      <w:ind w:hanging="840"/>
    </w:pPr>
  </w:style>
  <w:style w:type="paragraph" w:customStyle="1" w:styleId="59">
    <w:name w:val="章标题"/>
    <w:next w:val="1"/>
    <w:qFormat/>
    <w:uiPriority w:val="0"/>
    <w:pPr>
      <w:spacing w:before="156" w:beforeLines="50" w:after="156" w:afterLines="50"/>
      <w:jc w:val="both"/>
      <w:outlineLvl w:val="1"/>
    </w:pPr>
    <w:rPr>
      <w:rFonts w:ascii="黑体" w:hAnsi="Times New Roman" w:eastAsia="黑体" w:cs="Times New Roman"/>
      <w:sz w:val="24"/>
      <w:lang w:val="en-US" w:eastAsia="zh-CN" w:bidi="ar-SA"/>
    </w:rPr>
  </w:style>
  <w:style w:type="paragraph" w:customStyle="1" w:styleId="60">
    <w:name w:val="段"/>
    <w:next w:val="1"/>
    <w:qFormat/>
    <w:uiPriority w:val="0"/>
    <w:pPr>
      <w:autoSpaceDE w:val="0"/>
      <w:autoSpaceDN w:val="0"/>
      <w:ind w:firstLine="200" w:firstLineChars="200"/>
      <w:jc w:val="both"/>
    </w:pPr>
    <w:rPr>
      <w:rFonts w:ascii="??" w:hAnsi="??" w:eastAsia="??" w:cs="宋体"/>
      <w:color w:val="000000"/>
      <w:szCs w:val="28"/>
      <w:lang w:val="en-US" w:eastAsia="zh-CN" w:bidi="ar-SA"/>
    </w:rPr>
  </w:style>
  <w:style w:type="character" w:customStyle="1" w:styleId="61">
    <w:name w:val="标题 1 字符"/>
    <w:link w:val="3"/>
    <w:qFormat/>
    <w:uiPriority w:val="0"/>
    <w:rPr>
      <w:b/>
      <w:kern w:val="44"/>
      <w:sz w:val="44"/>
      <w:lang w:val="zh-CN" w:eastAsia="zh-CN"/>
    </w:rPr>
  </w:style>
  <w:style w:type="character" w:customStyle="1" w:styleId="62">
    <w:name w:val="标题 2 字符"/>
    <w:link w:val="2"/>
    <w:qFormat/>
    <w:uiPriority w:val="0"/>
    <w:rPr>
      <w:rFonts w:ascii="Arial" w:hAnsi="Arial" w:eastAsia="黑体"/>
      <w:b/>
      <w:sz w:val="32"/>
      <w:lang w:val="zh-CN" w:eastAsia="zh-CN"/>
    </w:rPr>
  </w:style>
  <w:style w:type="character" w:customStyle="1" w:styleId="63">
    <w:name w:val="标题 3 字符"/>
    <w:link w:val="4"/>
    <w:qFormat/>
    <w:uiPriority w:val="0"/>
    <w:rPr>
      <w:b/>
      <w:sz w:val="32"/>
      <w:lang w:val="zh-CN" w:eastAsia="zh-CN"/>
    </w:rPr>
  </w:style>
  <w:style w:type="character" w:customStyle="1" w:styleId="64">
    <w:name w:val="正文缩进 字符"/>
    <w:link w:val="7"/>
    <w:qFormat/>
    <w:uiPriority w:val="0"/>
    <w:rPr>
      <w:rFonts w:eastAsia="宋体"/>
      <w:lang w:val="en-US" w:eastAsia="zh-CN" w:bidi="ar-SA"/>
    </w:rPr>
  </w:style>
  <w:style w:type="character" w:customStyle="1" w:styleId="65">
    <w:name w:val="标题 4 字符"/>
    <w:link w:val="5"/>
    <w:qFormat/>
    <w:uiPriority w:val="0"/>
    <w:rPr>
      <w:rFonts w:ascii="Arial" w:hAnsi="Arial" w:eastAsia="黑体"/>
      <w:b/>
      <w:kern w:val="2"/>
      <w:sz w:val="28"/>
      <w:lang w:val="zh-CN" w:eastAsia="zh-CN"/>
    </w:rPr>
  </w:style>
  <w:style w:type="character" w:customStyle="1" w:styleId="66">
    <w:name w:val="标题 5 字符"/>
    <w:link w:val="6"/>
    <w:qFormat/>
    <w:uiPriority w:val="0"/>
    <w:rPr>
      <w:b/>
      <w:kern w:val="2"/>
      <w:sz w:val="28"/>
      <w:lang w:val="zh-CN" w:eastAsia="zh-CN"/>
    </w:rPr>
  </w:style>
  <w:style w:type="character" w:customStyle="1" w:styleId="67">
    <w:name w:val="标题 6 字符"/>
    <w:link w:val="8"/>
    <w:qFormat/>
    <w:uiPriority w:val="0"/>
    <w:rPr>
      <w:rFonts w:ascii="Arial" w:hAnsi="Arial" w:eastAsia="黑体"/>
      <w:b/>
      <w:kern w:val="2"/>
      <w:sz w:val="24"/>
      <w:lang w:val="zh-CN" w:eastAsia="zh-CN"/>
    </w:rPr>
  </w:style>
  <w:style w:type="character" w:customStyle="1" w:styleId="68">
    <w:name w:val="标题 7 字符"/>
    <w:link w:val="9"/>
    <w:qFormat/>
    <w:uiPriority w:val="0"/>
    <w:rPr>
      <w:b/>
      <w:kern w:val="2"/>
      <w:sz w:val="24"/>
      <w:lang w:val="zh-CN" w:eastAsia="zh-CN"/>
    </w:rPr>
  </w:style>
  <w:style w:type="character" w:customStyle="1" w:styleId="69">
    <w:name w:val="标题 8 字符"/>
    <w:link w:val="10"/>
    <w:qFormat/>
    <w:uiPriority w:val="0"/>
    <w:rPr>
      <w:rFonts w:ascii="Arial" w:hAnsi="Arial" w:eastAsia="黑体"/>
      <w:kern w:val="2"/>
      <w:sz w:val="24"/>
      <w:lang w:val="zh-CN" w:eastAsia="zh-CN"/>
    </w:rPr>
  </w:style>
  <w:style w:type="character" w:customStyle="1" w:styleId="70">
    <w:name w:val="标题 9 字符"/>
    <w:link w:val="11"/>
    <w:qFormat/>
    <w:uiPriority w:val="0"/>
    <w:rPr>
      <w:rFonts w:ascii="Arial" w:hAnsi="Arial" w:eastAsia="黑体"/>
      <w:kern w:val="2"/>
      <w:sz w:val="21"/>
      <w:lang w:val="zh-CN" w:eastAsia="zh-CN"/>
    </w:rPr>
  </w:style>
  <w:style w:type="character" w:customStyle="1" w:styleId="71">
    <w:name w:val="已访问的超链接1"/>
    <w:qFormat/>
    <w:uiPriority w:val="99"/>
    <w:rPr>
      <w:color w:val="800080"/>
      <w:u w:val="single"/>
    </w:rPr>
  </w:style>
  <w:style w:type="character" w:customStyle="1" w:styleId="72">
    <w:name w:val="Char Char9"/>
    <w:qFormat/>
    <w:uiPriority w:val="0"/>
    <w:rPr>
      <w:rFonts w:ascii="Arial" w:hAnsi="Arial" w:eastAsia="黑体"/>
      <w:sz w:val="21"/>
      <w:lang w:val="en-US" w:eastAsia="zh-CN" w:bidi="ar-SA"/>
    </w:rPr>
  </w:style>
  <w:style w:type="character" w:customStyle="1" w:styleId="73">
    <w:name w:val="页脚 Char Char"/>
    <w:qFormat/>
    <w:uiPriority w:val="0"/>
    <w:rPr>
      <w:sz w:val="18"/>
    </w:rPr>
  </w:style>
  <w:style w:type="character" w:customStyle="1" w:styleId="74">
    <w:name w:val="Char Char14"/>
    <w:qFormat/>
    <w:uiPriority w:val="0"/>
    <w:rPr>
      <w:kern w:val="2"/>
      <w:sz w:val="18"/>
      <w:szCs w:val="18"/>
      <w:lang w:bidi="ar-SA"/>
    </w:rPr>
  </w:style>
  <w:style w:type="character" w:customStyle="1" w:styleId="75">
    <w:name w:val="Comment Text Char"/>
    <w:qFormat/>
    <w:uiPriority w:val="0"/>
    <w:rPr>
      <w:rFonts w:cs="Times New Roman"/>
      <w:kern w:val="2"/>
      <w:sz w:val="28"/>
      <w:szCs w:val="28"/>
    </w:rPr>
  </w:style>
  <w:style w:type="character" w:customStyle="1" w:styleId="76">
    <w:name w:val="正文文本缩进 2 字符"/>
    <w:link w:val="27"/>
    <w:qFormat/>
    <w:uiPriority w:val="0"/>
    <w:rPr>
      <w:rFonts w:eastAsia="宋体"/>
      <w:color w:val="000000"/>
      <w:sz w:val="24"/>
      <w:lang w:val="en-US" w:eastAsia="zh-CN" w:bidi="ar-SA"/>
    </w:rPr>
  </w:style>
  <w:style w:type="character" w:customStyle="1" w:styleId="77">
    <w:name w:val="正文文本 字符"/>
    <w:link w:val="19"/>
    <w:qFormat/>
    <w:uiPriority w:val="99"/>
    <w:rPr>
      <w:rFonts w:eastAsia="宋体"/>
      <w:kern w:val="2"/>
      <w:sz w:val="24"/>
      <w:lang w:val="en-US" w:eastAsia="zh-CN" w:bidi="ar-SA"/>
    </w:rPr>
  </w:style>
  <w:style w:type="character" w:customStyle="1" w:styleId="78">
    <w:name w:val="No Spacing Char"/>
    <w:link w:val="79"/>
    <w:qFormat/>
    <w:uiPriority w:val="0"/>
    <w:rPr>
      <w:rFonts w:ascii="Calibri" w:hAnsi="Calibri"/>
      <w:sz w:val="22"/>
      <w:szCs w:val="22"/>
      <w:lang w:val="en-US" w:eastAsia="zh-CN" w:bidi="ar-SA"/>
    </w:rPr>
  </w:style>
  <w:style w:type="paragraph" w:customStyle="1" w:styleId="79">
    <w:name w:val="无间隔1"/>
    <w:link w:val="78"/>
    <w:qFormat/>
    <w:uiPriority w:val="0"/>
    <w:rPr>
      <w:rFonts w:ascii="Calibri" w:hAnsi="Calibri" w:eastAsia="宋体" w:cs="Times New Roman"/>
      <w:sz w:val="22"/>
      <w:szCs w:val="22"/>
      <w:lang w:val="en-US" w:eastAsia="zh-CN" w:bidi="ar-SA"/>
    </w:rPr>
  </w:style>
  <w:style w:type="character" w:customStyle="1" w:styleId="80">
    <w:name w:val="Char Char111"/>
    <w:qFormat/>
    <w:uiPriority w:val="0"/>
    <w:rPr>
      <w:rFonts w:eastAsia="黑体"/>
      <w:kern w:val="2"/>
      <w:sz w:val="44"/>
      <w:szCs w:val="44"/>
      <w:lang w:val="en-US" w:eastAsia="zh-CN" w:bidi="ar-SA"/>
    </w:rPr>
  </w:style>
  <w:style w:type="character" w:customStyle="1" w:styleId="81">
    <w:name w:val="Char Char26"/>
    <w:qFormat/>
    <w:uiPriority w:val="0"/>
    <w:rPr>
      <w:rFonts w:eastAsia="宋体"/>
      <w:b/>
      <w:bCs/>
      <w:kern w:val="44"/>
      <w:sz w:val="44"/>
      <w:szCs w:val="44"/>
      <w:lang w:val="en-US" w:eastAsia="zh-CN" w:bidi="ar-SA"/>
    </w:rPr>
  </w:style>
  <w:style w:type="character" w:customStyle="1" w:styleId="82">
    <w:name w:val="正文文本 3 字符"/>
    <w:link w:val="18"/>
    <w:qFormat/>
    <w:uiPriority w:val="0"/>
    <w:rPr>
      <w:rFonts w:ascii="Arial" w:hAnsi="Arial"/>
      <w:color w:val="FF0000"/>
      <w:spacing w:val="-3"/>
      <w:sz w:val="22"/>
      <w:lang w:val="en-GB" w:eastAsia="en-US" w:bidi="ar-SA"/>
    </w:rPr>
  </w:style>
  <w:style w:type="character" w:customStyle="1" w:styleId="83">
    <w:name w:val="正文文本缩进 3 字符"/>
    <w:link w:val="37"/>
    <w:qFormat/>
    <w:uiPriority w:val="0"/>
    <w:rPr>
      <w:rFonts w:eastAsia="宋体"/>
      <w:sz w:val="24"/>
      <w:lang w:val="en-US" w:eastAsia="zh-CN" w:bidi="ar-SA"/>
    </w:rPr>
  </w:style>
  <w:style w:type="character" w:customStyle="1" w:styleId="84">
    <w:name w:val="正文缩进 Char2"/>
    <w:qFormat/>
    <w:uiPriority w:val="0"/>
    <w:rPr>
      <w:rFonts w:eastAsia="楷体_GB2312"/>
      <w:kern w:val="2"/>
      <w:sz w:val="28"/>
    </w:rPr>
  </w:style>
  <w:style w:type="character" w:customStyle="1" w:styleId="85">
    <w:name w:val="apple-style-span"/>
    <w:basedOn w:val="50"/>
    <w:qFormat/>
    <w:uiPriority w:val="0"/>
  </w:style>
  <w:style w:type="character" w:customStyle="1" w:styleId="86">
    <w:name w:val="Char Char15"/>
    <w:qFormat/>
    <w:uiPriority w:val="0"/>
    <w:rPr>
      <w:rFonts w:eastAsia="宋体"/>
      <w:b/>
      <w:sz w:val="28"/>
      <w:lang w:val="en-US" w:eastAsia="zh-CN" w:bidi="ar-SA"/>
    </w:rPr>
  </w:style>
  <w:style w:type="character" w:customStyle="1" w:styleId="87">
    <w:name w:val="Char Char19"/>
    <w:qFormat/>
    <w:uiPriority w:val="0"/>
    <w:rPr>
      <w:rFonts w:ascii="仿宋_GB2312" w:eastAsia="仿宋_GB2312" w:cs="MingLiU"/>
      <w:b/>
      <w:spacing w:val="1"/>
      <w:w w:val="99"/>
      <w:sz w:val="28"/>
      <w:szCs w:val="32"/>
    </w:rPr>
  </w:style>
  <w:style w:type="character" w:customStyle="1" w:styleId="88">
    <w:name w:val="纯文本 字符"/>
    <w:link w:val="24"/>
    <w:qFormat/>
    <w:uiPriority w:val="99"/>
    <w:rPr>
      <w:rFonts w:ascii="宋体" w:hAnsi="Courier New" w:eastAsia="仿宋_GB2312"/>
      <w:kern w:val="2"/>
      <w:sz w:val="24"/>
    </w:rPr>
  </w:style>
  <w:style w:type="character" w:customStyle="1" w:styleId="89">
    <w:name w:val="批注主题 Char1"/>
    <w:qFormat/>
    <w:uiPriority w:val="0"/>
    <w:rPr>
      <w:rFonts w:cs="Times New Roman"/>
      <w:b/>
      <w:bCs/>
      <w:kern w:val="2"/>
      <w:sz w:val="21"/>
      <w:szCs w:val="24"/>
      <w:lang w:val="en-US" w:eastAsia="zh-CN"/>
    </w:rPr>
  </w:style>
  <w:style w:type="character" w:customStyle="1" w:styleId="90">
    <w:name w:val="正文文字2 Char Char Char"/>
    <w:qFormat/>
    <w:uiPriority w:val="0"/>
    <w:rPr>
      <w:rFonts w:ascii="Arial" w:eastAsia="黑体"/>
      <w:sz w:val="21"/>
    </w:rPr>
  </w:style>
  <w:style w:type="character" w:customStyle="1" w:styleId="91">
    <w:name w:val="Char Char6"/>
    <w:qFormat/>
    <w:uiPriority w:val="0"/>
    <w:rPr>
      <w:kern w:val="2"/>
      <w:sz w:val="18"/>
      <w:szCs w:val="18"/>
    </w:rPr>
  </w:style>
  <w:style w:type="character" w:customStyle="1" w:styleId="92">
    <w:name w:val="cucd-0 Char Char Char"/>
    <w:qFormat/>
    <w:uiPriority w:val="0"/>
    <w:rPr>
      <w:kern w:val="2"/>
      <w:sz w:val="24"/>
      <w:szCs w:val="24"/>
      <w:lang w:bidi="ar-SA"/>
    </w:rPr>
  </w:style>
  <w:style w:type="character" w:customStyle="1" w:styleId="93">
    <w:name w:val="页脚 Char Char Char"/>
    <w:qFormat/>
    <w:uiPriority w:val="0"/>
    <w:rPr>
      <w:sz w:val="18"/>
    </w:rPr>
  </w:style>
  <w:style w:type="character" w:customStyle="1" w:styleId="94">
    <w:name w:val="无间隔 字符"/>
    <w:link w:val="95"/>
    <w:qFormat/>
    <w:uiPriority w:val="0"/>
    <w:rPr>
      <w:rFonts w:ascii="Calibri" w:hAnsi="Calibri"/>
      <w:sz w:val="22"/>
      <w:szCs w:val="22"/>
      <w:lang w:val="en-US" w:eastAsia="zh-CN" w:bidi="ar-SA"/>
    </w:rPr>
  </w:style>
  <w:style w:type="paragraph" w:styleId="95">
    <w:name w:val="No Spacing"/>
    <w:link w:val="94"/>
    <w:qFormat/>
    <w:uiPriority w:val="0"/>
    <w:rPr>
      <w:rFonts w:ascii="Calibri" w:hAnsi="Calibri" w:eastAsia="宋体" w:cs="Times New Roman"/>
      <w:sz w:val="22"/>
      <w:szCs w:val="22"/>
      <w:lang w:val="en-US" w:eastAsia="zh-CN" w:bidi="ar-SA"/>
    </w:rPr>
  </w:style>
  <w:style w:type="character" w:customStyle="1" w:styleId="96">
    <w:name w:val="标题 字符"/>
    <w:link w:val="44"/>
    <w:qFormat/>
    <w:uiPriority w:val="0"/>
    <w:rPr>
      <w:rFonts w:ascii="Cambria" w:hAnsi="Cambria" w:cs="Times New Roman"/>
      <w:b/>
      <w:bCs/>
      <w:sz w:val="32"/>
      <w:szCs w:val="32"/>
    </w:rPr>
  </w:style>
  <w:style w:type="character" w:customStyle="1" w:styleId="97">
    <w:name w:val="页脚 Char1"/>
    <w:qFormat/>
    <w:uiPriority w:val="0"/>
    <w:rPr>
      <w:sz w:val="18"/>
    </w:rPr>
  </w:style>
  <w:style w:type="character" w:customStyle="1" w:styleId="98">
    <w:name w:val="正文文本缩进 Char1"/>
    <w:qFormat/>
    <w:uiPriority w:val="0"/>
    <w:rPr>
      <w:rFonts w:ascii="宋体" w:hAnsi="宋体"/>
      <w:color w:val="000000"/>
      <w:sz w:val="24"/>
      <w:szCs w:val="24"/>
      <w:lang w:val="en-US" w:eastAsia="zh-CN"/>
    </w:rPr>
  </w:style>
  <w:style w:type="character" w:customStyle="1" w:styleId="99">
    <w:name w:val="副标题 字符"/>
    <w:link w:val="34"/>
    <w:qFormat/>
    <w:uiPriority w:val="0"/>
    <w:rPr>
      <w:rFonts w:ascii="Cambria" w:hAnsi="Cambria"/>
      <w:b/>
      <w:bCs/>
      <w:kern w:val="28"/>
      <w:sz w:val="32"/>
      <w:szCs w:val="32"/>
      <w:lang w:val="en-US" w:eastAsia="zh-CN"/>
    </w:rPr>
  </w:style>
  <w:style w:type="character" w:customStyle="1" w:styleId="100">
    <w:name w:val="正文文本 2 字符"/>
    <w:link w:val="41"/>
    <w:qFormat/>
    <w:uiPriority w:val="0"/>
    <w:rPr>
      <w:rFonts w:eastAsia="宋体"/>
      <w:color w:val="0000FF"/>
      <w:sz w:val="24"/>
      <w:lang w:val="en-US" w:eastAsia="zh-CN" w:bidi="ar-SA"/>
    </w:rPr>
  </w:style>
  <w:style w:type="character" w:customStyle="1" w:styleId="101">
    <w:name w:val="h4 Char Char1"/>
    <w:qFormat/>
    <w:uiPriority w:val="0"/>
    <w:rPr>
      <w:rFonts w:ascii="仿宋_GB2312" w:eastAsia="仿宋_GB2312" w:cs="MingLiU"/>
      <w:b/>
      <w:sz w:val="24"/>
      <w:szCs w:val="28"/>
    </w:rPr>
  </w:style>
  <w:style w:type="character" w:customStyle="1" w:styleId="102">
    <w:name w:val="Char Char24"/>
    <w:qFormat/>
    <w:uiPriority w:val="0"/>
    <w:rPr>
      <w:rFonts w:eastAsia="宋体"/>
      <w:b/>
      <w:bCs/>
      <w:kern w:val="2"/>
      <w:sz w:val="28"/>
      <w:szCs w:val="32"/>
      <w:lang w:val="en-US" w:eastAsia="zh-CN" w:bidi="ar-SA"/>
    </w:rPr>
  </w:style>
  <w:style w:type="character" w:customStyle="1" w:styleId="103">
    <w:name w:val="Char Char13"/>
    <w:qFormat/>
    <w:uiPriority w:val="0"/>
    <w:rPr>
      <w:rFonts w:ascii="Arial" w:hAnsi="Arial"/>
      <w:spacing w:val="-3"/>
      <w:sz w:val="22"/>
      <w:lang w:val="en-GB" w:eastAsia="en-US" w:bidi="ar-SA"/>
    </w:rPr>
  </w:style>
  <w:style w:type="character" w:customStyle="1" w:styleId="104">
    <w:name w:val="Char Char23"/>
    <w:qFormat/>
    <w:uiPriority w:val="0"/>
    <w:rPr>
      <w:rFonts w:ascii="Arial" w:hAnsi="Arial" w:eastAsia="黑体"/>
      <w:b/>
      <w:bCs/>
      <w:kern w:val="2"/>
      <w:sz w:val="28"/>
      <w:szCs w:val="28"/>
      <w:lang w:val="en-US" w:eastAsia="zh-CN" w:bidi="ar-SA"/>
    </w:rPr>
  </w:style>
  <w:style w:type="character" w:customStyle="1" w:styleId="105">
    <w:name w:val="批注文字 字符"/>
    <w:link w:val="17"/>
    <w:qFormat/>
    <w:uiPriority w:val="0"/>
    <w:rPr>
      <w:sz w:val="24"/>
    </w:rPr>
  </w:style>
  <w:style w:type="character" w:customStyle="1" w:styleId="106">
    <w:name w:val="Char Char12"/>
    <w:qFormat/>
    <w:uiPriority w:val="0"/>
    <w:rPr>
      <w:rFonts w:ascii="Arial" w:hAnsi="Arial" w:eastAsia="黑体"/>
      <w:b/>
      <w:sz w:val="24"/>
      <w:lang w:val="en-US" w:eastAsia="zh-CN" w:bidi="ar-SA"/>
    </w:rPr>
  </w:style>
  <w:style w:type="character" w:customStyle="1" w:styleId="107">
    <w:name w:val="批注框文本 字符"/>
    <w:link w:val="29"/>
    <w:qFormat/>
    <w:uiPriority w:val="0"/>
    <w:rPr>
      <w:kern w:val="2"/>
      <w:sz w:val="18"/>
      <w:szCs w:val="18"/>
    </w:rPr>
  </w:style>
  <w:style w:type="character" w:customStyle="1" w:styleId="108">
    <w:name w:val="Char Char16"/>
    <w:qFormat/>
    <w:uiPriority w:val="0"/>
    <w:rPr>
      <w:rFonts w:ascii="Calibri" w:hAnsi="Calibri" w:eastAsia="宋体"/>
      <w:kern w:val="2"/>
      <w:sz w:val="18"/>
      <w:szCs w:val="18"/>
      <w:lang w:val="en-US" w:eastAsia="zh-CN" w:bidi="ar-SA"/>
    </w:rPr>
  </w:style>
  <w:style w:type="character" w:customStyle="1" w:styleId="109">
    <w:name w:val="正文首行缩进 2 字符"/>
    <w:link w:val="47"/>
    <w:qFormat/>
    <w:uiPriority w:val="0"/>
    <w:rPr>
      <w:rFonts w:eastAsia="宋体"/>
      <w:kern w:val="2"/>
      <w:sz w:val="21"/>
      <w:szCs w:val="24"/>
      <w:lang w:val="en-US" w:eastAsia="zh-CN" w:bidi="ar-SA"/>
    </w:rPr>
  </w:style>
  <w:style w:type="character" w:customStyle="1" w:styleId="110">
    <w:name w:val="正文文本缩进 字符"/>
    <w:link w:val="20"/>
    <w:qFormat/>
    <w:uiPriority w:val="0"/>
    <w:rPr>
      <w:rFonts w:eastAsia="宋体"/>
      <w:sz w:val="28"/>
      <w:szCs w:val="24"/>
      <w:lang w:val="en-US" w:eastAsia="zh-CN" w:bidi="ar-SA"/>
    </w:rPr>
  </w:style>
  <w:style w:type="character" w:customStyle="1" w:styleId="111">
    <w:name w:val="文档结构图 字符"/>
    <w:link w:val="15"/>
    <w:qFormat/>
    <w:uiPriority w:val="0"/>
    <w:rPr>
      <w:rFonts w:eastAsia="宋体"/>
      <w:lang w:val="en-US" w:eastAsia="zh-CN" w:bidi="ar-SA"/>
    </w:rPr>
  </w:style>
  <w:style w:type="character" w:customStyle="1" w:styleId="112">
    <w:name w:val="Char Char17"/>
    <w:qFormat/>
    <w:uiPriority w:val="0"/>
    <w:rPr>
      <w:rFonts w:ascii="Calibri" w:hAnsi="Calibri" w:eastAsia="宋体"/>
      <w:kern w:val="2"/>
      <w:sz w:val="18"/>
      <w:szCs w:val="18"/>
      <w:lang w:val="en-US" w:eastAsia="zh-CN" w:bidi="ar-SA"/>
    </w:rPr>
  </w:style>
  <w:style w:type="character" w:customStyle="1" w:styleId="113">
    <w:name w:val="Char Char10"/>
    <w:qFormat/>
    <w:uiPriority w:val="0"/>
    <w:rPr>
      <w:rFonts w:ascii="Arial" w:hAnsi="Arial" w:eastAsia="黑体"/>
      <w:sz w:val="24"/>
      <w:lang w:val="en-US" w:eastAsia="zh-CN" w:bidi="ar-SA"/>
    </w:rPr>
  </w:style>
  <w:style w:type="character" w:customStyle="1" w:styleId="114">
    <w:name w:val="Char Char18"/>
    <w:qFormat/>
    <w:uiPriority w:val="0"/>
    <w:rPr>
      <w:rFonts w:ascii="仿宋_GB2312" w:eastAsia="仿宋_GB2312" w:cs="MingLiU"/>
      <w:b/>
      <w:sz w:val="24"/>
      <w:szCs w:val="28"/>
    </w:rPr>
  </w:style>
  <w:style w:type="character" w:customStyle="1" w:styleId="115">
    <w:name w:val="注释标题 字符"/>
    <w:link w:val="13"/>
    <w:qFormat/>
    <w:uiPriority w:val="0"/>
    <w:rPr>
      <w:kern w:val="2"/>
      <w:sz w:val="21"/>
      <w:lang w:eastAsia="zh-TW"/>
    </w:rPr>
  </w:style>
  <w:style w:type="character" w:customStyle="1" w:styleId="116">
    <w:name w:val="h4 Char Char"/>
    <w:qFormat/>
    <w:uiPriority w:val="0"/>
    <w:rPr>
      <w:rFonts w:ascii="仿宋_GB2312" w:eastAsia="仿宋_GB2312" w:cs="MingLiU"/>
      <w:b/>
      <w:sz w:val="24"/>
      <w:szCs w:val="28"/>
    </w:rPr>
  </w:style>
  <w:style w:type="character" w:customStyle="1" w:styleId="117">
    <w:name w:val="纯文本 Char1"/>
    <w:qFormat/>
    <w:uiPriority w:val="0"/>
    <w:rPr>
      <w:rFonts w:ascii="宋体" w:hAnsi="Courier New"/>
      <w:kern w:val="2"/>
      <w:sz w:val="21"/>
      <w:lang w:val="en-US" w:eastAsia="zh-CN"/>
    </w:rPr>
  </w:style>
  <w:style w:type="character" w:customStyle="1" w:styleId="118">
    <w:name w:val="Char Char11"/>
    <w:qFormat/>
    <w:uiPriority w:val="0"/>
    <w:rPr>
      <w:rFonts w:eastAsia="宋体"/>
      <w:b/>
      <w:sz w:val="24"/>
      <w:lang w:val="en-US" w:eastAsia="zh-CN" w:bidi="ar-SA"/>
    </w:rPr>
  </w:style>
  <w:style w:type="character" w:customStyle="1" w:styleId="119">
    <w:name w:val="页眉 Char1"/>
    <w:qFormat/>
    <w:uiPriority w:val="0"/>
    <w:rPr>
      <w:sz w:val="18"/>
    </w:rPr>
  </w:style>
  <w:style w:type="character" w:customStyle="1" w:styleId="120">
    <w:name w:val="批注主题 字符"/>
    <w:basedOn w:val="105"/>
    <w:link w:val="45"/>
    <w:qFormat/>
    <w:uiPriority w:val="0"/>
    <w:rPr>
      <w:sz w:val="24"/>
    </w:rPr>
  </w:style>
  <w:style w:type="character" w:customStyle="1" w:styleId="121">
    <w:name w:val="正文首行缩进 字符"/>
    <w:link w:val="46"/>
    <w:qFormat/>
    <w:uiPriority w:val="0"/>
    <w:rPr>
      <w:rFonts w:ascii="宋体" w:hAnsi="宋体"/>
      <w:color w:val="000000"/>
      <w:kern w:val="2"/>
      <w:sz w:val="24"/>
    </w:rPr>
  </w:style>
  <w:style w:type="character" w:customStyle="1" w:styleId="122">
    <w:name w:val="Char Char8"/>
    <w:qFormat/>
    <w:uiPriority w:val="0"/>
    <w:rPr>
      <w:kern w:val="2"/>
      <w:sz w:val="18"/>
      <w:szCs w:val="18"/>
    </w:rPr>
  </w:style>
  <w:style w:type="character" w:customStyle="1" w:styleId="123">
    <w:name w:val="页脚2 Char Char Char"/>
    <w:qFormat/>
    <w:uiPriority w:val="0"/>
    <w:rPr>
      <w:rFonts w:ascii="宋体" w:hAnsi="宋体"/>
      <w:sz w:val="18"/>
      <w:szCs w:val="18"/>
    </w:rPr>
  </w:style>
  <w:style w:type="character" w:customStyle="1" w:styleId="124">
    <w:name w:val="普通文字 Char2"/>
    <w:qFormat/>
    <w:uiPriority w:val="0"/>
    <w:rPr>
      <w:rFonts w:ascii="宋体" w:hAnsi="Courier New"/>
      <w:kern w:val="2"/>
      <w:sz w:val="28"/>
      <w:szCs w:val="28"/>
    </w:rPr>
  </w:style>
  <w:style w:type="character" w:customStyle="1" w:styleId="125">
    <w:name w:val="章 Char"/>
    <w:qFormat/>
    <w:uiPriority w:val="0"/>
    <w:rPr>
      <w:rFonts w:eastAsia="宋体"/>
      <w:b/>
      <w:kern w:val="44"/>
      <w:sz w:val="44"/>
      <w:lang w:val="en-US" w:eastAsia="zh-CN" w:bidi="ar-SA"/>
    </w:rPr>
  </w:style>
  <w:style w:type="character" w:customStyle="1" w:styleId="126">
    <w:name w:val="日期 字符"/>
    <w:link w:val="26"/>
    <w:qFormat/>
    <w:uiPriority w:val="99"/>
    <w:rPr>
      <w:rFonts w:eastAsia="宋体"/>
      <w:sz w:val="24"/>
      <w:lang w:val="en-US" w:eastAsia="zh-CN" w:bidi="ar-SA"/>
    </w:rPr>
  </w:style>
  <w:style w:type="character" w:customStyle="1" w:styleId="127">
    <w:name w:val="Char Char25"/>
    <w:qFormat/>
    <w:uiPriority w:val="0"/>
    <w:rPr>
      <w:rFonts w:ascii="Arial" w:hAnsi="Arial" w:eastAsia="黑体"/>
      <w:b/>
      <w:bCs/>
      <w:kern w:val="2"/>
      <w:sz w:val="30"/>
      <w:szCs w:val="32"/>
      <w:lang w:val="en-US" w:eastAsia="zh-CN" w:bidi="ar-SA"/>
    </w:rPr>
  </w:style>
  <w:style w:type="character" w:customStyle="1" w:styleId="128">
    <w:name w:val="正文文本 3 Char1"/>
    <w:qFormat/>
    <w:uiPriority w:val="0"/>
    <w:rPr>
      <w:kern w:val="2"/>
      <w:sz w:val="16"/>
      <w:szCs w:val="16"/>
      <w:lang w:val="en-US" w:eastAsia="zh-CN"/>
    </w:rPr>
  </w:style>
  <w:style w:type="character" w:customStyle="1" w:styleId="129">
    <w:name w:val="脚注文本 字符"/>
    <w:link w:val="35"/>
    <w:qFormat/>
    <w:uiPriority w:val="0"/>
    <w:rPr>
      <w:kern w:val="2"/>
      <w:sz w:val="18"/>
      <w:szCs w:val="18"/>
    </w:rPr>
  </w:style>
  <w:style w:type="character" w:customStyle="1" w:styleId="130">
    <w:name w:val="Char Char41"/>
    <w:qFormat/>
    <w:uiPriority w:val="0"/>
    <w:rPr>
      <w:rFonts w:ascii="Arial" w:hAnsi="Arial" w:eastAsia="黑体"/>
      <w:b/>
      <w:sz w:val="32"/>
      <w:lang w:val="en-US" w:eastAsia="zh-CN" w:bidi="ar-SA"/>
    </w:rPr>
  </w:style>
  <w:style w:type="character" w:customStyle="1" w:styleId="131">
    <w:name w:val="页眉 Char Char Char"/>
    <w:qFormat/>
    <w:uiPriority w:val="0"/>
    <w:rPr>
      <w:sz w:val="18"/>
    </w:rPr>
  </w:style>
  <w:style w:type="character" w:customStyle="1" w:styleId="132">
    <w:name w:val="HTML 预设格式 字符"/>
    <w:link w:val="42"/>
    <w:qFormat/>
    <w:uiPriority w:val="0"/>
    <w:rPr>
      <w:rFonts w:ascii="Arial" w:hAnsi="Arial" w:eastAsia="宋体" w:cs="Arial"/>
      <w:sz w:val="24"/>
      <w:szCs w:val="24"/>
      <w:lang w:val="en-US" w:eastAsia="zh-CN" w:bidi="ar-SA"/>
    </w:rPr>
  </w:style>
  <w:style w:type="character" w:customStyle="1" w:styleId="133">
    <w:name w:val="页脚2 Char Char"/>
    <w:link w:val="134"/>
    <w:qFormat/>
    <w:uiPriority w:val="0"/>
    <w:rPr>
      <w:rFonts w:ascii="宋体" w:hAnsi="宋体"/>
      <w:sz w:val="18"/>
      <w:szCs w:val="18"/>
    </w:rPr>
  </w:style>
  <w:style w:type="paragraph" w:customStyle="1" w:styleId="134">
    <w:name w:val="页脚2"/>
    <w:basedOn w:val="1"/>
    <w:link w:val="133"/>
    <w:qFormat/>
    <w:uiPriority w:val="0"/>
    <w:pPr>
      <w:pBdr>
        <w:top w:val="single" w:color="auto" w:sz="6" w:space="0"/>
      </w:pBdr>
      <w:jc w:val="right"/>
      <w:textAlignment w:val="center"/>
    </w:pPr>
    <w:rPr>
      <w:rFonts w:ascii="宋体" w:hAnsi="宋体"/>
      <w:kern w:val="0"/>
      <w:sz w:val="18"/>
      <w:szCs w:val="18"/>
      <w:lang w:val="zh-CN"/>
    </w:rPr>
  </w:style>
  <w:style w:type="character" w:customStyle="1" w:styleId="135">
    <w:name w:val="页眉 Char Char"/>
    <w:qFormat/>
    <w:uiPriority w:val="0"/>
    <w:rPr>
      <w:sz w:val="18"/>
    </w:rPr>
  </w:style>
  <w:style w:type="character" w:customStyle="1" w:styleId="136">
    <w:name w:val="Char Char20"/>
    <w:qFormat/>
    <w:uiPriority w:val="0"/>
    <w:rPr>
      <w:rFonts w:eastAsia="黑体"/>
      <w:kern w:val="2"/>
      <w:sz w:val="44"/>
      <w:szCs w:val="44"/>
      <w:lang w:val="en-US" w:eastAsia="zh-CN" w:bidi="ar-SA"/>
    </w:rPr>
  </w:style>
  <w:style w:type="character" w:customStyle="1" w:styleId="137">
    <w:name w:val="cucd-2 Char1"/>
    <w:link w:val="138"/>
    <w:qFormat/>
    <w:uiPriority w:val="0"/>
    <w:rPr>
      <w:rFonts w:ascii="宋体" w:hAnsi="宋体"/>
      <w:b/>
      <w:kern w:val="2"/>
      <w:sz w:val="28"/>
      <w:szCs w:val="28"/>
      <w:lang w:val="en-US" w:eastAsia="zh-CN" w:bidi="ar-SA"/>
    </w:rPr>
  </w:style>
  <w:style w:type="paragraph" w:customStyle="1" w:styleId="138">
    <w:name w:val="cucd-2"/>
    <w:next w:val="1"/>
    <w:link w:val="137"/>
    <w:qFormat/>
    <w:uiPriority w:val="0"/>
    <w:pPr>
      <w:tabs>
        <w:tab w:val="left" w:pos="1134"/>
      </w:tabs>
      <w:spacing w:line="360" w:lineRule="auto"/>
      <w:ind w:left="1134" w:hanging="567"/>
      <w:outlineLvl w:val="1"/>
    </w:pPr>
    <w:rPr>
      <w:rFonts w:ascii="宋体" w:hAnsi="宋体" w:eastAsia="宋体" w:cs="Times New Roman"/>
      <w:b/>
      <w:kern w:val="2"/>
      <w:sz w:val="28"/>
      <w:szCs w:val="28"/>
      <w:lang w:val="en-US" w:eastAsia="zh-CN" w:bidi="ar-SA"/>
    </w:rPr>
  </w:style>
  <w:style w:type="character" w:customStyle="1" w:styleId="139">
    <w:name w:val="Char Char231"/>
    <w:qFormat/>
    <w:uiPriority w:val="0"/>
    <w:rPr>
      <w:rFonts w:ascii="Arial" w:hAnsi="Arial" w:eastAsia="黑体"/>
      <w:b/>
      <w:sz w:val="32"/>
      <w:lang w:val="en-US" w:eastAsia="zh-CN" w:bidi="ar-SA"/>
    </w:rPr>
  </w:style>
  <w:style w:type="character" w:customStyle="1" w:styleId="140">
    <w:name w:val="cucd-0 Char Char"/>
    <w:link w:val="141"/>
    <w:qFormat/>
    <w:uiPriority w:val="0"/>
    <w:rPr>
      <w:kern w:val="2"/>
      <w:sz w:val="24"/>
      <w:szCs w:val="24"/>
      <w:lang w:val="en-US" w:eastAsia="zh-CN" w:bidi="ar-SA"/>
    </w:rPr>
  </w:style>
  <w:style w:type="paragraph" w:customStyle="1" w:styleId="141">
    <w:name w:val="cucd-0"/>
    <w:link w:val="140"/>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142">
    <w:name w:val="正文文字2 Char Char"/>
    <w:link w:val="143"/>
    <w:qFormat/>
    <w:uiPriority w:val="0"/>
    <w:rPr>
      <w:rFonts w:ascii="Arial" w:eastAsia="黑体"/>
      <w:sz w:val="21"/>
      <w:lang w:val="en-US" w:eastAsia="zh-CN" w:bidi="ar-SA"/>
    </w:rPr>
  </w:style>
  <w:style w:type="paragraph" w:customStyle="1" w:styleId="143">
    <w:name w:val="正文文字2"/>
    <w:basedOn w:val="19"/>
    <w:link w:val="142"/>
    <w:qFormat/>
    <w:uiPriority w:val="0"/>
    <w:pPr>
      <w:adjustRightInd w:val="0"/>
      <w:spacing w:after="60" w:line="360" w:lineRule="atLeast"/>
      <w:ind w:left="72" w:leftChars="30" w:right="72" w:rightChars="30"/>
      <w:jc w:val="center"/>
      <w:textAlignment w:val="baseline"/>
    </w:pPr>
    <w:rPr>
      <w:rFonts w:ascii="Arial" w:eastAsia="黑体"/>
      <w:kern w:val="0"/>
      <w:sz w:val="21"/>
    </w:rPr>
  </w:style>
  <w:style w:type="paragraph" w:customStyle="1" w:styleId="144">
    <w:name w:val="CM23"/>
    <w:basedOn w:val="57"/>
    <w:next w:val="57"/>
    <w:qFormat/>
    <w:uiPriority w:val="0"/>
    <w:pPr>
      <w:spacing w:after="120"/>
    </w:pPr>
    <w:rPr>
      <w:color w:val="auto"/>
    </w:rPr>
  </w:style>
  <w:style w:type="paragraph" w:customStyle="1" w:styleId="145">
    <w:name w:val="样式 正文首行缩进 + 首行缩进:  2 字符1 Char Char"/>
    <w:basedOn w:val="46"/>
    <w:qFormat/>
    <w:uiPriority w:val="0"/>
    <w:pPr>
      <w:adjustRightInd w:val="0"/>
      <w:spacing w:after="0" w:line="400" w:lineRule="exact"/>
      <w:ind w:firstLine="480" w:firstLineChars="200"/>
      <w:textAlignment w:val="baseline"/>
    </w:pPr>
    <w:rPr>
      <w:rFonts w:eastAsia="仿宋_GB2312" w:cs="宋体"/>
    </w:rPr>
  </w:style>
  <w:style w:type="paragraph" w:customStyle="1" w:styleId="146">
    <w:name w:val="xl22"/>
    <w:basedOn w:val="1"/>
    <w:qFormat/>
    <w:uiPriority w:val="0"/>
    <w:pPr>
      <w:spacing w:before="100" w:beforeAutospacing="1" w:after="100" w:afterAutospacing="1"/>
      <w:jc w:val="center"/>
      <w:textAlignment w:val="center"/>
    </w:pPr>
    <w:rPr>
      <w:rFonts w:ascii="宋体"/>
      <w:sz w:val="24"/>
      <w:szCs w:val="24"/>
    </w:rPr>
  </w:style>
  <w:style w:type="paragraph" w:customStyle="1" w:styleId="147">
    <w:name w:val="1"/>
    <w:basedOn w:val="1"/>
    <w:qFormat/>
    <w:uiPriority w:val="0"/>
    <w:pPr>
      <w:spacing w:after="156" w:afterLines="50" w:line="360" w:lineRule="auto"/>
      <w:jc w:val="center"/>
    </w:pPr>
    <w:rPr>
      <w:rFonts w:ascii="宋体" w:hAnsi="宋体"/>
      <w:b/>
      <w:sz w:val="28"/>
      <w:szCs w:val="28"/>
    </w:rPr>
  </w:style>
  <w:style w:type="paragraph" w:customStyle="1" w:styleId="148">
    <w:name w:val="CM24"/>
    <w:basedOn w:val="57"/>
    <w:next w:val="57"/>
    <w:qFormat/>
    <w:uiPriority w:val="0"/>
    <w:pPr>
      <w:spacing w:after="218"/>
    </w:pPr>
    <w:rPr>
      <w:color w:val="auto"/>
    </w:rPr>
  </w:style>
  <w:style w:type="paragraph" w:customStyle="1" w:styleId="149">
    <w:name w:val="样式 宋体 小四 首行缩进:  1.11 厘米 行距: 1.5 倍行距"/>
    <w:basedOn w:val="1"/>
    <w:qFormat/>
    <w:uiPriority w:val="0"/>
    <w:pPr>
      <w:tabs>
        <w:tab w:val="left" w:pos="720"/>
      </w:tabs>
      <w:spacing w:before="100" w:beforeAutospacing="1" w:after="100" w:afterAutospacing="1" w:line="360" w:lineRule="auto"/>
      <w:ind w:left="720"/>
    </w:pPr>
    <w:rPr>
      <w:rFonts w:ascii="宋体"/>
      <w:color w:val="333300"/>
      <w:sz w:val="24"/>
    </w:rPr>
  </w:style>
  <w:style w:type="paragraph" w:customStyle="1" w:styleId="150">
    <w:name w:val="正文缩进1"/>
    <w:basedOn w:val="1"/>
    <w:qFormat/>
    <w:uiPriority w:val="0"/>
    <w:pPr>
      <w:ind w:firstLine="420"/>
    </w:pPr>
    <w:rPr>
      <w:szCs w:val="24"/>
    </w:rPr>
  </w:style>
  <w:style w:type="paragraph" w:styleId="151">
    <w:name w:val="List Paragraph"/>
    <w:basedOn w:val="1"/>
    <w:qFormat/>
    <w:uiPriority w:val="34"/>
    <w:pPr>
      <w:ind w:firstLine="420" w:firstLineChars="200"/>
    </w:pPr>
  </w:style>
  <w:style w:type="paragraph" w:customStyle="1" w:styleId="152">
    <w:name w:val="空半行"/>
    <w:basedOn w:val="1"/>
    <w:qFormat/>
    <w:uiPriority w:val="0"/>
    <w:pPr>
      <w:adjustRightInd w:val="0"/>
      <w:spacing w:line="120" w:lineRule="exact"/>
      <w:textAlignment w:val="baseline"/>
    </w:pPr>
    <w:rPr>
      <w:rFonts w:eastAsia="仿宋_GB2312"/>
      <w:color w:val="FFFFFF"/>
      <w:sz w:val="30"/>
    </w:rPr>
  </w:style>
  <w:style w:type="paragraph" w:customStyle="1" w:styleId="153">
    <w:name w:val="cucd-3"/>
    <w:next w:val="1"/>
    <w:qFormat/>
    <w:uiPriority w:val="0"/>
    <w:pPr>
      <w:spacing w:line="360" w:lineRule="auto"/>
      <w:ind w:left="709"/>
      <w:jc w:val="center"/>
      <w:outlineLvl w:val="2"/>
    </w:pPr>
    <w:rPr>
      <w:rFonts w:ascii="Times New Roman" w:hAnsi="Times New Roman" w:eastAsia="宋体" w:cs="Times New Roman"/>
      <w:kern w:val="2"/>
      <w:sz w:val="28"/>
      <w:szCs w:val="24"/>
      <w:lang w:val="en-US" w:eastAsia="zh-CN" w:bidi="ar-SA"/>
    </w:rPr>
  </w:style>
  <w:style w:type="paragraph" w:customStyle="1" w:styleId="154">
    <w:name w:val="普通(Web)23"/>
    <w:basedOn w:val="1"/>
    <w:qFormat/>
    <w:uiPriority w:val="0"/>
    <w:pPr>
      <w:spacing w:after="75" w:line="360" w:lineRule="atLeast"/>
    </w:pPr>
    <w:rPr>
      <w:rFonts w:ascii="宋体" w:hAnsi="宋体" w:cs="宋体"/>
      <w:sz w:val="24"/>
      <w:szCs w:val="24"/>
    </w:rPr>
  </w:style>
  <w:style w:type="paragraph" w:customStyle="1" w:styleId="155">
    <w:name w:val="样式 小四 段前: 5 磅 段后: 5 磅 首行缩进:  2 字符"/>
    <w:basedOn w:val="1"/>
    <w:qFormat/>
    <w:uiPriority w:val="0"/>
    <w:pPr>
      <w:spacing w:line="280" w:lineRule="exact"/>
      <w:jc w:val="center"/>
    </w:pPr>
    <w:rPr>
      <w:rFonts w:ascii="宋体" w:hAnsi="宋体"/>
      <w:snapToGrid w:val="0"/>
      <w:spacing w:val="-6"/>
      <w:sz w:val="24"/>
      <w:szCs w:val="24"/>
    </w:rPr>
  </w:style>
  <w:style w:type="paragraph" w:customStyle="1" w:styleId="156">
    <w:name w:val="批注框文本1"/>
    <w:basedOn w:val="1"/>
    <w:qFormat/>
    <w:uiPriority w:val="0"/>
    <w:rPr>
      <w:sz w:val="18"/>
      <w:szCs w:val="18"/>
    </w:rPr>
  </w:style>
  <w:style w:type="paragraph" w:customStyle="1" w:styleId="157">
    <w:name w:val="注"/>
    <w:basedOn w:val="1"/>
    <w:qFormat/>
    <w:uiPriority w:val="0"/>
    <w:pPr>
      <w:adjustRightInd w:val="0"/>
      <w:spacing w:line="360" w:lineRule="atLeast"/>
      <w:ind w:left="840" w:hanging="420"/>
      <w:textAlignment w:val="baseline"/>
    </w:pPr>
  </w:style>
  <w:style w:type="paragraph" w:customStyle="1" w:styleId="158">
    <w:name w:val="表中文字"/>
    <w:basedOn w:val="1"/>
    <w:qFormat/>
    <w:uiPriority w:val="0"/>
    <w:pPr>
      <w:adjustRightInd w:val="0"/>
      <w:snapToGrid w:val="0"/>
      <w:spacing w:line="360" w:lineRule="auto"/>
      <w:jc w:val="center"/>
    </w:pPr>
    <w:rPr>
      <w:rFonts w:ascii="Arial" w:hAnsi="Arial" w:cs="Arial"/>
      <w:sz w:val="24"/>
      <w:szCs w:val="24"/>
    </w:rPr>
  </w:style>
  <w:style w:type="paragraph" w:customStyle="1" w:styleId="159">
    <w:name w:val="表格"/>
    <w:basedOn w:val="1"/>
    <w:qFormat/>
    <w:uiPriority w:val="0"/>
    <w:pPr>
      <w:adjustRightInd w:val="0"/>
      <w:spacing w:before="160" w:line="400" w:lineRule="exact"/>
      <w:jc w:val="center"/>
      <w:textAlignment w:val="baseline"/>
    </w:pPr>
    <w:rPr>
      <w:spacing w:val="20"/>
      <w:sz w:val="24"/>
    </w:rPr>
  </w:style>
  <w:style w:type="paragraph" w:customStyle="1" w:styleId="160">
    <w:name w:val="Zchn Zchn Char Char"/>
    <w:basedOn w:val="1"/>
    <w:qFormat/>
    <w:uiPriority w:val="0"/>
    <w:pPr>
      <w:adjustRightInd w:val="0"/>
      <w:spacing w:line="360" w:lineRule="auto"/>
    </w:pPr>
    <w:rPr>
      <w:sz w:val="24"/>
    </w:rPr>
  </w:style>
  <w:style w:type="paragraph" w:customStyle="1" w:styleId="161">
    <w:name w:val="Char1 Char Char Char1 Char Char Char Char Char Char Char Char Char"/>
    <w:basedOn w:val="15"/>
    <w:qFormat/>
    <w:uiPriority w:val="0"/>
    <w:pPr>
      <w:adjustRightInd w:val="0"/>
      <w:spacing w:line="436" w:lineRule="exact"/>
      <w:ind w:left="357"/>
      <w:outlineLvl w:val="3"/>
    </w:pPr>
    <w:rPr>
      <w:rFonts w:ascii="Tahoma" w:hAnsi="Tahoma"/>
      <w:b/>
      <w:kern w:val="2"/>
      <w:sz w:val="24"/>
      <w:szCs w:val="24"/>
    </w:rPr>
  </w:style>
  <w:style w:type="character" w:customStyle="1" w:styleId="162">
    <w:name w:val="页眉 字符"/>
    <w:link w:val="31"/>
    <w:qFormat/>
    <w:uiPriority w:val="99"/>
    <w:rPr>
      <w:kern w:val="2"/>
      <w:sz w:val="18"/>
    </w:rPr>
  </w:style>
  <w:style w:type="paragraph" w:customStyle="1" w:styleId="163">
    <w:name w:val="Level 1"/>
    <w:basedOn w:val="1"/>
    <w:qFormat/>
    <w:uiPriority w:val="0"/>
    <w:pPr>
      <w:tabs>
        <w:tab w:val="left" w:pos="851"/>
      </w:tabs>
      <w:spacing w:after="240" w:line="312" w:lineRule="auto"/>
      <w:ind w:left="851" w:hanging="851"/>
      <w:outlineLvl w:val="0"/>
    </w:pPr>
    <w:rPr>
      <w:sz w:val="24"/>
      <w:lang w:val="en-GB" w:eastAsia="en-US"/>
    </w:rPr>
  </w:style>
  <w:style w:type="paragraph" w:customStyle="1" w:styleId="164">
    <w:name w:val="panj"/>
    <w:basedOn w:val="1"/>
    <w:qFormat/>
    <w:uiPriority w:val="0"/>
    <w:pPr>
      <w:spacing w:line="440" w:lineRule="exact"/>
      <w:ind w:firstLine="200" w:firstLineChars="200"/>
    </w:pPr>
    <w:rPr>
      <w:sz w:val="24"/>
      <w:szCs w:val="24"/>
    </w:rPr>
  </w:style>
  <w:style w:type="paragraph" w:customStyle="1" w:styleId="165">
    <w:name w:val="Char Char Char Char Char Char Char"/>
    <w:basedOn w:val="1"/>
    <w:qFormat/>
    <w:uiPriority w:val="0"/>
    <w:pPr>
      <w:snapToGrid w:val="0"/>
      <w:spacing w:after="160" w:line="360" w:lineRule="auto"/>
    </w:pPr>
    <w:rPr>
      <w:sz w:val="24"/>
      <w:szCs w:val="24"/>
      <w:lang w:eastAsia="en-US"/>
    </w:rPr>
  </w:style>
  <w:style w:type="paragraph" w:customStyle="1" w:styleId="166">
    <w:name w:val="样式 cucd-0 + 宋体"/>
    <w:basedOn w:val="1"/>
    <w:qFormat/>
    <w:uiPriority w:val="0"/>
    <w:pPr>
      <w:spacing w:line="360" w:lineRule="auto"/>
      <w:ind w:firstLine="480" w:firstLineChars="200"/>
    </w:pPr>
    <w:rPr>
      <w:rFonts w:ascii="宋体" w:hAnsi="宋体"/>
      <w:sz w:val="24"/>
      <w:szCs w:val="24"/>
    </w:rPr>
  </w:style>
  <w:style w:type="paragraph" w:customStyle="1" w:styleId="167">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paragraph" w:customStyle="1" w:styleId="168">
    <w:name w:val="TOC 标题1"/>
    <w:basedOn w:val="3"/>
    <w:next w:val="1"/>
    <w:qFormat/>
    <w:uiPriority w:val="39"/>
    <w:pPr>
      <w:widowControl/>
      <w:spacing w:before="480" w:after="0" w:line="276" w:lineRule="auto"/>
      <w:jc w:val="left"/>
      <w:outlineLvl w:val="9"/>
    </w:pPr>
    <w:rPr>
      <w:rFonts w:ascii="Cambria" w:hAnsi="Cambria"/>
      <w:bCs/>
      <w:color w:val="365F91"/>
      <w:kern w:val="0"/>
      <w:sz w:val="28"/>
      <w:szCs w:val="28"/>
    </w:rPr>
  </w:style>
  <w:style w:type="paragraph" w:customStyle="1" w:styleId="169">
    <w:name w:val="标题2.2.1"/>
    <w:basedOn w:val="1"/>
    <w:qFormat/>
    <w:uiPriority w:val="0"/>
    <w:pPr>
      <w:tabs>
        <w:tab w:val="left" w:pos="-164"/>
      </w:tabs>
      <w:ind w:left="1418" w:hanging="1582"/>
    </w:pPr>
    <w:rPr>
      <w:szCs w:val="24"/>
    </w:rPr>
  </w:style>
  <w:style w:type="paragraph" w:customStyle="1" w:styleId="170">
    <w:name w:val="TOC 标题11"/>
    <w:basedOn w:val="3"/>
    <w:next w:val="1"/>
    <w:qFormat/>
    <w:uiPriority w:val="0"/>
    <w:pPr>
      <w:widowControl/>
      <w:spacing w:before="480" w:after="0" w:line="276" w:lineRule="auto"/>
      <w:jc w:val="left"/>
      <w:outlineLvl w:val="9"/>
    </w:pPr>
    <w:rPr>
      <w:rFonts w:ascii="Cambria" w:hAnsi="Cambria"/>
      <w:bCs/>
      <w:color w:val="365F91"/>
      <w:kern w:val="0"/>
      <w:sz w:val="28"/>
      <w:szCs w:val="28"/>
    </w:rPr>
  </w:style>
  <w:style w:type="paragraph" w:customStyle="1" w:styleId="171">
    <w:name w:val="CM21"/>
    <w:basedOn w:val="57"/>
    <w:next w:val="57"/>
    <w:qFormat/>
    <w:uiPriority w:val="0"/>
    <w:pPr>
      <w:spacing w:line="228" w:lineRule="atLeast"/>
    </w:pPr>
    <w:rPr>
      <w:color w:val="auto"/>
    </w:rPr>
  </w:style>
  <w:style w:type="paragraph" w:customStyle="1" w:styleId="172">
    <w:name w:val="表文字"/>
    <w:basedOn w:val="1"/>
    <w:qFormat/>
    <w:uiPriority w:val="0"/>
    <w:pPr>
      <w:wordWrap w:val="0"/>
      <w:adjustRightInd w:val="0"/>
      <w:snapToGrid w:val="0"/>
    </w:pPr>
  </w:style>
  <w:style w:type="paragraph" w:customStyle="1" w:styleId="173">
    <w:name w:val="列出段落1"/>
    <w:basedOn w:val="1"/>
    <w:qFormat/>
    <w:uiPriority w:val="0"/>
    <w:pPr>
      <w:ind w:firstLine="420" w:firstLineChars="200"/>
    </w:pPr>
    <w:rPr>
      <w:szCs w:val="24"/>
    </w:rPr>
  </w:style>
  <w:style w:type="paragraph" w:customStyle="1" w:styleId="174">
    <w:name w:val="纯文本1"/>
    <w:basedOn w:val="1"/>
    <w:qFormat/>
    <w:uiPriority w:val="0"/>
    <w:pPr>
      <w:adjustRightInd w:val="0"/>
      <w:textAlignment w:val="baseline"/>
    </w:pPr>
    <w:rPr>
      <w:rFonts w:ascii="宋体" w:hAnsi="Courier New"/>
    </w:rPr>
  </w:style>
  <w:style w:type="character" w:customStyle="1" w:styleId="175">
    <w:name w:val="页脚 字符"/>
    <w:link w:val="30"/>
    <w:qFormat/>
    <w:uiPriority w:val="99"/>
    <w:rPr>
      <w:kern w:val="2"/>
      <w:sz w:val="18"/>
    </w:rPr>
  </w:style>
  <w:style w:type="paragraph" w:customStyle="1" w:styleId="176">
    <w:name w:val="Char Char Char Char Char Char Char Char Char"/>
    <w:basedOn w:val="1"/>
    <w:qFormat/>
    <w:uiPriority w:val="0"/>
    <w:pPr>
      <w:spacing w:after="160" w:line="240" w:lineRule="exact"/>
    </w:pPr>
    <w:rPr>
      <w:szCs w:val="24"/>
    </w:rPr>
  </w:style>
  <w:style w:type="paragraph" w:customStyle="1" w:styleId="177">
    <w:name w:val="body 2"/>
    <w:basedOn w:val="2"/>
    <w:qFormat/>
    <w:uiPriority w:val="0"/>
    <w:pPr>
      <w:keepNext w:val="0"/>
      <w:keepLines w:val="0"/>
      <w:widowControl/>
      <w:adjustRightInd/>
      <w:spacing w:before="120" w:after="0" w:line="240" w:lineRule="auto"/>
      <w:textAlignment w:val="auto"/>
      <w:outlineLvl w:val="9"/>
    </w:pPr>
    <w:rPr>
      <w:rFonts w:eastAsia="宋体"/>
      <w:b w:val="0"/>
      <w:sz w:val="20"/>
      <w:lang w:eastAsia="en-US"/>
    </w:rPr>
  </w:style>
  <w:style w:type="paragraph" w:customStyle="1" w:styleId="178">
    <w:name w:val="xl25"/>
    <w:basedOn w:val="1"/>
    <w:qFormat/>
    <w:uiPriority w:val="0"/>
    <w:pPr>
      <w:pBdr>
        <w:bottom w:val="single" w:color="auto" w:sz="4" w:space="0"/>
        <w:right w:val="single" w:color="auto" w:sz="4" w:space="0"/>
      </w:pBdr>
      <w:spacing w:before="100" w:beforeAutospacing="1" w:after="100" w:afterAutospacing="1"/>
      <w:jc w:val="center"/>
    </w:pPr>
    <w:rPr>
      <w:rFonts w:ascii="宋体" w:hAnsi="宋体"/>
      <w:szCs w:val="21"/>
    </w:rPr>
  </w:style>
  <w:style w:type="paragraph" w:customStyle="1" w:styleId="179">
    <w:name w:val="note 2"/>
    <w:basedOn w:val="177"/>
    <w:qFormat/>
    <w:uiPriority w:val="0"/>
    <w:pPr>
      <w:ind w:left="1260" w:hanging="1080"/>
      <w:jc w:val="left"/>
    </w:pPr>
    <w:rPr>
      <w:b/>
    </w:rPr>
  </w:style>
  <w:style w:type="paragraph" w:customStyle="1" w:styleId="180">
    <w:name w:val="CM1"/>
    <w:basedOn w:val="57"/>
    <w:next w:val="57"/>
    <w:qFormat/>
    <w:uiPriority w:val="0"/>
    <w:pPr>
      <w:spacing w:line="191" w:lineRule="atLeast"/>
    </w:pPr>
    <w:rPr>
      <w:color w:val="auto"/>
    </w:rPr>
  </w:style>
  <w:style w:type="paragraph" w:customStyle="1" w:styleId="181">
    <w:name w:val="Text"/>
    <w:basedOn w:val="1"/>
    <w:qFormat/>
    <w:uiPriority w:val="0"/>
    <w:rPr>
      <w:rFonts w:ascii="Arial" w:hAnsi="Arial"/>
      <w:lang w:val="en-GB" w:eastAsia="de-DE"/>
    </w:rPr>
  </w:style>
  <w:style w:type="paragraph" w:customStyle="1" w:styleId="182">
    <w:name w:val="标题1.1"/>
    <w:basedOn w:val="1"/>
    <w:qFormat/>
    <w:uiPriority w:val="0"/>
    <w:pPr>
      <w:tabs>
        <w:tab w:val="left" w:pos="1"/>
      </w:tabs>
      <w:spacing w:line="440" w:lineRule="exact"/>
      <w:ind w:firstLine="1"/>
      <w:outlineLvl w:val="1"/>
    </w:pPr>
    <w:rPr>
      <w:rFonts w:ascii="宋体" w:hAnsi="宋体"/>
      <w:b/>
      <w:sz w:val="28"/>
      <w:szCs w:val="24"/>
    </w:rPr>
  </w:style>
  <w:style w:type="paragraph" w:customStyle="1" w:styleId="183">
    <w:name w:val="text level 2"/>
    <w:qFormat/>
    <w:uiPriority w:val="0"/>
    <w:pPr>
      <w:overflowPunct w:val="0"/>
      <w:autoSpaceDE w:val="0"/>
      <w:autoSpaceDN w:val="0"/>
      <w:adjustRightInd w:val="0"/>
      <w:ind w:left="720"/>
      <w:jc w:val="both"/>
      <w:textAlignment w:val="baseline"/>
    </w:pPr>
    <w:rPr>
      <w:rFonts w:ascii="CG Times (W1)" w:hAnsi="CG Times (W1)" w:eastAsia="宋体" w:cs="Times New Roman"/>
      <w:sz w:val="24"/>
      <w:lang w:val="en-US" w:eastAsia="zh-CN" w:bidi="ar-SA"/>
    </w:rPr>
  </w:style>
  <w:style w:type="paragraph" w:customStyle="1" w:styleId="184">
    <w:name w:val="修订1"/>
    <w:qFormat/>
    <w:uiPriority w:val="99"/>
    <w:rPr>
      <w:rFonts w:ascii="Times New Roman" w:hAnsi="Times New Roman" w:eastAsia="宋体" w:cs="Times New Roman"/>
      <w:kern w:val="2"/>
      <w:sz w:val="21"/>
      <w:szCs w:val="24"/>
      <w:lang w:val="en-US" w:eastAsia="zh-CN" w:bidi="ar-SA"/>
    </w:rPr>
  </w:style>
  <w:style w:type="paragraph" w:customStyle="1" w:styleId="185">
    <w:name w:val="Heading 2a"/>
    <w:basedOn w:val="2"/>
    <w:qFormat/>
    <w:uiPriority w:val="0"/>
    <w:pPr>
      <w:widowControl/>
      <w:adjustRightInd/>
      <w:spacing w:before="320" w:after="0" w:line="300" w:lineRule="exact"/>
      <w:jc w:val="left"/>
      <w:textAlignment w:val="auto"/>
    </w:pPr>
    <w:rPr>
      <w:rFonts w:eastAsia="Batang"/>
      <w:b w:val="0"/>
      <w:i/>
      <w:sz w:val="20"/>
      <w:lang w:val="en-GB" w:eastAsia="en-US"/>
    </w:rPr>
  </w:style>
  <w:style w:type="paragraph" w:customStyle="1" w:styleId="186">
    <w:name w:val="List Paragraph1"/>
    <w:basedOn w:val="1"/>
    <w:qFormat/>
    <w:uiPriority w:val="0"/>
    <w:pPr>
      <w:ind w:firstLine="420" w:firstLineChars="200"/>
    </w:pPr>
    <w:rPr>
      <w:rFonts w:ascii="Calibri" w:hAnsi="Calibri"/>
      <w:szCs w:val="22"/>
    </w:rPr>
  </w:style>
  <w:style w:type="paragraph" w:customStyle="1" w:styleId="187">
    <w:name w:val="样式1"/>
    <w:basedOn w:val="1"/>
    <w:qFormat/>
    <w:uiPriority w:val="0"/>
    <w:pPr>
      <w:autoSpaceDE w:val="0"/>
      <w:autoSpaceDN w:val="0"/>
      <w:adjustRightInd w:val="0"/>
      <w:spacing w:after="120"/>
      <w:textAlignment w:val="baseline"/>
    </w:pPr>
    <w:rPr>
      <w:rFonts w:ascii="宋体" w:hAnsi="Tms Rmn"/>
      <w:sz w:val="24"/>
    </w:rPr>
  </w:style>
  <w:style w:type="paragraph" w:customStyle="1" w:styleId="188">
    <w:name w:val="Char"/>
    <w:basedOn w:val="1"/>
    <w:qFormat/>
    <w:uiPriority w:val="0"/>
    <w:rPr>
      <w:rFonts w:ascii="Tahoma" w:hAnsi="Tahoma"/>
      <w:sz w:val="24"/>
    </w:rPr>
  </w:style>
  <w:style w:type="paragraph" w:customStyle="1" w:styleId="189">
    <w:name w:val="cucd-1"/>
    <w:next w:val="138"/>
    <w:qFormat/>
    <w:uiPriority w:val="0"/>
    <w:pPr>
      <w:pageBreakBefore/>
      <w:tabs>
        <w:tab w:val="left" w:pos="425"/>
      </w:tabs>
      <w:spacing w:before="312" w:beforeLines="100" w:after="156"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paragraph" w:customStyle="1" w:styleId="190">
    <w:name w:val="Level 2"/>
    <w:basedOn w:val="1"/>
    <w:qFormat/>
    <w:uiPriority w:val="0"/>
    <w:pPr>
      <w:tabs>
        <w:tab w:val="left" w:pos="851"/>
      </w:tabs>
      <w:spacing w:after="240" w:line="312" w:lineRule="auto"/>
      <w:ind w:left="851" w:hanging="851"/>
      <w:outlineLvl w:val="1"/>
    </w:pPr>
    <w:rPr>
      <w:sz w:val="24"/>
      <w:lang w:val="en-GB" w:eastAsia="en-US"/>
    </w:rPr>
  </w:style>
  <w:style w:type="paragraph" w:customStyle="1" w:styleId="191">
    <w:name w:val="Char11"/>
    <w:basedOn w:val="1"/>
    <w:qFormat/>
    <w:uiPriority w:val="0"/>
    <w:pPr>
      <w:spacing w:after="160" w:line="240" w:lineRule="exact"/>
    </w:pPr>
  </w:style>
  <w:style w:type="paragraph" w:customStyle="1" w:styleId="192">
    <w:name w:val="flNote"/>
    <w:basedOn w:val="1"/>
    <w:qFormat/>
    <w:uiPriority w:val="0"/>
    <w:pPr>
      <w:adjustRightInd w:val="0"/>
      <w:spacing w:before="320" w:after="160" w:line="360" w:lineRule="atLeast"/>
      <w:jc w:val="center"/>
      <w:textAlignment w:val="baseline"/>
    </w:pPr>
    <w:rPr>
      <w:rFonts w:ascii="Arial" w:eastAsia="黑体"/>
      <w:sz w:val="30"/>
    </w:rPr>
  </w:style>
  <w:style w:type="paragraph" w:customStyle="1" w:styleId="193">
    <w:name w:val="ｽﾀｲﾙ1"/>
    <w:basedOn w:val="1"/>
    <w:qFormat/>
    <w:uiPriority w:val="0"/>
    <w:pPr>
      <w:adjustRightInd w:val="0"/>
      <w:snapToGrid w:val="0"/>
      <w:spacing w:before="60" w:after="60"/>
      <w:textAlignment w:val="baseline"/>
    </w:pPr>
    <w:rPr>
      <w:rFonts w:ascii="Arial" w:hAnsi="Arial" w:eastAsia="MS Gothic"/>
      <w:lang w:eastAsia="ja-JP"/>
    </w:rPr>
  </w:style>
  <w:style w:type="paragraph" w:customStyle="1" w:styleId="194">
    <w:name w:val="2"/>
    <w:basedOn w:val="1"/>
    <w:next w:val="7"/>
    <w:qFormat/>
    <w:uiPriority w:val="0"/>
    <w:pPr>
      <w:ind w:left="708"/>
    </w:pPr>
    <w:rPr>
      <w:rFonts w:ascii="CG Times (WN)" w:hAnsi="CG Times (WN)"/>
      <w:sz w:val="24"/>
      <w:lang w:val="de-DE" w:eastAsia="de-DE"/>
    </w:rPr>
  </w:style>
  <w:style w:type="paragraph" w:customStyle="1" w:styleId="195">
    <w:name w:val="Char Char Char1 Char Char Char Char Char Char Char"/>
    <w:basedOn w:val="1"/>
    <w:qFormat/>
    <w:uiPriority w:val="0"/>
    <w:pPr>
      <w:autoSpaceDE w:val="0"/>
      <w:autoSpaceDN w:val="0"/>
    </w:pPr>
    <w:rPr>
      <w:rFonts w:ascii="Tahoma" w:hAnsi="Tahoma"/>
      <w:sz w:val="24"/>
    </w:rPr>
  </w:style>
  <w:style w:type="paragraph" w:customStyle="1" w:styleId="196">
    <w:name w:val="目录文字"/>
    <w:basedOn w:val="1"/>
    <w:qFormat/>
    <w:uiPriority w:val="0"/>
    <w:pPr>
      <w:spacing w:line="480" w:lineRule="auto"/>
    </w:pPr>
    <w:rPr>
      <w:rFonts w:ascii="宋体" w:hAnsi="宋体"/>
      <w:sz w:val="24"/>
    </w:rPr>
  </w:style>
  <w:style w:type="paragraph" w:customStyle="1" w:styleId="197">
    <w:name w:val="Char Char Char Char Char Char Char Char Char Char Char Char Char Char Char Char Char"/>
    <w:basedOn w:val="1"/>
    <w:qFormat/>
    <w:uiPriority w:val="0"/>
    <w:rPr>
      <w:rFonts w:ascii="仿宋_GB2312" w:hAnsi="宋体" w:eastAsia="仿宋_GB2312"/>
      <w:b/>
      <w:sz w:val="28"/>
      <w:szCs w:val="28"/>
    </w:rPr>
  </w:style>
  <w:style w:type="paragraph" w:customStyle="1" w:styleId="198">
    <w:name w:val="Char Char2"/>
    <w:basedOn w:val="1"/>
    <w:qFormat/>
    <w:uiPriority w:val="0"/>
    <w:pPr>
      <w:jc w:val="center"/>
    </w:pPr>
    <w:rPr>
      <w:rFonts w:ascii="宋体"/>
      <w:szCs w:val="21"/>
    </w:rPr>
  </w:style>
  <w:style w:type="paragraph" w:customStyle="1" w:styleId="199">
    <w:name w:val="Robot List Items 2"/>
    <w:basedOn w:val="1"/>
    <w:qFormat/>
    <w:uiPriority w:val="0"/>
    <w:pPr>
      <w:tabs>
        <w:tab w:val="left" w:pos="1068"/>
      </w:tabs>
      <w:ind w:left="1068" w:hanging="360"/>
    </w:pPr>
    <w:rPr>
      <w:rFonts w:ascii="Arial" w:hAnsi="Arial"/>
      <w:sz w:val="18"/>
      <w:lang w:eastAsia="en-US"/>
    </w:rPr>
  </w:style>
  <w:style w:type="paragraph" w:customStyle="1" w:styleId="200">
    <w:name w:val="样式2"/>
    <w:basedOn w:val="1"/>
    <w:qFormat/>
    <w:uiPriority w:val="0"/>
    <w:pPr>
      <w:adjustRightInd w:val="0"/>
      <w:spacing w:line="410" w:lineRule="atLeast"/>
      <w:textAlignment w:val="baseline"/>
    </w:pPr>
  </w:style>
  <w:style w:type="paragraph" w:customStyle="1" w:styleId="201">
    <w:name w:val="Char Char1 Char Char Char Char"/>
    <w:basedOn w:val="1"/>
    <w:qFormat/>
    <w:uiPriority w:val="0"/>
    <w:rPr>
      <w:rFonts w:eastAsia="楷体_GB2312"/>
      <w:sz w:val="32"/>
    </w:rPr>
  </w:style>
  <w:style w:type="paragraph" w:customStyle="1" w:styleId="202">
    <w:name w:val="1 Char Char Char Char"/>
    <w:basedOn w:val="1"/>
    <w:qFormat/>
    <w:uiPriority w:val="0"/>
    <w:rPr>
      <w:rFonts w:ascii="Tahoma" w:hAnsi="Tahoma"/>
      <w:sz w:val="24"/>
    </w:rPr>
  </w:style>
  <w:style w:type="paragraph" w:customStyle="1" w:styleId="203">
    <w:name w:val="Char1"/>
    <w:basedOn w:val="1"/>
    <w:qFormat/>
    <w:uiPriority w:val="0"/>
    <w:rPr>
      <w:rFonts w:ascii="Tahoma" w:hAnsi="Tahoma"/>
      <w:sz w:val="24"/>
    </w:rPr>
  </w:style>
  <w:style w:type="paragraph" w:customStyle="1" w:styleId="204">
    <w:name w:val="Char Char Char Char"/>
    <w:basedOn w:val="1"/>
    <w:qFormat/>
    <w:uiPriority w:val="0"/>
    <w:rPr>
      <w:szCs w:val="24"/>
    </w:rPr>
  </w:style>
  <w:style w:type="paragraph" w:customStyle="1" w:styleId="205">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06">
    <w:name w:val="尾注文本 字符"/>
    <w:link w:val="28"/>
    <w:semiHidden/>
    <w:qFormat/>
    <w:locked/>
    <w:uiPriority w:val="0"/>
    <w:rPr>
      <w:rFonts w:eastAsia="??"/>
      <w:color w:val="000000"/>
      <w:sz w:val="24"/>
      <w:szCs w:val="24"/>
    </w:rPr>
  </w:style>
  <w:style w:type="character" w:customStyle="1" w:styleId="207">
    <w:name w:val="尾注文本 Char"/>
    <w:semiHidden/>
    <w:qFormat/>
    <w:uiPriority w:val="0"/>
    <w:rPr>
      <w:kern w:val="2"/>
      <w:sz w:val="21"/>
    </w:rPr>
  </w:style>
  <w:style w:type="character" w:customStyle="1" w:styleId="208">
    <w:name w:val="签名 Char"/>
    <w:link w:val="209"/>
    <w:qFormat/>
    <w:locked/>
    <w:uiPriority w:val="0"/>
    <w:rPr>
      <w:rFonts w:ascii="??" w:hAnsi="??" w:eastAsia="??"/>
      <w:color w:val="000000"/>
      <w:sz w:val="24"/>
      <w:lang w:eastAsia="en-US"/>
    </w:rPr>
  </w:style>
  <w:style w:type="paragraph" w:customStyle="1" w:styleId="209">
    <w:name w:val="签名1"/>
    <w:basedOn w:val="1"/>
    <w:link w:val="208"/>
    <w:qFormat/>
    <w:uiPriority w:val="0"/>
    <w:pPr>
      <w:widowControl/>
      <w:ind w:left="4410" w:leftChars="2100"/>
      <w:jc w:val="left"/>
    </w:pPr>
    <w:rPr>
      <w:rFonts w:ascii="??" w:hAnsi="??" w:eastAsia="??"/>
      <w:color w:val="000000"/>
      <w:kern w:val="0"/>
      <w:sz w:val="24"/>
      <w:lang w:val="zh-CN" w:eastAsia="en-US"/>
    </w:rPr>
  </w:style>
  <w:style w:type="character" w:customStyle="1" w:styleId="210">
    <w:name w:val="信息标题 Char"/>
    <w:link w:val="211"/>
    <w:qFormat/>
    <w:locked/>
    <w:uiPriority w:val="0"/>
    <w:rPr>
      <w:rFonts w:ascii="Arial" w:hAnsi="Arial" w:eastAsia="??" w:cs="Arial"/>
      <w:color w:val="000000"/>
      <w:sz w:val="24"/>
      <w:szCs w:val="24"/>
      <w:shd w:val="pct20" w:color="auto" w:fill="auto"/>
    </w:rPr>
  </w:style>
  <w:style w:type="paragraph" w:customStyle="1" w:styleId="211">
    <w:name w:val="信息标题1"/>
    <w:basedOn w:val="1"/>
    <w:link w:val="210"/>
    <w:qFormat/>
    <w:uiPriority w:val="0"/>
    <w:pPr>
      <w:pBdr>
        <w:top w:val="single" w:color="auto" w:sz="6" w:space="1"/>
        <w:left w:val="single" w:color="auto" w:sz="6" w:space="1"/>
        <w:bottom w:val="single" w:color="auto" w:sz="6" w:space="1"/>
        <w:right w:val="single" w:color="auto" w:sz="6" w:space="1"/>
      </w:pBdr>
      <w:shd w:val="pct20" w:color="auto" w:fill="auto"/>
      <w:ind w:left="1550" w:leftChars="500" w:hanging="500" w:hangingChars="500"/>
    </w:pPr>
    <w:rPr>
      <w:rFonts w:ascii="Arial" w:hAnsi="Arial" w:eastAsia="??"/>
      <w:color w:val="000000"/>
      <w:kern w:val="0"/>
      <w:sz w:val="24"/>
      <w:szCs w:val="24"/>
      <w:lang w:val="zh-CN"/>
    </w:rPr>
  </w:style>
  <w:style w:type="paragraph" w:customStyle="1" w:styleId="212">
    <w:name w:val="正文首行缩进 21"/>
    <w:basedOn w:val="213"/>
    <w:qFormat/>
    <w:uiPriority w:val="0"/>
  </w:style>
  <w:style w:type="paragraph" w:customStyle="1" w:styleId="213">
    <w:name w:val="正文文本缩进1"/>
    <w:basedOn w:val="1"/>
    <w:qFormat/>
    <w:uiPriority w:val="0"/>
    <w:pPr>
      <w:spacing w:after="120"/>
      <w:ind w:left="420" w:leftChars="200"/>
    </w:pPr>
    <w:rPr>
      <w:rFonts w:ascii="??" w:hAnsi="??" w:eastAsia="??"/>
      <w:color w:val="000000"/>
      <w:kern w:val="0"/>
      <w:sz w:val="20"/>
      <w:szCs w:val="24"/>
    </w:rPr>
  </w:style>
  <w:style w:type="character" w:customStyle="1" w:styleId="214">
    <w:name w:val="结束语 Char"/>
    <w:link w:val="215"/>
    <w:qFormat/>
    <w:locked/>
    <w:uiPriority w:val="0"/>
    <w:rPr>
      <w:rFonts w:ascii="??" w:hAnsi="??" w:eastAsia="??"/>
      <w:color w:val="000000"/>
      <w:sz w:val="24"/>
      <w:lang w:eastAsia="en-US"/>
    </w:rPr>
  </w:style>
  <w:style w:type="paragraph" w:customStyle="1" w:styleId="215">
    <w:name w:val="结束语1"/>
    <w:basedOn w:val="1"/>
    <w:link w:val="214"/>
    <w:qFormat/>
    <w:uiPriority w:val="0"/>
    <w:pPr>
      <w:widowControl/>
      <w:ind w:left="4410" w:leftChars="2100"/>
      <w:jc w:val="left"/>
    </w:pPr>
    <w:rPr>
      <w:rFonts w:ascii="??" w:hAnsi="??" w:eastAsia="??"/>
      <w:color w:val="000000"/>
      <w:kern w:val="0"/>
      <w:sz w:val="24"/>
      <w:lang w:val="zh-CN" w:eastAsia="en-US"/>
    </w:rPr>
  </w:style>
  <w:style w:type="paragraph" w:customStyle="1" w:styleId="216">
    <w:name w:val="正文首行缩进1"/>
    <w:basedOn w:val="19"/>
    <w:qFormat/>
    <w:uiPriority w:val="0"/>
  </w:style>
  <w:style w:type="paragraph" w:customStyle="1" w:styleId="217">
    <w:name w:val="ÕýÎÄ"/>
    <w:qFormat/>
    <w:uiPriority w:val="0"/>
    <w:pPr>
      <w:tabs>
        <w:tab w:val="left" w:pos="630"/>
      </w:tabs>
      <w:overflowPunct w:val="0"/>
      <w:autoSpaceDE w:val="0"/>
      <w:autoSpaceDN w:val="0"/>
      <w:adjustRightInd w:val="0"/>
      <w:spacing w:line="360" w:lineRule="atLeast"/>
      <w:jc w:val="both"/>
    </w:pPr>
    <w:rPr>
      <w:rFonts w:ascii="Times New Roman" w:hAnsi="Times New Roman" w:eastAsia="??" w:cs="Times New Roman"/>
      <w:color w:val="000000"/>
      <w:sz w:val="22"/>
      <w:szCs w:val="28"/>
      <w:lang w:val="en-US" w:eastAsia="zh-CN" w:bidi="ar-SA"/>
    </w:rPr>
  </w:style>
  <w:style w:type="paragraph" w:customStyle="1" w:styleId="218">
    <w:name w:val="J2"/>
    <w:qFormat/>
    <w:uiPriority w:val="0"/>
    <w:pPr>
      <w:adjustRightInd w:val="0"/>
      <w:snapToGrid w:val="0"/>
      <w:spacing w:line="360" w:lineRule="auto"/>
      <w:ind w:left="360" w:hanging="360"/>
    </w:pPr>
    <w:rPr>
      <w:rFonts w:ascii="Times New Roman" w:hAnsi="Times New Roman" w:eastAsia="??" w:cs="Times New Roman"/>
      <w:b/>
      <w:bCs/>
      <w:color w:val="0000FF"/>
      <w:kern w:val="44"/>
      <w:szCs w:val="21"/>
      <w:lang w:val="en-US" w:eastAsia="zh-CN" w:bidi="ar-SA"/>
    </w:rPr>
  </w:style>
  <w:style w:type="paragraph" w:customStyle="1" w:styleId="219">
    <w:name w:val="J1"/>
    <w:qFormat/>
    <w:uiPriority w:val="0"/>
    <w:pPr>
      <w:adjustRightInd w:val="0"/>
      <w:snapToGrid w:val="0"/>
      <w:ind w:firstLine="413"/>
      <w:jc w:val="both"/>
      <w:outlineLvl w:val="0"/>
    </w:pPr>
    <w:rPr>
      <w:rFonts w:ascii="??" w:hAnsi="??" w:eastAsia="??" w:cs="Arial"/>
      <w:b/>
      <w:color w:val="000000"/>
      <w:sz w:val="28"/>
      <w:szCs w:val="28"/>
      <w:lang w:val="en-US" w:eastAsia="zh-CN" w:bidi="ar-SA"/>
    </w:rPr>
  </w:style>
  <w:style w:type="paragraph" w:customStyle="1" w:styleId="220">
    <w:name w:val="表格侧编号"/>
    <w:next w:val="1"/>
    <w:qFormat/>
    <w:uiPriority w:val="0"/>
    <w:pPr>
      <w:widowControl w:val="0"/>
      <w:adjustRightInd w:val="0"/>
      <w:snapToGrid w:val="0"/>
      <w:spacing w:before="40" w:after="20" w:line="240" w:lineRule="atLeast"/>
      <w:jc w:val="center"/>
    </w:pPr>
    <w:rPr>
      <w:rFonts w:ascii="Arial" w:hAnsi="Arial" w:eastAsia="??" w:cs="Arial"/>
      <w:color w:val="000000"/>
      <w:szCs w:val="28"/>
      <w:lang w:val="en-US" w:eastAsia="zh-CN" w:bidi="ar-SA"/>
    </w:rPr>
  </w:style>
  <w:style w:type="paragraph" w:customStyle="1" w:styleId="221">
    <w:name w:val="潍柴文档正文"/>
    <w:basedOn w:val="1"/>
    <w:qFormat/>
    <w:uiPriority w:val="0"/>
    <w:pPr>
      <w:spacing w:line="360" w:lineRule="auto"/>
      <w:ind w:firstLine="200" w:firstLineChars="200"/>
    </w:pPr>
    <w:rPr>
      <w:sz w:val="24"/>
      <w:szCs w:val="22"/>
    </w:rPr>
  </w:style>
  <w:style w:type="character" w:customStyle="1" w:styleId="222">
    <w:name w:val="ca-141"/>
    <w:qFormat/>
    <w:uiPriority w:val="0"/>
    <w:rPr>
      <w:rFonts w:hint="eastAsia" w:ascii="仿宋_GB2312" w:eastAsia="仿宋_GB2312"/>
      <w:sz w:val="21"/>
      <w:szCs w:val="21"/>
    </w:rPr>
  </w:style>
  <w:style w:type="paragraph" w:customStyle="1" w:styleId="223">
    <w:name w:val="1正文段落"/>
    <w:basedOn w:val="1"/>
    <w:qFormat/>
    <w:uiPriority w:val="0"/>
    <w:pPr>
      <w:spacing w:line="360" w:lineRule="auto"/>
      <w:ind w:firstLine="480" w:firstLineChars="200"/>
      <w:jc w:val="left"/>
    </w:pPr>
    <w:rPr>
      <w:snapToGrid w:val="0"/>
      <w:kern w:val="0"/>
      <w:sz w:val="24"/>
      <w:szCs w:val="24"/>
    </w:rPr>
  </w:style>
  <w:style w:type="character" w:customStyle="1" w:styleId="224">
    <w:name w:val="NormalCharacter"/>
    <w:qFormat/>
    <w:uiPriority w:val="0"/>
  </w:style>
  <w:style w:type="character" w:customStyle="1" w:styleId="225">
    <w:name w:val="font51"/>
    <w:basedOn w:val="50"/>
    <w:qFormat/>
    <w:uiPriority w:val="99"/>
    <w:rPr>
      <w:rFonts w:ascii="Times New Roman" w:hAnsi="Times New Roman" w:cs="Times New Roman"/>
      <w:color w:val="000000"/>
      <w:sz w:val="24"/>
      <w:szCs w:val="24"/>
      <w:u w:val="none"/>
    </w:rPr>
  </w:style>
  <w:style w:type="character" w:customStyle="1" w:styleId="226">
    <w:name w:val="font61"/>
    <w:basedOn w:val="50"/>
    <w:qFormat/>
    <w:uiPriority w:val="99"/>
    <w:rPr>
      <w:rFonts w:ascii="宋体" w:hAnsi="宋体" w:eastAsia="宋体" w:cs="宋体"/>
      <w:color w:val="000000"/>
      <w:sz w:val="24"/>
      <w:szCs w:val="24"/>
      <w:u w:val="none"/>
    </w:rPr>
  </w:style>
  <w:style w:type="character" w:customStyle="1" w:styleId="227">
    <w:name w:val="font31"/>
    <w:basedOn w:val="50"/>
    <w:qFormat/>
    <w:uiPriority w:val="0"/>
    <w:rPr>
      <w:rFonts w:hint="eastAsia" w:ascii="微软雅黑" w:hAnsi="微软雅黑" w:eastAsia="微软雅黑" w:cs="微软雅黑"/>
      <w:color w:val="000000"/>
      <w:sz w:val="16"/>
      <w:szCs w:val="16"/>
      <w:u w:val="none"/>
    </w:rPr>
  </w:style>
  <w:style w:type="paragraph" w:customStyle="1" w:styleId="228">
    <w:name w:val="（二）级标题"/>
    <w:basedOn w:val="24"/>
    <w:qFormat/>
    <w:uiPriority w:val="2"/>
    <w:pPr>
      <w:numPr>
        <w:ilvl w:val="0"/>
        <w:numId w:val="1"/>
      </w:numPr>
      <w:spacing w:line="360" w:lineRule="auto"/>
      <w:outlineLvl w:val="2"/>
    </w:pPr>
    <w:rPr>
      <w:b/>
    </w:rPr>
  </w:style>
  <w:style w:type="paragraph" w:customStyle="1" w:styleId="229">
    <w:name w:val="标书正文格式"/>
    <w:basedOn w:val="24"/>
    <w:qFormat/>
    <w:uiPriority w:val="0"/>
    <w:pPr>
      <w:spacing w:line="360" w:lineRule="auto"/>
      <w:ind w:firstLine="200" w:firstLineChars="200"/>
    </w:pPr>
    <w:rPr>
      <w:rFonts w:hAnsi="宋体"/>
      <w:color w:val="000000"/>
      <w:sz w:val="24"/>
      <w:szCs w:val="24"/>
    </w:rPr>
  </w:style>
  <w:style w:type="paragraph" w:customStyle="1" w:styleId="230">
    <w:name w:val="（4）级标题"/>
    <w:basedOn w:val="24"/>
    <w:qFormat/>
    <w:uiPriority w:val="8"/>
    <w:pPr>
      <w:numPr>
        <w:ilvl w:val="0"/>
        <w:numId w:val="2"/>
      </w:numPr>
      <w:spacing w:line="360" w:lineRule="auto"/>
      <w:outlineLvl w:val="4"/>
    </w:pPr>
  </w:style>
  <w:style w:type="paragraph" w:customStyle="1" w:styleId="231">
    <w:name w:val="Table Paragraph"/>
    <w:basedOn w:val="1"/>
    <w:autoRedefine/>
    <w:qFormat/>
    <w:uiPriority w:val="1"/>
    <w:rPr>
      <w:rFonts w:ascii="宋体" w:hAnsi="宋体" w:eastAsia="宋体" w:cs="宋体"/>
    </w:rPr>
  </w:style>
  <w:style w:type="table" w:customStyle="1" w:styleId="232">
    <w:name w:val="Table Normal"/>
    <w:autoRedefine/>
    <w:qFormat/>
    <w:uiPriority w:val="0"/>
    <w:tblPr>
      <w:tblCellMar>
        <w:top w:w="0" w:type="dxa"/>
        <w:left w:w="0" w:type="dxa"/>
        <w:bottom w:w="0" w:type="dxa"/>
        <w:right w:w="0" w:type="dxa"/>
      </w:tblCellMar>
    </w:tblPr>
  </w:style>
  <w:style w:type="paragraph" w:customStyle="1" w:styleId="233">
    <w:name w:val="HR正文表格"/>
    <w:basedOn w:val="1"/>
    <w:autoRedefine/>
    <w:qFormat/>
    <w:uiPriority w:val="0"/>
    <w:pPr>
      <w:spacing w:beforeLines="25" w:afterLines="25" w:line="300" w:lineRule="auto"/>
    </w:pPr>
    <w:rPr>
      <w:szCs w:val="24"/>
    </w:rPr>
  </w:style>
  <w:style w:type="paragraph" w:customStyle="1" w:styleId="234">
    <w:name w:val="一级标题"/>
    <w:basedOn w:val="24"/>
    <w:qFormat/>
    <w:uiPriority w:val="1"/>
    <w:pPr>
      <w:numPr>
        <w:ilvl w:val="0"/>
        <w:numId w:val="3"/>
      </w:numPr>
      <w:spacing w:line="360" w:lineRule="auto"/>
      <w:ind w:left="420"/>
      <w:outlineLvl w:val="1"/>
    </w:pPr>
    <w:rPr>
      <w:rFonts w:ascii="黑体" w:eastAsia="黑体"/>
      <w:b/>
      <w:bCs/>
      <w:sz w:val="28"/>
    </w:rPr>
  </w:style>
  <w:style w:type="paragraph" w:customStyle="1" w:styleId="235">
    <w:name w:val="标书正文"/>
    <w:basedOn w:val="24"/>
    <w:qFormat/>
    <w:uiPriority w:val="9"/>
    <w:pPr>
      <w:spacing w:line="360" w:lineRule="auto"/>
      <w:jc w:val="left"/>
    </w:pPr>
  </w:style>
  <w:style w:type="paragraph" w:customStyle="1" w:styleId="236">
    <w:name w:val="标书二级标题"/>
    <w:basedOn w:val="2"/>
    <w:qFormat/>
    <w:uiPriority w:val="0"/>
    <w:pPr>
      <w:spacing w:line="240" w:lineRule="auto"/>
      <w:jc w:val="left"/>
    </w:pPr>
    <w:rPr>
      <w:rFonts w:ascii="宋体" w:hAnsi="宋体" w:eastAsia="黑体"/>
      <w:b w:val="0"/>
      <w:sz w:val="28"/>
      <w:szCs w:val="30"/>
    </w:rPr>
  </w:style>
  <w:style w:type="paragraph" w:customStyle="1" w:styleId="237">
    <w:name w:val="标书三级标题"/>
    <w:basedOn w:val="4"/>
    <w:next w:val="229"/>
    <w:qFormat/>
    <w:uiPriority w:val="0"/>
    <w:pPr>
      <w:spacing w:before="0" w:after="0" w:line="240" w:lineRule="auto"/>
      <w:ind w:firstLine="482" w:firstLineChars="200"/>
    </w:pPr>
    <w:rPr>
      <w:rFonts w:ascii="Times New Roman" w:hAnsi="Times New Roman"/>
      <w:color w:val="000000"/>
      <w:sz w:val="24"/>
      <w:szCs w:val="24"/>
    </w:rPr>
  </w:style>
  <w:style w:type="paragraph" w:customStyle="1" w:styleId="238">
    <w:name w:val="标书一级标题"/>
    <w:basedOn w:val="3"/>
    <w:qFormat/>
    <w:uiPriority w:val="0"/>
    <w:rPr>
      <w:rFonts w:eastAsia="黑体"/>
      <w:b w:val="0"/>
      <w:color w:val="000000"/>
      <w:sz w:val="30"/>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1.xml"/><Relationship Id="rId39" Type="http://schemas.openxmlformats.org/officeDocument/2006/relationships/image" Target="media/image15.png"/><Relationship Id="rId38" Type="http://schemas.openxmlformats.org/officeDocument/2006/relationships/image" Target="media/image14.png"/><Relationship Id="rId37" Type="http://schemas.openxmlformats.org/officeDocument/2006/relationships/image" Target="media/image13.png"/><Relationship Id="rId36" Type="http://schemas.openxmlformats.org/officeDocument/2006/relationships/image" Target="media/image12.png"/><Relationship Id="rId35" Type="http://schemas.openxmlformats.org/officeDocument/2006/relationships/image" Target="media/image11.png"/><Relationship Id="rId34" Type="http://schemas.openxmlformats.org/officeDocument/2006/relationships/image" Target="media/image10.png"/><Relationship Id="rId33" Type="http://schemas.openxmlformats.org/officeDocument/2006/relationships/image" Target="media/image9.png"/><Relationship Id="rId32" Type="http://schemas.openxmlformats.org/officeDocument/2006/relationships/image" Target="media/image8.png"/><Relationship Id="rId31" Type="http://schemas.openxmlformats.org/officeDocument/2006/relationships/image" Target="media/image7.png"/><Relationship Id="rId30" Type="http://schemas.openxmlformats.org/officeDocument/2006/relationships/image" Target="media/image6.png"/><Relationship Id="rId3" Type="http://schemas.openxmlformats.org/officeDocument/2006/relationships/header" Target="header1.xml"/><Relationship Id="rId29" Type="http://schemas.openxmlformats.org/officeDocument/2006/relationships/image" Target="media/image5.png"/><Relationship Id="rId28" Type="http://schemas.openxmlformats.org/officeDocument/2006/relationships/image" Target="media/image4.png"/><Relationship Id="rId27" Type="http://schemas.openxmlformats.org/officeDocument/2006/relationships/image" Target="media/image3.png"/><Relationship Id="rId26" Type="http://schemas.openxmlformats.org/officeDocument/2006/relationships/image" Target="media/image2.png"/><Relationship Id="rId25" Type="http://schemas.openxmlformats.org/officeDocument/2006/relationships/image" Target="media/image1.png"/><Relationship Id="rId24" Type="http://schemas.openxmlformats.org/officeDocument/2006/relationships/theme" Target="theme/theme1.xml"/><Relationship Id="rId23" Type="http://schemas.openxmlformats.org/officeDocument/2006/relationships/footer" Target="footer15.xml"/><Relationship Id="rId22" Type="http://schemas.openxmlformats.org/officeDocument/2006/relationships/header" Target="header6.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header" Target="header5.xml"/><Relationship Id="rId18" Type="http://schemas.openxmlformats.org/officeDocument/2006/relationships/header" Target="header4.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header" Target="header3.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52</Pages>
  <Words>2464</Words>
  <Characters>2619</Characters>
  <Lines>52</Lines>
  <Paragraphs>14</Paragraphs>
  <TotalTime>11</TotalTime>
  <ScaleCrop>false</ScaleCrop>
  <LinksUpToDate>false</LinksUpToDate>
  <CharactersWithSpaces>2676</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2025-05-19T02:18:00Z</dcterms:created>
  <dc:creator>zhl</dc:creator>
  <cp:lastModifiedBy>許</cp:lastModifiedBy>
  <cp:lastPrinted>2020-01-08T06:44:00Z</cp:lastPrinted>
  <dcterms:modified xsi:type="dcterms:W3CDTF">2025-12-18T03:13:41Z</dcterms:modified>
  <dc:title>招标文件</dc:title>
  <cp:revision>113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Base Target">
    <vt:lpwstr>_blank</vt:lpwstr>
  </property>
  <property fmtid="{D5CDD505-2E9C-101B-9397-08002B2CF9AE}" pid="4" name="ICV">
    <vt:lpwstr>F321509FCE2C40A686A7D5C6B2FA831B</vt:lpwstr>
  </property>
  <property fmtid="{D5CDD505-2E9C-101B-9397-08002B2CF9AE}" pid="5" name="KSOTemplateDocerSaveRecord">
    <vt:lpwstr>eyJoZGlkIjoiZTZkNDE3ZGE4Mjk4YmFlZDAwMWNlODJlYzdjMzk3YmQiLCJ1c2VySWQiOiI1MDMyNjc5ODcifQ==</vt:lpwstr>
  </property>
</Properties>
</file>