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spacing w:line="276" w:lineRule="auto"/>
        <w:jc w:val="center"/>
        <w:rPr>
          <w:rFonts w:hint="eastAsia" w:ascii="仿宋_GB2312" w:hAnsi="仿宋_GB2312" w:eastAsia="仿宋_GB2312" w:cs="仿宋_GB2312"/>
          <w:b/>
          <w:bCs/>
          <w:color w:val="000000"/>
          <w:spacing w:val="-8"/>
          <w:sz w:val="48"/>
          <w:szCs w:val="48"/>
          <w:lang w:val="en-US" w:eastAsia="zh-CN"/>
        </w:rPr>
      </w:pPr>
      <w:r>
        <w:rPr>
          <w:rFonts w:hint="eastAsia" w:ascii="仿宋_GB2312" w:hAnsi="仿宋_GB2312" w:eastAsia="仿宋_GB2312" w:cs="仿宋_GB2312"/>
          <w:b/>
          <w:bCs/>
          <w:color w:val="000000"/>
          <w:spacing w:val="-8"/>
          <w:sz w:val="48"/>
          <w:szCs w:val="48"/>
        </w:rPr>
        <w:t>新增手持装配拧紧工具项目</w:t>
      </w:r>
      <w:r>
        <w:rPr>
          <w:rFonts w:hint="eastAsia" w:ascii="仿宋_GB2312" w:hAnsi="仿宋_GB2312" w:eastAsia="仿宋_GB2312" w:cs="仿宋_GB2312"/>
          <w:b/>
          <w:bCs/>
          <w:color w:val="000000"/>
          <w:spacing w:val="-8"/>
          <w:sz w:val="48"/>
          <w:szCs w:val="48"/>
          <w:lang w:val="en-US" w:eastAsia="zh-CN"/>
        </w:rPr>
        <w:t>分包一</w:t>
      </w:r>
    </w:p>
    <w:p>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pPr>
        <w:pStyle w:val="2"/>
        <w:rPr>
          <w:rFonts w:hint="eastAsia" w:ascii="仿宋_GB2312" w:hAnsi="仿宋_GB2312" w:eastAsia="仿宋_GB2312" w:cs="仿宋_GB2312"/>
        </w:rPr>
      </w:pPr>
    </w:p>
    <w:p>
      <w:pPr>
        <w:pStyle w:val="2"/>
        <w:rPr>
          <w:rFonts w:hint="eastAsia" w:ascii="仿宋_GB2312" w:hAnsi="仿宋_GB2312" w:eastAsia="仿宋_GB2312" w:cs="仿宋_GB2312"/>
        </w:rPr>
      </w:pPr>
    </w:p>
    <w:p>
      <w:pPr>
        <w:pStyle w:val="2"/>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pStyle w:val="2"/>
        <w:rPr>
          <w:rFonts w:hint="eastAsia" w:ascii="仿宋_GB2312" w:hAnsi="仿宋_GB2312" w:eastAsia="仿宋_GB2312" w:cs="仿宋_GB2312"/>
          <w:b/>
          <w:bCs/>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：中国重汽集团杭州发动机有限公司</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12</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9"/>
            <w:rPr>
              <w:rFonts w:hint="eastAsia"/>
            </w:rPr>
          </w:pPr>
        </w:p>
        <w:p>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3"/>
        <w:jc w:val="both"/>
        <w:rPr>
          <w:rFonts w:hint="eastAsia" w:ascii="仿宋_GB2312" w:hAnsi="仿宋_GB2312" w:eastAsia="仿宋_GB2312" w:cs="仿宋_GB2312"/>
          <w:sz w:val="44"/>
        </w:rPr>
      </w:pPr>
      <w:bookmarkStart w:id="0" w:name="_Toc23693"/>
      <w:bookmarkStart w:id="1" w:name="_Toc5202"/>
      <w:bookmarkStart w:id="2" w:name="_Toc15480"/>
      <w:bookmarkStart w:id="3" w:name="_Toc29994"/>
      <w:bookmarkStart w:id="4" w:name="_Toc22242"/>
    </w:p>
    <w:p>
      <w:pPr>
        <w:pStyle w:val="3"/>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项目名称：新增手持装配拧紧工具项目</w:t>
            </w:r>
            <w:r>
              <w:rPr>
                <w:rFonts w:hint="eastAsia" w:ascii="仿宋_GB2312" w:hAnsi="仿宋_GB2312" w:eastAsia="仿宋_GB2312" w:cs="仿宋_GB2312"/>
                <w:b/>
                <w:bCs/>
                <w:sz w:val="24"/>
                <w:szCs w:val="24"/>
                <w:lang w:val="en-US" w:eastAsia="zh-CN"/>
              </w:rPr>
              <w:t>分包一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项目编号：FSCZB2025120014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w:t>
            </w:r>
            <w:r>
              <w:rPr>
                <w:rFonts w:hint="eastAsia" w:ascii="仿宋_GB2312" w:hAnsi="仿宋_GB2312" w:eastAsia="仿宋_GB2312" w:cs="仿宋_GB2312"/>
                <w:b/>
                <w:bCs/>
                <w:sz w:val="24"/>
                <w:szCs w:val="24"/>
                <w:lang w:eastAsia="zh-CN"/>
              </w:rPr>
              <w:t>新增4把手持定值拧紧工具，解决发动机装配螺栓力矩不受控问题，满足工艺要求。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招标人名称：中国重汽集团杭州发动机有限公司</w:t>
            </w:r>
          </w:p>
          <w:p>
            <w:pPr>
              <w:ind w:firstLine="482" w:firstLineChars="200"/>
              <w:rPr>
                <w:rFonts w:hint="eastAsia" w:ascii="仿宋_GB2312" w:hAnsi="仿宋_GB2312" w:eastAsia="仿宋_GB2312" w:cs="仿宋_GB2312"/>
                <w:b/>
                <w:snapToGrid w:val="0"/>
                <w:kern w:val="0"/>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b/>
                <w:snapToGrid w:val="0"/>
                <w:kern w:val="0"/>
                <w:sz w:val="24"/>
                <w:szCs w:val="24"/>
                <w:lang w:eastAsia="zh-CN"/>
              </w:rPr>
              <w:t>中国重汽集团杭州发动机有限公司</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w:t>
            </w:r>
            <w:r>
              <w:rPr>
                <w:rFonts w:hint="eastAsia" w:ascii="仿宋_GB2312" w:hAnsi="仿宋_GB2312" w:eastAsia="仿宋_GB2312" w:cs="仿宋_GB2312"/>
                <w:b/>
                <w:snapToGrid w:val="0"/>
                <w:kern w:val="0"/>
                <w:sz w:val="24"/>
                <w:szCs w:val="24"/>
                <w:highlight w:val="none"/>
                <w:lang w:val="en-US" w:eastAsia="zh-CN"/>
              </w:rPr>
              <w:t>5820</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邮箱：yangshuchao@sinotruk.com</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技术联系人：陈志勋</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电话：18258846200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spacing w:val="20"/>
                <w:highlight w:val="yellow"/>
                <w:lang w:eastAsia="zh-CN"/>
              </w:rPr>
              <w:t>6.89</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 xml:space="preserve">13% </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pStyle w:val="2"/>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1.拟投标人必须是在中华人民共和国境内注册的独立法人机构，具有独 立承担民事责任能力；注册资金不少于200万人民币(或等值其他货币);公 司成立三年以上(以营业执照成立日期到开标当日满三年为准),且经营范围 满足招标人需求；并在人员、设备、资金等方面具有承担本项目的能力；</w:t>
            </w:r>
          </w:p>
          <w:p>
            <w:pPr>
              <w:pStyle w:val="2"/>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2.拟投标人应提供三证合一的营业执照副本原件和扫描件(需盖章);</w:t>
            </w:r>
          </w:p>
          <w:p>
            <w:pPr>
              <w:pStyle w:val="2"/>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3.拟投标人应提供法定代表人资格证明文件；</w:t>
            </w:r>
          </w:p>
          <w:p>
            <w:pPr>
              <w:pStyle w:val="2"/>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4.拟投标人在工商行政管理局的《国家企业信用信息公示系统》中查询 不存在不良记录；</w:t>
            </w:r>
          </w:p>
          <w:p>
            <w:pPr>
              <w:pStyle w:val="2"/>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5.拟投标人不存在严重违规或被列入招标人“黑名单”的声明；</w:t>
            </w:r>
          </w:p>
          <w:p>
            <w:pPr>
              <w:pStyle w:val="2"/>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6.拟投标人2022年1月1日至今经第三方审计的公司财务报表(资产 负债表、损益表、现金流量表)未显示异常。如拟投标人公司没有经审计的财务报告，可提供加盖公章的近三年财务报表，包括但不限于资产负债表、利润表、现金流表；</w:t>
            </w:r>
          </w:p>
          <w:p>
            <w:pPr>
              <w:pStyle w:val="2"/>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7.拟投标人有与本次招标内容相同或类似项目业绩，且近3年内无因服 务不当而造成重大事故；</w:t>
            </w:r>
          </w:p>
          <w:p>
            <w:pPr>
              <w:pStyle w:val="2"/>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8.拟投标人三年内无违法及重大违规情况；</w:t>
            </w:r>
          </w:p>
          <w:p>
            <w:pPr>
              <w:pStyle w:val="2"/>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9.拟投标人须认可招标人的工作指令，包括节、假日能正常开展工作的要求；</w:t>
            </w:r>
          </w:p>
          <w:p>
            <w:pPr>
              <w:pStyle w:val="2"/>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10. 拟投标人最近半年纳税正常；</w:t>
            </w:r>
          </w:p>
          <w:p>
            <w:pPr>
              <w:pStyle w:val="2"/>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11.拟投标人信用证明材料(中国人民银行信用代码证+征信报告)未显示异常；</w:t>
            </w:r>
          </w:p>
          <w:p>
            <w:pPr>
              <w:pStyle w:val="2"/>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12.拟投标人的直接或间接股东、法定代表人、董事、监事、高管非重汽员工及其亲属；</w:t>
            </w:r>
          </w:p>
          <w:p>
            <w:pPr>
              <w:pStyle w:val="2"/>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13.本项目不接受联合体投标，拟投标人必须是最终投标单位和签订合 同单位，不得以任何理由将已中标项目以任何形式分包或转包给其他单位。</w:t>
            </w:r>
          </w:p>
          <w:p>
            <w:pPr>
              <w:pStyle w:val="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14.本项目不接受代理商参与，仅允许生产厂家直接投标。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2025年12月15日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2025年12月23日前</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2025年12月23日前</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2025年12月20日17：00</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2025年12月25日17：00</w:t>
            </w:r>
          </w:p>
          <w:p>
            <w:pPr>
              <w:pStyle w:val="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5000</w:t>
            </w:r>
            <w:r>
              <w:rPr>
                <w:rFonts w:hint="eastAsia" w:ascii="仿宋_GB2312" w:hAnsi="仿宋_GB2312" w:eastAsia="仿宋_GB2312" w:cs="仿宋_GB2312"/>
                <w:sz w:val="24"/>
                <w:szCs w:val="24"/>
              </w:rPr>
              <w:t>元</w:t>
            </w:r>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名    称：中国重汽集团杭州发动机有限公司</w:t>
            </w:r>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开户银行：工行半道红支行</w:t>
            </w:r>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银行帐号：1202051439900007785</w:t>
            </w:r>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联 行 号：102331005147</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2025年12月25</w:t>
            </w:r>
            <w:bookmarkStart w:id="147" w:name="_GoBack"/>
            <w:bookmarkEnd w:id="147"/>
            <w:r>
              <w:rPr>
                <w:rFonts w:hint="eastAsia" w:ascii="仿宋_GB2312" w:hAnsi="仿宋_GB2312" w:eastAsia="仿宋_GB2312" w:cs="仿宋_GB2312"/>
                <w:color w:val="000000"/>
                <w:sz w:val="24"/>
                <w:szCs w:val="24"/>
                <w:highlight w:val="green"/>
                <w:lang w:val="en-US" w:eastAsia="zh-CN"/>
              </w:rPr>
              <w:t>日17：00</w:t>
            </w:r>
          </w:p>
          <w:p>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2025年12月26日9：00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color w:val="000000"/>
                <w:sz w:val="24"/>
                <w:szCs w:val="24"/>
                <w:highlight w:val="green"/>
                <w:lang w:val="en-US" w:eastAsia="zh-CN"/>
              </w:rPr>
              <w:t>线上会议室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评标方法：资质标审核→唱标→技术标评审→商务标评审。综合评分最高中标</w:t>
            </w:r>
            <w:r>
              <w:rPr>
                <w:rFonts w:hint="eastAsia" w:ascii="仿宋_GB2312" w:hAnsi="仿宋_GB2312" w:eastAsia="仿宋_GB2312" w:cs="仿宋_GB2312"/>
                <w:color w:val="FF0000"/>
                <w:sz w:val="24"/>
                <w:szCs w:val="24"/>
                <w:highlight w:val="green"/>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spacing w:line="360" w:lineRule="auto"/>
              <w:ind w:firstLine="482" w:firstLineChars="200"/>
              <w:jc w:val="left"/>
              <w:outlineLvl w:val="3"/>
              <w:rPr>
                <w:rFonts w:hint="eastAsia" w:ascii="仿宋_GB2312" w:hAnsi="仿宋_GB2312" w:eastAsia="仿宋_GB2312" w:cs="仿宋_GB2312"/>
                <w:b/>
                <w:bCs/>
                <w:color w:val="000000"/>
                <w:sz w:val="24"/>
                <w:szCs w:val="24"/>
                <w:lang w:eastAsia="zh-CN"/>
              </w:rPr>
            </w:pPr>
            <w:r>
              <w:rPr>
                <w:rFonts w:hint="eastAsia" w:ascii="仿宋_GB2312" w:hAnsi="仿宋_GB2312" w:eastAsia="仿宋_GB2312" w:cs="仿宋_GB2312"/>
                <w:b/>
                <w:bCs/>
                <w:color w:val="000000"/>
                <w:sz w:val="24"/>
                <w:szCs w:val="24"/>
                <w:lang w:eastAsia="zh-CN"/>
              </w:rPr>
              <w:t>（</w:t>
            </w:r>
            <w:r>
              <w:rPr>
                <w:rFonts w:hint="eastAsia" w:ascii="仿宋_GB2312" w:hAnsi="仿宋_GB2312" w:eastAsia="仿宋_GB2312" w:cs="仿宋_GB2312"/>
                <w:b/>
                <w:bCs/>
                <w:color w:val="000000"/>
                <w:sz w:val="24"/>
                <w:szCs w:val="24"/>
                <w:lang w:val="en-US" w:eastAsia="zh-CN"/>
              </w:rPr>
              <w:t>以上时间若有调整以招标人实际要求为准</w:t>
            </w:r>
            <w:r>
              <w:rPr>
                <w:rFonts w:hint="eastAsia" w:ascii="仿宋_GB2312" w:hAnsi="仿宋_GB2312" w:eastAsia="仿宋_GB2312" w:cs="仿宋_GB2312"/>
                <w:b/>
                <w:bCs/>
                <w:color w:val="000000"/>
                <w:sz w:val="24"/>
                <w:szCs w:val="24"/>
                <w:lang w:eastAsia="zh-CN"/>
              </w:rPr>
              <w:t>）</w:t>
            </w:r>
          </w:p>
          <w:p>
            <w:pPr>
              <w:pStyle w:val="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lang w:eastAsia="zh-CN"/>
              </w:rPr>
              <w:t>中国重汽集团杭州发动机有限公司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hint="eastAsia" w:ascii="宋体" w:hAnsi="宋体" w:cs="宋体"/>
                <w:sz w:val="24"/>
                <w:szCs w:val="24"/>
                <w:highlight w:val="yellow"/>
                <w:lang w:eastAsia="zh-CN"/>
              </w:rPr>
            </w:pPr>
            <w:r>
              <w:rPr>
                <w:rFonts w:hint="eastAsia" w:ascii="宋体" w:hAnsi="宋体" w:cs="宋体"/>
                <w:sz w:val="24"/>
                <w:szCs w:val="24"/>
                <w:highlight w:val="yellow"/>
                <w:lang w:eastAsia="zh-CN"/>
              </w:rPr>
              <w:t>1.付款方式半年期商业汇票(包括银行承兑汇票和商业承兑汇票)</w:t>
            </w:r>
          </w:p>
          <w:p>
            <w:pPr>
              <w:ind w:firstLine="480" w:firstLineChars="200"/>
              <w:rPr>
                <w:rFonts w:hint="eastAsia" w:ascii="宋体" w:hAnsi="宋体" w:cs="宋体"/>
                <w:sz w:val="24"/>
                <w:szCs w:val="24"/>
                <w:highlight w:val="yellow"/>
                <w:lang w:eastAsia="zh-CN"/>
              </w:rPr>
            </w:pPr>
            <w:r>
              <w:rPr>
                <w:rFonts w:hint="eastAsia" w:ascii="宋体" w:hAnsi="宋体" w:cs="宋体"/>
                <w:sz w:val="24"/>
                <w:szCs w:val="24"/>
                <w:highlight w:val="yellow"/>
                <w:lang w:eastAsia="zh-CN"/>
              </w:rPr>
              <w:t>2.付款节点：</w:t>
            </w:r>
          </w:p>
          <w:p>
            <w:pPr>
              <w:ind w:firstLine="480" w:firstLineChars="200"/>
              <w:rPr>
                <w:rFonts w:hint="eastAsia" w:ascii="宋体" w:hAnsi="宋体" w:cs="宋体"/>
                <w:sz w:val="24"/>
                <w:szCs w:val="24"/>
                <w:highlight w:val="yellow"/>
                <w:lang w:eastAsia="zh-CN"/>
              </w:rPr>
            </w:pPr>
            <w:r>
              <w:rPr>
                <w:rFonts w:hint="eastAsia" w:ascii="宋体" w:hAnsi="宋体" w:cs="宋体"/>
                <w:sz w:val="24"/>
                <w:szCs w:val="24"/>
                <w:highlight w:val="yellow"/>
                <w:lang w:eastAsia="zh-CN"/>
              </w:rPr>
              <w:t>A. 设备验收合格后，中标人提供合同价款100%的增值税专用发票,经招标人依照财务制度审核通过后30日支付合同价款的90%；</w:t>
            </w:r>
          </w:p>
          <w:p>
            <w:pPr>
              <w:ind w:firstLine="480" w:firstLineChars="200"/>
              <w:rPr>
                <w:rFonts w:hint="eastAsia" w:ascii="宋体" w:hAnsi="宋体" w:cs="宋体"/>
                <w:sz w:val="24"/>
                <w:szCs w:val="24"/>
                <w:highlight w:val="yellow"/>
                <w:lang w:eastAsia="zh-CN"/>
              </w:rPr>
            </w:pPr>
            <w:r>
              <w:rPr>
                <w:rFonts w:hint="eastAsia" w:ascii="宋体" w:hAnsi="宋体" w:cs="宋体"/>
                <w:sz w:val="24"/>
                <w:szCs w:val="24"/>
                <w:highlight w:val="yellow"/>
                <w:lang w:eastAsia="zh-CN"/>
              </w:rPr>
              <w:t>B.合同总价款的10%作为本合同约定设备的质量保证金，质量保证金在质量保证期内不计利息。质保期届满后支付。</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8"/>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8"/>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8"/>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8"/>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8"/>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pPr>
        <w:pStyle w:val="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3"/>
        <w:rPr>
          <w:rFonts w:hint="eastAsia" w:ascii="仿宋_GB2312" w:hAnsi="仿宋_GB2312" w:eastAsia="仿宋_GB2312" w:cs="仿宋_GB2312"/>
          <w:sz w:val="44"/>
        </w:rPr>
      </w:pPr>
      <w:bookmarkStart w:id="7" w:name="_Toc19183"/>
      <w:bookmarkStart w:id="8" w:name="_Toc9448"/>
      <w:bookmarkStart w:id="9" w:name="_Toc427"/>
      <w:bookmarkStart w:id="10" w:name="_Toc27087"/>
      <w:bookmarkStart w:id="11" w:name="_Toc6577"/>
      <w:bookmarkStart w:id="12" w:name="_Toc11216"/>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5"/>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5"/>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5"/>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5"/>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5"/>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pPr>
        <w:pStyle w:val="5"/>
        <w:rPr>
          <w:rFonts w:hint="eastAsia" w:ascii="仿宋_GB2312" w:hAnsi="仿宋_GB2312" w:eastAsia="仿宋_GB2312" w:cs="仿宋_GB2312"/>
          <w:sz w:val="36"/>
          <w:szCs w:val="36"/>
        </w:rPr>
      </w:pPr>
      <w:bookmarkStart w:id="19" w:name="_Toc30534"/>
      <w:bookmarkStart w:id="20" w:name="_Toc33265653"/>
      <w:bookmarkStart w:id="21" w:name="_Toc33265752"/>
      <w:bookmarkStart w:id="22" w:name="_Toc33266627"/>
      <w:bookmarkStart w:id="23" w:name="_Toc33285487"/>
      <w:bookmarkStart w:id="24" w:name="_Toc33266914"/>
      <w:bookmarkStart w:id="25" w:name="_Toc33267001"/>
      <w:bookmarkStart w:id="26" w:name="_Toc33266950"/>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bookmarkStart w:id="28" w:name="_Toc28416"/>
      <w:r>
        <w:rPr>
          <w:rFonts w:hint="eastAsia" w:ascii="仿宋_GB2312" w:hAnsi="仿宋_GB2312" w:eastAsia="仿宋_GB2312" w:cs="仿宋_GB2312"/>
          <w:b/>
          <w:sz w:val="24"/>
          <w:szCs w:val="24"/>
          <w:lang w:val="en-US" w:eastAsia="zh-CN"/>
        </w:rPr>
        <w:t>综合评标法评标</w:t>
      </w:r>
    </w:p>
    <w:p>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综合评标法，得分=技术标×30%+商务标×70%。</w:t>
      </w:r>
    </w:p>
    <w:p>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商务标：商务标得分=当前轮次最低价/供方投标价×商务标总分。</w:t>
      </w:r>
    </w:p>
    <w:p>
      <w:pPr>
        <w:pStyle w:val="14"/>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评分原则</w:t>
      </w:r>
    </w:p>
    <w:p>
      <w:pPr>
        <w:spacing w:before="56" w:line="220" w:lineRule="auto"/>
        <w:ind w:left="1015"/>
        <w:rPr>
          <w:rFonts w:ascii="仿宋" w:hAnsi="仿宋" w:eastAsia="仿宋" w:cs="仿宋"/>
          <w:spacing w:val="19"/>
          <w:sz w:val="26"/>
          <w:szCs w:val="26"/>
          <w:lang w:eastAsia="zh-CN"/>
        </w:rPr>
      </w:pPr>
      <w:r>
        <w:rPr>
          <w:rFonts w:ascii="仿宋" w:hAnsi="仿宋" w:eastAsia="仿宋" w:cs="仿宋"/>
          <w:spacing w:val="19"/>
          <w:sz w:val="26"/>
          <w:szCs w:val="26"/>
          <w:lang w:eastAsia="zh-CN"/>
        </w:rPr>
        <w:t>评标标准：</w:t>
      </w:r>
    </w:p>
    <w:p>
      <w:pPr>
        <w:spacing w:line="28" w:lineRule="exact"/>
      </w:pPr>
    </w:p>
    <w:tbl>
      <w:tblPr>
        <w:tblStyle w:val="133"/>
        <w:tblW w:w="1002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4"/>
        <w:gridCol w:w="580"/>
        <w:gridCol w:w="599"/>
        <w:gridCol w:w="2737"/>
        <w:gridCol w:w="560"/>
        <w:gridCol w:w="4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694" w:type="dxa"/>
          </w:tcPr>
          <w:p>
            <w:pPr>
              <w:pStyle w:val="141"/>
              <w:spacing w:before="20" w:line="218" w:lineRule="auto"/>
              <w:ind w:left="155"/>
            </w:pPr>
            <w:r>
              <w:rPr>
                <w:spacing w:val="-2"/>
              </w:rPr>
              <w:t>评价</w:t>
            </w:r>
          </w:p>
          <w:p>
            <w:pPr>
              <w:pStyle w:val="141"/>
              <w:spacing w:before="109" w:line="219" w:lineRule="auto"/>
              <w:ind w:left="155"/>
            </w:pPr>
            <w:r>
              <w:rPr>
                <w:spacing w:val="-2"/>
              </w:rPr>
              <w:t>类型</w:t>
            </w:r>
          </w:p>
        </w:tc>
        <w:tc>
          <w:tcPr>
            <w:tcW w:w="580" w:type="dxa"/>
          </w:tcPr>
          <w:p>
            <w:pPr>
              <w:pStyle w:val="141"/>
              <w:spacing w:before="23" w:line="220" w:lineRule="auto"/>
              <w:ind w:left="101"/>
            </w:pPr>
            <w:r>
              <w:rPr>
                <w:spacing w:val="7"/>
              </w:rPr>
              <w:t>评审</w:t>
            </w:r>
          </w:p>
          <w:p>
            <w:pPr>
              <w:pStyle w:val="141"/>
              <w:spacing w:before="95" w:line="219" w:lineRule="auto"/>
              <w:ind w:left="101"/>
            </w:pPr>
            <w:r>
              <w:rPr>
                <w:spacing w:val="4"/>
              </w:rPr>
              <w:t>内容</w:t>
            </w:r>
          </w:p>
        </w:tc>
        <w:tc>
          <w:tcPr>
            <w:tcW w:w="599" w:type="dxa"/>
          </w:tcPr>
          <w:p>
            <w:pPr>
              <w:pStyle w:val="141"/>
              <w:spacing w:before="223" w:line="221" w:lineRule="auto"/>
              <w:ind w:left="110"/>
            </w:pPr>
            <w:r>
              <w:rPr>
                <w:spacing w:val="-2"/>
              </w:rPr>
              <w:t>序号</w:t>
            </w:r>
          </w:p>
        </w:tc>
        <w:tc>
          <w:tcPr>
            <w:tcW w:w="2737" w:type="dxa"/>
          </w:tcPr>
          <w:p>
            <w:pPr>
              <w:pStyle w:val="141"/>
              <w:spacing w:before="222" w:line="219" w:lineRule="auto"/>
              <w:ind w:left="1081"/>
            </w:pPr>
            <w:r>
              <w:rPr>
                <w:spacing w:val="-15"/>
              </w:rPr>
              <w:t>内</w:t>
            </w:r>
            <w:r>
              <w:rPr>
                <w:spacing w:val="47"/>
              </w:rPr>
              <w:t xml:space="preserve"> </w:t>
            </w:r>
            <w:r>
              <w:rPr>
                <w:spacing w:val="-15"/>
              </w:rPr>
              <w:t>容</w:t>
            </w:r>
          </w:p>
        </w:tc>
        <w:tc>
          <w:tcPr>
            <w:tcW w:w="560" w:type="dxa"/>
          </w:tcPr>
          <w:p>
            <w:pPr>
              <w:pStyle w:val="141"/>
              <w:spacing w:before="33" w:line="293" w:lineRule="auto"/>
              <w:ind w:left="184" w:right="102" w:hanging="90"/>
            </w:pPr>
            <w:r>
              <w:rPr>
                <w:spacing w:val="-4"/>
              </w:rPr>
              <w:t>标准</w:t>
            </w:r>
            <w:r>
              <w:t xml:space="preserve"> 分</w:t>
            </w:r>
          </w:p>
        </w:tc>
        <w:tc>
          <w:tcPr>
            <w:tcW w:w="4850" w:type="dxa"/>
          </w:tcPr>
          <w:p>
            <w:pPr>
              <w:pStyle w:val="141"/>
              <w:spacing w:before="222" w:line="220" w:lineRule="auto"/>
              <w:ind w:left="2045"/>
            </w:pPr>
            <w:r>
              <w:rPr>
                <w:spacing w:val="-2"/>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9" w:hRule="atLeast"/>
        </w:trPr>
        <w:tc>
          <w:tcPr>
            <w:tcW w:w="694" w:type="dxa"/>
            <w:vMerge w:val="restart"/>
            <w:tcBorders>
              <w:bottom w:val="nil"/>
            </w:tcBorders>
            <w:vAlign w:val="center"/>
          </w:tcPr>
          <w:p>
            <w:pPr>
              <w:spacing w:line="243" w:lineRule="auto"/>
            </w:pPr>
          </w:p>
          <w:p>
            <w:pPr>
              <w:pStyle w:val="141"/>
              <w:spacing w:before="58" w:line="301" w:lineRule="auto"/>
              <w:ind w:left="245" w:right="176" w:hanging="90"/>
            </w:pPr>
            <w:r>
              <w:rPr>
                <w:spacing w:val="-4"/>
              </w:rPr>
              <w:t>技术</w:t>
            </w:r>
            <w:r>
              <w:t xml:space="preserve"> 标</w:t>
            </w:r>
          </w:p>
          <w:p>
            <w:pPr>
              <w:pStyle w:val="141"/>
              <w:spacing w:before="34" w:line="220" w:lineRule="auto"/>
              <w:ind w:left="114"/>
            </w:pPr>
            <w:r>
              <w:rPr>
                <w:spacing w:val="1"/>
              </w:rPr>
              <w:t>100分</w:t>
            </w:r>
          </w:p>
        </w:tc>
        <w:tc>
          <w:tcPr>
            <w:tcW w:w="580" w:type="dxa"/>
          </w:tcPr>
          <w:p>
            <w:pPr>
              <w:spacing w:line="317" w:lineRule="auto"/>
            </w:pPr>
          </w:p>
          <w:p>
            <w:pPr>
              <w:spacing w:line="318" w:lineRule="auto"/>
            </w:pPr>
          </w:p>
          <w:p>
            <w:pPr>
              <w:pStyle w:val="141"/>
              <w:spacing w:before="59" w:line="220" w:lineRule="auto"/>
              <w:ind w:left="101"/>
            </w:pPr>
            <w:r>
              <w:rPr>
                <w:spacing w:val="-2"/>
              </w:rPr>
              <w:t>业绩</w:t>
            </w:r>
          </w:p>
        </w:tc>
        <w:tc>
          <w:tcPr>
            <w:tcW w:w="599" w:type="dxa"/>
          </w:tcPr>
          <w:p>
            <w:pPr>
              <w:spacing w:line="326" w:lineRule="auto"/>
            </w:pPr>
          </w:p>
          <w:p>
            <w:pPr>
              <w:spacing w:line="326" w:lineRule="auto"/>
            </w:pPr>
          </w:p>
          <w:p>
            <w:pPr>
              <w:pStyle w:val="141"/>
              <w:spacing w:before="59" w:line="241" w:lineRule="auto"/>
              <w:ind w:left="241"/>
            </w:pPr>
            <w:r>
              <w:t>1</w:t>
            </w:r>
          </w:p>
        </w:tc>
        <w:tc>
          <w:tcPr>
            <w:tcW w:w="2737" w:type="dxa"/>
          </w:tcPr>
          <w:p>
            <w:pPr>
              <w:spacing w:line="317" w:lineRule="auto"/>
              <w:rPr>
                <w:lang w:eastAsia="zh-CN"/>
              </w:rPr>
            </w:pPr>
          </w:p>
          <w:p>
            <w:pPr>
              <w:spacing w:line="318" w:lineRule="auto"/>
              <w:rPr>
                <w:lang w:eastAsia="zh-CN"/>
              </w:rPr>
            </w:pPr>
          </w:p>
          <w:p>
            <w:pPr>
              <w:pStyle w:val="141"/>
              <w:spacing w:before="58" w:line="219" w:lineRule="auto"/>
              <w:ind w:left="92"/>
              <w:rPr>
                <w:lang w:eastAsia="zh-CN"/>
              </w:rPr>
            </w:pPr>
            <w:r>
              <w:rPr>
                <w:spacing w:val="-1"/>
                <w:lang w:eastAsia="zh-CN"/>
              </w:rPr>
              <w:t>设备制造商同类型项目业绩</w:t>
            </w:r>
          </w:p>
        </w:tc>
        <w:tc>
          <w:tcPr>
            <w:tcW w:w="560" w:type="dxa"/>
          </w:tcPr>
          <w:p>
            <w:pPr>
              <w:spacing w:line="326" w:lineRule="auto"/>
              <w:rPr>
                <w:lang w:eastAsia="zh-CN"/>
              </w:rPr>
            </w:pPr>
          </w:p>
          <w:p>
            <w:pPr>
              <w:spacing w:line="326" w:lineRule="auto"/>
              <w:rPr>
                <w:lang w:eastAsia="zh-CN"/>
              </w:rPr>
            </w:pPr>
          </w:p>
          <w:p>
            <w:pPr>
              <w:pStyle w:val="141"/>
              <w:spacing w:before="58"/>
              <w:ind w:left="185"/>
            </w:pPr>
            <w:r>
              <w:rPr>
                <w:spacing w:val="-6"/>
              </w:rPr>
              <w:t>10</w:t>
            </w:r>
          </w:p>
        </w:tc>
        <w:tc>
          <w:tcPr>
            <w:tcW w:w="4850" w:type="dxa"/>
          </w:tcPr>
          <w:p>
            <w:pPr>
              <w:pStyle w:val="141"/>
              <w:spacing w:before="56" w:line="317" w:lineRule="auto"/>
              <w:ind w:left="55"/>
              <w:rPr>
                <w:lang w:eastAsia="zh-CN"/>
              </w:rPr>
            </w:pPr>
            <w:r>
              <w:rPr>
                <w:spacing w:val="-3"/>
                <w:lang w:eastAsia="zh-CN"/>
              </w:rPr>
              <w:t>由评标委员会成员独立进行客观、公正的评价，按照优、良、</w:t>
            </w:r>
            <w:r>
              <w:rPr>
                <w:spacing w:val="4"/>
                <w:lang w:eastAsia="zh-CN"/>
              </w:rPr>
              <w:t xml:space="preserve"> </w:t>
            </w:r>
            <w:r>
              <w:rPr>
                <w:lang w:eastAsia="zh-CN"/>
              </w:rPr>
              <w:t>一般进行赋分，最高10分(时间以签订日期为准),</w:t>
            </w:r>
          </w:p>
          <w:p>
            <w:pPr>
              <w:pStyle w:val="141"/>
              <w:spacing w:before="33" w:line="291" w:lineRule="auto"/>
              <w:ind w:left="55" w:right="151"/>
              <w:rPr>
                <w:lang w:eastAsia="zh-CN"/>
              </w:rPr>
            </w:pPr>
            <w:r>
              <w:rPr>
                <w:lang w:eastAsia="zh-CN"/>
              </w:rPr>
              <w:t>投标人在2021年1月1日以来在中国与本标同类规格产品的</w:t>
            </w:r>
            <w:r>
              <w:rPr>
                <w:spacing w:val="6"/>
                <w:lang w:eastAsia="zh-CN"/>
              </w:rPr>
              <w:t xml:space="preserve">  </w:t>
            </w:r>
            <w:r>
              <w:rPr>
                <w:spacing w:val="1"/>
                <w:lang w:eastAsia="zh-CN"/>
              </w:rPr>
              <w:t>业绩，以合同复印件加盖公章为准(须有客户联系方式及联</w:t>
            </w:r>
            <w:r>
              <w:rPr>
                <w:spacing w:val="16"/>
                <w:lang w:eastAsia="zh-CN"/>
              </w:rPr>
              <w:t xml:space="preserve"> </w:t>
            </w:r>
            <w:r>
              <w:rPr>
                <w:spacing w:val="4"/>
                <w:lang w:eastAsia="zh-CN"/>
              </w:rPr>
              <w:t>系人以供招标人核实确认),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694" w:type="dxa"/>
            <w:vMerge w:val="continue"/>
            <w:tcBorders>
              <w:top w:val="nil"/>
              <w:bottom w:val="nil"/>
            </w:tcBorders>
            <w:vAlign w:val="center"/>
          </w:tcPr>
          <w:p>
            <w:pPr>
              <w:rPr>
                <w:lang w:eastAsia="zh-CN"/>
              </w:rPr>
            </w:pPr>
          </w:p>
        </w:tc>
        <w:tc>
          <w:tcPr>
            <w:tcW w:w="580" w:type="dxa"/>
            <w:vMerge w:val="restart"/>
            <w:tcBorders>
              <w:bottom w:val="nil"/>
            </w:tcBorders>
          </w:tcPr>
          <w:p>
            <w:pPr>
              <w:spacing w:line="271" w:lineRule="auto"/>
              <w:rPr>
                <w:lang w:eastAsia="zh-CN"/>
              </w:rPr>
            </w:pPr>
          </w:p>
          <w:p>
            <w:pPr>
              <w:spacing w:line="271" w:lineRule="auto"/>
              <w:rPr>
                <w:lang w:eastAsia="zh-CN"/>
              </w:rPr>
            </w:pPr>
          </w:p>
          <w:p>
            <w:pPr>
              <w:spacing w:line="272" w:lineRule="auto"/>
              <w:rPr>
                <w:lang w:eastAsia="zh-CN"/>
              </w:rPr>
            </w:pPr>
          </w:p>
          <w:p>
            <w:pPr>
              <w:pStyle w:val="141"/>
              <w:spacing w:before="59" w:line="320" w:lineRule="auto"/>
              <w:ind w:left="101" w:right="90"/>
            </w:pPr>
            <w:r>
              <w:rPr>
                <w:spacing w:val="9"/>
              </w:rPr>
              <w:t>产品</w:t>
            </w:r>
            <w:r>
              <w:t xml:space="preserve"> </w:t>
            </w:r>
            <w:r>
              <w:rPr>
                <w:spacing w:val="-2"/>
              </w:rPr>
              <w:t>技术</w:t>
            </w:r>
          </w:p>
        </w:tc>
        <w:tc>
          <w:tcPr>
            <w:tcW w:w="599" w:type="dxa"/>
          </w:tcPr>
          <w:p>
            <w:pPr>
              <w:spacing w:line="256" w:lineRule="auto"/>
            </w:pPr>
          </w:p>
          <w:p>
            <w:pPr>
              <w:pStyle w:val="141"/>
              <w:spacing w:before="58" w:line="241" w:lineRule="auto"/>
              <w:ind w:left="241"/>
            </w:pPr>
            <w:r>
              <w:t>2</w:t>
            </w:r>
          </w:p>
        </w:tc>
        <w:tc>
          <w:tcPr>
            <w:tcW w:w="2737" w:type="dxa"/>
          </w:tcPr>
          <w:p>
            <w:pPr>
              <w:pStyle w:val="141"/>
              <w:spacing w:before="58" w:line="279" w:lineRule="auto"/>
              <w:ind w:left="92" w:right="103"/>
              <w:rPr>
                <w:lang w:eastAsia="zh-CN"/>
              </w:rPr>
            </w:pPr>
            <w:r>
              <w:rPr>
                <w:lang w:eastAsia="zh-CN"/>
              </w:rPr>
              <w:t>设备制造商装备制造能力、生产</w:t>
            </w:r>
            <w:r>
              <w:rPr>
                <w:spacing w:val="10"/>
                <w:lang w:eastAsia="zh-CN"/>
              </w:rPr>
              <w:t xml:space="preserve"> </w:t>
            </w:r>
            <w:r>
              <w:rPr>
                <w:lang w:eastAsia="zh-CN"/>
              </w:rPr>
              <w:t>设备、加工工艺、完善程度</w:t>
            </w:r>
          </w:p>
        </w:tc>
        <w:tc>
          <w:tcPr>
            <w:tcW w:w="560" w:type="dxa"/>
          </w:tcPr>
          <w:p>
            <w:pPr>
              <w:spacing w:line="245" w:lineRule="auto"/>
              <w:rPr>
                <w:lang w:eastAsia="zh-CN"/>
              </w:rPr>
            </w:pPr>
          </w:p>
          <w:p>
            <w:pPr>
              <w:pStyle w:val="141"/>
              <w:spacing w:before="59"/>
              <w:ind w:left="185"/>
            </w:pPr>
            <w:r>
              <w:rPr>
                <w:spacing w:val="-6"/>
              </w:rPr>
              <w:t>15</w:t>
            </w:r>
          </w:p>
        </w:tc>
        <w:tc>
          <w:tcPr>
            <w:tcW w:w="4850" w:type="dxa"/>
          </w:tcPr>
          <w:p>
            <w:pPr>
              <w:pStyle w:val="141"/>
              <w:spacing w:before="57" w:line="288" w:lineRule="auto"/>
              <w:ind w:left="55"/>
              <w:rPr>
                <w:lang w:eastAsia="zh-CN"/>
              </w:rPr>
            </w:pPr>
            <w:r>
              <w:rPr>
                <w:spacing w:val="-3"/>
                <w:lang w:eastAsia="zh-CN"/>
              </w:rPr>
              <w:t>由评标委员会成员独立进行客观、公正的评价，按照优、良、</w:t>
            </w:r>
            <w:r>
              <w:rPr>
                <w:spacing w:val="4"/>
                <w:lang w:eastAsia="zh-CN"/>
              </w:rPr>
              <w:t xml:space="preserve"> </w:t>
            </w:r>
            <w:r>
              <w:rPr>
                <w:spacing w:val="-3"/>
                <w:lang w:eastAsia="zh-CN"/>
              </w:rPr>
              <w:t>一般进行赋分，最高15分。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9" w:hRule="atLeast"/>
        </w:trPr>
        <w:tc>
          <w:tcPr>
            <w:tcW w:w="694" w:type="dxa"/>
            <w:vMerge w:val="continue"/>
            <w:tcBorders>
              <w:top w:val="nil"/>
              <w:bottom w:val="nil"/>
            </w:tcBorders>
            <w:vAlign w:val="center"/>
          </w:tcPr>
          <w:p>
            <w:pPr>
              <w:rPr>
                <w:lang w:eastAsia="zh-CN"/>
              </w:rPr>
            </w:pPr>
          </w:p>
        </w:tc>
        <w:tc>
          <w:tcPr>
            <w:tcW w:w="580" w:type="dxa"/>
            <w:vMerge w:val="continue"/>
            <w:tcBorders>
              <w:top w:val="nil"/>
            </w:tcBorders>
          </w:tcPr>
          <w:p>
            <w:pPr>
              <w:rPr>
                <w:lang w:eastAsia="zh-CN"/>
              </w:rPr>
            </w:pPr>
          </w:p>
        </w:tc>
        <w:tc>
          <w:tcPr>
            <w:tcW w:w="599" w:type="dxa"/>
          </w:tcPr>
          <w:p>
            <w:pPr>
              <w:spacing w:line="332" w:lineRule="auto"/>
              <w:rPr>
                <w:lang w:eastAsia="zh-CN"/>
              </w:rPr>
            </w:pPr>
          </w:p>
          <w:p>
            <w:pPr>
              <w:spacing w:line="332" w:lineRule="auto"/>
              <w:rPr>
                <w:lang w:eastAsia="zh-CN"/>
              </w:rPr>
            </w:pPr>
          </w:p>
          <w:p>
            <w:pPr>
              <w:pStyle w:val="141"/>
              <w:spacing w:before="58"/>
              <w:ind w:left="241"/>
            </w:pPr>
            <w:r>
              <w:t>3</w:t>
            </w:r>
          </w:p>
        </w:tc>
        <w:tc>
          <w:tcPr>
            <w:tcW w:w="2737" w:type="dxa"/>
          </w:tcPr>
          <w:p>
            <w:pPr>
              <w:spacing w:line="298" w:lineRule="auto"/>
              <w:rPr>
                <w:lang w:eastAsia="zh-CN"/>
              </w:rPr>
            </w:pPr>
          </w:p>
          <w:p>
            <w:pPr>
              <w:pStyle w:val="141"/>
              <w:spacing w:before="59" w:line="318" w:lineRule="auto"/>
              <w:ind w:left="92"/>
              <w:rPr>
                <w:lang w:eastAsia="zh-CN"/>
              </w:rPr>
            </w:pPr>
            <w:r>
              <w:rPr>
                <w:spacing w:val="-5"/>
                <w:lang w:eastAsia="zh-CN"/>
              </w:rPr>
              <w:t>产品方案技术先进、各系统完善、</w:t>
            </w:r>
            <w:r>
              <w:rPr>
                <w:spacing w:val="8"/>
                <w:lang w:eastAsia="zh-CN"/>
              </w:rPr>
              <w:t xml:space="preserve"> </w:t>
            </w:r>
            <w:r>
              <w:rPr>
                <w:spacing w:val="-6"/>
                <w:lang w:eastAsia="zh-CN"/>
              </w:rPr>
              <w:t>性能可靠，设备主要核心部件</w:t>
            </w:r>
          </w:p>
          <w:p>
            <w:pPr>
              <w:pStyle w:val="141"/>
              <w:spacing w:line="219" w:lineRule="auto"/>
              <w:ind w:left="92"/>
            </w:pPr>
            <w:r>
              <w:rPr>
                <w:spacing w:val="1"/>
              </w:rPr>
              <w:t>具备自身技术优势</w:t>
            </w:r>
          </w:p>
        </w:tc>
        <w:tc>
          <w:tcPr>
            <w:tcW w:w="560" w:type="dxa"/>
          </w:tcPr>
          <w:p>
            <w:pPr>
              <w:spacing w:line="332" w:lineRule="auto"/>
            </w:pPr>
          </w:p>
          <w:p>
            <w:pPr>
              <w:spacing w:line="332" w:lineRule="auto"/>
            </w:pPr>
          </w:p>
          <w:p>
            <w:pPr>
              <w:pStyle w:val="141"/>
              <w:spacing w:before="58"/>
              <w:ind w:left="185"/>
            </w:pPr>
            <w:r>
              <w:rPr>
                <w:spacing w:val="-2"/>
              </w:rPr>
              <w:t>40</w:t>
            </w:r>
          </w:p>
        </w:tc>
        <w:tc>
          <w:tcPr>
            <w:tcW w:w="4850" w:type="dxa"/>
          </w:tcPr>
          <w:p>
            <w:pPr>
              <w:pStyle w:val="141"/>
              <w:spacing w:before="58" w:line="312" w:lineRule="auto"/>
              <w:ind w:left="53" w:hanging="9"/>
              <w:jc w:val="both"/>
              <w:rPr>
                <w:lang w:eastAsia="zh-CN"/>
              </w:rPr>
            </w:pPr>
            <w:r>
              <w:rPr>
                <w:spacing w:val="-3"/>
                <w:lang w:eastAsia="zh-CN"/>
              </w:rPr>
              <w:t>以下各项由评标委员会成员独立进行客观、公正的评价打分。</w:t>
            </w:r>
            <w:r>
              <w:rPr>
                <w:spacing w:val="15"/>
                <w:lang w:eastAsia="zh-CN"/>
              </w:rPr>
              <w:t xml:space="preserve"> </w:t>
            </w:r>
            <w:r>
              <w:rPr>
                <w:spacing w:val="1"/>
                <w:lang w:eastAsia="zh-CN"/>
              </w:rPr>
              <w:t>投标文件中技术方案、软硬件配置、处理工艺、设施明细、</w:t>
            </w:r>
            <w:r>
              <w:rPr>
                <w:spacing w:val="10"/>
                <w:lang w:eastAsia="zh-CN"/>
              </w:rPr>
              <w:t xml:space="preserve"> </w:t>
            </w:r>
            <w:r>
              <w:rPr>
                <w:spacing w:val="-1"/>
                <w:lang w:eastAsia="zh-CN"/>
              </w:rPr>
              <w:t>技术参数、综合性能、控制方案等的先进性、符合性、适用</w:t>
            </w:r>
            <w:r>
              <w:rPr>
                <w:spacing w:val="1"/>
                <w:lang w:eastAsia="zh-CN"/>
              </w:rPr>
              <w:t xml:space="preserve">  </w:t>
            </w:r>
            <w:r>
              <w:rPr>
                <w:spacing w:val="-3"/>
                <w:lang w:eastAsia="zh-CN"/>
              </w:rPr>
              <w:t>性进行分析比较、评议、综合打分，按照优、良、一般进行</w:t>
            </w:r>
            <w:r>
              <w:rPr>
                <w:spacing w:val="5"/>
                <w:lang w:eastAsia="zh-CN"/>
              </w:rPr>
              <w:t xml:space="preserve">   </w:t>
            </w:r>
            <w:r>
              <w:rPr>
                <w:spacing w:val="-2"/>
                <w:lang w:eastAsia="zh-CN"/>
              </w:rPr>
              <w:t>赋分，最高40分。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694" w:type="dxa"/>
            <w:vMerge w:val="continue"/>
            <w:tcBorders>
              <w:top w:val="nil"/>
              <w:bottom w:val="nil"/>
            </w:tcBorders>
            <w:vAlign w:val="center"/>
          </w:tcPr>
          <w:p>
            <w:pPr>
              <w:rPr>
                <w:lang w:eastAsia="zh-CN"/>
              </w:rPr>
            </w:pPr>
          </w:p>
        </w:tc>
        <w:tc>
          <w:tcPr>
            <w:tcW w:w="580" w:type="dxa"/>
          </w:tcPr>
          <w:p>
            <w:pPr>
              <w:pStyle w:val="141"/>
              <w:spacing w:before="220" w:line="220" w:lineRule="auto"/>
              <w:ind w:left="101"/>
            </w:pPr>
            <w:r>
              <w:rPr>
                <w:spacing w:val="-2"/>
              </w:rPr>
              <w:t>答疑</w:t>
            </w:r>
          </w:p>
        </w:tc>
        <w:tc>
          <w:tcPr>
            <w:tcW w:w="599" w:type="dxa"/>
          </w:tcPr>
          <w:p>
            <w:pPr>
              <w:pStyle w:val="141"/>
              <w:spacing w:before="238" w:line="241" w:lineRule="auto"/>
              <w:ind w:left="241"/>
            </w:pPr>
            <w:r>
              <w:t>4</w:t>
            </w:r>
          </w:p>
        </w:tc>
        <w:tc>
          <w:tcPr>
            <w:tcW w:w="2737" w:type="dxa"/>
          </w:tcPr>
          <w:p>
            <w:pPr>
              <w:pStyle w:val="141"/>
              <w:spacing w:before="220" w:line="220" w:lineRule="auto"/>
              <w:ind w:left="92"/>
            </w:pPr>
            <w:r>
              <w:rPr>
                <w:spacing w:val="-2"/>
              </w:rPr>
              <w:t>现场答疑</w:t>
            </w:r>
          </w:p>
        </w:tc>
        <w:tc>
          <w:tcPr>
            <w:tcW w:w="560" w:type="dxa"/>
          </w:tcPr>
          <w:p>
            <w:pPr>
              <w:pStyle w:val="141"/>
              <w:spacing w:before="237"/>
              <w:ind w:left="225"/>
            </w:pPr>
            <w:r>
              <w:t>5</w:t>
            </w:r>
          </w:p>
        </w:tc>
        <w:tc>
          <w:tcPr>
            <w:tcW w:w="4850" w:type="dxa"/>
          </w:tcPr>
          <w:p>
            <w:pPr>
              <w:pStyle w:val="141"/>
              <w:spacing w:before="59" w:line="270" w:lineRule="auto"/>
              <w:ind w:left="55" w:right="65" w:firstLine="20"/>
              <w:rPr>
                <w:lang w:eastAsia="zh-CN"/>
              </w:rPr>
            </w:pPr>
            <w:r>
              <w:rPr>
                <w:lang w:eastAsia="zh-CN"/>
              </w:rPr>
              <w:t>投标人代表对方案、技术优势的讲解，以及就该项目难点回</w:t>
            </w:r>
            <w:r>
              <w:rPr>
                <w:spacing w:val="18"/>
                <w:lang w:eastAsia="zh-CN"/>
              </w:rPr>
              <w:t xml:space="preserve"> </w:t>
            </w:r>
            <w:r>
              <w:rPr>
                <w:lang w:eastAsia="zh-CN"/>
              </w:rPr>
              <w:t>答评标专家现场提问，打分0-5分。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9" w:hRule="atLeast"/>
        </w:trPr>
        <w:tc>
          <w:tcPr>
            <w:tcW w:w="694" w:type="dxa"/>
            <w:vMerge w:val="continue"/>
            <w:tcBorders>
              <w:top w:val="nil"/>
              <w:bottom w:val="nil"/>
            </w:tcBorders>
            <w:vAlign w:val="center"/>
          </w:tcPr>
          <w:p>
            <w:pPr>
              <w:rPr>
                <w:lang w:eastAsia="zh-CN"/>
              </w:rPr>
            </w:pPr>
          </w:p>
        </w:tc>
        <w:tc>
          <w:tcPr>
            <w:tcW w:w="580" w:type="dxa"/>
          </w:tcPr>
          <w:p>
            <w:pPr>
              <w:spacing w:line="300" w:lineRule="auto"/>
              <w:rPr>
                <w:lang w:eastAsia="zh-CN"/>
              </w:rPr>
            </w:pPr>
          </w:p>
          <w:p>
            <w:pPr>
              <w:pStyle w:val="141"/>
              <w:spacing w:before="58" w:line="219" w:lineRule="auto"/>
              <w:ind w:left="101"/>
            </w:pPr>
            <w:r>
              <w:rPr>
                <w:spacing w:val="-2"/>
              </w:rPr>
              <w:t>技术</w:t>
            </w:r>
          </w:p>
          <w:p>
            <w:pPr>
              <w:pStyle w:val="141"/>
              <w:spacing w:before="116" w:line="219" w:lineRule="auto"/>
              <w:ind w:left="101"/>
            </w:pPr>
            <w:r>
              <w:rPr>
                <w:spacing w:val="-2"/>
              </w:rPr>
              <w:t>偏离</w:t>
            </w:r>
          </w:p>
        </w:tc>
        <w:tc>
          <w:tcPr>
            <w:tcW w:w="599" w:type="dxa"/>
          </w:tcPr>
          <w:p>
            <w:pPr>
              <w:spacing w:line="248" w:lineRule="auto"/>
            </w:pPr>
          </w:p>
          <w:p>
            <w:pPr>
              <w:spacing w:line="248" w:lineRule="auto"/>
            </w:pPr>
          </w:p>
          <w:p>
            <w:pPr>
              <w:pStyle w:val="141"/>
              <w:spacing w:before="58"/>
              <w:ind w:left="241"/>
            </w:pPr>
            <w:r>
              <w:t>5</w:t>
            </w:r>
          </w:p>
        </w:tc>
        <w:tc>
          <w:tcPr>
            <w:tcW w:w="2737" w:type="dxa"/>
          </w:tcPr>
          <w:p>
            <w:pPr>
              <w:spacing w:line="479" w:lineRule="auto"/>
            </w:pPr>
          </w:p>
          <w:p>
            <w:pPr>
              <w:pStyle w:val="141"/>
              <w:spacing w:before="58" w:line="219" w:lineRule="auto"/>
              <w:ind w:left="92"/>
            </w:pPr>
            <w:r>
              <w:rPr>
                <w:spacing w:val="-2"/>
              </w:rPr>
              <w:t>技术偏离</w:t>
            </w:r>
          </w:p>
        </w:tc>
        <w:tc>
          <w:tcPr>
            <w:tcW w:w="560" w:type="dxa"/>
          </w:tcPr>
          <w:p>
            <w:pPr>
              <w:spacing w:line="248" w:lineRule="auto"/>
            </w:pPr>
          </w:p>
          <w:p>
            <w:pPr>
              <w:spacing w:line="248" w:lineRule="auto"/>
            </w:pPr>
          </w:p>
          <w:p>
            <w:pPr>
              <w:pStyle w:val="141"/>
              <w:spacing w:before="58"/>
              <w:ind w:left="185"/>
            </w:pPr>
            <w:r>
              <w:rPr>
                <w:spacing w:val="-6"/>
              </w:rPr>
              <w:t>15</w:t>
            </w:r>
          </w:p>
        </w:tc>
        <w:tc>
          <w:tcPr>
            <w:tcW w:w="4850" w:type="dxa"/>
          </w:tcPr>
          <w:p>
            <w:pPr>
              <w:pStyle w:val="141"/>
              <w:spacing w:before="59" w:line="305" w:lineRule="auto"/>
              <w:ind w:left="55" w:right="57" w:firstLine="39"/>
              <w:jc w:val="both"/>
              <w:rPr>
                <w:lang w:eastAsia="zh-CN"/>
              </w:rPr>
            </w:pPr>
            <w:r>
              <w:rPr>
                <w:lang w:eastAsia="zh-CN"/>
              </w:rPr>
              <w:t>由评标委员会成员独立进行客观、公正的评价，根据各投标</w:t>
            </w:r>
            <w:r>
              <w:rPr>
                <w:spacing w:val="6"/>
                <w:lang w:eastAsia="zh-CN"/>
              </w:rPr>
              <w:t xml:space="preserve"> </w:t>
            </w:r>
            <w:r>
              <w:rPr>
                <w:lang w:eastAsia="zh-CN"/>
              </w:rPr>
              <w:t>单位的核心产品的配置参数、技术偏离情况，在满足我司技</w:t>
            </w:r>
            <w:r>
              <w:rPr>
                <w:spacing w:val="10"/>
                <w:lang w:eastAsia="zh-CN"/>
              </w:rPr>
              <w:t xml:space="preserve"> </w:t>
            </w:r>
            <w:r>
              <w:rPr>
                <w:spacing w:val="-1"/>
                <w:lang w:eastAsia="zh-CN"/>
              </w:rPr>
              <w:t>术基本要求的前提下偏离，无偏离得满分15分，较大偏离每</w:t>
            </w:r>
            <w:r>
              <w:rPr>
                <w:spacing w:val="17"/>
                <w:lang w:eastAsia="zh-CN"/>
              </w:rPr>
              <w:t xml:space="preserve"> </w:t>
            </w:r>
            <w:r>
              <w:rPr>
                <w:lang w:eastAsia="zh-CN"/>
              </w:rPr>
              <w:t>一项扣3分，一般偏离每一项扣2分，最低得分0分。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694" w:type="dxa"/>
            <w:vMerge w:val="continue"/>
            <w:tcBorders>
              <w:top w:val="nil"/>
              <w:bottom w:val="nil"/>
            </w:tcBorders>
            <w:vAlign w:val="center"/>
          </w:tcPr>
          <w:p>
            <w:pPr>
              <w:rPr>
                <w:lang w:eastAsia="zh-CN"/>
              </w:rPr>
            </w:pPr>
          </w:p>
        </w:tc>
        <w:tc>
          <w:tcPr>
            <w:tcW w:w="580" w:type="dxa"/>
            <w:vMerge w:val="restart"/>
            <w:tcBorders>
              <w:bottom w:val="nil"/>
            </w:tcBorders>
          </w:tcPr>
          <w:p>
            <w:pPr>
              <w:spacing w:line="242" w:lineRule="auto"/>
              <w:rPr>
                <w:lang w:eastAsia="zh-CN"/>
              </w:rPr>
            </w:pPr>
          </w:p>
          <w:p>
            <w:pPr>
              <w:spacing w:line="242" w:lineRule="auto"/>
              <w:rPr>
                <w:lang w:eastAsia="zh-CN"/>
              </w:rPr>
            </w:pPr>
          </w:p>
          <w:p>
            <w:pPr>
              <w:spacing w:line="242" w:lineRule="auto"/>
              <w:rPr>
                <w:lang w:eastAsia="zh-CN"/>
              </w:rPr>
            </w:pPr>
          </w:p>
          <w:p>
            <w:pPr>
              <w:spacing w:line="242" w:lineRule="auto"/>
              <w:rPr>
                <w:lang w:eastAsia="zh-CN"/>
              </w:rPr>
            </w:pPr>
          </w:p>
          <w:p>
            <w:pPr>
              <w:pStyle w:val="141"/>
              <w:spacing w:before="58" w:line="319" w:lineRule="auto"/>
              <w:ind w:left="101" w:right="95"/>
            </w:pPr>
            <w:r>
              <w:rPr>
                <w:spacing w:val="6"/>
              </w:rPr>
              <w:t>售后</w:t>
            </w:r>
            <w:r>
              <w:t xml:space="preserve"> </w:t>
            </w:r>
            <w:r>
              <w:rPr>
                <w:spacing w:val="-2"/>
              </w:rPr>
              <w:t>服务</w:t>
            </w:r>
          </w:p>
        </w:tc>
        <w:tc>
          <w:tcPr>
            <w:tcW w:w="599" w:type="dxa"/>
          </w:tcPr>
          <w:p>
            <w:pPr>
              <w:spacing w:line="338" w:lineRule="auto"/>
            </w:pPr>
          </w:p>
          <w:p>
            <w:pPr>
              <w:pStyle w:val="141"/>
              <w:spacing w:before="58"/>
              <w:ind w:left="241"/>
            </w:pPr>
            <w:r>
              <w:t>6</w:t>
            </w:r>
          </w:p>
        </w:tc>
        <w:tc>
          <w:tcPr>
            <w:tcW w:w="2737" w:type="dxa"/>
          </w:tcPr>
          <w:p>
            <w:pPr>
              <w:pStyle w:val="141"/>
              <w:spacing w:before="80" w:line="290" w:lineRule="auto"/>
              <w:ind w:left="92" w:right="24" w:hanging="20"/>
              <w:jc w:val="both"/>
              <w:rPr>
                <w:lang w:eastAsia="zh-CN"/>
              </w:rPr>
            </w:pPr>
            <w:r>
              <w:rPr>
                <w:spacing w:val="1"/>
                <w:lang w:eastAsia="zh-CN"/>
              </w:rPr>
              <w:t>技术培训方案：对采购方人员的</w:t>
            </w:r>
            <w:r>
              <w:rPr>
                <w:lang w:eastAsia="zh-CN"/>
              </w:rPr>
              <w:t xml:space="preserve">  </w:t>
            </w:r>
            <w:r>
              <w:rPr>
                <w:spacing w:val="6"/>
                <w:lang w:eastAsia="zh-CN"/>
              </w:rPr>
              <w:t>技术培训方案安排科学、合理、</w:t>
            </w:r>
            <w:r>
              <w:rPr>
                <w:spacing w:val="4"/>
                <w:lang w:eastAsia="zh-CN"/>
              </w:rPr>
              <w:t xml:space="preserve"> </w:t>
            </w:r>
            <w:r>
              <w:rPr>
                <w:spacing w:val="-3"/>
                <w:lang w:eastAsia="zh-CN"/>
              </w:rPr>
              <w:t>可行</w:t>
            </w:r>
          </w:p>
        </w:tc>
        <w:tc>
          <w:tcPr>
            <w:tcW w:w="560" w:type="dxa"/>
          </w:tcPr>
          <w:p>
            <w:pPr>
              <w:spacing w:line="417" w:lineRule="auto"/>
              <w:rPr>
                <w:lang w:eastAsia="zh-CN"/>
              </w:rPr>
            </w:pPr>
          </w:p>
          <w:p>
            <w:pPr>
              <w:pStyle w:val="141"/>
              <w:spacing w:before="59"/>
              <w:ind w:left="225"/>
            </w:pPr>
            <w:r>
              <w:t>5</w:t>
            </w:r>
          </w:p>
        </w:tc>
        <w:tc>
          <w:tcPr>
            <w:tcW w:w="4850" w:type="dxa"/>
          </w:tcPr>
          <w:p>
            <w:pPr>
              <w:pStyle w:val="141"/>
              <w:spacing w:before="209" w:line="342" w:lineRule="auto"/>
              <w:ind w:left="55"/>
              <w:rPr>
                <w:lang w:eastAsia="zh-CN"/>
              </w:rPr>
            </w:pPr>
            <w:r>
              <w:rPr>
                <w:spacing w:val="-3"/>
                <w:lang w:eastAsia="zh-CN"/>
              </w:rPr>
              <w:t>由评标委员会成员独立进行客观、公正的评价，按照优、良、</w:t>
            </w:r>
            <w:r>
              <w:rPr>
                <w:spacing w:val="4"/>
                <w:lang w:eastAsia="zh-CN"/>
              </w:rPr>
              <w:t xml:space="preserve"> </w:t>
            </w:r>
            <w:r>
              <w:rPr>
                <w:spacing w:val="-3"/>
                <w:lang w:eastAsia="zh-CN"/>
              </w:rPr>
              <w:t>一般进行赋分，最高5分。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694" w:type="dxa"/>
            <w:vMerge w:val="continue"/>
            <w:tcBorders>
              <w:top w:val="nil"/>
              <w:bottom w:val="nil"/>
            </w:tcBorders>
            <w:vAlign w:val="center"/>
          </w:tcPr>
          <w:p>
            <w:pPr>
              <w:rPr>
                <w:lang w:eastAsia="zh-CN"/>
              </w:rPr>
            </w:pPr>
          </w:p>
        </w:tc>
        <w:tc>
          <w:tcPr>
            <w:tcW w:w="580" w:type="dxa"/>
            <w:vMerge w:val="continue"/>
            <w:tcBorders>
              <w:top w:val="nil"/>
              <w:bottom w:val="nil"/>
            </w:tcBorders>
          </w:tcPr>
          <w:p>
            <w:pPr>
              <w:rPr>
                <w:lang w:eastAsia="zh-CN"/>
              </w:rPr>
            </w:pPr>
          </w:p>
        </w:tc>
        <w:tc>
          <w:tcPr>
            <w:tcW w:w="599" w:type="dxa"/>
          </w:tcPr>
          <w:p>
            <w:pPr>
              <w:spacing w:line="339" w:lineRule="auto"/>
              <w:rPr>
                <w:lang w:eastAsia="zh-CN"/>
              </w:rPr>
            </w:pPr>
          </w:p>
          <w:p>
            <w:pPr>
              <w:pStyle w:val="141"/>
              <w:spacing w:before="58"/>
              <w:ind w:left="241"/>
            </w:pPr>
            <w:r>
              <w:t>7</w:t>
            </w:r>
          </w:p>
        </w:tc>
        <w:tc>
          <w:tcPr>
            <w:tcW w:w="2737" w:type="dxa"/>
          </w:tcPr>
          <w:p>
            <w:pPr>
              <w:pStyle w:val="141"/>
              <w:spacing w:before="71" w:line="293" w:lineRule="auto"/>
              <w:ind w:left="92" w:right="103" w:hanging="40"/>
              <w:jc w:val="both"/>
              <w:rPr>
                <w:lang w:eastAsia="zh-CN"/>
              </w:rPr>
            </w:pPr>
            <w:r>
              <w:rPr>
                <w:spacing w:val="-1"/>
                <w:lang w:eastAsia="zh-CN"/>
              </w:rPr>
              <w:t>投标人</w:t>
            </w:r>
            <w:r>
              <w:rPr>
                <w:rFonts w:hint="eastAsia"/>
                <w:spacing w:val="-1"/>
                <w:lang w:eastAsia="zh-CN"/>
              </w:rPr>
              <w:t>需有</w:t>
            </w:r>
            <w:r>
              <w:rPr>
                <w:spacing w:val="-1"/>
                <w:lang w:eastAsia="zh-CN"/>
              </w:rPr>
              <w:t>专业技术</w:t>
            </w:r>
            <w:r>
              <w:rPr>
                <w:lang w:eastAsia="zh-CN"/>
              </w:rPr>
              <w:t>力量的维保机构并具有实施本项</w:t>
            </w:r>
            <w:r>
              <w:rPr>
                <w:spacing w:val="-1"/>
                <w:lang w:eastAsia="zh-CN"/>
              </w:rPr>
              <w:t>目维保的专业技术人员：</w:t>
            </w:r>
          </w:p>
        </w:tc>
        <w:tc>
          <w:tcPr>
            <w:tcW w:w="560" w:type="dxa"/>
          </w:tcPr>
          <w:p>
            <w:pPr>
              <w:spacing w:line="339" w:lineRule="auto"/>
              <w:rPr>
                <w:lang w:eastAsia="zh-CN"/>
              </w:rPr>
            </w:pPr>
          </w:p>
          <w:p>
            <w:pPr>
              <w:pStyle w:val="141"/>
              <w:spacing w:before="58"/>
              <w:ind w:left="225"/>
            </w:pPr>
            <w:r>
              <w:t>5</w:t>
            </w:r>
          </w:p>
        </w:tc>
        <w:tc>
          <w:tcPr>
            <w:tcW w:w="4850" w:type="dxa"/>
          </w:tcPr>
          <w:p>
            <w:pPr>
              <w:pStyle w:val="141"/>
              <w:spacing w:before="211" w:line="352" w:lineRule="auto"/>
              <w:ind w:left="55"/>
              <w:rPr>
                <w:lang w:eastAsia="zh-CN"/>
              </w:rPr>
            </w:pPr>
            <w:r>
              <w:rPr>
                <w:spacing w:val="-3"/>
                <w:lang w:eastAsia="zh-CN"/>
              </w:rPr>
              <w:t>由评标委员会成员独立进行客观、公正的评价，按照优、良、</w:t>
            </w:r>
            <w:r>
              <w:rPr>
                <w:spacing w:val="4"/>
                <w:lang w:eastAsia="zh-CN"/>
              </w:rPr>
              <w:t xml:space="preserve"> </w:t>
            </w:r>
            <w:r>
              <w:rPr>
                <w:spacing w:val="-3"/>
                <w:lang w:eastAsia="zh-CN"/>
              </w:rPr>
              <w:t>一般进行赋分，最高5分。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694" w:type="dxa"/>
            <w:vMerge w:val="continue"/>
            <w:tcBorders>
              <w:top w:val="nil"/>
            </w:tcBorders>
            <w:vAlign w:val="center"/>
          </w:tcPr>
          <w:p>
            <w:pPr>
              <w:rPr>
                <w:lang w:eastAsia="zh-CN"/>
              </w:rPr>
            </w:pPr>
          </w:p>
        </w:tc>
        <w:tc>
          <w:tcPr>
            <w:tcW w:w="580" w:type="dxa"/>
            <w:vMerge w:val="continue"/>
            <w:tcBorders>
              <w:top w:val="nil"/>
            </w:tcBorders>
          </w:tcPr>
          <w:p>
            <w:pPr>
              <w:rPr>
                <w:lang w:eastAsia="zh-CN"/>
              </w:rPr>
            </w:pPr>
          </w:p>
        </w:tc>
        <w:tc>
          <w:tcPr>
            <w:tcW w:w="599" w:type="dxa"/>
          </w:tcPr>
          <w:p>
            <w:pPr>
              <w:spacing w:line="260" w:lineRule="auto"/>
              <w:rPr>
                <w:lang w:eastAsia="zh-CN"/>
              </w:rPr>
            </w:pPr>
          </w:p>
          <w:p>
            <w:pPr>
              <w:pStyle w:val="141"/>
              <w:spacing w:before="59"/>
              <w:ind w:left="241"/>
            </w:pPr>
            <w:r>
              <w:t>8</w:t>
            </w:r>
          </w:p>
        </w:tc>
        <w:tc>
          <w:tcPr>
            <w:tcW w:w="2737" w:type="dxa"/>
          </w:tcPr>
          <w:p>
            <w:pPr>
              <w:pStyle w:val="141"/>
              <w:spacing w:before="63" w:line="290" w:lineRule="auto"/>
              <w:ind w:left="92" w:right="121"/>
              <w:rPr>
                <w:lang w:eastAsia="zh-CN"/>
              </w:rPr>
            </w:pPr>
            <w:r>
              <w:rPr>
                <w:spacing w:val="-1"/>
                <w:lang w:eastAsia="zh-CN"/>
              </w:rPr>
              <w:t>售后服务及时周到，有相应的服</w:t>
            </w:r>
            <w:r>
              <w:rPr>
                <w:spacing w:val="5"/>
                <w:lang w:eastAsia="zh-CN"/>
              </w:rPr>
              <w:t xml:space="preserve"> </w:t>
            </w:r>
            <w:r>
              <w:rPr>
                <w:spacing w:val="-1"/>
                <w:lang w:eastAsia="zh-CN"/>
              </w:rPr>
              <w:t>务承诺和具体的保证措施</w:t>
            </w:r>
          </w:p>
        </w:tc>
        <w:tc>
          <w:tcPr>
            <w:tcW w:w="560" w:type="dxa"/>
          </w:tcPr>
          <w:p>
            <w:pPr>
              <w:spacing w:line="260" w:lineRule="auto"/>
              <w:rPr>
                <w:lang w:eastAsia="zh-CN"/>
              </w:rPr>
            </w:pPr>
          </w:p>
          <w:p>
            <w:pPr>
              <w:pStyle w:val="141"/>
              <w:spacing w:before="59"/>
              <w:ind w:left="225"/>
            </w:pPr>
            <w:r>
              <w:t>5</w:t>
            </w:r>
          </w:p>
        </w:tc>
        <w:tc>
          <w:tcPr>
            <w:tcW w:w="4850" w:type="dxa"/>
          </w:tcPr>
          <w:p>
            <w:pPr>
              <w:pStyle w:val="141"/>
              <w:spacing w:before="81" w:line="281" w:lineRule="auto"/>
              <w:ind w:left="55"/>
              <w:rPr>
                <w:lang w:eastAsia="zh-CN"/>
              </w:rPr>
            </w:pPr>
            <w:r>
              <w:rPr>
                <w:spacing w:val="-3"/>
                <w:lang w:eastAsia="zh-CN"/>
              </w:rPr>
              <w:t>由评标委员会成员独立进行客观、公正的评价，按照优、良、</w:t>
            </w:r>
            <w:r>
              <w:rPr>
                <w:spacing w:val="4"/>
                <w:lang w:eastAsia="zh-CN"/>
              </w:rPr>
              <w:t xml:space="preserve"> </w:t>
            </w:r>
            <w:r>
              <w:rPr>
                <w:spacing w:val="-3"/>
                <w:lang w:eastAsia="zh-CN"/>
              </w:rPr>
              <w:t>一般进行赋分，最高5分。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7" w:hRule="atLeast"/>
        </w:trPr>
        <w:tc>
          <w:tcPr>
            <w:tcW w:w="694" w:type="dxa"/>
            <w:vAlign w:val="center"/>
          </w:tcPr>
          <w:p>
            <w:pPr>
              <w:spacing w:line="296" w:lineRule="auto"/>
              <w:rPr>
                <w:rFonts w:eastAsiaTheme="minorEastAsia"/>
                <w:sz w:val="24"/>
                <w:szCs w:val="24"/>
                <w:lang w:eastAsia="zh-CN"/>
              </w:rPr>
            </w:pPr>
          </w:p>
          <w:p>
            <w:pPr>
              <w:pStyle w:val="141"/>
              <w:spacing w:before="58" w:line="219" w:lineRule="auto"/>
              <w:ind w:left="155"/>
            </w:pPr>
            <w:r>
              <w:rPr>
                <w:spacing w:val="-3"/>
              </w:rPr>
              <w:t>商务</w:t>
            </w:r>
          </w:p>
          <w:p>
            <w:pPr>
              <w:pStyle w:val="141"/>
              <w:spacing w:before="167" w:line="279" w:lineRule="auto"/>
              <w:ind w:left="244" w:right="126" w:hanging="130"/>
              <w:rPr>
                <w:sz w:val="21"/>
                <w:szCs w:val="21"/>
              </w:rPr>
            </w:pPr>
            <w:r>
              <w:rPr>
                <w:spacing w:val="-2"/>
              </w:rPr>
              <w:t>标100</w:t>
            </w:r>
            <w:r>
              <w:t xml:space="preserve"> 分</w:t>
            </w:r>
          </w:p>
        </w:tc>
        <w:tc>
          <w:tcPr>
            <w:tcW w:w="9326" w:type="dxa"/>
            <w:gridSpan w:val="5"/>
          </w:tcPr>
          <w:p>
            <w:pPr>
              <w:pStyle w:val="141"/>
              <w:spacing w:before="112" w:line="160" w:lineRule="exact"/>
              <w:ind w:left="90"/>
              <w:rPr>
                <w:lang w:eastAsia="zh-CN"/>
              </w:rPr>
            </w:pPr>
            <w:r>
              <w:rPr>
                <w:spacing w:val="-7"/>
                <w:lang w:eastAsia="zh-CN"/>
              </w:rPr>
              <w:t>评 标 基</w:t>
            </w:r>
            <w:r>
              <w:rPr>
                <w:spacing w:val="-3"/>
                <w:lang w:eastAsia="zh-CN"/>
              </w:rPr>
              <w:t xml:space="preserve"> </w:t>
            </w:r>
            <w:r>
              <w:rPr>
                <w:spacing w:val="-7"/>
                <w:lang w:eastAsia="zh-CN"/>
              </w:rPr>
              <w:t>准 价</w:t>
            </w:r>
            <w:r>
              <w:rPr>
                <w:spacing w:val="-14"/>
                <w:lang w:eastAsia="zh-CN"/>
              </w:rPr>
              <w:t xml:space="preserve"> </w:t>
            </w:r>
            <w:r>
              <w:rPr>
                <w:spacing w:val="-7"/>
                <w:lang w:eastAsia="zh-CN"/>
              </w:rPr>
              <w:t>：</w:t>
            </w:r>
          </w:p>
          <w:p>
            <w:pPr>
              <w:pStyle w:val="141"/>
              <w:spacing w:before="257" w:line="160" w:lineRule="exact"/>
              <w:ind w:firstLine="319" w:firstLineChars="168"/>
              <w:rPr>
                <w:lang w:eastAsia="zh-CN"/>
              </w:rPr>
            </w:pPr>
            <w:r>
              <w:rPr>
                <w:spacing w:val="-10"/>
                <w:lang w:eastAsia="zh-CN"/>
              </w:rPr>
              <w:t>1 、</w:t>
            </w:r>
            <w:r>
              <w:rPr>
                <w:spacing w:val="-25"/>
                <w:lang w:eastAsia="zh-CN"/>
              </w:rPr>
              <w:t xml:space="preserve"> </w:t>
            </w:r>
            <w:r>
              <w:rPr>
                <w:spacing w:val="-10"/>
                <w:lang w:eastAsia="zh-CN"/>
              </w:rPr>
              <w:t>评</w:t>
            </w:r>
            <w:r>
              <w:rPr>
                <w:spacing w:val="-22"/>
                <w:lang w:eastAsia="zh-CN"/>
              </w:rPr>
              <w:t xml:space="preserve"> </w:t>
            </w:r>
            <w:r>
              <w:rPr>
                <w:spacing w:val="-10"/>
                <w:lang w:eastAsia="zh-CN"/>
              </w:rPr>
              <w:t>标</w:t>
            </w:r>
            <w:r>
              <w:rPr>
                <w:spacing w:val="-24"/>
                <w:lang w:eastAsia="zh-CN"/>
              </w:rPr>
              <w:t xml:space="preserve"> </w:t>
            </w:r>
            <w:r>
              <w:rPr>
                <w:spacing w:val="-10"/>
                <w:lang w:eastAsia="zh-CN"/>
              </w:rPr>
              <w:t>基</w:t>
            </w:r>
            <w:r>
              <w:rPr>
                <w:spacing w:val="-22"/>
                <w:lang w:eastAsia="zh-CN"/>
              </w:rPr>
              <w:t xml:space="preserve"> </w:t>
            </w:r>
            <w:r>
              <w:rPr>
                <w:spacing w:val="-10"/>
                <w:lang w:eastAsia="zh-CN"/>
              </w:rPr>
              <w:t>准</w:t>
            </w:r>
            <w:r>
              <w:rPr>
                <w:spacing w:val="-23"/>
                <w:lang w:eastAsia="zh-CN"/>
              </w:rPr>
              <w:t xml:space="preserve"> </w:t>
            </w:r>
            <w:r>
              <w:rPr>
                <w:spacing w:val="-10"/>
                <w:lang w:eastAsia="zh-CN"/>
              </w:rPr>
              <w:t>价</w:t>
            </w:r>
            <w:r>
              <w:rPr>
                <w:spacing w:val="-21"/>
                <w:lang w:eastAsia="zh-CN"/>
              </w:rPr>
              <w:t xml:space="preserve"> </w:t>
            </w:r>
            <w:r>
              <w:rPr>
                <w:spacing w:val="-10"/>
                <w:lang w:eastAsia="zh-CN"/>
              </w:rPr>
              <w:t>为</w:t>
            </w:r>
            <w:r>
              <w:rPr>
                <w:spacing w:val="-24"/>
                <w:lang w:eastAsia="zh-CN"/>
              </w:rPr>
              <w:t xml:space="preserve"> </w:t>
            </w:r>
            <w:r>
              <w:rPr>
                <w:spacing w:val="-10"/>
                <w:lang w:eastAsia="zh-CN"/>
              </w:rPr>
              <w:t>所</w:t>
            </w:r>
            <w:r>
              <w:rPr>
                <w:spacing w:val="-23"/>
                <w:lang w:eastAsia="zh-CN"/>
              </w:rPr>
              <w:t xml:space="preserve"> </w:t>
            </w:r>
            <w:r>
              <w:rPr>
                <w:spacing w:val="-10"/>
                <w:lang w:eastAsia="zh-CN"/>
              </w:rPr>
              <w:t>有</w:t>
            </w:r>
            <w:r>
              <w:rPr>
                <w:spacing w:val="-22"/>
                <w:lang w:eastAsia="zh-CN"/>
              </w:rPr>
              <w:t xml:space="preserve"> </w:t>
            </w:r>
            <w:r>
              <w:rPr>
                <w:spacing w:val="-10"/>
                <w:lang w:eastAsia="zh-CN"/>
              </w:rPr>
              <w:t>合</w:t>
            </w:r>
            <w:r>
              <w:rPr>
                <w:spacing w:val="-22"/>
                <w:lang w:eastAsia="zh-CN"/>
              </w:rPr>
              <w:t xml:space="preserve"> </w:t>
            </w:r>
            <w:r>
              <w:rPr>
                <w:spacing w:val="-10"/>
                <w:lang w:eastAsia="zh-CN"/>
              </w:rPr>
              <w:t>理</w:t>
            </w:r>
            <w:r>
              <w:rPr>
                <w:spacing w:val="-22"/>
                <w:lang w:eastAsia="zh-CN"/>
              </w:rPr>
              <w:t xml:space="preserve"> </w:t>
            </w:r>
            <w:r>
              <w:rPr>
                <w:spacing w:val="-10"/>
                <w:lang w:eastAsia="zh-CN"/>
              </w:rPr>
              <w:t>有 效 的</w:t>
            </w:r>
            <w:r>
              <w:rPr>
                <w:spacing w:val="-22"/>
                <w:lang w:eastAsia="zh-CN"/>
              </w:rPr>
              <w:t xml:space="preserve"> </w:t>
            </w:r>
            <w:r>
              <w:rPr>
                <w:spacing w:val="-10"/>
                <w:lang w:eastAsia="zh-CN"/>
              </w:rPr>
              <w:t>最</w:t>
            </w:r>
            <w:r>
              <w:rPr>
                <w:spacing w:val="-20"/>
                <w:lang w:eastAsia="zh-CN"/>
              </w:rPr>
              <w:t xml:space="preserve"> </w:t>
            </w:r>
            <w:r>
              <w:rPr>
                <w:spacing w:val="-10"/>
                <w:lang w:eastAsia="zh-CN"/>
              </w:rPr>
              <w:t>终</w:t>
            </w:r>
            <w:r>
              <w:rPr>
                <w:spacing w:val="-22"/>
                <w:lang w:eastAsia="zh-CN"/>
              </w:rPr>
              <w:t xml:space="preserve"> </w:t>
            </w:r>
            <w:r>
              <w:rPr>
                <w:spacing w:val="-10"/>
                <w:lang w:eastAsia="zh-CN"/>
              </w:rPr>
              <w:t>投</w:t>
            </w:r>
            <w:r>
              <w:rPr>
                <w:spacing w:val="-23"/>
                <w:lang w:eastAsia="zh-CN"/>
              </w:rPr>
              <w:t xml:space="preserve"> </w:t>
            </w:r>
            <w:r>
              <w:rPr>
                <w:spacing w:val="-10"/>
                <w:lang w:eastAsia="zh-CN"/>
              </w:rPr>
              <w:t>标</w:t>
            </w:r>
            <w:r>
              <w:rPr>
                <w:spacing w:val="-25"/>
                <w:lang w:eastAsia="zh-CN"/>
              </w:rPr>
              <w:t xml:space="preserve"> </w:t>
            </w:r>
            <w:r>
              <w:rPr>
                <w:spacing w:val="-10"/>
                <w:lang w:eastAsia="zh-CN"/>
              </w:rPr>
              <w:t>报</w:t>
            </w:r>
            <w:r>
              <w:rPr>
                <w:spacing w:val="-22"/>
                <w:lang w:eastAsia="zh-CN"/>
              </w:rPr>
              <w:t xml:space="preserve"> </w:t>
            </w:r>
            <w:r>
              <w:rPr>
                <w:spacing w:val="-10"/>
                <w:lang w:eastAsia="zh-CN"/>
              </w:rPr>
              <w:t>价 的</w:t>
            </w:r>
            <w:r>
              <w:rPr>
                <w:spacing w:val="-22"/>
                <w:lang w:eastAsia="zh-CN"/>
              </w:rPr>
              <w:t xml:space="preserve"> </w:t>
            </w:r>
            <w:r>
              <w:rPr>
                <w:spacing w:val="-10"/>
                <w:lang w:eastAsia="zh-CN"/>
              </w:rPr>
              <w:t>最</w:t>
            </w:r>
            <w:r>
              <w:rPr>
                <w:spacing w:val="-24"/>
                <w:lang w:eastAsia="zh-CN"/>
              </w:rPr>
              <w:t xml:space="preserve"> </w:t>
            </w:r>
            <w:r>
              <w:rPr>
                <w:spacing w:val="-10"/>
                <w:lang w:eastAsia="zh-CN"/>
              </w:rPr>
              <w:t>低</w:t>
            </w:r>
            <w:r>
              <w:rPr>
                <w:spacing w:val="-23"/>
                <w:lang w:eastAsia="zh-CN"/>
              </w:rPr>
              <w:t xml:space="preserve"> </w:t>
            </w:r>
            <w:r>
              <w:rPr>
                <w:spacing w:val="-11"/>
                <w:lang w:eastAsia="zh-CN"/>
              </w:rPr>
              <w:t>价</w:t>
            </w:r>
            <w:r>
              <w:rPr>
                <w:spacing w:val="-30"/>
                <w:lang w:eastAsia="zh-CN"/>
              </w:rPr>
              <w:t xml:space="preserve"> </w:t>
            </w:r>
            <w:r>
              <w:rPr>
                <w:spacing w:val="-11"/>
                <w:lang w:eastAsia="zh-CN"/>
              </w:rPr>
              <w:t>。</w:t>
            </w:r>
          </w:p>
          <w:p>
            <w:pPr>
              <w:pStyle w:val="141"/>
              <w:spacing w:before="227" w:line="160" w:lineRule="exact"/>
              <w:ind w:right="1352" w:firstLine="315" w:firstLineChars="168"/>
              <w:rPr>
                <w:spacing w:val="-38"/>
                <w:lang w:eastAsia="zh-CN"/>
              </w:rPr>
            </w:pPr>
            <w:r>
              <w:rPr>
                <w:spacing w:val="-11"/>
                <w:lang w:eastAsia="zh-CN"/>
              </w:rPr>
              <w:t>2</w:t>
            </w:r>
            <w:r>
              <w:rPr>
                <w:spacing w:val="-27"/>
                <w:lang w:eastAsia="zh-CN"/>
              </w:rPr>
              <w:t xml:space="preserve"> </w:t>
            </w:r>
            <w:r>
              <w:rPr>
                <w:spacing w:val="-11"/>
                <w:lang w:eastAsia="zh-CN"/>
              </w:rPr>
              <w:t>、</w:t>
            </w:r>
            <w:r>
              <w:rPr>
                <w:spacing w:val="-39"/>
                <w:lang w:eastAsia="zh-CN"/>
              </w:rPr>
              <w:t xml:space="preserve"> </w:t>
            </w:r>
            <w:r>
              <w:rPr>
                <w:spacing w:val="-11"/>
                <w:lang w:eastAsia="zh-CN"/>
              </w:rPr>
              <w:t>有</w:t>
            </w:r>
            <w:r>
              <w:rPr>
                <w:spacing w:val="-36"/>
                <w:lang w:eastAsia="zh-CN"/>
              </w:rPr>
              <w:t xml:space="preserve"> </w:t>
            </w:r>
            <w:r>
              <w:rPr>
                <w:spacing w:val="-11"/>
                <w:lang w:eastAsia="zh-CN"/>
              </w:rPr>
              <w:t>效</w:t>
            </w:r>
            <w:r>
              <w:rPr>
                <w:spacing w:val="-25"/>
                <w:lang w:eastAsia="zh-CN"/>
              </w:rPr>
              <w:t xml:space="preserve"> </w:t>
            </w:r>
            <w:r>
              <w:rPr>
                <w:spacing w:val="-11"/>
                <w:lang w:eastAsia="zh-CN"/>
              </w:rPr>
              <w:t>的</w:t>
            </w:r>
            <w:r>
              <w:rPr>
                <w:spacing w:val="-40"/>
                <w:lang w:eastAsia="zh-CN"/>
              </w:rPr>
              <w:t xml:space="preserve"> </w:t>
            </w:r>
            <w:r>
              <w:rPr>
                <w:spacing w:val="-11"/>
                <w:lang w:eastAsia="zh-CN"/>
              </w:rPr>
              <w:t>评</w:t>
            </w:r>
            <w:r>
              <w:rPr>
                <w:spacing w:val="-39"/>
                <w:lang w:eastAsia="zh-CN"/>
              </w:rPr>
              <w:t xml:space="preserve"> </w:t>
            </w:r>
            <w:r>
              <w:rPr>
                <w:spacing w:val="-11"/>
                <w:lang w:eastAsia="zh-CN"/>
              </w:rPr>
              <w:t>标</w:t>
            </w:r>
            <w:r>
              <w:rPr>
                <w:spacing w:val="-40"/>
                <w:lang w:eastAsia="zh-CN"/>
              </w:rPr>
              <w:t xml:space="preserve"> </w:t>
            </w:r>
            <w:r>
              <w:rPr>
                <w:spacing w:val="-11"/>
                <w:lang w:eastAsia="zh-CN"/>
              </w:rPr>
              <w:t>基</w:t>
            </w:r>
            <w:r>
              <w:rPr>
                <w:spacing w:val="-38"/>
                <w:lang w:eastAsia="zh-CN"/>
              </w:rPr>
              <w:t xml:space="preserve"> </w:t>
            </w:r>
            <w:r>
              <w:rPr>
                <w:spacing w:val="-11"/>
                <w:lang w:eastAsia="zh-CN"/>
              </w:rPr>
              <w:t>准</w:t>
            </w:r>
            <w:r>
              <w:rPr>
                <w:spacing w:val="-39"/>
                <w:lang w:eastAsia="zh-CN"/>
              </w:rPr>
              <w:t xml:space="preserve"> </w:t>
            </w:r>
            <w:r>
              <w:rPr>
                <w:spacing w:val="-11"/>
                <w:lang w:eastAsia="zh-CN"/>
              </w:rPr>
              <w:t>价</w:t>
            </w:r>
            <w:r>
              <w:rPr>
                <w:spacing w:val="-39"/>
                <w:lang w:eastAsia="zh-CN"/>
              </w:rPr>
              <w:t xml:space="preserve"> </w:t>
            </w:r>
            <w:r>
              <w:rPr>
                <w:spacing w:val="-11"/>
                <w:lang w:eastAsia="zh-CN"/>
              </w:rPr>
              <w:t>得</w:t>
            </w:r>
            <w:r>
              <w:rPr>
                <w:spacing w:val="-27"/>
                <w:lang w:eastAsia="zh-CN"/>
              </w:rPr>
              <w:t xml:space="preserve"> </w:t>
            </w:r>
            <w:r>
              <w:rPr>
                <w:spacing w:val="-11"/>
                <w:lang w:eastAsia="zh-CN"/>
              </w:rPr>
              <w:t>1</w:t>
            </w:r>
            <w:r>
              <w:rPr>
                <w:spacing w:val="-38"/>
                <w:lang w:eastAsia="zh-CN"/>
              </w:rPr>
              <w:t xml:space="preserve"> </w:t>
            </w:r>
            <w:r>
              <w:rPr>
                <w:spacing w:val="-11"/>
                <w:lang w:eastAsia="zh-CN"/>
              </w:rPr>
              <w:t>0</w:t>
            </w:r>
            <w:r>
              <w:rPr>
                <w:spacing w:val="-38"/>
                <w:lang w:eastAsia="zh-CN"/>
              </w:rPr>
              <w:t xml:space="preserve"> </w:t>
            </w:r>
            <w:r>
              <w:rPr>
                <w:spacing w:val="-11"/>
                <w:lang w:eastAsia="zh-CN"/>
              </w:rPr>
              <w:t>0</w:t>
            </w:r>
            <w:r>
              <w:rPr>
                <w:spacing w:val="-38"/>
                <w:lang w:eastAsia="zh-CN"/>
              </w:rPr>
              <w:t xml:space="preserve"> </w:t>
            </w:r>
            <w:r>
              <w:rPr>
                <w:spacing w:val="-11"/>
                <w:lang w:eastAsia="zh-CN"/>
              </w:rPr>
              <w:t>分</w:t>
            </w:r>
            <w:r>
              <w:rPr>
                <w:spacing w:val="-24"/>
                <w:lang w:eastAsia="zh-CN"/>
              </w:rPr>
              <w:t xml:space="preserve"> </w:t>
            </w:r>
            <w:r>
              <w:rPr>
                <w:spacing w:val="-11"/>
                <w:lang w:eastAsia="zh-CN"/>
              </w:rPr>
              <w:t>：</w:t>
            </w:r>
            <w:r>
              <w:rPr>
                <w:spacing w:val="-39"/>
                <w:lang w:eastAsia="zh-CN"/>
              </w:rPr>
              <w:t xml:space="preserve"> </w:t>
            </w:r>
            <w:r>
              <w:rPr>
                <w:spacing w:val="-11"/>
                <w:lang w:eastAsia="zh-CN"/>
              </w:rPr>
              <w:t>其</w:t>
            </w:r>
            <w:r>
              <w:rPr>
                <w:spacing w:val="-40"/>
                <w:lang w:eastAsia="zh-CN"/>
              </w:rPr>
              <w:t xml:space="preserve"> </w:t>
            </w:r>
            <w:r>
              <w:rPr>
                <w:spacing w:val="-11"/>
                <w:lang w:eastAsia="zh-CN"/>
              </w:rPr>
              <w:t>他</w:t>
            </w:r>
            <w:r>
              <w:rPr>
                <w:spacing w:val="-38"/>
                <w:lang w:eastAsia="zh-CN"/>
              </w:rPr>
              <w:t xml:space="preserve"> </w:t>
            </w:r>
            <w:r>
              <w:rPr>
                <w:spacing w:val="-11"/>
                <w:lang w:eastAsia="zh-CN"/>
              </w:rPr>
              <w:t>投</w:t>
            </w:r>
            <w:r>
              <w:rPr>
                <w:spacing w:val="-39"/>
                <w:lang w:eastAsia="zh-CN"/>
              </w:rPr>
              <w:t xml:space="preserve"> </w:t>
            </w:r>
            <w:r>
              <w:rPr>
                <w:spacing w:val="-11"/>
                <w:lang w:eastAsia="zh-CN"/>
              </w:rPr>
              <w:t>标</w:t>
            </w:r>
            <w:r>
              <w:rPr>
                <w:spacing w:val="-38"/>
                <w:lang w:eastAsia="zh-CN"/>
              </w:rPr>
              <w:t xml:space="preserve"> </w:t>
            </w:r>
            <w:r>
              <w:rPr>
                <w:spacing w:val="-11"/>
                <w:lang w:eastAsia="zh-CN"/>
              </w:rPr>
              <w:t>人</w:t>
            </w:r>
            <w:r>
              <w:rPr>
                <w:spacing w:val="-25"/>
                <w:lang w:eastAsia="zh-CN"/>
              </w:rPr>
              <w:t xml:space="preserve"> </w:t>
            </w:r>
            <w:r>
              <w:rPr>
                <w:spacing w:val="-11"/>
                <w:lang w:eastAsia="zh-CN"/>
              </w:rPr>
              <w:t>的</w:t>
            </w:r>
            <w:r>
              <w:rPr>
                <w:spacing w:val="-39"/>
                <w:lang w:eastAsia="zh-CN"/>
              </w:rPr>
              <w:t xml:space="preserve"> </w:t>
            </w:r>
            <w:r>
              <w:rPr>
                <w:spacing w:val="-11"/>
                <w:lang w:eastAsia="zh-CN"/>
              </w:rPr>
              <w:t>价</w:t>
            </w:r>
            <w:r>
              <w:rPr>
                <w:spacing w:val="-40"/>
                <w:lang w:eastAsia="zh-CN"/>
              </w:rPr>
              <w:t xml:space="preserve"> </w:t>
            </w:r>
            <w:r>
              <w:rPr>
                <w:spacing w:val="-11"/>
                <w:lang w:eastAsia="zh-CN"/>
              </w:rPr>
              <w:t>格</w:t>
            </w:r>
            <w:r>
              <w:rPr>
                <w:spacing w:val="-39"/>
                <w:lang w:eastAsia="zh-CN"/>
              </w:rPr>
              <w:t xml:space="preserve"> </w:t>
            </w:r>
            <w:r>
              <w:rPr>
                <w:spacing w:val="-11"/>
                <w:lang w:eastAsia="zh-CN"/>
              </w:rPr>
              <w:t>得</w:t>
            </w:r>
            <w:r>
              <w:rPr>
                <w:spacing w:val="-38"/>
                <w:lang w:eastAsia="zh-CN"/>
              </w:rPr>
              <w:t xml:space="preserve"> </w:t>
            </w:r>
            <w:r>
              <w:rPr>
                <w:spacing w:val="-11"/>
                <w:lang w:eastAsia="zh-CN"/>
              </w:rPr>
              <w:t>分</w:t>
            </w:r>
            <w:r>
              <w:rPr>
                <w:spacing w:val="-38"/>
                <w:lang w:eastAsia="zh-CN"/>
              </w:rPr>
              <w:t xml:space="preserve"> </w:t>
            </w:r>
            <w:r>
              <w:rPr>
                <w:spacing w:val="-11"/>
                <w:lang w:eastAsia="zh-CN"/>
              </w:rPr>
              <w:t>按</w:t>
            </w:r>
            <w:r>
              <w:rPr>
                <w:spacing w:val="-34"/>
                <w:lang w:eastAsia="zh-CN"/>
              </w:rPr>
              <w:t xml:space="preserve"> </w:t>
            </w:r>
            <w:r>
              <w:rPr>
                <w:spacing w:val="-11"/>
                <w:lang w:eastAsia="zh-CN"/>
              </w:rPr>
              <w:t>下</w:t>
            </w:r>
            <w:r>
              <w:rPr>
                <w:spacing w:val="-36"/>
                <w:lang w:eastAsia="zh-CN"/>
              </w:rPr>
              <w:t xml:space="preserve"> </w:t>
            </w:r>
            <w:r>
              <w:rPr>
                <w:spacing w:val="-11"/>
                <w:lang w:eastAsia="zh-CN"/>
              </w:rPr>
              <w:t>列</w:t>
            </w:r>
            <w:r>
              <w:rPr>
                <w:spacing w:val="-34"/>
                <w:lang w:eastAsia="zh-CN"/>
              </w:rPr>
              <w:t xml:space="preserve"> </w:t>
            </w:r>
            <w:r>
              <w:rPr>
                <w:spacing w:val="-11"/>
                <w:lang w:eastAsia="zh-CN"/>
              </w:rPr>
              <w:t>公</w:t>
            </w:r>
            <w:r>
              <w:rPr>
                <w:spacing w:val="-37"/>
                <w:lang w:eastAsia="zh-CN"/>
              </w:rPr>
              <w:t xml:space="preserve"> </w:t>
            </w:r>
            <w:r>
              <w:rPr>
                <w:spacing w:val="-11"/>
                <w:lang w:eastAsia="zh-CN"/>
              </w:rPr>
              <w:t>式</w:t>
            </w:r>
            <w:r>
              <w:rPr>
                <w:spacing w:val="-39"/>
                <w:lang w:eastAsia="zh-CN"/>
              </w:rPr>
              <w:t xml:space="preserve"> </w:t>
            </w:r>
            <w:r>
              <w:rPr>
                <w:spacing w:val="-11"/>
                <w:lang w:eastAsia="zh-CN"/>
              </w:rPr>
              <w:t>计</w:t>
            </w:r>
            <w:r>
              <w:rPr>
                <w:spacing w:val="-39"/>
                <w:lang w:eastAsia="zh-CN"/>
              </w:rPr>
              <w:t xml:space="preserve"> </w:t>
            </w:r>
            <w:r>
              <w:rPr>
                <w:spacing w:val="-11"/>
                <w:lang w:eastAsia="zh-CN"/>
              </w:rPr>
              <w:t>算</w:t>
            </w:r>
            <w:r>
              <w:rPr>
                <w:spacing w:val="-24"/>
                <w:lang w:eastAsia="zh-CN"/>
              </w:rPr>
              <w:t xml:space="preserve"> </w:t>
            </w:r>
            <w:r>
              <w:rPr>
                <w:spacing w:val="-11"/>
                <w:lang w:eastAsia="zh-CN"/>
              </w:rPr>
              <w:t>：</w:t>
            </w:r>
            <w:r>
              <w:rPr>
                <w:spacing w:val="-38"/>
                <w:lang w:eastAsia="zh-CN"/>
              </w:rPr>
              <w:t xml:space="preserve"> </w:t>
            </w:r>
          </w:p>
          <w:p>
            <w:pPr>
              <w:pStyle w:val="141"/>
              <w:spacing w:before="227" w:line="160" w:lineRule="exact"/>
              <w:ind w:right="1352" w:firstLine="315" w:firstLineChars="168"/>
              <w:rPr>
                <w:lang w:eastAsia="zh-CN"/>
              </w:rPr>
            </w:pPr>
            <w:r>
              <w:rPr>
                <w:spacing w:val="-11"/>
                <w:lang w:eastAsia="zh-CN"/>
              </w:rPr>
              <w:t>投</w:t>
            </w:r>
            <w:r>
              <w:rPr>
                <w:spacing w:val="-39"/>
                <w:lang w:eastAsia="zh-CN"/>
              </w:rPr>
              <w:t xml:space="preserve"> </w:t>
            </w:r>
            <w:r>
              <w:rPr>
                <w:spacing w:val="-12"/>
                <w:lang w:eastAsia="zh-CN"/>
              </w:rPr>
              <w:t>标</w:t>
            </w:r>
            <w:r>
              <w:rPr>
                <w:spacing w:val="-39"/>
                <w:lang w:eastAsia="zh-CN"/>
              </w:rPr>
              <w:t xml:space="preserve"> </w:t>
            </w:r>
            <w:r>
              <w:rPr>
                <w:spacing w:val="-12"/>
                <w:lang w:eastAsia="zh-CN"/>
              </w:rPr>
              <w:t>价</w:t>
            </w:r>
            <w:r>
              <w:rPr>
                <w:spacing w:val="-40"/>
                <w:lang w:eastAsia="zh-CN"/>
              </w:rPr>
              <w:t xml:space="preserve"> </w:t>
            </w:r>
            <w:r>
              <w:rPr>
                <w:spacing w:val="-12"/>
                <w:lang w:eastAsia="zh-CN"/>
              </w:rPr>
              <w:t>格</w:t>
            </w:r>
            <w:r>
              <w:rPr>
                <w:spacing w:val="-39"/>
                <w:lang w:eastAsia="zh-CN"/>
              </w:rPr>
              <w:t xml:space="preserve"> </w:t>
            </w:r>
            <w:r>
              <w:rPr>
                <w:spacing w:val="-12"/>
                <w:lang w:eastAsia="zh-CN"/>
              </w:rPr>
              <w:t>得</w:t>
            </w:r>
            <w:r>
              <w:rPr>
                <w:spacing w:val="-37"/>
                <w:lang w:eastAsia="zh-CN"/>
              </w:rPr>
              <w:t xml:space="preserve"> </w:t>
            </w:r>
            <w:r>
              <w:rPr>
                <w:spacing w:val="-12"/>
                <w:lang w:eastAsia="zh-CN"/>
              </w:rPr>
              <w:t>分</w:t>
            </w:r>
            <w:r>
              <w:rPr>
                <w:spacing w:val="-41"/>
                <w:lang w:eastAsia="zh-CN"/>
              </w:rPr>
              <w:t xml:space="preserve"> </w:t>
            </w:r>
            <w:r>
              <w:rPr>
                <w:spacing w:val="-12"/>
                <w:lang w:eastAsia="zh-CN"/>
              </w:rPr>
              <w:t>=1</w:t>
            </w:r>
            <w:r>
              <w:rPr>
                <w:spacing w:val="-38"/>
                <w:lang w:eastAsia="zh-CN"/>
              </w:rPr>
              <w:t xml:space="preserve"> </w:t>
            </w:r>
            <w:r>
              <w:rPr>
                <w:spacing w:val="-12"/>
                <w:lang w:eastAsia="zh-CN"/>
              </w:rPr>
              <w:t>0</w:t>
            </w:r>
            <w:r>
              <w:rPr>
                <w:spacing w:val="-39"/>
                <w:lang w:eastAsia="zh-CN"/>
              </w:rPr>
              <w:t xml:space="preserve"> </w:t>
            </w:r>
            <w:r>
              <w:rPr>
                <w:spacing w:val="-12"/>
                <w:lang w:eastAsia="zh-CN"/>
              </w:rPr>
              <w:t>0 ×</w:t>
            </w:r>
            <w:r>
              <w:rPr>
                <w:spacing w:val="-10"/>
                <w:lang w:eastAsia="zh-CN"/>
              </w:rPr>
              <w:t>(</w:t>
            </w:r>
            <w:r>
              <w:rPr>
                <w:spacing w:val="-15"/>
                <w:lang w:eastAsia="zh-CN"/>
              </w:rPr>
              <w:t xml:space="preserve"> </w:t>
            </w:r>
            <w:r>
              <w:rPr>
                <w:spacing w:val="-10"/>
                <w:lang w:eastAsia="zh-CN"/>
              </w:rPr>
              <w:t>评</w:t>
            </w:r>
            <w:r>
              <w:rPr>
                <w:spacing w:val="-22"/>
                <w:lang w:eastAsia="zh-CN"/>
              </w:rPr>
              <w:t xml:space="preserve"> </w:t>
            </w:r>
            <w:r>
              <w:rPr>
                <w:spacing w:val="-10"/>
                <w:lang w:eastAsia="zh-CN"/>
              </w:rPr>
              <w:t>标</w:t>
            </w:r>
            <w:r>
              <w:rPr>
                <w:spacing w:val="-22"/>
                <w:lang w:eastAsia="zh-CN"/>
              </w:rPr>
              <w:t xml:space="preserve"> </w:t>
            </w:r>
            <w:r>
              <w:rPr>
                <w:spacing w:val="-10"/>
                <w:lang w:eastAsia="zh-CN"/>
              </w:rPr>
              <w:t>基</w:t>
            </w:r>
            <w:r>
              <w:rPr>
                <w:spacing w:val="-22"/>
                <w:lang w:eastAsia="zh-CN"/>
              </w:rPr>
              <w:t xml:space="preserve"> </w:t>
            </w:r>
            <w:r>
              <w:rPr>
                <w:spacing w:val="-10"/>
                <w:lang w:eastAsia="zh-CN"/>
              </w:rPr>
              <w:t>准</w:t>
            </w:r>
            <w:r>
              <w:rPr>
                <w:spacing w:val="-21"/>
                <w:lang w:eastAsia="zh-CN"/>
              </w:rPr>
              <w:t xml:space="preserve"> </w:t>
            </w:r>
            <w:r>
              <w:rPr>
                <w:spacing w:val="-10"/>
                <w:lang w:eastAsia="zh-CN"/>
              </w:rPr>
              <w:t>价</w:t>
            </w:r>
            <w:r>
              <w:rPr>
                <w:spacing w:val="-24"/>
                <w:lang w:eastAsia="zh-CN"/>
              </w:rPr>
              <w:t xml:space="preserve"> </w:t>
            </w:r>
            <w:r>
              <w:rPr>
                <w:spacing w:val="-10"/>
                <w:lang w:eastAsia="zh-CN"/>
              </w:rPr>
              <w:t>/</w:t>
            </w:r>
            <w:r>
              <w:rPr>
                <w:spacing w:val="-20"/>
                <w:lang w:eastAsia="zh-CN"/>
              </w:rPr>
              <w:t xml:space="preserve"> </w:t>
            </w:r>
            <w:r>
              <w:rPr>
                <w:spacing w:val="-10"/>
                <w:lang w:eastAsia="zh-CN"/>
              </w:rPr>
              <w:t>投</w:t>
            </w:r>
            <w:r>
              <w:rPr>
                <w:spacing w:val="-22"/>
                <w:lang w:eastAsia="zh-CN"/>
              </w:rPr>
              <w:t xml:space="preserve"> </w:t>
            </w:r>
            <w:r>
              <w:rPr>
                <w:spacing w:val="-10"/>
                <w:lang w:eastAsia="zh-CN"/>
              </w:rPr>
              <w:t>标</w:t>
            </w:r>
            <w:r>
              <w:rPr>
                <w:spacing w:val="-24"/>
                <w:lang w:eastAsia="zh-CN"/>
              </w:rPr>
              <w:t xml:space="preserve"> </w:t>
            </w:r>
            <w:r>
              <w:rPr>
                <w:spacing w:val="-10"/>
                <w:lang w:eastAsia="zh-CN"/>
              </w:rPr>
              <w:t>报</w:t>
            </w:r>
            <w:r>
              <w:rPr>
                <w:spacing w:val="-22"/>
                <w:lang w:eastAsia="zh-CN"/>
              </w:rPr>
              <w:t xml:space="preserve"> </w:t>
            </w:r>
            <w:r>
              <w:rPr>
                <w:spacing w:val="-10"/>
                <w:lang w:eastAsia="zh-CN"/>
              </w:rPr>
              <w:t>价</w:t>
            </w:r>
            <w:r>
              <w:rPr>
                <w:spacing w:val="-22"/>
                <w:lang w:eastAsia="zh-CN"/>
              </w:rPr>
              <w:t xml:space="preserve"> </w:t>
            </w:r>
            <w:r>
              <w:rPr>
                <w:spacing w:val="-10"/>
                <w:lang w:eastAsia="zh-CN"/>
              </w:rPr>
              <w:t>)</w:t>
            </w:r>
            <w:r>
              <w:rPr>
                <w:spacing w:val="-29"/>
                <w:lang w:eastAsia="zh-CN"/>
              </w:rPr>
              <w:t xml:space="preserve"> </w:t>
            </w:r>
            <w:r>
              <w:rPr>
                <w:spacing w:val="-10"/>
                <w:lang w:eastAsia="zh-CN"/>
              </w:rPr>
              <w:t>。</w:t>
            </w:r>
          </w:p>
          <w:p>
            <w:pPr>
              <w:pStyle w:val="141"/>
              <w:spacing w:before="129" w:line="160" w:lineRule="exact"/>
              <w:ind w:firstLine="315" w:firstLineChars="168"/>
              <w:rPr>
                <w:sz w:val="21"/>
                <w:szCs w:val="21"/>
                <w:lang w:eastAsia="zh-CN"/>
              </w:rPr>
            </w:pPr>
            <w:r>
              <w:rPr>
                <w:spacing w:val="-11"/>
                <w:lang w:eastAsia="zh-CN"/>
              </w:rPr>
              <w:t>注 ：</w:t>
            </w:r>
            <w:r>
              <w:rPr>
                <w:spacing w:val="-22"/>
                <w:lang w:eastAsia="zh-CN"/>
              </w:rPr>
              <w:t xml:space="preserve"> </w:t>
            </w:r>
            <w:r>
              <w:rPr>
                <w:spacing w:val="-11"/>
                <w:lang w:eastAsia="zh-CN"/>
              </w:rPr>
              <w:t>得</w:t>
            </w:r>
            <w:r>
              <w:rPr>
                <w:spacing w:val="-21"/>
                <w:lang w:eastAsia="zh-CN"/>
              </w:rPr>
              <w:t xml:space="preserve"> </w:t>
            </w:r>
            <w:r>
              <w:rPr>
                <w:spacing w:val="-11"/>
                <w:lang w:eastAsia="zh-CN"/>
              </w:rPr>
              <w:t>分</w:t>
            </w:r>
            <w:r>
              <w:rPr>
                <w:spacing w:val="-23"/>
                <w:lang w:eastAsia="zh-CN"/>
              </w:rPr>
              <w:t xml:space="preserve"> </w:t>
            </w:r>
            <w:r>
              <w:rPr>
                <w:spacing w:val="-11"/>
                <w:lang w:eastAsia="zh-CN"/>
              </w:rPr>
              <w:t>值</w:t>
            </w:r>
            <w:r>
              <w:rPr>
                <w:spacing w:val="-20"/>
                <w:lang w:eastAsia="zh-CN"/>
              </w:rPr>
              <w:t xml:space="preserve"> </w:t>
            </w:r>
            <w:r>
              <w:rPr>
                <w:spacing w:val="-11"/>
                <w:lang w:eastAsia="zh-CN"/>
              </w:rPr>
              <w:t>取 小</w:t>
            </w:r>
            <w:r>
              <w:rPr>
                <w:spacing w:val="-22"/>
                <w:lang w:eastAsia="zh-CN"/>
              </w:rPr>
              <w:t xml:space="preserve"> </w:t>
            </w:r>
            <w:r>
              <w:rPr>
                <w:spacing w:val="-11"/>
                <w:lang w:eastAsia="zh-CN"/>
              </w:rPr>
              <w:t>数 点</w:t>
            </w:r>
            <w:r>
              <w:rPr>
                <w:spacing w:val="-21"/>
                <w:lang w:eastAsia="zh-CN"/>
              </w:rPr>
              <w:t xml:space="preserve"> </w:t>
            </w:r>
            <w:r>
              <w:rPr>
                <w:spacing w:val="-11"/>
                <w:lang w:eastAsia="zh-CN"/>
              </w:rPr>
              <w:t>后</w:t>
            </w:r>
            <w:r>
              <w:rPr>
                <w:spacing w:val="-22"/>
                <w:lang w:eastAsia="zh-CN"/>
              </w:rPr>
              <w:t xml:space="preserve"> </w:t>
            </w:r>
            <w:r>
              <w:rPr>
                <w:spacing w:val="-11"/>
                <w:lang w:eastAsia="zh-CN"/>
              </w:rPr>
              <w:t>两</w:t>
            </w:r>
            <w:r>
              <w:rPr>
                <w:spacing w:val="-23"/>
                <w:lang w:eastAsia="zh-CN"/>
              </w:rPr>
              <w:t xml:space="preserve"> </w:t>
            </w:r>
            <w:r>
              <w:rPr>
                <w:spacing w:val="-11"/>
                <w:lang w:eastAsia="zh-CN"/>
              </w:rPr>
              <w:t>位 ，</w:t>
            </w:r>
            <w:r>
              <w:rPr>
                <w:spacing w:val="-20"/>
                <w:lang w:eastAsia="zh-CN"/>
              </w:rPr>
              <w:t xml:space="preserve"> </w:t>
            </w:r>
            <w:r>
              <w:rPr>
                <w:spacing w:val="-11"/>
                <w:lang w:eastAsia="zh-CN"/>
              </w:rPr>
              <w:t>不</w:t>
            </w:r>
            <w:r>
              <w:rPr>
                <w:spacing w:val="-20"/>
                <w:lang w:eastAsia="zh-CN"/>
              </w:rPr>
              <w:t xml:space="preserve"> </w:t>
            </w:r>
            <w:r>
              <w:rPr>
                <w:spacing w:val="-11"/>
                <w:lang w:eastAsia="zh-CN"/>
              </w:rPr>
              <w:t>足</w:t>
            </w:r>
            <w:r>
              <w:rPr>
                <w:spacing w:val="-20"/>
                <w:lang w:eastAsia="zh-CN"/>
              </w:rPr>
              <w:t xml:space="preserve"> </w:t>
            </w:r>
            <w:r>
              <w:rPr>
                <w:spacing w:val="-11"/>
                <w:lang w:eastAsia="zh-CN"/>
              </w:rPr>
              <w:t>一</w:t>
            </w:r>
            <w:r>
              <w:rPr>
                <w:spacing w:val="-23"/>
                <w:lang w:eastAsia="zh-CN"/>
              </w:rPr>
              <w:t xml:space="preserve"> </w:t>
            </w:r>
            <w:r>
              <w:rPr>
                <w:spacing w:val="-11"/>
                <w:lang w:eastAsia="zh-CN"/>
              </w:rPr>
              <w:t>个</w:t>
            </w:r>
            <w:r>
              <w:rPr>
                <w:spacing w:val="-17"/>
                <w:lang w:eastAsia="zh-CN"/>
              </w:rPr>
              <w:t xml:space="preserve"> </w:t>
            </w:r>
            <w:r>
              <w:rPr>
                <w:spacing w:val="-11"/>
                <w:lang w:eastAsia="zh-CN"/>
              </w:rPr>
              <w:t>百</w:t>
            </w:r>
            <w:r>
              <w:rPr>
                <w:spacing w:val="-20"/>
                <w:lang w:eastAsia="zh-CN"/>
              </w:rPr>
              <w:t xml:space="preserve"> </w:t>
            </w:r>
            <w:r>
              <w:rPr>
                <w:spacing w:val="-11"/>
                <w:lang w:eastAsia="zh-CN"/>
              </w:rPr>
              <w:t>分 点</w:t>
            </w:r>
            <w:r>
              <w:rPr>
                <w:spacing w:val="-8"/>
                <w:lang w:eastAsia="zh-CN"/>
              </w:rPr>
              <w:t xml:space="preserve"> </w:t>
            </w:r>
            <w:r>
              <w:rPr>
                <w:spacing w:val="-11"/>
                <w:lang w:eastAsia="zh-CN"/>
              </w:rPr>
              <w:t>的</w:t>
            </w:r>
            <w:r>
              <w:rPr>
                <w:spacing w:val="-9"/>
                <w:lang w:eastAsia="zh-CN"/>
              </w:rPr>
              <w:t xml:space="preserve"> </w:t>
            </w:r>
            <w:r>
              <w:rPr>
                <w:spacing w:val="-11"/>
                <w:lang w:eastAsia="zh-CN"/>
              </w:rPr>
              <w:t>，</w:t>
            </w:r>
            <w:r>
              <w:rPr>
                <w:spacing w:val="-21"/>
                <w:lang w:eastAsia="zh-CN"/>
              </w:rPr>
              <w:t xml:space="preserve"> </w:t>
            </w:r>
            <w:r>
              <w:rPr>
                <w:spacing w:val="-11"/>
                <w:lang w:eastAsia="zh-CN"/>
              </w:rPr>
              <w:t>按</w:t>
            </w:r>
            <w:r>
              <w:rPr>
                <w:spacing w:val="-17"/>
                <w:lang w:eastAsia="zh-CN"/>
              </w:rPr>
              <w:t xml:space="preserve"> </w:t>
            </w:r>
            <w:r>
              <w:rPr>
                <w:spacing w:val="-11"/>
                <w:lang w:eastAsia="zh-CN"/>
              </w:rPr>
              <w:t>照 四</w:t>
            </w:r>
            <w:r>
              <w:rPr>
                <w:spacing w:val="-22"/>
                <w:lang w:eastAsia="zh-CN"/>
              </w:rPr>
              <w:t xml:space="preserve"> </w:t>
            </w:r>
            <w:r>
              <w:rPr>
                <w:spacing w:val="-11"/>
                <w:lang w:eastAsia="zh-CN"/>
              </w:rPr>
              <w:t>舍</w:t>
            </w:r>
            <w:r>
              <w:rPr>
                <w:spacing w:val="-20"/>
                <w:lang w:eastAsia="zh-CN"/>
              </w:rPr>
              <w:t xml:space="preserve"> </w:t>
            </w:r>
            <w:r>
              <w:rPr>
                <w:spacing w:val="-12"/>
                <w:lang w:eastAsia="zh-CN"/>
              </w:rPr>
              <w:t>五</w:t>
            </w:r>
            <w:r>
              <w:rPr>
                <w:spacing w:val="-24"/>
                <w:lang w:eastAsia="zh-CN"/>
              </w:rPr>
              <w:t xml:space="preserve"> </w:t>
            </w:r>
            <w:r>
              <w:rPr>
                <w:spacing w:val="-12"/>
                <w:lang w:eastAsia="zh-CN"/>
              </w:rPr>
              <w:t>入</w:t>
            </w:r>
            <w:r>
              <w:rPr>
                <w:spacing w:val="-22"/>
                <w:lang w:eastAsia="zh-CN"/>
              </w:rPr>
              <w:t xml:space="preserve"> </w:t>
            </w:r>
            <w:r>
              <w:rPr>
                <w:spacing w:val="-12"/>
                <w:lang w:eastAsia="zh-CN"/>
              </w:rPr>
              <w:t>法</w:t>
            </w:r>
            <w:r>
              <w:rPr>
                <w:spacing w:val="-23"/>
                <w:lang w:eastAsia="zh-CN"/>
              </w:rPr>
              <w:t xml:space="preserve"> </w:t>
            </w:r>
            <w:r>
              <w:rPr>
                <w:spacing w:val="-12"/>
                <w:lang w:eastAsia="zh-CN"/>
              </w:rPr>
              <w:t>计</w:t>
            </w:r>
            <w:r>
              <w:rPr>
                <w:spacing w:val="-22"/>
                <w:lang w:eastAsia="zh-CN"/>
              </w:rPr>
              <w:t xml:space="preserve"> </w:t>
            </w:r>
            <w:r>
              <w:rPr>
                <w:spacing w:val="-12"/>
                <w:lang w:eastAsia="zh-CN"/>
              </w:rPr>
              <w:t>算</w:t>
            </w:r>
            <w:r>
              <w:rPr>
                <w:spacing w:val="-29"/>
                <w:lang w:eastAsia="zh-CN"/>
              </w:rPr>
              <w:t xml:space="preserve"> </w:t>
            </w:r>
            <w:r>
              <w:rPr>
                <w:spacing w:val="-12"/>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694" w:type="dxa"/>
            <w:vAlign w:val="center"/>
          </w:tcPr>
          <w:p>
            <w:pPr>
              <w:pStyle w:val="141"/>
              <w:spacing w:before="237" w:line="220" w:lineRule="auto"/>
              <w:ind w:left="155"/>
            </w:pPr>
            <w:r>
              <w:rPr>
                <w:spacing w:val="-3"/>
              </w:rPr>
              <w:t>综合</w:t>
            </w:r>
          </w:p>
          <w:p>
            <w:pPr>
              <w:pStyle w:val="141"/>
              <w:spacing w:before="95" w:line="219" w:lineRule="auto"/>
              <w:ind w:left="155"/>
            </w:pPr>
            <w:r>
              <w:rPr>
                <w:spacing w:val="-2"/>
              </w:rPr>
              <w:t>得分</w:t>
            </w:r>
          </w:p>
        </w:tc>
        <w:tc>
          <w:tcPr>
            <w:tcW w:w="9326" w:type="dxa"/>
            <w:gridSpan w:val="5"/>
          </w:tcPr>
          <w:p>
            <w:pPr>
              <w:spacing w:line="355" w:lineRule="auto"/>
              <w:rPr>
                <w:lang w:eastAsia="zh-CN"/>
              </w:rPr>
            </w:pPr>
          </w:p>
          <w:p>
            <w:pPr>
              <w:pStyle w:val="141"/>
              <w:spacing w:before="59" w:line="219" w:lineRule="auto"/>
              <w:ind w:left="1691"/>
              <w:rPr>
                <w:lang w:eastAsia="zh-CN"/>
              </w:rPr>
            </w:pPr>
            <w:r>
              <w:rPr>
                <w:spacing w:val="-10"/>
                <w:sz w:val="21"/>
                <w:szCs w:val="21"/>
                <w:lang w:eastAsia="zh-CN"/>
              </w:rPr>
              <w:t>综</w:t>
            </w:r>
            <w:r>
              <w:rPr>
                <w:spacing w:val="-24"/>
                <w:sz w:val="21"/>
                <w:szCs w:val="21"/>
                <w:lang w:eastAsia="zh-CN"/>
              </w:rPr>
              <w:t xml:space="preserve"> </w:t>
            </w:r>
            <w:r>
              <w:rPr>
                <w:spacing w:val="-10"/>
                <w:sz w:val="21"/>
                <w:szCs w:val="21"/>
                <w:lang w:eastAsia="zh-CN"/>
              </w:rPr>
              <w:t>合</w:t>
            </w:r>
            <w:r>
              <w:rPr>
                <w:spacing w:val="-31"/>
                <w:sz w:val="21"/>
                <w:szCs w:val="21"/>
                <w:lang w:eastAsia="zh-CN"/>
              </w:rPr>
              <w:t xml:space="preserve"> </w:t>
            </w:r>
            <w:r>
              <w:rPr>
                <w:spacing w:val="-10"/>
                <w:sz w:val="21"/>
                <w:szCs w:val="21"/>
                <w:lang w:eastAsia="zh-CN"/>
              </w:rPr>
              <w:t>得</w:t>
            </w:r>
            <w:r>
              <w:rPr>
                <w:spacing w:val="-30"/>
                <w:sz w:val="21"/>
                <w:szCs w:val="21"/>
                <w:lang w:eastAsia="zh-CN"/>
              </w:rPr>
              <w:t xml:space="preserve"> </w:t>
            </w:r>
            <w:r>
              <w:rPr>
                <w:spacing w:val="-10"/>
                <w:sz w:val="21"/>
                <w:szCs w:val="21"/>
                <w:lang w:eastAsia="zh-CN"/>
              </w:rPr>
              <w:t>分</w:t>
            </w:r>
            <w:r>
              <w:rPr>
                <w:spacing w:val="-33"/>
                <w:sz w:val="21"/>
                <w:szCs w:val="21"/>
                <w:lang w:eastAsia="zh-CN"/>
              </w:rPr>
              <w:t xml:space="preserve"> </w:t>
            </w:r>
            <w:r>
              <w:rPr>
                <w:spacing w:val="-10"/>
                <w:sz w:val="21"/>
                <w:szCs w:val="21"/>
                <w:lang w:eastAsia="zh-CN"/>
              </w:rPr>
              <w:t>=</w:t>
            </w:r>
            <w:r>
              <w:rPr>
                <w:spacing w:val="-31"/>
                <w:sz w:val="21"/>
                <w:szCs w:val="21"/>
                <w:lang w:eastAsia="zh-CN"/>
              </w:rPr>
              <w:t xml:space="preserve"> </w:t>
            </w:r>
            <w:r>
              <w:rPr>
                <w:spacing w:val="-10"/>
                <w:sz w:val="21"/>
                <w:szCs w:val="21"/>
                <w:lang w:eastAsia="zh-CN"/>
              </w:rPr>
              <w:t>技</w:t>
            </w:r>
            <w:r>
              <w:rPr>
                <w:spacing w:val="-31"/>
                <w:sz w:val="21"/>
                <w:szCs w:val="21"/>
                <w:lang w:eastAsia="zh-CN"/>
              </w:rPr>
              <w:t xml:space="preserve"> </w:t>
            </w:r>
            <w:r>
              <w:rPr>
                <w:spacing w:val="-10"/>
                <w:sz w:val="21"/>
                <w:szCs w:val="21"/>
                <w:lang w:eastAsia="zh-CN"/>
              </w:rPr>
              <w:t>术</w:t>
            </w:r>
            <w:r>
              <w:rPr>
                <w:spacing w:val="-31"/>
                <w:sz w:val="21"/>
                <w:szCs w:val="21"/>
                <w:lang w:eastAsia="zh-CN"/>
              </w:rPr>
              <w:t xml:space="preserve"> </w:t>
            </w:r>
            <w:r>
              <w:rPr>
                <w:spacing w:val="-10"/>
                <w:sz w:val="21"/>
                <w:szCs w:val="21"/>
                <w:lang w:eastAsia="zh-CN"/>
              </w:rPr>
              <w:t>标</w:t>
            </w:r>
            <w:r>
              <w:rPr>
                <w:spacing w:val="-31"/>
                <w:sz w:val="21"/>
                <w:szCs w:val="21"/>
                <w:lang w:eastAsia="zh-CN"/>
              </w:rPr>
              <w:t xml:space="preserve"> </w:t>
            </w:r>
            <w:r>
              <w:rPr>
                <w:spacing w:val="-10"/>
                <w:sz w:val="21"/>
                <w:szCs w:val="21"/>
                <w:lang w:eastAsia="zh-CN"/>
              </w:rPr>
              <w:t>得</w:t>
            </w:r>
            <w:r>
              <w:rPr>
                <w:spacing w:val="-30"/>
                <w:sz w:val="21"/>
                <w:szCs w:val="21"/>
                <w:lang w:eastAsia="zh-CN"/>
              </w:rPr>
              <w:t xml:space="preserve"> </w:t>
            </w:r>
            <w:r>
              <w:rPr>
                <w:spacing w:val="-10"/>
                <w:sz w:val="21"/>
                <w:szCs w:val="21"/>
                <w:lang w:eastAsia="zh-CN"/>
              </w:rPr>
              <w:t>分 ×</w:t>
            </w:r>
            <w:r>
              <w:rPr>
                <w:spacing w:val="-28"/>
                <w:sz w:val="21"/>
                <w:szCs w:val="21"/>
                <w:lang w:eastAsia="zh-CN"/>
              </w:rPr>
              <w:t xml:space="preserve"> </w:t>
            </w:r>
            <w:r>
              <w:rPr>
                <w:spacing w:val="-10"/>
                <w:sz w:val="21"/>
                <w:szCs w:val="21"/>
                <w:lang w:eastAsia="zh-CN"/>
              </w:rPr>
              <w:t>3</w:t>
            </w:r>
            <w:r>
              <w:rPr>
                <w:spacing w:val="-31"/>
                <w:sz w:val="21"/>
                <w:szCs w:val="21"/>
                <w:lang w:eastAsia="zh-CN"/>
              </w:rPr>
              <w:t xml:space="preserve"> </w:t>
            </w:r>
            <w:r>
              <w:rPr>
                <w:spacing w:val="-10"/>
                <w:sz w:val="21"/>
                <w:szCs w:val="21"/>
                <w:lang w:eastAsia="zh-CN"/>
              </w:rPr>
              <w:t>0</w:t>
            </w:r>
            <w:r>
              <w:rPr>
                <w:spacing w:val="-37"/>
                <w:sz w:val="21"/>
                <w:szCs w:val="21"/>
                <w:lang w:eastAsia="zh-CN"/>
              </w:rPr>
              <w:t xml:space="preserve"> </w:t>
            </w:r>
            <w:r>
              <w:rPr>
                <w:spacing w:val="-10"/>
                <w:sz w:val="21"/>
                <w:szCs w:val="21"/>
                <w:lang w:eastAsia="zh-CN"/>
              </w:rPr>
              <w:t>%</w:t>
            </w:r>
            <w:r>
              <w:rPr>
                <w:spacing w:val="-31"/>
                <w:sz w:val="21"/>
                <w:szCs w:val="21"/>
                <w:lang w:eastAsia="zh-CN"/>
              </w:rPr>
              <w:t xml:space="preserve"> </w:t>
            </w:r>
            <w:r>
              <w:rPr>
                <w:spacing w:val="-10"/>
                <w:sz w:val="21"/>
                <w:szCs w:val="21"/>
                <w:lang w:eastAsia="zh-CN"/>
              </w:rPr>
              <w:t>+</w:t>
            </w:r>
            <w:r>
              <w:rPr>
                <w:spacing w:val="-28"/>
                <w:sz w:val="21"/>
                <w:szCs w:val="21"/>
                <w:lang w:eastAsia="zh-CN"/>
              </w:rPr>
              <w:t xml:space="preserve"> </w:t>
            </w:r>
            <w:r>
              <w:rPr>
                <w:spacing w:val="-10"/>
                <w:sz w:val="21"/>
                <w:szCs w:val="21"/>
                <w:lang w:eastAsia="zh-CN"/>
              </w:rPr>
              <w:t>商</w:t>
            </w:r>
            <w:r>
              <w:rPr>
                <w:spacing w:val="-31"/>
                <w:sz w:val="21"/>
                <w:szCs w:val="21"/>
                <w:lang w:eastAsia="zh-CN"/>
              </w:rPr>
              <w:t xml:space="preserve"> </w:t>
            </w:r>
            <w:r>
              <w:rPr>
                <w:spacing w:val="-10"/>
                <w:sz w:val="21"/>
                <w:szCs w:val="21"/>
                <w:lang w:eastAsia="zh-CN"/>
              </w:rPr>
              <w:t>务</w:t>
            </w:r>
            <w:r>
              <w:rPr>
                <w:spacing w:val="-31"/>
                <w:sz w:val="21"/>
                <w:szCs w:val="21"/>
                <w:lang w:eastAsia="zh-CN"/>
              </w:rPr>
              <w:t xml:space="preserve"> </w:t>
            </w:r>
            <w:r>
              <w:rPr>
                <w:spacing w:val="-10"/>
                <w:sz w:val="21"/>
                <w:szCs w:val="21"/>
                <w:lang w:eastAsia="zh-CN"/>
              </w:rPr>
              <w:t>标</w:t>
            </w:r>
            <w:r>
              <w:rPr>
                <w:spacing w:val="-31"/>
                <w:sz w:val="21"/>
                <w:szCs w:val="21"/>
                <w:lang w:eastAsia="zh-CN"/>
              </w:rPr>
              <w:t xml:space="preserve"> </w:t>
            </w:r>
            <w:r>
              <w:rPr>
                <w:spacing w:val="-10"/>
                <w:sz w:val="21"/>
                <w:szCs w:val="21"/>
                <w:lang w:eastAsia="zh-CN"/>
              </w:rPr>
              <w:t>得</w:t>
            </w:r>
            <w:r>
              <w:rPr>
                <w:spacing w:val="-30"/>
                <w:sz w:val="21"/>
                <w:szCs w:val="21"/>
                <w:lang w:eastAsia="zh-CN"/>
              </w:rPr>
              <w:t xml:space="preserve"> </w:t>
            </w:r>
            <w:r>
              <w:rPr>
                <w:spacing w:val="-10"/>
                <w:sz w:val="21"/>
                <w:szCs w:val="21"/>
                <w:lang w:eastAsia="zh-CN"/>
              </w:rPr>
              <w:t>分 ×</w:t>
            </w:r>
            <w:r>
              <w:rPr>
                <w:spacing w:val="-28"/>
                <w:sz w:val="21"/>
                <w:szCs w:val="21"/>
                <w:lang w:eastAsia="zh-CN"/>
              </w:rPr>
              <w:t xml:space="preserve"> </w:t>
            </w:r>
            <w:r>
              <w:rPr>
                <w:spacing w:val="-10"/>
                <w:sz w:val="21"/>
                <w:szCs w:val="21"/>
                <w:lang w:eastAsia="zh-CN"/>
              </w:rPr>
              <w:t>7</w:t>
            </w:r>
            <w:r>
              <w:rPr>
                <w:spacing w:val="-30"/>
                <w:sz w:val="21"/>
                <w:szCs w:val="21"/>
                <w:lang w:eastAsia="zh-CN"/>
              </w:rPr>
              <w:t xml:space="preserve"> </w:t>
            </w:r>
            <w:r>
              <w:rPr>
                <w:spacing w:val="-10"/>
                <w:sz w:val="21"/>
                <w:szCs w:val="21"/>
                <w:lang w:eastAsia="zh-CN"/>
              </w:rPr>
              <w:t>0</w:t>
            </w:r>
            <w:r>
              <w:rPr>
                <w:spacing w:val="-37"/>
                <w:sz w:val="21"/>
                <w:szCs w:val="21"/>
                <w:lang w:eastAsia="zh-CN"/>
              </w:rPr>
              <w:t xml:space="preserve"> </w:t>
            </w:r>
            <w:r>
              <w:rPr>
                <w:spacing w:val="-10"/>
                <w:sz w:val="21"/>
                <w:szCs w:val="21"/>
                <w:lang w:eastAsia="zh-CN"/>
              </w:rPr>
              <w:t>%</w:t>
            </w:r>
          </w:p>
        </w:tc>
      </w:tr>
    </w:tbl>
    <w:p>
      <w:pPr>
        <w:spacing w:line="420" w:lineRule="auto"/>
        <w:rPr>
          <w:lang w:eastAsia="zh-CN"/>
        </w:rPr>
      </w:pPr>
    </w:p>
    <w:p>
      <w:pPr>
        <w:numPr>
          <w:ilvl w:val="0"/>
          <w:numId w:val="5"/>
        </w:numPr>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投标文件包含《投标文件（资质标）》、《投标文件（技术标）》、《投标文件（商务标）》（开标一览表），共计三个文件。</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在“中国重汽e采通”应标报名时，</w:t>
      </w:r>
      <w:r>
        <w:rPr>
          <w:rFonts w:hint="eastAsia" w:ascii="仿宋_GB2312" w:hAnsi="仿宋_GB2312" w:eastAsia="仿宋_GB2312" w:cs="仿宋_GB2312"/>
          <w:b/>
          <w:sz w:val="24"/>
          <w:szCs w:val="24"/>
        </w:rPr>
        <w:t>按照第</w:t>
      </w:r>
      <w:r>
        <w:rPr>
          <w:rFonts w:hint="eastAsia" w:ascii="仿宋_GB2312" w:hAnsi="仿宋_GB2312" w:eastAsia="仿宋_GB2312" w:cs="仿宋_GB2312"/>
          <w:b/>
          <w:sz w:val="24"/>
          <w:szCs w:val="24"/>
          <w:lang w:val="en-US" w:eastAsia="zh-CN"/>
        </w:rPr>
        <w:t>三</w:t>
      </w:r>
      <w:r>
        <w:rPr>
          <w:rFonts w:hint="eastAsia" w:ascii="仿宋_GB2312" w:hAnsi="仿宋_GB2312" w:eastAsia="仿宋_GB2312" w:cs="仿宋_GB2312"/>
          <w:b/>
          <w:sz w:val="24"/>
          <w:szCs w:val="24"/>
        </w:rPr>
        <w:t>部分</w:t>
      </w:r>
      <w:r>
        <w:rPr>
          <w:rFonts w:hint="eastAsia" w:ascii="仿宋_GB2312" w:hAnsi="仿宋_GB2312" w:eastAsia="仿宋_GB2312" w:cs="仿宋_GB2312"/>
          <w:b/>
          <w:sz w:val="24"/>
          <w:szCs w:val="24"/>
          <w:lang w:val="en-US" w:eastAsia="zh-CN"/>
        </w:rPr>
        <w:t>第三条</w:t>
      </w:r>
      <w:r>
        <w:rPr>
          <w:rFonts w:hint="eastAsia" w:ascii="仿宋_GB2312" w:hAnsi="仿宋_GB2312" w:eastAsia="仿宋_GB2312" w:cs="仿宋_GB2312"/>
          <w:b/>
          <w:sz w:val="24"/>
          <w:szCs w:val="24"/>
        </w:rPr>
        <w:t>投标文件组成资格证明文件中的1.1-1.</w:t>
      </w:r>
      <w:r>
        <w:rPr>
          <w:rFonts w:hint="eastAsia" w:ascii="仿宋_GB2312" w:hAnsi="仿宋_GB2312" w:eastAsia="仿宋_GB2312" w:cs="仿宋_GB2312"/>
          <w:b/>
          <w:sz w:val="24"/>
          <w:szCs w:val="24"/>
          <w:lang w:val="en-US" w:eastAsia="zh-CN"/>
        </w:rPr>
        <w:t>11准备资料，上传完毕后，等待审核</w:t>
      </w:r>
      <w:r>
        <w:rPr>
          <w:rFonts w:hint="eastAsia" w:ascii="仿宋_GB2312" w:hAnsi="仿宋_GB2312" w:eastAsia="仿宋_GB2312" w:cs="仿宋_GB2312"/>
          <w:b/>
          <w:sz w:val="24"/>
          <w:szCs w:val="24"/>
        </w:rPr>
        <w:t>；</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通过</w:t>
      </w: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的单位进入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按照“SRM系统供应商用户手册（附件16）”，在重汽e采通平台投递电子标书（包含资质标、技术标、商务标）；</w:t>
      </w:r>
      <w:r>
        <w:rPr>
          <w:rFonts w:hint="eastAsia" w:ascii="仿宋_GB2312" w:hAnsi="仿宋_GB2312" w:eastAsia="仿宋_GB2312" w:cs="仿宋_GB2312"/>
          <w:b/>
          <w:sz w:val="24"/>
          <w:szCs w:val="24"/>
        </w:rPr>
        <w:t>没有通过</w:t>
      </w:r>
      <w:r>
        <w:rPr>
          <w:rFonts w:hint="eastAsia" w:ascii="仿宋_GB2312" w:hAnsi="仿宋_GB2312" w:eastAsia="仿宋_GB2312" w:cs="仿宋_GB2312"/>
          <w:b/>
          <w:sz w:val="24"/>
          <w:szCs w:val="24"/>
          <w:lang w:val="en-US" w:eastAsia="zh-CN"/>
        </w:rPr>
        <w:t>应标资质审查</w:t>
      </w:r>
      <w:r>
        <w:rPr>
          <w:rFonts w:hint="eastAsia" w:ascii="仿宋_GB2312" w:hAnsi="仿宋_GB2312" w:eastAsia="仿宋_GB2312" w:cs="仿宋_GB2312"/>
          <w:b/>
          <w:sz w:val="24"/>
          <w:szCs w:val="24"/>
        </w:rPr>
        <w:t>的单位不能进入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资质标评审：资质标审核通过的单位，可以进入公开唱标环节；</w:t>
      </w:r>
    </w:p>
    <w:p>
      <w:pPr>
        <w:numPr>
          <w:ilvl w:val="0"/>
          <w:numId w:val="5"/>
        </w:numPr>
        <w:spacing w:line="360" w:lineRule="auto"/>
        <w:rPr>
          <w:rFonts w:hint="eastAsia" w:ascii="仿宋_GB2312" w:hAnsi="仿宋_GB2312" w:eastAsia="仿宋_GB2312" w:cs="仿宋_GB2312"/>
          <w:b/>
          <w:sz w:val="24"/>
          <w:szCs w:val="24"/>
          <w:lang w:val="en-US"/>
        </w:rPr>
      </w:pPr>
      <w:r>
        <w:rPr>
          <w:rFonts w:hint="eastAsia" w:ascii="仿宋_GB2312" w:hAnsi="仿宋_GB2312" w:eastAsia="仿宋_GB2312" w:cs="仿宋_GB2312"/>
          <w:b/>
          <w:sz w:val="24"/>
          <w:szCs w:val="24"/>
          <w:lang w:val="en-US" w:eastAsia="zh-CN"/>
        </w:rPr>
        <w:t>公开唱标：公示资质标入围单位的开标价格及商务条款响应情况；</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技术</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仿宋_GB2312" w:hAnsi="仿宋_GB2312" w:eastAsia="仿宋_GB2312" w:cs="仿宋_GB2312"/>
          <w:b/>
          <w:sz w:val="24"/>
          <w:szCs w:val="24"/>
        </w:rPr>
        <w:t>合格的单位进入商务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环节，</w:t>
      </w:r>
      <w:r>
        <w:rPr>
          <w:rFonts w:hint="eastAsia" w:ascii="仿宋_GB2312" w:hAnsi="仿宋_GB2312" w:eastAsia="仿宋_GB2312" w:cs="仿宋_GB2312"/>
          <w:b/>
          <w:sz w:val="24"/>
          <w:szCs w:val="24"/>
          <w:lang w:val="en-US" w:eastAsia="zh-CN"/>
        </w:rPr>
        <w:t>评审</w:t>
      </w:r>
      <w:r>
        <w:rPr>
          <w:rFonts w:hint="eastAsia" w:ascii="仿宋_GB2312" w:hAnsi="仿宋_GB2312" w:eastAsia="仿宋_GB2312" w:cs="仿宋_GB2312"/>
          <w:b/>
          <w:sz w:val="24"/>
          <w:szCs w:val="24"/>
        </w:rPr>
        <w:t>不合格的单位</w:t>
      </w:r>
      <w:r>
        <w:rPr>
          <w:rFonts w:hint="eastAsia" w:ascii="仿宋_GB2312" w:hAnsi="仿宋_GB2312" w:eastAsia="仿宋_GB2312" w:cs="仿宋_GB2312"/>
          <w:b/>
          <w:sz w:val="24"/>
          <w:szCs w:val="24"/>
          <w:lang w:val="en-US" w:eastAsia="zh-CN"/>
        </w:rPr>
        <w:t>被</w:t>
      </w:r>
      <w:r>
        <w:rPr>
          <w:rFonts w:hint="eastAsia" w:ascii="仿宋_GB2312" w:hAnsi="仿宋_GB2312" w:eastAsia="仿宋_GB2312" w:cs="仿宋_GB2312"/>
          <w:b/>
          <w:sz w:val="24"/>
          <w:szCs w:val="24"/>
        </w:rPr>
        <w:t>淘汰</w:t>
      </w:r>
      <w:r>
        <w:rPr>
          <w:rFonts w:hint="eastAsia" w:ascii="仿宋_GB2312" w:hAnsi="仿宋_GB2312" w:eastAsia="仿宋_GB2312" w:cs="仿宋_GB2312"/>
          <w:b/>
          <w:sz w:val="24"/>
          <w:szCs w:val="24"/>
          <w:lang w:val="en-US" w:eastAsia="zh-CN"/>
        </w:rPr>
        <w:t>；具体技术标</w:t>
      </w:r>
      <w:r>
        <w:rPr>
          <w:rFonts w:hint="eastAsia" w:ascii="仿宋_GB2312" w:hAnsi="仿宋_GB2312" w:eastAsia="仿宋_GB2312" w:cs="仿宋_GB2312"/>
          <w:b/>
          <w:sz w:val="24"/>
          <w:szCs w:val="24"/>
        </w:rPr>
        <w:t>评分标准</w:t>
      </w:r>
      <w:r>
        <w:rPr>
          <w:rFonts w:hint="eastAsia" w:ascii="仿宋_GB2312" w:hAnsi="仿宋_GB2312" w:eastAsia="仿宋_GB2312" w:cs="仿宋_GB2312"/>
          <w:b/>
          <w:sz w:val="24"/>
          <w:szCs w:val="24"/>
          <w:lang w:val="en-US" w:eastAsia="zh-CN"/>
        </w:rPr>
        <w:t>见附件14；</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：商务条款相应确认→</w:t>
      </w:r>
      <w:r>
        <w:rPr>
          <w:rFonts w:hint="eastAsia" w:ascii="仿宋_GB2312" w:hAnsi="仿宋_GB2312" w:eastAsia="仿宋_GB2312" w:cs="仿宋_GB2312"/>
          <w:b/>
          <w:sz w:val="24"/>
          <w:szCs w:val="24"/>
          <w:lang w:val="en-US" w:eastAsia="zh-CN"/>
        </w:rPr>
        <w:t>价格澄清</w:t>
      </w: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评审期间产生的商务价格澄清均由投标人在重汽e采通平台限时内完成提交</w:t>
      </w:r>
      <w:r>
        <w:rPr>
          <w:rFonts w:hint="eastAsia" w:ascii="仿宋_GB2312" w:hAnsi="仿宋_GB2312" w:eastAsia="仿宋_GB2312" w:cs="仿宋_GB2312"/>
          <w:b/>
          <w:sz w:val="24"/>
          <w:szCs w:val="24"/>
        </w:rPr>
        <w:t>；</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注意：投标人均需要自带笔记本电脑在重汽e采通进行自主投标和提交澄清函；投标和提交澄清函均有时间限制，超时未提交的按无效处理。</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中标人确定</w:t>
      </w:r>
      <w:r>
        <w:rPr>
          <w:rFonts w:hint="eastAsia" w:ascii="仿宋_GB2312" w:hAnsi="仿宋_GB2312" w:eastAsia="仿宋_GB2312" w:cs="仿宋_GB2312"/>
          <w:b/>
          <w:sz w:val="24"/>
          <w:szCs w:val="24"/>
        </w:rPr>
        <w:t>：综合评标法，得分=技术标×30%+商务标×70% ，</w:t>
      </w:r>
      <w:r>
        <w:rPr>
          <w:rFonts w:hint="eastAsia" w:ascii="仿宋_GB2312" w:hAnsi="仿宋_GB2312" w:eastAsia="仿宋_GB2312" w:cs="仿宋_GB2312"/>
          <w:b/>
          <w:sz w:val="24"/>
          <w:szCs w:val="24"/>
          <w:highlight w:val="green"/>
        </w:rPr>
        <w:t>得分最高者为中标人</w:t>
      </w:r>
      <w:r>
        <w:rPr>
          <w:rFonts w:hint="eastAsia" w:ascii="仿宋_GB2312" w:hAnsi="仿宋_GB2312" w:eastAsia="仿宋_GB2312" w:cs="仿宋_GB2312"/>
          <w:b/>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5"/>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28"/>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5"/>
        <w:rPr>
          <w:rFonts w:hint="eastAsia" w:ascii="仿宋_GB2312" w:hAnsi="仿宋_GB2312" w:eastAsia="仿宋_GB2312" w:cs="仿宋_GB2312"/>
          <w:sz w:val="36"/>
          <w:szCs w:val="36"/>
        </w:rPr>
      </w:pPr>
      <w:bookmarkStart w:id="29" w:name="_Toc15650"/>
      <w:r>
        <w:rPr>
          <w:rFonts w:hint="eastAsia" w:ascii="仿宋_GB2312" w:hAnsi="仿宋_GB2312" w:eastAsia="仿宋_GB2312" w:cs="仿宋_GB2312"/>
          <w:sz w:val="36"/>
          <w:szCs w:val="36"/>
        </w:rPr>
        <w:t>八、废标及终止招标</w:t>
      </w:r>
      <w:bookmarkEnd w:id="29"/>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0" w:name="OLE_LINK29"/>
      <w:bookmarkStart w:id="31" w:name="OLE_LINK28"/>
      <w:bookmarkStart w:id="32" w:name="OLE_LINK25"/>
      <w:bookmarkStart w:id="33" w:name="OLE_LINK27"/>
      <w:bookmarkStart w:id="34" w:name="OLE_LINK26"/>
      <w:r>
        <w:rPr>
          <w:rFonts w:hint="eastAsia" w:ascii="仿宋_GB2312" w:hAnsi="仿宋_GB2312" w:eastAsia="仿宋_GB2312" w:cs="仿宋_GB2312"/>
          <w:bCs/>
          <w:sz w:val="24"/>
          <w:szCs w:val="24"/>
        </w:rPr>
        <w:t>；</w:t>
      </w:r>
      <w:bookmarkEnd w:id="30"/>
      <w:bookmarkEnd w:id="31"/>
      <w:bookmarkEnd w:id="32"/>
      <w:bookmarkEnd w:id="33"/>
      <w:bookmarkEnd w:id="34"/>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5"/>
        <w:rPr>
          <w:rFonts w:hint="eastAsia" w:ascii="仿宋_GB2312" w:hAnsi="仿宋_GB2312" w:eastAsia="仿宋_GB2312" w:cs="仿宋_GB2312"/>
          <w:sz w:val="36"/>
          <w:szCs w:val="36"/>
        </w:rPr>
      </w:pPr>
      <w:bookmarkStart w:id="35" w:name="_Toc14012"/>
      <w:r>
        <w:rPr>
          <w:rFonts w:hint="eastAsia" w:ascii="仿宋_GB2312" w:hAnsi="仿宋_GB2312" w:eastAsia="仿宋_GB2312" w:cs="仿宋_GB2312"/>
          <w:sz w:val="36"/>
          <w:szCs w:val="36"/>
        </w:rPr>
        <w:t>九、本次招标最终解释权归中国重汽集团济南动力有限公司。</w:t>
      </w:r>
      <w:bookmarkEnd w:id="35"/>
    </w:p>
    <w:p>
      <w:pPr>
        <w:pStyle w:val="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3"/>
        <w:rPr>
          <w:rFonts w:hint="eastAsia" w:ascii="仿宋_GB2312" w:hAnsi="仿宋_GB2312" w:eastAsia="仿宋_GB2312" w:cs="仿宋_GB2312"/>
          <w:sz w:val="44"/>
        </w:rPr>
      </w:pPr>
      <w:bookmarkStart w:id="36" w:name="_Toc13002"/>
      <w:bookmarkStart w:id="37" w:name="_Toc762"/>
      <w:bookmarkStart w:id="38" w:name="_Toc13479"/>
      <w:bookmarkStart w:id="39" w:name="_Toc2363"/>
      <w:bookmarkStart w:id="40" w:name="_Toc31869"/>
      <w:bookmarkStart w:id="41" w:name="_Toc21022"/>
      <w:r>
        <w:rPr>
          <w:rFonts w:hint="eastAsia" w:ascii="仿宋_GB2312" w:hAnsi="仿宋_GB2312" w:eastAsia="仿宋_GB2312" w:cs="仿宋_GB2312"/>
          <w:sz w:val="44"/>
        </w:rPr>
        <w:t>第三部分 投标文件编制</w:t>
      </w:r>
      <w:bookmarkEnd w:id="36"/>
      <w:bookmarkEnd w:id="37"/>
      <w:bookmarkEnd w:id="38"/>
      <w:bookmarkEnd w:id="39"/>
      <w:bookmarkEnd w:id="40"/>
      <w:bookmarkEnd w:id="41"/>
    </w:p>
    <w:p>
      <w:pPr>
        <w:pStyle w:val="5"/>
        <w:rPr>
          <w:rFonts w:hint="eastAsia" w:ascii="仿宋_GB2312" w:hAnsi="仿宋_GB2312" w:eastAsia="仿宋_GB2312" w:cs="仿宋_GB2312"/>
          <w:sz w:val="36"/>
          <w:szCs w:val="36"/>
        </w:rPr>
      </w:pPr>
      <w:bookmarkStart w:id="42" w:name="_Toc2771"/>
      <w:r>
        <w:rPr>
          <w:rFonts w:hint="eastAsia" w:ascii="仿宋_GB2312" w:hAnsi="仿宋_GB2312" w:eastAsia="仿宋_GB2312" w:cs="仿宋_GB2312"/>
          <w:sz w:val="36"/>
          <w:szCs w:val="36"/>
        </w:rPr>
        <w:t>一、投标文件的编制</w:t>
      </w:r>
      <w:bookmarkEnd w:id="42"/>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5"/>
        <w:rPr>
          <w:rFonts w:hint="eastAsia" w:ascii="仿宋_GB2312" w:hAnsi="仿宋_GB2312" w:eastAsia="仿宋_GB2312" w:cs="仿宋_GB2312"/>
          <w:sz w:val="36"/>
          <w:szCs w:val="36"/>
        </w:rPr>
      </w:pPr>
      <w:bookmarkStart w:id="43" w:name="_Toc5592"/>
      <w:r>
        <w:rPr>
          <w:rFonts w:hint="eastAsia" w:ascii="仿宋_GB2312" w:hAnsi="仿宋_GB2312" w:eastAsia="仿宋_GB2312" w:cs="仿宋_GB2312"/>
          <w:sz w:val="36"/>
          <w:szCs w:val="36"/>
        </w:rPr>
        <w:t>二、投标文件资料</w:t>
      </w:r>
      <w:bookmarkEnd w:id="43"/>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5"/>
        <w:rPr>
          <w:rFonts w:hint="eastAsia" w:ascii="仿宋_GB2312" w:hAnsi="仿宋_GB2312" w:eastAsia="仿宋_GB2312" w:cs="仿宋_GB2312"/>
          <w:sz w:val="36"/>
          <w:szCs w:val="36"/>
        </w:rPr>
      </w:pPr>
      <w:bookmarkStart w:id="44" w:name="_Toc5199"/>
      <w:r>
        <w:rPr>
          <w:rFonts w:hint="eastAsia" w:ascii="仿宋_GB2312" w:hAnsi="仿宋_GB2312" w:eastAsia="仿宋_GB2312" w:cs="仿宋_GB2312"/>
          <w:sz w:val="36"/>
          <w:szCs w:val="36"/>
        </w:rPr>
        <w:t>三、投标文件的组成</w:t>
      </w:r>
      <w:bookmarkEnd w:id="44"/>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45"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45"/>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sz w:val="24"/>
          <w:szCs w:val="24"/>
          <w:highlight w:val="yellow"/>
        </w:rPr>
        <w:t>设备分项配置表（附件5-2），列明项目设备分项配置规格型号、品牌等信息（要求分项明细与附表9-1完全对应），但</w:t>
      </w:r>
      <w:r>
        <w:rPr>
          <w:rFonts w:hint="eastAsia" w:ascii="仿宋_GB2312" w:hAnsi="仿宋_GB2312" w:eastAsia="仿宋_GB2312" w:cs="仿宋_GB2312"/>
          <w:b/>
          <w:color w:val="000000"/>
          <w:sz w:val="24"/>
          <w:szCs w:val="24"/>
          <w:highlight w:val="yellow"/>
        </w:rPr>
        <w:t>注意：此表在技术标书中，禁止出现任何分项价格及项目总价；</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2.3提供202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2.4供货期及保证措施；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2.5产品的技术服务和售后服务内容及措施；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2.6交货进度及计划；</w:t>
      </w:r>
    </w:p>
    <w:p>
      <w:pPr>
        <w:spacing w:line="360" w:lineRule="auto"/>
        <w:ind w:firstLine="480" w:firstLineChars="200"/>
        <w:rPr>
          <w:rFonts w:hint="eastAsia" w:ascii="仿宋_GB2312" w:hAnsi="仿宋_GB2312" w:eastAsia="仿宋_GB2312" w:cs="仿宋_GB2312"/>
          <w:color w:val="000000"/>
          <w:sz w:val="24"/>
          <w:szCs w:val="24"/>
        </w:rPr>
      </w:pPr>
      <w:bookmarkStart w:id="46" w:name="_Toc536542319"/>
      <w:r>
        <w:rPr>
          <w:rFonts w:hint="eastAsia" w:ascii="仿宋_GB2312" w:hAnsi="仿宋_GB2312" w:eastAsia="仿宋_GB2312" w:cs="仿宋_GB2312"/>
          <w:color w:val="000000"/>
          <w:sz w:val="24"/>
          <w:szCs w:val="24"/>
        </w:rPr>
        <w:t>2.7投标产品技术支持材料</w:t>
      </w:r>
      <w:bookmarkEnd w:id="46"/>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2.8设备质量承诺函（附件7）；</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2.9投标人需提交的其它资料。</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47" w:name="OLE_LINK18"/>
      <w:bookmarkStart w:id="48" w:name="OLE_LINK19"/>
      <w:r>
        <w:rPr>
          <w:rFonts w:hint="eastAsia" w:ascii="仿宋_GB2312" w:hAnsi="仿宋_GB2312" w:eastAsia="仿宋_GB2312" w:cs="仿宋_GB2312"/>
          <w:b/>
          <w:color w:val="000000"/>
          <w:sz w:val="24"/>
          <w:szCs w:val="24"/>
        </w:rPr>
        <w:t>；</w:t>
      </w:r>
      <w:bookmarkEnd w:id="47"/>
      <w:bookmarkEnd w:id="48"/>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pPr>
        <w:pStyle w:val="5"/>
        <w:rPr>
          <w:rFonts w:hint="eastAsia" w:ascii="仿宋_GB2312" w:hAnsi="仿宋_GB2312" w:eastAsia="仿宋_GB2312" w:cs="仿宋_GB2312"/>
          <w:sz w:val="36"/>
          <w:szCs w:val="36"/>
        </w:rPr>
      </w:pPr>
      <w:bookmarkStart w:id="49" w:name="_Toc15748"/>
      <w:r>
        <w:rPr>
          <w:rFonts w:hint="eastAsia" w:ascii="仿宋_GB2312" w:hAnsi="仿宋_GB2312" w:eastAsia="仿宋_GB2312" w:cs="仿宋_GB2312"/>
          <w:sz w:val="36"/>
          <w:szCs w:val="36"/>
        </w:rPr>
        <w:t>四、投标文件格式</w:t>
      </w:r>
      <w:bookmarkEnd w:id="49"/>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bidi w:val="0"/>
        <w:rPr>
          <w:rFonts w:hint="eastAsia"/>
        </w:rPr>
      </w:pPr>
      <w:bookmarkStart w:id="50" w:name="_Toc3565"/>
      <w:bookmarkStart w:id="51" w:name="_Toc16358"/>
      <w:bookmarkStart w:id="52" w:name="_Toc12563"/>
      <w:bookmarkStart w:id="53" w:name="_Toc12714"/>
      <w:bookmarkStart w:id="54" w:name="_Toc7511"/>
      <w:bookmarkStart w:id="55" w:name="_Toc3372"/>
      <w:bookmarkStart w:id="56" w:name="_Toc30738"/>
      <w:bookmarkStart w:id="57" w:name="_Toc22649"/>
      <w:bookmarkStart w:id="58" w:name="_Toc8032"/>
      <w:bookmarkStart w:id="59" w:name="_Toc28236"/>
      <w:bookmarkStart w:id="60" w:name="_Toc32378"/>
      <w:bookmarkStart w:id="61" w:name="_Toc4483"/>
      <w:bookmarkStart w:id="62" w:name="_Toc18182"/>
      <w:bookmarkStart w:id="63" w:name="_Toc13555"/>
      <w:bookmarkStart w:id="64" w:name="_Toc20467"/>
      <w:bookmarkStart w:id="65" w:name="_Toc8202"/>
      <w:bookmarkStart w:id="66" w:name="_Toc1884"/>
      <w:bookmarkStart w:id="67" w:name="_Toc19672"/>
      <w:bookmarkStart w:id="68" w:name="_Toc13605"/>
      <w:bookmarkStart w:id="69" w:name="_Toc20272"/>
      <w:bookmarkStart w:id="70" w:name="_Toc14517"/>
      <w:bookmarkStart w:id="71" w:name="_Toc13562"/>
      <w:bookmarkStart w:id="72" w:name="_Toc4029"/>
      <w:bookmarkStart w:id="73" w:name="_Toc12552"/>
      <w:bookmarkStart w:id="74" w:name="_Toc23870"/>
      <w:bookmarkStart w:id="75" w:name="_Toc11355"/>
      <w:bookmarkStart w:id="76" w:name="_Toc4194"/>
      <w:bookmarkStart w:id="77" w:name="_Toc24913"/>
      <w:bookmarkStart w:id="78" w:name="_Toc7110"/>
      <w:bookmarkStart w:id="79" w:name="_Toc18606"/>
      <w:bookmarkStart w:id="80" w:name="_Toc21497"/>
      <w:bookmarkStart w:id="81" w:name="_Toc18805"/>
      <w:bookmarkStart w:id="82" w:name="_Toc13988"/>
      <w:bookmarkStart w:id="83" w:name="_Toc6957"/>
      <w:bookmarkStart w:id="84" w:name="_Toc4532"/>
      <w:bookmarkStart w:id="85" w:name="_Toc24964"/>
      <w:bookmarkStart w:id="86" w:name="_Toc6346"/>
      <w:bookmarkStart w:id="87" w:name="_Toc133783966"/>
    </w:p>
    <w:p>
      <w:pPr>
        <w:bidi w:val="0"/>
        <w:rPr>
          <w:rFonts w:hint="eastAsia"/>
        </w:rPr>
      </w:pPr>
    </w:p>
    <w:p>
      <w:pPr>
        <w:bidi w:val="0"/>
        <w:rPr>
          <w:rFonts w:hint="eastAsia"/>
        </w:rPr>
      </w:pPr>
    </w:p>
    <w:p>
      <w:pPr>
        <w:bidi w:val="0"/>
        <w:rPr>
          <w:rFonts w:hint="eastAsia"/>
        </w:rPr>
      </w:pPr>
    </w:p>
    <w:p>
      <w:pPr>
        <w:bidi w:val="0"/>
        <w:rPr>
          <w:rFonts w:hint="eastAsia"/>
        </w:rPr>
      </w:pPr>
    </w:p>
    <w:p>
      <w:pPr>
        <w:pStyle w:val="3"/>
        <w:numPr>
          <w:ilvl w:val="0"/>
          <w:numId w:val="6"/>
        </w:numPr>
        <w:spacing w:line="360" w:lineRule="auto"/>
        <w:rPr>
          <w:rFonts w:hint="eastAsia" w:ascii="仿宋_GB2312" w:hAnsi="仿宋_GB2312" w:eastAsia="仿宋_GB2312" w:cs="仿宋_GB2312"/>
          <w:sz w:val="44"/>
          <w:highlight w:val="green"/>
        </w:rPr>
      </w:pPr>
      <w:bookmarkStart w:id="88" w:name="_Toc10008"/>
      <w:r>
        <w:rPr>
          <w:rFonts w:hint="eastAsia" w:ascii="仿宋_GB2312" w:hAnsi="仿宋_GB2312" w:eastAsia="仿宋_GB2312" w:cs="仿宋_GB2312"/>
          <w:sz w:val="44"/>
          <w:highlight w:val="green"/>
        </w:rPr>
        <w:t>技术标书</w:t>
      </w:r>
      <w:bookmarkEnd w:id="88"/>
    </w:p>
    <w:p>
      <w:pPr>
        <w:rPr>
          <w:rFonts w:hint="eastAsia" w:ascii="仿宋_GB2312" w:hAnsi="仿宋_GB2312" w:eastAsia="仿宋_GB2312" w:cs="仿宋_GB2312"/>
          <w:sz w:val="44"/>
          <w:highlight w:val="green"/>
        </w:rPr>
        <w:sectPr>
          <w:headerReference r:id="rId8" w:type="default"/>
          <w:footerReference r:id="rId9" w:type="default"/>
          <w:pgSz w:w="11907" w:h="16840"/>
          <w:pgMar w:top="1304" w:right="1418" w:bottom="1304" w:left="1418" w:header="724" w:footer="851" w:gutter="0"/>
          <w:cols w:space="720" w:num="1"/>
          <w:docGrid w:linePitch="290" w:charSpace="-3931"/>
        </w:sectPr>
      </w:pPr>
    </w:p>
    <w:p>
      <w:pPr>
        <w:spacing w:line="480" w:lineRule="exact"/>
        <w:rPr>
          <w:rFonts w:hint="eastAsia" w:ascii="宋体" w:hAnsi="宋体"/>
        </w:rPr>
      </w:pPr>
    </w:p>
    <w:p>
      <w:pPr>
        <w:pStyle w:val="2"/>
        <w:jc w:val="center"/>
        <w:rPr>
          <w:rFonts w:ascii="Calibri" w:eastAsia="宋体" w:cs="Times New Roman"/>
          <w:b/>
          <w:bCs/>
          <w:color w:val="000000"/>
          <w:spacing w:val="-8"/>
          <w:sz w:val="52"/>
          <w:szCs w:val="52"/>
        </w:rPr>
      </w:pPr>
      <w:r>
        <w:rPr>
          <w:rFonts w:hint="eastAsia" w:ascii="Calibri" w:eastAsia="宋体" w:cs="Times New Roman"/>
          <w:b/>
          <w:bCs/>
          <w:color w:val="000000"/>
          <w:spacing w:val="-8"/>
          <w:sz w:val="52"/>
          <w:szCs w:val="52"/>
        </w:rPr>
        <w:t>中国重汽集团杭州发动机有限公司</w:t>
      </w:r>
    </w:p>
    <w:p>
      <w:pPr>
        <w:pStyle w:val="2"/>
        <w:jc w:val="center"/>
        <w:rPr>
          <w:rFonts w:ascii="Calibri" w:eastAsia="宋体" w:cs="Times New Roman"/>
          <w:b/>
          <w:bCs/>
          <w:color w:val="000000"/>
          <w:spacing w:val="-8"/>
          <w:sz w:val="52"/>
          <w:szCs w:val="52"/>
        </w:rPr>
      </w:pPr>
      <w:r>
        <w:rPr>
          <w:rFonts w:hint="eastAsia" w:ascii="Calibri" w:eastAsia="宋体" w:cs="Times New Roman"/>
          <w:b/>
          <w:bCs/>
          <w:color w:val="000000"/>
          <w:spacing w:val="-8"/>
          <w:sz w:val="52"/>
          <w:szCs w:val="52"/>
        </w:rPr>
        <w:t>新增手持装配拧紧工具项目</w:t>
      </w:r>
      <w:r>
        <w:rPr>
          <w:rFonts w:hint="eastAsia" w:ascii="Calibri" w:eastAsia="宋体" w:cs="Times New Roman"/>
          <w:b/>
          <w:bCs/>
          <w:color w:val="000000"/>
          <w:spacing w:val="-8"/>
          <w:sz w:val="52"/>
          <w:szCs w:val="52"/>
          <w:lang w:val="en-US" w:eastAsia="zh-CN"/>
        </w:rPr>
        <w:t>分包一</w:t>
      </w:r>
      <w:r>
        <w:rPr>
          <w:rFonts w:hint="eastAsia" w:ascii="Calibri" w:eastAsia="宋体" w:cs="Times New Roman"/>
          <w:b/>
          <w:bCs/>
          <w:color w:val="000000"/>
          <w:spacing w:val="-8"/>
          <w:sz w:val="52"/>
          <w:szCs w:val="52"/>
        </w:rPr>
        <w:t xml:space="preserve"> </w:t>
      </w:r>
    </w:p>
    <w:p>
      <w:pPr>
        <w:pStyle w:val="2"/>
        <w:jc w:val="center"/>
        <w:rPr>
          <w:rFonts w:ascii="Calibri" w:eastAsia="宋体" w:cs="Times New Roman"/>
          <w:b/>
          <w:bCs/>
          <w:color w:val="000000"/>
          <w:spacing w:val="-8"/>
          <w:sz w:val="52"/>
          <w:szCs w:val="52"/>
        </w:rPr>
      </w:pPr>
    </w:p>
    <w:p>
      <w:pPr>
        <w:jc w:val="center"/>
        <w:rPr>
          <w:rFonts w:ascii="黑体" w:hAnsi="宋体" w:eastAsia="黑体" w:cs="Times New Roman"/>
          <w:color w:val="000000"/>
          <w:sz w:val="72"/>
          <w:szCs w:val="72"/>
        </w:rPr>
      </w:pPr>
      <w:r>
        <w:rPr>
          <w:rFonts w:hint="eastAsia" w:ascii="黑体" w:hAnsi="宋体" w:eastAsia="宋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宋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宋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宋体" w:cs="Times New Roman"/>
          <w:color w:val="000000"/>
          <w:sz w:val="72"/>
          <w:szCs w:val="72"/>
        </w:rPr>
        <w:t>书</w:t>
      </w:r>
    </w:p>
    <w:p>
      <w:pPr>
        <w:spacing w:line="860" w:lineRule="exact"/>
        <w:rPr>
          <w:rFonts w:ascii="华文仿宋" w:hAnsi="华文仿宋" w:eastAsia="华文仿宋"/>
          <w:b/>
          <w:bCs/>
          <w:color w:val="000000"/>
          <w:sz w:val="32"/>
          <w:szCs w:val="28"/>
        </w:rPr>
      </w:pPr>
    </w:p>
    <w:p>
      <w:pPr>
        <w:spacing w:line="860" w:lineRule="exact"/>
        <w:ind w:left="1890" w:leftChars="900"/>
        <w:rPr>
          <w:rFonts w:ascii="华文仿宋" w:hAnsi="华文仿宋" w:eastAsia="华文仿宋"/>
          <w:b/>
          <w:bCs/>
          <w:color w:val="000000"/>
          <w:sz w:val="32"/>
          <w:szCs w:val="28"/>
        </w:rPr>
      </w:pPr>
      <w:r>
        <w:rPr>
          <w:rFonts w:hint="eastAsia" w:ascii="华文仿宋" w:hAnsi="华文仿宋" w:eastAsia="宋体"/>
          <w:b/>
          <w:bCs/>
          <w:color w:val="000000"/>
          <w:sz w:val="32"/>
          <w:szCs w:val="28"/>
        </w:rPr>
        <w:t>编制：</w:t>
      </w:r>
      <w:r>
        <w:rPr>
          <w:rFonts w:hint="eastAsia" w:ascii="华文仿宋" w:hAnsi="华文仿宋" w:eastAsia="宋体"/>
          <w:b/>
          <w:bCs/>
          <w:color w:val="000000"/>
          <w:sz w:val="32"/>
          <w:szCs w:val="28"/>
          <w:lang w:val="en-US" w:eastAsia="zh-CN"/>
        </w:rPr>
        <w:t>陈志勋</w:t>
      </w:r>
      <w:r>
        <w:rPr>
          <w:rFonts w:ascii="华文仿宋" w:hAnsi="华文仿宋" w:eastAsia="宋体"/>
          <w:b/>
          <w:bCs/>
          <w:color w:val="000000"/>
          <w:sz w:val="32"/>
          <w:szCs w:val="28"/>
        </w:rPr>
        <w:t xml:space="preserve">              </w:t>
      </w:r>
    </w:p>
    <w:p>
      <w:pPr>
        <w:spacing w:line="860" w:lineRule="exact"/>
        <w:ind w:left="1890" w:leftChars="900"/>
        <w:rPr>
          <w:rFonts w:hint="eastAsia" w:ascii="华文仿宋" w:hAnsi="华文仿宋" w:eastAsia="宋体"/>
          <w:b/>
          <w:bCs/>
          <w:color w:val="000000"/>
          <w:sz w:val="32"/>
          <w:szCs w:val="28"/>
          <w:lang w:val="en-US" w:eastAsia="zh-CN"/>
        </w:rPr>
      </w:pPr>
      <w:r>
        <w:rPr>
          <w:rFonts w:hint="eastAsia" w:ascii="华文仿宋" w:hAnsi="华文仿宋" w:eastAsia="宋体"/>
          <w:b/>
          <w:bCs/>
          <w:color w:val="000000"/>
          <w:sz w:val="32"/>
          <w:szCs w:val="28"/>
        </w:rPr>
        <w:t>校对：</w:t>
      </w:r>
      <w:r>
        <w:rPr>
          <w:rFonts w:hint="eastAsia" w:ascii="华文仿宋" w:hAnsi="华文仿宋" w:eastAsia="宋体"/>
          <w:b/>
          <w:bCs/>
          <w:color w:val="000000"/>
          <w:sz w:val="32"/>
          <w:szCs w:val="28"/>
          <w:lang w:val="en-US" w:eastAsia="zh-CN"/>
        </w:rPr>
        <w:t xml:space="preserve">黄月 </w:t>
      </w:r>
    </w:p>
    <w:p>
      <w:pPr>
        <w:spacing w:line="860" w:lineRule="exact"/>
        <w:ind w:left="1890" w:leftChars="900"/>
        <w:rPr>
          <w:rFonts w:ascii="华文仿宋" w:hAnsi="华文仿宋" w:eastAsia="宋体"/>
          <w:b/>
          <w:bCs/>
          <w:color w:val="000000"/>
          <w:sz w:val="32"/>
          <w:szCs w:val="28"/>
        </w:rPr>
      </w:pPr>
      <w:r>
        <w:rPr>
          <w:rFonts w:hint="eastAsia" w:ascii="华文仿宋" w:hAnsi="华文仿宋" w:eastAsia="宋体"/>
          <w:b/>
          <w:bCs/>
          <w:color w:val="000000"/>
          <w:sz w:val="32"/>
          <w:szCs w:val="28"/>
        </w:rPr>
        <w:t>会签：</w:t>
      </w:r>
      <w:r>
        <w:rPr>
          <w:rFonts w:hint="eastAsia" w:ascii="华文仿宋" w:hAnsi="华文仿宋" w:eastAsia="宋体"/>
          <w:b/>
          <w:bCs/>
          <w:color w:val="000000"/>
          <w:sz w:val="32"/>
          <w:szCs w:val="28"/>
          <w:lang w:val="en-US" w:eastAsia="zh-CN"/>
        </w:rPr>
        <w:t>黄强强</w:t>
      </w:r>
    </w:p>
    <w:p>
      <w:pPr>
        <w:spacing w:line="860" w:lineRule="exact"/>
        <w:ind w:left="1890" w:leftChars="900"/>
        <w:rPr>
          <w:rFonts w:ascii="华文仿宋" w:hAnsi="华文仿宋" w:eastAsia="宋体"/>
          <w:b/>
          <w:bCs/>
          <w:color w:val="000000"/>
          <w:sz w:val="32"/>
          <w:szCs w:val="28"/>
        </w:rPr>
      </w:pPr>
      <w:r>
        <w:rPr>
          <w:rFonts w:hint="eastAsia" w:ascii="华文仿宋" w:hAnsi="华文仿宋" w:eastAsia="宋体"/>
          <w:b/>
          <w:bCs/>
          <w:color w:val="000000"/>
          <w:sz w:val="32"/>
          <w:szCs w:val="28"/>
        </w:rPr>
        <w:t>审核：</w:t>
      </w:r>
      <w:r>
        <w:rPr>
          <w:rFonts w:hint="eastAsia" w:ascii="华文仿宋" w:hAnsi="华文仿宋" w:eastAsia="宋体"/>
          <w:b/>
          <w:bCs/>
          <w:color w:val="000000"/>
          <w:sz w:val="32"/>
          <w:szCs w:val="28"/>
          <w:lang w:val="en-US" w:eastAsia="zh-CN"/>
        </w:rPr>
        <w:t>钟晓渝</w:t>
      </w:r>
    </w:p>
    <w:p>
      <w:pPr>
        <w:spacing w:line="860" w:lineRule="exact"/>
        <w:ind w:left="1890" w:leftChars="900"/>
        <w:rPr>
          <w:rFonts w:ascii="华文仿宋" w:hAnsi="华文仿宋" w:eastAsia="华文仿宋"/>
          <w:b/>
          <w:bCs/>
          <w:color w:val="000000"/>
          <w:sz w:val="32"/>
          <w:szCs w:val="28"/>
        </w:rPr>
      </w:pPr>
      <w:r>
        <w:rPr>
          <w:rFonts w:hint="eastAsia" w:ascii="华文仿宋" w:hAnsi="华文仿宋" w:eastAsia="宋体"/>
          <w:b/>
          <w:bCs/>
          <w:color w:val="000000"/>
          <w:sz w:val="32"/>
          <w:szCs w:val="28"/>
        </w:rPr>
        <w:t>批准：</w:t>
      </w:r>
      <w:r>
        <w:rPr>
          <w:rFonts w:hint="eastAsia" w:ascii="华文仿宋" w:hAnsi="华文仿宋" w:eastAsia="宋体"/>
          <w:b/>
          <w:bCs/>
          <w:color w:val="000000"/>
          <w:sz w:val="32"/>
          <w:szCs w:val="28"/>
          <w:lang w:val="en-US" w:eastAsia="zh-CN"/>
        </w:rPr>
        <w:t>姜爱良</w:t>
      </w:r>
      <w:r>
        <w:rPr>
          <w:rFonts w:ascii="华文仿宋" w:hAnsi="华文仿宋" w:eastAsia="宋体"/>
          <w:b/>
          <w:bCs/>
          <w:color w:val="000000"/>
          <w:sz w:val="32"/>
          <w:szCs w:val="28"/>
        </w:rPr>
        <w:t xml:space="preserve"> </w:t>
      </w:r>
    </w:p>
    <w:p>
      <w:pPr>
        <w:pStyle w:val="2"/>
        <w:rPr>
          <w:rFonts w:ascii="华文仿宋" w:hAnsi="华文仿宋" w:eastAsia="华文仿宋"/>
          <w:b/>
          <w:bCs/>
          <w:color w:val="000000"/>
          <w:sz w:val="32"/>
          <w:szCs w:val="28"/>
        </w:rPr>
      </w:pPr>
    </w:p>
    <w:p>
      <w:pPr>
        <w:pStyle w:val="2"/>
        <w:rPr>
          <w:b/>
          <w:bCs/>
          <w:color w:val="000000"/>
        </w:rPr>
      </w:pPr>
    </w:p>
    <w:p>
      <w:pPr>
        <w:spacing w:line="360" w:lineRule="auto"/>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人：中国重汽集团杭州发动机有限公司</w:t>
      </w:r>
    </w:p>
    <w:p>
      <w:pPr>
        <w:spacing w:line="360" w:lineRule="auto"/>
        <w:jc w:val="center"/>
        <w:rPr>
          <w:rFonts w:hint="eastAsia" w:ascii="宋体" w:hAnsi="宋体" w:eastAsia="宋体" w:cs="Times New Roman"/>
          <w:b/>
          <w:color w:val="000000"/>
          <w:sz w:val="36"/>
          <w:szCs w:val="36"/>
          <w:lang w:val="en-US" w:eastAsia="zh-CN"/>
        </w:rPr>
        <w:sectPr>
          <w:headerReference r:id="rId10" w:type="default"/>
          <w:footerReference r:id="rId11" w:type="default"/>
          <w:pgSz w:w="11907" w:h="16840"/>
          <w:pgMar w:top="1304" w:right="1418" w:bottom="1304" w:left="1418" w:header="724" w:footer="851" w:gutter="0"/>
          <w:pgNumType w:fmt="numberInDash"/>
          <w:cols w:space="720" w:num="1"/>
          <w:docGrid w:linePitch="290" w:charSpace="-3931"/>
        </w:sect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11</w:t>
      </w:r>
      <w:r>
        <w:rPr>
          <w:rFonts w:hint="eastAsia" w:ascii="Calibri" w:hAnsi="Calibri" w:eastAsia="宋体" w:cs="Times New Roman"/>
          <w:color w:val="000000"/>
          <w:sz w:val="28"/>
          <w:szCs w:val="28"/>
          <w:lang w:val="en-US" w:eastAsia="zh-CN"/>
        </w:rPr>
        <w:t>月</w:t>
      </w:r>
    </w:p>
    <w:p>
      <w:pPr>
        <w:pStyle w:val="3"/>
        <w:spacing w:before="120" w:after="120" w:line="480" w:lineRule="exact"/>
        <w:ind w:left="0" w:leftChars="0" w:firstLine="0" w:firstLineChars="0"/>
        <w:jc w:val="center"/>
        <w:rPr>
          <w:rFonts w:hint="eastAsia" w:ascii="黑体" w:eastAsia="黑体"/>
          <w:b w:val="0"/>
          <w:sz w:val="24"/>
          <w:szCs w:val="24"/>
        </w:rPr>
      </w:pPr>
      <w:bookmarkStart w:id="89" w:name="_Toc137705865"/>
      <w:bookmarkStart w:id="90" w:name="_Toc1271"/>
      <w:bookmarkStart w:id="91" w:name="_Toc2894"/>
      <w:bookmarkStart w:id="92" w:name="_Toc28854"/>
      <w:bookmarkStart w:id="93" w:name="_Toc2567"/>
      <w:r>
        <w:rPr>
          <w:rFonts w:hint="eastAsia" w:ascii="黑体" w:eastAsia="黑体"/>
          <w:b w:val="0"/>
          <w:sz w:val="24"/>
          <w:szCs w:val="24"/>
        </w:rPr>
        <w:t>第一章  采购货物概况</w:t>
      </w:r>
      <w:bookmarkEnd w:id="89"/>
      <w:bookmarkEnd w:id="90"/>
      <w:bookmarkEnd w:id="91"/>
      <w:bookmarkEnd w:id="92"/>
      <w:bookmarkEnd w:id="93"/>
    </w:p>
    <w:p>
      <w:pPr>
        <w:spacing w:line="480" w:lineRule="exact"/>
        <w:rPr>
          <w:rFonts w:hint="eastAsia" w:ascii="黑体" w:hAnsi="宋体" w:eastAsia="黑体"/>
        </w:rPr>
      </w:pPr>
    </w:p>
    <w:p>
      <w:pPr>
        <w:pStyle w:val="5"/>
        <w:spacing w:before="120" w:after="120" w:line="480" w:lineRule="exact"/>
        <w:jc w:val="center"/>
        <w:rPr>
          <w:rFonts w:hint="eastAsia"/>
          <w:b w:val="0"/>
          <w:sz w:val="24"/>
          <w:szCs w:val="24"/>
        </w:rPr>
      </w:pPr>
      <w:bookmarkStart w:id="94" w:name="_Toc9247"/>
      <w:bookmarkStart w:id="95" w:name="_Toc13953"/>
      <w:bookmarkStart w:id="96" w:name="_Toc24900"/>
      <w:bookmarkStart w:id="97" w:name="_Toc13530"/>
      <w:bookmarkStart w:id="98" w:name="_Toc137705866"/>
      <w:r>
        <w:rPr>
          <w:rFonts w:hint="eastAsia"/>
          <w:b w:val="0"/>
          <w:sz w:val="24"/>
          <w:szCs w:val="24"/>
        </w:rPr>
        <w:t>第一节  使用环境</w:t>
      </w:r>
      <w:bookmarkEnd w:id="94"/>
      <w:bookmarkEnd w:id="95"/>
      <w:bookmarkEnd w:id="96"/>
      <w:bookmarkEnd w:id="97"/>
      <w:bookmarkEnd w:id="98"/>
    </w:p>
    <w:p>
      <w:pPr>
        <w:spacing w:line="480" w:lineRule="exact"/>
        <w:ind w:firstLine="420" w:firstLineChars="200"/>
        <w:rPr>
          <w:rFonts w:hint="eastAsia" w:ascii="黑体" w:hAnsi="宋体" w:eastAsia="黑体"/>
          <w:u w:val="single"/>
          <w:shd w:val="pct10" w:color="auto" w:fill="FFFFFF"/>
        </w:rPr>
      </w:pPr>
      <w:r>
        <w:rPr>
          <w:rFonts w:hint="eastAsia" w:ascii="黑体" w:hAnsi="宋体" w:eastAsia="黑体"/>
        </w:rPr>
        <w:t>一、项目名称：</w:t>
      </w:r>
      <w:r>
        <w:rPr>
          <w:rFonts w:hint="eastAsia" w:ascii="宋体" w:hAnsi="宋体"/>
          <w:u w:val="single"/>
          <w:shd w:val="pct10" w:color="auto" w:fill="FFFFFF"/>
        </w:rPr>
        <w:t>新增手持装配拧紧工具</w:t>
      </w:r>
    </w:p>
    <w:p>
      <w:pPr>
        <w:spacing w:line="480" w:lineRule="exact"/>
        <w:ind w:firstLine="420" w:firstLineChars="200"/>
        <w:rPr>
          <w:rFonts w:hint="default" w:ascii="宋体" w:hAnsi="宋体" w:eastAsia="宋体"/>
          <w:lang w:val="en-US" w:eastAsia="zh-CN"/>
        </w:rPr>
      </w:pPr>
      <w:r>
        <w:rPr>
          <w:rFonts w:hint="eastAsia" w:ascii="黑体" w:hAnsi="宋体" w:eastAsia="黑体"/>
        </w:rPr>
        <w:t>二、建设地点：</w:t>
      </w:r>
      <w:r>
        <w:rPr>
          <w:rFonts w:hint="eastAsia" w:ascii="宋体" w:hAnsi="宋体"/>
          <w:u w:val="single"/>
          <w:shd w:val="pct10" w:color="auto" w:fill="FFFFFF"/>
        </w:rPr>
        <w:t xml:space="preserve"> </w:t>
      </w:r>
      <w:r>
        <w:rPr>
          <w:rFonts w:hint="eastAsia"/>
          <w:color w:val="000000"/>
          <w:sz w:val="24"/>
          <w:szCs w:val="24"/>
          <w:u w:val="single"/>
        </w:rPr>
        <w:t>杭州市萧山经济技术开发区红泰六路699号</w:t>
      </w:r>
      <w:r>
        <w:rPr>
          <w:rFonts w:hint="eastAsia"/>
          <w:color w:val="000000"/>
          <w:sz w:val="24"/>
          <w:szCs w:val="24"/>
        </w:rPr>
        <w:t xml:space="preserve"> </w:t>
      </w:r>
    </w:p>
    <w:p>
      <w:pPr>
        <w:spacing w:line="480" w:lineRule="exact"/>
        <w:ind w:firstLine="420" w:firstLineChars="200"/>
        <w:rPr>
          <w:rFonts w:hint="eastAsia" w:ascii="宋体" w:hAnsi="宋体"/>
          <w:u w:val="single"/>
          <w:shd w:val="pct10" w:color="auto" w:fill="FFFFFF"/>
        </w:rPr>
      </w:pPr>
      <w:r>
        <w:rPr>
          <w:rFonts w:hint="eastAsia" w:ascii="黑体" w:hAnsi="宋体" w:eastAsia="黑体"/>
        </w:rPr>
        <w:t>三、使用地点：</w:t>
      </w:r>
      <w:r>
        <w:rPr>
          <w:rFonts w:hint="eastAsia" w:ascii="宋体" w:hAnsi="宋体"/>
          <w:u w:val="single"/>
          <w:shd w:val="pct10" w:color="auto" w:fill="FFFFFF"/>
        </w:rPr>
        <w:t xml:space="preserve"> 中国重汽集团</w:t>
      </w:r>
      <w:r>
        <w:rPr>
          <w:rFonts w:hint="eastAsia" w:ascii="宋体" w:hAnsi="宋体"/>
          <w:u w:val="single"/>
          <w:shd w:val="pct10" w:color="auto" w:fill="FFFFFF"/>
          <w:lang w:val="en-US" w:eastAsia="zh-CN"/>
        </w:rPr>
        <w:t>杭州发动机有限公司</w:t>
      </w:r>
    </w:p>
    <w:p>
      <w:pPr>
        <w:spacing w:line="480" w:lineRule="exact"/>
        <w:ind w:firstLine="420" w:firstLineChars="200"/>
        <w:rPr>
          <w:rFonts w:hint="eastAsia" w:ascii="宋体" w:hAnsi="宋体"/>
        </w:rPr>
      </w:pPr>
      <w:r>
        <w:rPr>
          <w:rFonts w:hint="eastAsia" w:ascii="黑体" w:hAnsi="宋体" w:eastAsia="黑体"/>
        </w:rPr>
        <w:t>四、工作制度：</w:t>
      </w:r>
      <w:r>
        <w:rPr>
          <w:rFonts w:hint="eastAsia" w:ascii="宋体" w:hAnsi="宋体"/>
        </w:rPr>
        <w:t>全年工作250天、</w:t>
      </w:r>
      <w:r>
        <w:rPr>
          <w:rFonts w:hint="eastAsia" w:ascii="宋体" w:hAnsi="宋体"/>
          <w:u w:val="single"/>
          <w:shd w:val="pct10" w:color="auto" w:fill="FFFFFF"/>
        </w:rPr>
        <w:t xml:space="preserve">  2  </w:t>
      </w:r>
      <w:r>
        <w:rPr>
          <w:rFonts w:hint="eastAsia" w:ascii="宋体" w:hAnsi="宋体"/>
        </w:rPr>
        <w:t>班制、设备年时基数</w:t>
      </w:r>
      <w:r>
        <w:rPr>
          <w:rFonts w:hint="eastAsia" w:ascii="宋体" w:hAnsi="宋体"/>
          <w:u w:val="single"/>
          <w:shd w:val="pct10" w:color="auto" w:fill="FFFFFF"/>
        </w:rPr>
        <w:t xml:space="preserve"> 5000 </w:t>
      </w:r>
      <w:r>
        <w:rPr>
          <w:rFonts w:hint="eastAsia" w:ascii="宋体" w:hAnsi="宋体"/>
        </w:rPr>
        <w:t>小时</w:t>
      </w:r>
    </w:p>
    <w:p>
      <w:pPr>
        <w:spacing w:line="480" w:lineRule="exact"/>
        <w:ind w:firstLine="420" w:firstLineChars="200"/>
        <w:rPr>
          <w:rFonts w:hint="eastAsia" w:ascii="黑体" w:hAnsi="宋体" w:eastAsia="黑体"/>
        </w:rPr>
      </w:pPr>
      <w:r>
        <w:rPr>
          <w:rFonts w:hint="eastAsia" w:ascii="黑体" w:hAnsi="宋体" w:eastAsia="黑体"/>
        </w:rPr>
        <w:t>五、使用地点区域自然环境：</w:t>
      </w:r>
    </w:p>
    <w:p>
      <w:pPr>
        <w:spacing w:line="480" w:lineRule="exact"/>
        <w:ind w:firstLine="420" w:firstLineChars="200"/>
        <w:rPr>
          <w:rFonts w:hint="eastAsia" w:ascii="宋体" w:hAnsi="宋体"/>
        </w:rPr>
      </w:pPr>
      <w:r>
        <w:rPr>
          <w:rFonts w:hint="eastAsia" w:ascii="宋体" w:hAnsi="宋体"/>
          <w:bCs/>
        </w:rPr>
        <w:t>1、海拨高度：1500</w:t>
      </w:r>
      <w:r>
        <w:rPr>
          <w:rFonts w:ascii="宋体" w:hAnsi="宋体"/>
          <w:bCs/>
        </w:rPr>
        <w:t>m</w:t>
      </w:r>
      <w:r>
        <w:rPr>
          <w:rFonts w:hint="eastAsia" w:ascii="宋体" w:hAnsi="宋体"/>
          <w:bCs/>
        </w:rPr>
        <w:t>以下</w:t>
      </w:r>
    </w:p>
    <w:p>
      <w:pPr>
        <w:spacing w:line="480" w:lineRule="exact"/>
        <w:ind w:left="2047" w:leftChars="200" w:hanging="1627" w:hangingChars="775"/>
        <w:rPr>
          <w:rFonts w:hint="eastAsia" w:ascii="宋体" w:hAnsi="宋体"/>
        </w:rPr>
      </w:pPr>
      <w:r>
        <w:rPr>
          <w:rFonts w:hint="eastAsia" w:ascii="宋体" w:hAnsi="宋体"/>
        </w:rPr>
        <w:t>2、环境温度：室外极端最低温度-35℃、极端最高温度 42℃，昼夜最大温差25℃；厂房内温度 5～40℃。</w:t>
      </w:r>
    </w:p>
    <w:p>
      <w:pPr>
        <w:spacing w:line="480" w:lineRule="exact"/>
        <w:ind w:firstLine="420" w:firstLineChars="200"/>
        <w:rPr>
          <w:rFonts w:hint="eastAsia" w:ascii="宋体" w:hAnsi="宋体"/>
        </w:rPr>
      </w:pPr>
      <w:r>
        <w:rPr>
          <w:rFonts w:hint="eastAsia" w:ascii="宋体" w:hAnsi="宋体"/>
        </w:rPr>
        <w:t>3、相对湿度：年平均59%，</w:t>
      </w:r>
      <w:r>
        <w:rPr>
          <w:rFonts w:hint="eastAsia" w:ascii="宋体" w:hAnsi="宋体"/>
          <w:bCs/>
        </w:rPr>
        <w:t>最大95%、最小15%。</w:t>
      </w:r>
    </w:p>
    <w:p>
      <w:pPr>
        <w:spacing w:line="480" w:lineRule="exact"/>
        <w:ind w:firstLine="420" w:firstLineChars="200"/>
        <w:rPr>
          <w:rFonts w:hint="eastAsia" w:ascii="宋体" w:hAnsi="宋体"/>
        </w:rPr>
      </w:pPr>
      <w:r>
        <w:rPr>
          <w:rFonts w:hint="eastAsia" w:ascii="宋体" w:hAnsi="宋体"/>
        </w:rPr>
        <w:t>4、降雨量：日最大降雨量300mm、时最大降雨量100mm。</w:t>
      </w:r>
    </w:p>
    <w:p>
      <w:pPr>
        <w:spacing w:line="480" w:lineRule="exact"/>
        <w:ind w:firstLine="420" w:firstLineChars="200"/>
        <w:rPr>
          <w:rFonts w:hint="eastAsia" w:ascii="宋体" w:hAnsi="宋体"/>
        </w:rPr>
      </w:pPr>
      <w:r>
        <w:rPr>
          <w:rFonts w:hint="eastAsia" w:ascii="宋体" w:hAnsi="宋体"/>
        </w:rPr>
        <w:t>5、最大风速：33.3m/s。</w:t>
      </w:r>
    </w:p>
    <w:p>
      <w:pPr>
        <w:spacing w:line="480" w:lineRule="exact"/>
        <w:ind w:firstLine="420" w:firstLineChars="200"/>
        <w:rPr>
          <w:rFonts w:hint="eastAsia" w:ascii="宋体" w:hAnsi="宋体"/>
        </w:rPr>
      </w:pPr>
      <w:r>
        <w:rPr>
          <w:rFonts w:hint="eastAsia" w:ascii="宋体" w:hAnsi="宋体"/>
        </w:rPr>
        <w:t>6、最大积雪厚度：200mm。</w:t>
      </w:r>
    </w:p>
    <w:p>
      <w:pPr>
        <w:spacing w:line="480" w:lineRule="exact"/>
        <w:ind w:firstLine="420" w:firstLineChars="200"/>
        <w:rPr>
          <w:rFonts w:hint="eastAsia" w:ascii="宋体" w:hAnsi="宋体"/>
        </w:rPr>
      </w:pPr>
      <w:r>
        <w:rPr>
          <w:rFonts w:hint="eastAsia" w:ascii="宋体" w:hAnsi="宋体"/>
        </w:rPr>
        <w:t>7、最大冻土深度：450mm。</w:t>
      </w:r>
    </w:p>
    <w:p>
      <w:pPr>
        <w:spacing w:line="480" w:lineRule="exact"/>
        <w:ind w:firstLine="420" w:firstLineChars="200"/>
        <w:rPr>
          <w:rFonts w:hint="eastAsia" w:ascii="宋体" w:hAnsi="宋体"/>
        </w:rPr>
      </w:pPr>
      <w:r>
        <w:rPr>
          <w:rFonts w:hint="eastAsia" w:ascii="宋体" w:hAnsi="宋体"/>
        </w:rPr>
        <w:t>8、地震设防裂度：七度。</w:t>
      </w:r>
    </w:p>
    <w:p>
      <w:pPr>
        <w:spacing w:line="480" w:lineRule="exact"/>
        <w:ind w:firstLine="420" w:firstLineChars="200"/>
        <w:rPr>
          <w:rFonts w:hint="eastAsia" w:ascii="宋体" w:hAnsi="宋体"/>
        </w:rPr>
      </w:pPr>
      <w:r>
        <w:rPr>
          <w:rFonts w:hint="eastAsia" w:ascii="黑体" w:hAnsi="宋体" w:eastAsia="黑体"/>
        </w:rPr>
        <w:t>六、能源环境：</w:t>
      </w:r>
    </w:p>
    <w:p>
      <w:pPr>
        <w:spacing w:line="480" w:lineRule="exact"/>
        <w:ind w:firstLine="420" w:firstLineChars="200"/>
        <w:rPr>
          <w:rFonts w:hint="eastAsia" w:ascii="宋体" w:hAnsi="宋体"/>
        </w:rPr>
      </w:pPr>
      <w:r>
        <w:rPr>
          <w:rFonts w:hint="eastAsia" w:ascii="宋体" w:hAnsi="宋体"/>
        </w:rPr>
        <w:t>1、电力：中国制式，供电电压</w:t>
      </w:r>
      <w:r>
        <w:rPr>
          <w:rFonts w:ascii="宋体" w:hAnsi="宋体"/>
        </w:rPr>
        <w:t>380V</w:t>
      </w:r>
      <w:r>
        <w:rPr>
          <w:rFonts w:hint="eastAsia" w:ascii="宋体" w:hAnsi="宋体"/>
        </w:rPr>
        <w:t>±</w:t>
      </w:r>
      <w:r>
        <w:rPr>
          <w:rFonts w:ascii="宋体" w:hAnsi="宋体"/>
        </w:rPr>
        <w:t>1</w:t>
      </w:r>
      <w:r>
        <w:rPr>
          <w:rFonts w:hint="eastAsia" w:ascii="宋体" w:hAnsi="宋体"/>
        </w:rPr>
        <w:t>5</w:t>
      </w:r>
      <w:r>
        <w:rPr>
          <w:rFonts w:ascii="宋体" w:hAnsi="宋体"/>
        </w:rPr>
        <w:t>%</w:t>
      </w:r>
      <w:r>
        <w:rPr>
          <w:rFonts w:hint="eastAsia" w:ascii="宋体" w:hAnsi="宋体"/>
        </w:rPr>
        <w:t>/220V±</w:t>
      </w:r>
      <w:r>
        <w:rPr>
          <w:rFonts w:ascii="宋体" w:hAnsi="宋体"/>
        </w:rPr>
        <w:t>1</w:t>
      </w:r>
      <w:r>
        <w:rPr>
          <w:rFonts w:hint="eastAsia" w:ascii="宋体" w:hAnsi="宋体"/>
        </w:rPr>
        <w:t>5</w:t>
      </w:r>
      <w:r>
        <w:rPr>
          <w:rFonts w:ascii="宋体" w:hAnsi="宋体"/>
        </w:rPr>
        <w:t>%</w:t>
      </w:r>
      <w:r>
        <w:rPr>
          <w:rFonts w:hint="eastAsia" w:ascii="宋体" w:hAnsi="宋体"/>
        </w:rPr>
        <w:t>，供电频率</w:t>
      </w:r>
      <w:r>
        <w:rPr>
          <w:rFonts w:ascii="宋体" w:hAnsi="宋体"/>
        </w:rPr>
        <w:t>50Hz</w:t>
      </w:r>
      <w:r>
        <w:rPr>
          <w:rFonts w:hint="eastAsia" w:ascii="宋体" w:hAnsi="宋体"/>
        </w:rPr>
        <w:t>±</w:t>
      </w:r>
      <w:r>
        <w:rPr>
          <w:rFonts w:ascii="宋体" w:hAnsi="宋体"/>
        </w:rPr>
        <w:t>2%</w:t>
      </w:r>
      <w:r>
        <w:rPr>
          <w:rFonts w:hint="eastAsia" w:ascii="宋体" w:hAnsi="宋体"/>
        </w:rPr>
        <w:t>。</w:t>
      </w:r>
    </w:p>
    <w:p>
      <w:pPr>
        <w:spacing w:line="480" w:lineRule="exact"/>
        <w:ind w:firstLine="420" w:firstLineChars="200"/>
        <w:rPr>
          <w:rFonts w:hint="eastAsia" w:ascii="宋体" w:hAnsi="宋体"/>
        </w:rPr>
      </w:pPr>
      <w:r>
        <w:rPr>
          <w:rFonts w:hint="eastAsia" w:ascii="宋体" w:hAnsi="宋体"/>
        </w:rPr>
        <w:t>2、压缩空气：自备空压机自产压缩空气，</w:t>
      </w:r>
      <w:r>
        <w:rPr>
          <w:rFonts w:ascii="宋体" w:hAnsi="宋体"/>
        </w:rPr>
        <w:t>0.</w:t>
      </w:r>
      <w:r>
        <w:rPr>
          <w:rFonts w:hint="eastAsia" w:ascii="宋体" w:hAnsi="宋体"/>
        </w:rPr>
        <w:t>4～0.6</w:t>
      </w:r>
      <w:r>
        <w:rPr>
          <w:rFonts w:ascii="宋体" w:hAnsi="宋体"/>
        </w:rPr>
        <w:t>M</w:t>
      </w:r>
      <w:r>
        <w:rPr>
          <w:rFonts w:hint="eastAsia" w:ascii="宋体" w:hAnsi="宋体"/>
        </w:rPr>
        <w:t>P</w:t>
      </w:r>
      <w:r>
        <w:rPr>
          <w:rFonts w:ascii="宋体" w:hAnsi="宋体"/>
        </w:rPr>
        <w:t>a</w:t>
      </w:r>
      <w:r>
        <w:rPr>
          <w:rFonts w:hint="eastAsia" w:ascii="宋体" w:hAnsi="宋体"/>
        </w:rPr>
        <w:t>。</w:t>
      </w:r>
    </w:p>
    <w:p>
      <w:pPr>
        <w:spacing w:line="480" w:lineRule="exact"/>
        <w:ind w:firstLine="420" w:firstLineChars="200"/>
        <w:rPr>
          <w:rFonts w:hint="eastAsia" w:ascii="宋体" w:hAnsi="宋体"/>
        </w:rPr>
      </w:pPr>
      <w:r>
        <w:rPr>
          <w:rFonts w:hint="eastAsia" w:ascii="宋体" w:hAnsi="宋体"/>
        </w:rPr>
        <w:t>3、给水：市政自来水或软化水，0.2-0.4MPa</w:t>
      </w:r>
    </w:p>
    <w:p>
      <w:pPr>
        <w:spacing w:line="480" w:lineRule="exact"/>
        <w:ind w:firstLine="420" w:firstLineChars="200"/>
        <w:rPr>
          <w:rFonts w:hint="eastAsia" w:ascii="宋体" w:hAnsi="宋体"/>
        </w:rPr>
      </w:pPr>
      <w:r>
        <w:rPr>
          <w:rFonts w:hint="eastAsia" w:ascii="宋体" w:hAnsi="宋体"/>
        </w:rPr>
        <w:t>4、工位照度：不低于500Lx。</w:t>
      </w:r>
    </w:p>
    <w:p>
      <w:pPr>
        <w:spacing w:line="480" w:lineRule="exact"/>
        <w:ind w:firstLine="420" w:firstLineChars="200"/>
        <w:rPr>
          <w:rFonts w:hint="eastAsia" w:ascii="黑体" w:hAnsi="宋体" w:eastAsia="黑体"/>
        </w:rPr>
      </w:pPr>
      <w:r>
        <w:rPr>
          <w:rFonts w:hint="eastAsia" w:ascii="黑体" w:hAnsi="宋体" w:eastAsia="黑体"/>
        </w:rPr>
        <w:t>七、供货范围：</w:t>
      </w:r>
    </w:p>
    <w:p>
      <w:pPr>
        <w:spacing w:line="470" w:lineRule="exact"/>
        <w:ind w:firstLine="480"/>
        <w:rPr>
          <w:rFonts w:ascii="宋体" w:hAnsi="宋体"/>
        </w:rPr>
      </w:pPr>
      <w:r>
        <w:rPr>
          <w:rFonts w:hint="eastAsia" w:ascii="宋体" w:hAnsi="宋体"/>
        </w:rPr>
        <w:t>1.1  招标方只提供所需厂房、货物（或生产线）的砼基础（基础含预埋螺栓、螺母及垫片）。</w:t>
      </w:r>
    </w:p>
    <w:p>
      <w:pPr>
        <w:spacing w:line="470" w:lineRule="exact"/>
        <w:ind w:firstLine="480"/>
        <w:rPr>
          <w:rFonts w:ascii="宋体" w:hAnsi="宋体"/>
        </w:rPr>
      </w:pPr>
      <w:r>
        <w:rPr>
          <w:rFonts w:hint="eastAsia" w:ascii="宋体" w:hAnsi="宋体"/>
        </w:rPr>
        <w:t>1.2  招标方只负责提供符合本技术标书中“采购货物概况”和“使用环境”章节所列明品质的电力、自来水、压缩空气、蒸汽、天然气（或煤气）管线至系统接口。如，供电至系统电力接口的接线端，水、气、汽等供至系统联接法兰外端（不含联接所需螺栓等紧固件和其它必需配件）。</w:t>
      </w:r>
    </w:p>
    <w:p>
      <w:pPr>
        <w:spacing w:line="470" w:lineRule="exact"/>
        <w:ind w:firstLine="480"/>
        <w:rPr>
          <w:rFonts w:hint="eastAsia" w:ascii="宋体" w:hAnsi="宋体"/>
        </w:rPr>
      </w:pPr>
      <w:r>
        <w:rPr>
          <w:rFonts w:hint="eastAsia" w:ascii="宋体" w:hAnsi="宋体"/>
        </w:rPr>
        <w:t>1.3  投标方应提供包括货物（或生产线）正常运行所必需的全套连线设备、材料等；如：联接螺栓之内的、电气系统接口压线板（插座等）之内的设备、材料等。</w:t>
      </w:r>
    </w:p>
    <w:p>
      <w:pPr>
        <w:spacing w:line="470" w:lineRule="exact"/>
        <w:ind w:firstLine="480"/>
        <w:rPr>
          <w:rFonts w:hint="eastAsia" w:ascii="宋体" w:hAnsi="宋体"/>
        </w:rPr>
      </w:pPr>
      <w:r>
        <w:rPr>
          <w:rFonts w:hint="eastAsia" w:ascii="宋体" w:hAnsi="宋体"/>
        </w:rPr>
        <w:t>1.4  投标方应提供包括货物（或生产线）正常运行、使用所必需的桥架、护栏、防护网、盖板等辅助设施。</w:t>
      </w:r>
    </w:p>
    <w:p>
      <w:pPr>
        <w:spacing w:line="470" w:lineRule="exact"/>
        <w:ind w:firstLine="480"/>
        <w:rPr>
          <w:rFonts w:ascii="宋体" w:hAnsi="宋体"/>
        </w:rPr>
      </w:pPr>
      <w:r>
        <w:rPr>
          <w:rFonts w:hint="eastAsia" w:ascii="宋体" w:hAnsi="宋体"/>
        </w:rPr>
        <w:t>1.5  投标方应提供包括为达到环保、消防和劳动安全卫生等国家法律、法规和标准、规范要求的除尘系统、通风系统以及近距离照明系统等配套的设备、材料等。如投标方难以提供或无优势提供，则应当在投标文件的技术偏离条款中，予以详细说明并注明投标报价未包含该部分的货值。</w:t>
      </w:r>
    </w:p>
    <w:p>
      <w:pPr>
        <w:spacing w:line="470" w:lineRule="exact"/>
        <w:ind w:firstLine="480"/>
        <w:rPr>
          <w:rFonts w:ascii="宋体" w:hAnsi="宋体"/>
        </w:rPr>
      </w:pPr>
      <w:r>
        <w:rPr>
          <w:rFonts w:hint="eastAsia" w:ascii="宋体" w:hAnsi="宋体"/>
        </w:rPr>
        <w:t>1.6  投标方应提供包括为保证货物（或生产线）自身正常运行所必需的、适应使用地点条件的通风、冷却、降温系统等。</w:t>
      </w:r>
    </w:p>
    <w:p>
      <w:pPr>
        <w:spacing w:line="470" w:lineRule="exact"/>
        <w:ind w:firstLine="480"/>
        <w:rPr>
          <w:rFonts w:ascii="宋体" w:hAnsi="宋体"/>
        </w:rPr>
      </w:pPr>
      <w:r>
        <w:rPr>
          <w:rFonts w:hint="eastAsia" w:ascii="宋体" w:hAnsi="宋体"/>
        </w:rPr>
        <w:t>1.7  投标方应提供包括为保证货物（或生产线）正常安装、调试和验收完成及以前所必需的整套配件、附件及材料、油料等。如果终验收完成后，投标方有需要收回的配件、附件、材料、油料等，应当在投标文件的技术偏离条款中，予以详细说明；否则视同包括在供货范围之内。</w:t>
      </w:r>
    </w:p>
    <w:p>
      <w:pPr>
        <w:spacing w:line="470" w:lineRule="exact"/>
        <w:ind w:firstLine="480"/>
        <w:rPr>
          <w:rFonts w:ascii="宋体" w:hAnsi="宋体"/>
        </w:rPr>
      </w:pPr>
      <w:r>
        <w:rPr>
          <w:rFonts w:hint="eastAsia" w:ascii="宋体" w:hAnsi="宋体"/>
        </w:rPr>
        <w:t>1.8  投标方应提供货物（或生产线）维修所必需的专用工具，并在投标报价部分说明数量。</w:t>
      </w:r>
    </w:p>
    <w:p>
      <w:pPr>
        <w:spacing w:line="470" w:lineRule="exact"/>
        <w:ind w:firstLine="420" w:firstLineChars="200"/>
        <w:rPr>
          <w:rFonts w:ascii="宋体" w:hAnsi="宋体"/>
        </w:rPr>
      </w:pPr>
      <w:r>
        <w:rPr>
          <w:rFonts w:hint="eastAsia" w:ascii="宋体" w:hAnsi="宋体"/>
        </w:rPr>
        <w:t>2  备品备件、易损件和专用耗材供货范围</w:t>
      </w:r>
    </w:p>
    <w:p>
      <w:pPr>
        <w:spacing w:line="470" w:lineRule="exact"/>
        <w:ind w:firstLine="480"/>
        <w:rPr>
          <w:rFonts w:ascii="宋体" w:hAnsi="宋体"/>
        </w:rPr>
      </w:pPr>
      <w:r>
        <w:rPr>
          <w:rFonts w:hint="eastAsia" w:ascii="宋体" w:hAnsi="宋体"/>
        </w:rPr>
        <w:t>2.1  投标方按照招标文件要求提供、或投标方认为招标方应当储备的备品备件、易损件和专用耗材，投标方应当在投标报价部分分别说明所列备品备件、易损件和专用耗材的使用时间。</w:t>
      </w:r>
    </w:p>
    <w:p>
      <w:pPr>
        <w:spacing w:line="470" w:lineRule="exact"/>
        <w:ind w:firstLine="480"/>
        <w:rPr>
          <w:rFonts w:ascii="宋体" w:hAnsi="宋体"/>
        </w:rPr>
      </w:pPr>
      <w:r>
        <w:rPr>
          <w:rFonts w:hint="eastAsia" w:ascii="宋体" w:hAnsi="宋体"/>
        </w:rPr>
        <w:t>2.2  投标方应提供易损件和专用耗材的制造图纸及其技术要求等资料。</w:t>
      </w:r>
    </w:p>
    <w:p>
      <w:pPr>
        <w:spacing w:line="470" w:lineRule="exact"/>
        <w:ind w:firstLine="480"/>
        <w:rPr>
          <w:rFonts w:ascii="宋体" w:hAnsi="宋体"/>
        </w:rPr>
      </w:pPr>
      <w:r>
        <w:rPr>
          <w:rFonts w:hint="eastAsia" w:ascii="宋体" w:hAnsi="宋体"/>
        </w:rPr>
        <w:t>2.3  投标文件中，应当有备品备件、易损件和专用耗材的详细清单（内容包括名称、型号、规格、单位、数量、生产厂家、单价、总价等）。</w:t>
      </w:r>
    </w:p>
    <w:p>
      <w:pPr>
        <w:spacing w:line="470" w:lineRule="exact"/>
        <w:ind w:firstLine="480"/>
        <w:rPr>
          <w:rFonts w:ascii="宋体" w:hAnsi="宋体"/>
        </w:rPr>
      </w:pPr>
      <w:r>
        <w:rPr>
          <w:rFonts w:hint="eastAsia" w:ascii="宋体" w:hAnsi="宋体"/>
        </w:rPr>
        <w:t>3  技术资料供货范围</w:t>
      </w:r>
    </w:p>
    <w:p>
      <w:pPr>
        <w:spacing w:line="470" w:lineRule="exact"/>
        <w:ind w:firstLine="480"/>
        <w:rPr>
          <w:rFonts w:ascii="宋体" w:hAnsi="宋体"/>
          <w:bCs/>
        </w:rPr>
      </w:pPr>
      <w:r>
        <w:rPr>
          <w:rFonts w:hint="eastAsia" w:ascii="宋体" w:hAnsi="宋体"/>
        </w:rPr>
        <w:t>3.1  投标方须负责在</w:t>
      </w:r>
      <w:r>
        <w:rPr>
          <w:rFonts w:hint="eastAsia" w:ascii="宋体" w:hAnsi="宋体"/>
          <w:bCs/>
        </w:rPr>
        <w:t>合同签订后</w:t>
      </w:r>
      <w:r>
        <w:rPr>
          <w:rFonts w:hint="eastAsia" w:ascii="宋体" w:hAnsi="宋体"/>
          <w:bCs/>
          <w:u w:val="single"/>
          <w:shd w:val="pct10" w:color="auto" w:fill="FFFFFF"/>
        </w:rPr>
        <w:t>5</w:t>
      </w:r>
      <w:r>
        <w:rPr>
          <w:rFonts w:hint="eastAsia" w:ascii="宋体" w:hAnsi="宋体"/>
          <w:bCs/>
        </w:rPr>
        <w:t>个日历日内，提供货物（或生产线）基础及相关的设计、制作所需的纸质及电子版资料；电子版文件应当能够使用常用版本软件可以阅读甚至使用，进口货物、设备应有中外文对照。</w:t>
      </w:r>
    </w:p>
    <w:p>
      <w:pPr>
        <w:spacing w:line="470" w:lineRule="exact"/>
        <w:ind w:firstLine="480"/>
        <w:rPr>
          <w:rFonts w:ascii="宋体" w:hAnsi="宋体"/>
        </w:rPr>
      </w:pPr>
      <w:r>
        <w:rPr>
          <w:rFonts w:hint="eastAsia" w:ascii="宋体" w:hAnsi="宋体"/>
          <w:bCs/>
        </w:rPr>
        <w:t>3.2  投标方应同时提出</w:t>
      </w:r>
      <w:r>
        <w:rPr>
          <w:rFonts w:hint="eastAsia" w:ascii="宋体" w:hAnsi="宋体"/>
        </w:rPr>
        <w:t>对厂房、基础、公用设施、消防、环保等超出招标文件、投标文件、答疑文件、技术交流文件、技术协议书和合同等规定的、有特殊需要的解释、说明和要求。</w:t>
      </w:r>
    </w:p>
    <w:p>
      <w:pPr>
        <w:spacing w:line="470" w:lineRule="exact"/>
        <w:ind w:firstLine="480"/>
        <w:rPr>
          <w:rFonts w:ascii="宋体" w:hAnsi="宋体"/>
        </w:rPr>
      </w:pPr>
      <w:r>
        <w:rPr>
          <w:rFonts w:hint="eastAsia" w:ascii="宋体" w:hAnsi="宋体"/>
        </w:rPr>
        <w:t>3.3  投标方须负责在验收前，</w:t>
      </w:r>
      <w:r>
        <w:rPr>
          <w:rFonts w:hint="eastAsia" w:ascii="宋体" w:hAnsi="宋体"/>
          <w:bCs/>
        </w:rPr>
        <w:t>提供货物（或生产线）各部分的功能描述文件、图片、影像等资料（进口设备应有中外文对照）。</w:t>
      </w:r>
    </w:p>
    <w:p>
      <w:pPr>
        <w:spacing w:line="470" w:lineRule="exact"/>
        <w:ind w:firstLine="480"/>
        <w:rPr>
          <w:rFonts w:ascii="宋体" w:hAnsi="宋体"/>
        </w:rPr>
      </w:pPr>
      <w:r>
        <w:rPr>
          <w:rFonts w:hint="eastAsia" w:ascii="宋体" w:hAnsi="宋体"/>
        </w:rPr>
        <w:t>3.4  投标方须负责在终验收前，提供招标方为保证货物（或生产线）正常运行所需后续自制的工装、吊（挂）具明细及其图纸、具体技术要求等资料（如果供货范围包含该部分实物）。</w:t>
      </w:r>
    </w:p>
    <w:p>
      <w:pPr>
        <w:spacing w:line="470" w:lineRule="exact"/>
        <w:ind w:firstLine="480"/>
        <w:rPr>
          <w:rFonts w:hint="eastAsia" w:ascii="宋体" w:hAnsi="宋体" w:eastAsia="宋体" w:cs="Times New Roman"/>
        </w:rPr>
      </w:pPr>
      <w:r>
        <w:rPr>
          <w:rFonts w:hint="eastAsia" w:ascii="宋体" w:hAnsi="宋体" w:eastAsia="宋体" w:cs="Times New Roman"/>
        </w:rPr>
        <w:t>3.5  投标方须负责在交货之前，提供确定的而且质保期之后招标方维修所需要的、可以自行采购的外购件、外协件、电气元件及主要原材料的供货厂家明细表。</w:t>
      </w:r>
    </w:p>
    <w:p>
      <w:pPr>
        <w:spacing w:line="470" w:lineRule="exact"/>
        <w:ind w:firstLine="480"/>
        <w:rPr>
          <w:rFonts w:hint="eastAsia" w:ascii="宋体" w:hAnsi="宋体" w:eastAsia="宋体" w:cs="Times New Roman"/>
        </w:rPr>
      </w:pPr>
      <w:r>
        <w:rPr>
          <w:rFonts w:hint="eastAsia" w:ascii="宋体" w:hAnsi="宋体" w:eastAsia="宋体" w:cs="Times New Roman"/>
        </w:rPr>
        <w:t>3.6  投标方须负责在终验收后、终验收后的第一笔货款支付日之前，提供包括货物（或生产线）的备品备件、易损件和专用耗材规定的图纸及技术参数、技术要求等资料。</w:t>
      </w:r>
    </w:p>
    <w:p>
      <w:pPr>
        <w:spacing w:line="470" w:lineRule="exact"/>
        <w:ind w:firstLine="480"/>
        <w:rPr>
          <w:rFonts w:hint="eastAsia" w:ascii="宋体" w:hAnsi="宋体" w:eastAsia="宋体" w:cs="Times New Roman"/>
        </w:rPr>
      </w:pPr>
      <w:r>
        <w:rPr>
          <w:rFonts w:hint="eastAsia" w:ascii="宋体" w:hAnsi="宋体" w:eastAsia="宋体" w:cs="Times New Roman"/>
        </w:rPr>
        <w:t>3.7  投标方须负责在终验收后、终验收后的第一笔货款支付日之前，提供关于采购货物（或生产线）的操作维护手册、保养维修手册、安全注意事项等的使用说明书、仪器仪表检定和使用维修说明书、合格证、产品样本等技术资料（含图片和影像等资料）；对于进口设备，应有中外文资料说明。</w:t>
      </w:r>
    </w:p>
    <w:p>
      <w:pPr>
        <w:spacing w:line="470" w:lineRule="exact"/>
        <w:ind w:firstLine="480"/>
        <w:rPr>
          <w:rFonts w:hint="eastAsia" w:ascii="宋体" w:hAnsi="宋体" w:eastAsia="宋体" w:cs="Times New Roman"/>
        </w:rPr>
      </w:pPr>
      <w:r>
        <w:rPr>
          <w:rFonts w:hint="eastAsia" w:ascii="宋体" w:hAnsi="宋体" w:eastAsia="宋体" w:cs="Times New Roman"/>
        </w:rPr>
        <w:t>3.8  投标方须负责在终验收后、终验收后的第一笔货款支付日之前，提供关于采购货物（或生产线）的电气资料（包括接线图、原理图、布线图、梯形图等）、液压（气动）原理图和系统图、安装基础图、维修图等有关的资料（含图片和影像等资料）；非标准货物（或生产线）还应当提供设计总图、全线布置图等详细资料；对于进口设备，应有中外文资料说明。</w:t>
      </w:r>
    </w:p>
    <w:p>
      <w:pPr>
        <w:spacing w:line="470" w:lineRule="exact"/>
        <w:ind w:firstLine="480"/>
        <w:rPr>
          <w:rFonts w:hint="eastAsia" w:ascii="宋体" w:hAnsi="宋体" w:eastAsia="宋体" w:cs="Times New Roman"/>
        </w:rPr>
      </w:pPr>
      <w:r>
        <w:rPr>
          <w:rFonts w:hint="eastAsia" w:ascii="宋体" w:hAnsi="宋体" w:eastAsia="宋体" w:cs="Times New Roman"/>
        </w:rPr>
        <w:t>3.9  本条款所列的技术资料、图片、影像等，投标方应各提供5套，其中1套为电子版光（软）盘；每份技术文件应装有目录清单。</w:t>
      </w:r>
    </w:p>
    <w:p>
      <w:pPr>
        <w:spacing w:line="470" w:lineRule="exact"/>
        <w:ind w:firstLine="480"/>
        <w:rPr>
          <w:rFonts w:hint="eastAsia" w:ascii="宋体" w:hAnsi="宋体" w:eastAsia="宋体" w:cs="Times New Roman"/>
        </w:rPr>
      </w:pPr>
      <w:r>
        <w:rPr>
          <w:rFonts w:hint="eastAsia" w:ascii="宋体" w:hAnsi="宋体" w:eastAsia="宋体" w:cs="Times New Roman"/>
        </w:rPr>
        <w:t>3.10  本条款所列要求，如招标方认为投标方提供的资料不能满足要求时，有权要求投标方免费补充或增加。</w:t>
      </w:r>
    </w:p>
    <w:p>
      <w:pPr>
        <w:spacing w:line="480" w:lineRule="exact"/>
        <w:rPr>
          <w:rFonts w:hint="eastAsia" w:ascii="宋体" w:hAnsi="宋体"/>
        </w:rPr>
      </w:pPr>
    </w:p>
    <w:p>
      <w:pPr>
        <w:pStyle w:val="5"/>
        <w:spacing w:before="120" w:after="120" w:line="480" w:lineRule="exact"/>
        <w:jc w:val="center"/>
        <w:rPr>
          <w:rFonts w:hint="eastAsia"/>
          <w:b w:val="0"/>
          <w:sz w:val="24"/>
          <w:szCs w:val="24"/>
        </w:rPr>
      </w:pPr>
      <w:bookmarkStart w:id="99" w:name="_Toc137705867"/>
      <w:bookmarkStart w:id="100" w:name="_Toc19068"/>
      <w:bookmarkStart w:id="101" w:name="_Toc13018"/>
      <w:bookmarkStart w:id="102" w:name="_Toc27088"/>
      <w:bookmarkStart w:id="103" w:name="_Toc9838"/>
      <w:r>
        <w:rPr>
          <w:rFonts w:hint="eastAsia"/>
          <w:b w:val="0"/>
          <w:sz w:val="24"/>
          <w:szCs w:val="24"/>
        </w:rPr>
        <w:t>第二节  采购货物概况</w:t>
      </w:r>
      <w:bookmarkEnd w:id="99"/>
      <w:bookmarkEnd w:id="100"/>
      <w:bookmarkEnd w:id="101"/>
      <w:bookmarkEnd w:id="102"/>
      <w:bookmarkEnd w:id="103"/>
    </w:p>
    <w:p>
      <w:pPr>
        <w:spacing w:line="480" w:lineRule="exact"/>
        <w:ind w:firstLine="420" w:firstLineChars="200"/>
        <w:jc w:val="left"/>
        <w:rPr>
          <w:rFonts w:hint="eastAsia" w:ascii="宋体" w:hAnsi="宋体"/>
        </w:rPr>
      </w:pPr>
      <w:r>
        <w:rPr>
          <w:rFonts w:hint="eastAsia" w:ascii="黑体" w:hAnsi="宋体" w:eastAsia="黑体"/>
        </w:rPr>
        <w:t>一、设备名称：</w:t>
      </w:r>
      <w:r>
        <w:rPr>
          <w:rFonts w:hint="eastAsia" w:ascii="宋体" w:hAnsi="宋体"/>
          <w:u w:val="single"/>
          <w:shd w:val="pct10" w:color="auto" w:fill="FFFFFF"/>
        </w:rPr>
        <w:t>电动</w:t>
      </w:r>
      <w:r>
        <w:rPr>
          <w:rFonts w:hint="eastAsia" w:ascii="宋体" w:hAnsi="宋体"/>
          <w:u w:val="single"/>
          <w:shd w:val="pct10" w:color="auto" w:fill="FFFFFF"/>
          <w:lang w:val="en-US" w:eastAsia="zh-CN"/>
        </w:rPr>
        <w:t>拧紧</w:t>
      </w:r>
      <w:r>
        <w:rPr>
          <w:rFonts w:hint="eastAsia" w:ascii="宋体" w:hAnsi="宋体"/>
          <w:u w:val="single"/>
          <w:shd w:val="pct10" w:color="auto" w:fill="FFFFFF"/>
        </w:rPr>
        <w:t>工具</w:t>
      </w:r>
      <w:r>
        <w:rPr>
          <w:rFonts w:hint="eastAsia" w:ascii="宋体" w:hAnsi="宋体"/>
        </w:rPr>
        <w:t>（详见下表）</w:t>
      </w:r>
    </w:p>
    <w:p>
      <w:pPr>
        <w:spacing w:line="480" w:lineRule="exact"/>
        <w:ind w:firstLine="420" w:firstLineChars="200"/>
        <w:rPr>
          <w:rFonts w:hint="eastAsia" w:ascii="宋体" w:hAnsi="宋体"/>
        </w:rPr>
      </w:pPr>
      <w:r>
        <w:rPr>
          <w:rFonts w:hint="eastAsia" w:ascii="黑体" w:hAnsi="宋体" w:eastAsia="黑体"/>
        </w:rPr>
        <w:t>二、设备数量：</w:t>
      </w:r>
      <w:r>
        <w:rPr>
          <w:rFonts w:hint="eastAsia" w:ascii="宋体" w:hAnsi="宋体"/>
          <w:u w:val="single"/>
          <w:shd w:val="pct10" w:color="auto" w:fill="FFFFFF"/>
        </w:rPr>
        <w:t xml:space="preserve"> </w:t>
      </w:r>
      <w:r>
        <w:rPr>
          <w:rFonts w:hint="eastAsia" w:ascii="宋体" w:hAnsi="宋体"/>
          <w:u w:val="single"/>
          <w:shd w:val="pct10" w:color="auto" w:fill="FFFFFF"/>
          <w:lang w:val="en-US" w:eastAsia="zh-CN"/>
        </w:rPr>
        <w:t>4</w:t>
      </w:r>
      <w:r>
        <w:rPr>
          <w:rFonts w:hint="eastAsia" w:ascii="宋体" w:hAnsi="宋体"/>
          <w:u w:val="single"/>
          <w:shd w:val="pct10" w:color="auto" w:fill="FFFFFF"/>
        </w:rPr>
        <w:t xml:space="preserve">套                                        </w:t>
      </w:r>
      <w:r>
        <w:rPr>
          <w:rFonts w:hint="eastAsia" w:ascii="宋体" w:hAnsi="宋体"/>
        </w:rPr>
        <w:t>（详见下表）</w:t>
      </w:r>
    </w:p>
    <w:p>
      <w:pPr>
        <w:spacing w:line="560" w:lineRule="exact"/>
        <w:ind w:firstLine="420" w:firstLineChars="200"/>
        <w:rPr>
          <w:rFonts w:hint="eastAsia"/>
        </w:rPr>
      </w:pPr>
      <w:r>
        <w:rPr>
          <w:rFonts w:hint="eastAsia" w:ascii="黑体" w:hAnsi="宋体" w:eastAsia="黑体"/>
        </w:rPr>
        <w:t>三、分投分中：</w:t>
      </w:r>
      <w:r>
        <w:rPr>
          <w:rFonts w:hint="eastAsia" w:ascii="宋体" w:hAnsi="宋体"/>
        </w:rPr>
        <w:t>不允许。</w:t>
      </w:r>
    </w:p>
    <w:p>
      <w:pPr>
        <w:widowControl/>
        <w:ind w:firstLine="2100" w:firstLineChars="1000"/>
        <w:rPr>
          <w:rFonts w:hint="eastAsia" w:ascii="宋体" w:hAnsi="宋体"/>
        </w:rPr>
      </w:pPr>
      <w:r>
        <w:rPr>
          <w:rFonts w:hint="eastAsia" w:ascii="宋体" w:hAnsi="宋体"/>
        </w:rPr>
        <w:t>采购货物主要构成一览表</w:t>
      </w:r>
    </w:p>
    <w:tbl>
      <w:tblPr>
        <w:tblStyle w:val="41"/>
        <w:tblW w:w="8071" w:type="dxa"/>
        <w:tblInd w:w="96" w:type="dxa"/>
        <w:tblLayout w:type="fixed"/>
        <w:tblCellMar>
          <w:top w:w="0" w:type="dxa"/>
          <w:left w:w="108" w:type="dxa"/>
          <w:bottom w:w="0" w:type="dxa"/>
          <w:right w:w="108" w:type="dxa"/>
        </w:tblCellMar>
      </w:tblPr>
      <w:tblGrid>
        <w:gridCol w:w="745"/>
        <w:gridCol w:w="4263"/>
        <w:gridCol w:w="642"/>
        <w:gridCol w:w="1777"/>
        <w:gridCol w:w="644"/>
      </w:tblGrid>
      <w:tr>
        <w:tblPrEx>
          <w:tblCellMar>
            <w:top w:w="0" w:type="dxa"/>
            <w:left w:w="108" w:type="dxa"/>
            <w:bottom w:w="0" w:type="dxa"/>
            <w:right w:w="108" w:type="dxa"/>
          </w:tblCellMar>
        </w:tblPrEx>
        <w:trPr>
          <w:trHeight w:val="340" w:hRule="atLeast"/>
        </w:trPr>
        <w:tc>
          <w:tcPr>
            <w:tcW w:w="74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b/>
                <w:bCs/>
                <w:color w:val="000000"/>
                <w:sz w:val="20"/>
                <w:szCs w:val="20"/>
              </w:rPr>
            </w:pPr>
          </w:p>
        </w:tc>
        <w:tc>
          <w:tcPr>
            <w:tcW w:w="426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项目名称</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数量</w:t>
            </w:r>
          </w:p>
        </w:tc>
        <w:tc>
          <w:tcPr>
            <w:tcW w:w="1777"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000000"/>
                <w:kern w:val="0"/>
                <w:sz w:val="20"/>
                <w:szCs w:val="20"/>
                <w:lang w:bidi="ar"/>
              </w:rPr>
            </w:pPr>
            <w:r>
              <w:rPr>
                <w:rFonts w:hint="eastAsia" w:ascii="宋体" w:hAnsi="宋体" w:cs="宋体"/>
                <w:b/>
                <w:bCs/>
                <w:color w:val="000000"/>
                <w:kern w:val="0"/>
                <w:sz w:val="20"/>
                <w:szCs w:val="20"/>
              </w:rPr>
              <w:t>安装地点/服务对象</w:t>
            </w:r>
          </w:p>
        </w:tc>
        <w:tc>
          <w:tcPr>
            <w:tcW w:w="64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b/>
                <w:bCs/>
                <w:color w:val="000000"/>
                <w:kern w:val="0"/>
                <w:sz w:val="20"/>
                <w:szCs w:val="20"/>
                <w:lang w:bidi="ar"/>
              </w:rPr>
            </w:pPr>
            <w:r>
              <w:rPr>
                <w:rFonts w:hint="eastAsia" w:ascii="宋体" w:hAnsi="宋体" w:cs="宋体"/>
                <w:b/>
                <w:bCs/>
                <w:color w:val="000000"/>
                <w:kern w:val="0"/>
                <w:sz w:val="20"/>
                <w:szCs w:val="20"/>
                <w:lang w:bidi="ar"/>
              </w:rPr>
              <w:t>供货方式</w:t>
            </w:r>
          </w:p>
        </w:tc>
      </w:tr>
      <w:tr>
        <w:tblPrEx>
          <w:tblCellMar>
            <w:top w:w="0" w:type="dxa"/>
            <w:left w:w="108" w:type="dxa"/>
            <w:bottom w:w="0" w:type="dxa"/>
            <w:right w:w="108" w:type="dxa"/>
          </w:tblCellMar>
        </w:tblPrEx>
        <w:trPr>
          <w:trHeight w:val="311" w:hRule="atLeast"/>
        </w:trPr>
        <w:tc>
          <w:tcPr>
            <w:tcW w:w="74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一</w:t>
            </w:r>
          </w:p>
        </w:tc>
        <w:tc>
          <w:tcPr>
            <w:tcW w:w="4263"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default" w:ascii="宋体" w:hAnsi="宋体" w:eastAsia="宋体" w:cs="宋体"/>
                <w:color w:val="000000"/>
                <w:sz w:val="20"/>
                <w:szCs w:val="20"/>
                <w:lang w:val="en-US" w:eastAsia="zh-CN"/>
              </w:rPr>
            </w:pPr>
            <w:r>
              <w:rPr>
                <w:rFonts w:hint="default" w:ascii="宋体" w:hAnsi="宋体" w:eastAsia="宋体" w:cs="宋体"/>
                <w:color w:val="000000"/>
                <w:sz w:val="20"/>
                <w:szCs w:val="20"/>
                <w:lang w:val="en-US" w:eastAsia="zh-CN"/>
              </w:rPr>
              <w:t>手持装配拧紧工具</w:t>
            </w:r>
            <w:r>
              <w:rPr>
                <w:rFonts w:hint="eastAsia" w:ascii="宋体" w:hAnsi="宋体" w:eastAsia="宋体" w:cs="宋体"/>
                <w:color w:val="000000"/>
                <w:sz w:val="20"/>
                <w:szCs w:val="20"/>
                <w:lang w:val="en-US" w:eastAsia="zh-CN"/>
              </w:rPr>
              <w:t>项目分包一</w:t>
            </w:r>
          </w:p>
        </w:tc>
        <w:tc>
          <w:tcPr>
            <w:tcW w:w="642"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4</w:t>
            </w:r>
          </w:p>
        </w:tc>
        <w:tc>
          <w:tcPr>
            <w:tcW w:w="1777"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杭州发动机公司</w:t>
            </w:r>
          </w:p>
        </w:tc>
        <w:tc>
          <w:tcPr>
            <w:tcW w:w="644"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hint="eastAsia" w:ascii="宋体" w:hAnsi="宋体" w:cs="宋体"/>
                <w:color w:val="000000"/>
                <w:kern w:val="0"/>
                <w:sz w:val="20"/>
                <w:szCs w:val="20"/>
                <w:lang w:bidi="ar"/>
              </w:rPr>
            </w:pPr>
            <w:r>
              <w:rPr>
                <w:rFonts w:hint="eastAsia" w:ascii="宋体" w:hAnsi="宋体" w:cs="宋体"/>
                <w:kern w:val="0"/>
                <w:sz w:val="18"/>
                <w:szCs w:val="18"/>
              </w:rPr>
              <w:t>交钥匙</w:t>
            </w:r>
          </w:p>
        </w:tc>
      </w:tr>
      <w:tr>
        <w:tblPrEx>
          <w:tblCellMar>
            <w:top w:w="0" w:type="dxa"/>
            <w:left w:w="108" w:type="dxa"/>
            <w:bottom w:w="0" w:type="dxa"/>
            <w:right w:w="108" w:type="dxa"/>
          </w:tblCellMar>
        </w:tblPrEx>
        <w:trPr>
          <w:trHeight w:val="90" w:hRule="atLeast"/>
        </w:trPr>
        <w:tc>
          <w:tcPr>
            <w:tcW w:w="500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合计</w:t>
            </w:r>
            <w:r>
              <w:rPr>
                <w:rFonts w:hint="eastAsia" w:ascii="宋体" w:hAnsi="宋体" w:cs="宋体"/>
                <w:color w:val="000000"/>
                <w:sz w:val="20"/>
                <w:szCs w:val="20"/>
              </w:rPr>
              <w:t xml:space="preserve"> </w:t>
            </w:r>
          </w:p>
        </w:tc>
        <w:tc>
          <w:tcPr>
            <w:tcW w:w="642"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eastAsia="宋体" w:cs="宋体"/>
                <w:color w:val="000000"/>
                <w:sz w:val="20"/>
                <w:szCs w:val="20"/>
                <w:lang w:eastAsia="zh-CN"/>
              </w:rPr>
            </w:pPr>
            <w:r>
              <w:rPr>
                <w:rFonts w:hint="eastAsia" w:ascii="宋体" w:hAnsi="宋体" w:eastAsia="宋体" w:cs="宋体"/>
                <w:color w:val="000000"/>
                <w:kern w:val="0"/>
                <w:sz w:val="20"/>
                <w:szCs w:val="20"/>
                <w:lang w:val="en-US" w:eastAsia="zh-CN" w:bidi="ar"/>
              </w:rPr>
              <w:t>4</w:t>
            </w:r>
          </w:p>
        </w:tc>
        <w:tc>
          <w:tcPr>
            <w:tcW w:w="1777"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cs="宋体"/>
                <w:color w:val="000000"/>
                <w:kern w:val="0"/>
                <w:sz w:val="20"/>
                <w:szCs w:val="20"/>
                <w:lang w:bidi="ar"/>
              </w:rPr>
            </w:pPr>
          </w:p>
        </w:tc>
        <w:tc>
          <w:tcPr>
            <w:tcW w:w="644"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cs="宋体"/>
                <w:color w:val="000000"/>
                <w:kern w:val="0"/>
                <w:sz w:val="20"/>
                <w:szCs w:val="20"/>
                <w:lang w:bidi="ar"/>
              </w:rPr>
            </w:pPr>
          </w:p>
        </w:tc>
      </w:tr>
    </w:tbl>
    <w:p>
      <w:pPr>
        <w:spacing w:line="470" w:lineRule="exact"/>
        <w:ind w:firstLine="480"/>
        <w:rPr>
          <w:rFonts w:hint="eastAsia" w:ascii="宋体" w:hAnsi="宋体" w:eastAsia="宋体" w:cs="Times New Roman"/>
        </w:rPr>
      </w:pPr>
      <w:r>
        <w:rPr>
          <w:rFonts w:hint="eastAsia" w:ascii="宋体" w:hAnsi="宋体" w:eastAsia="宋体" w:cs="Times New Roman"/>
        </w:rPr>
        <w:t>备注：</w:t>
      </w:r>
      <w:bookmarkStart w:id="104" w:name="_Toc137705868"/>
    </w:p>
    <w:p>
      <w:pPr>
        <w:spacing w:line="470" w:lineRule="exact"/>
        <w:ind w:firstLine="480"/>
        <w:rPr>
          <w:rFonts w:hint="eastAsia" w:ascii="宋体" w:hAnsi="宋体" w:eastAsia="宋体" w:cs="Times New Roman"/>
        </w:rPr>
      </w:pPr>
      <w:r>
        <w:rPr>
          <w:rFonts w:hint="eastAsia" w:ascii="宋体" w:hAnsi="宋体" w:eastAsia="宋体" w:cs="Times New Roman"/>
        </w:rPr>
        <w:t>1.本表所列采购货物仅为货物（或生产线）的主要构成部分，应包含配套供货以及招标方所列其它货物（或设备）和服务，请投标方认真阅读“供货范围”。若有异议，不管是多么微小，都应在投标文件“商务偏离”章节中予以详细说明。</w:t>
      </w:r>
    </w:p>
    <w:p>
      <w:pPr>
        <w:spacing w:line="470" w:lineRule="exact"/>
        <w:ind w:firstLine="480"/>
        <w:rPr>
          <w:rFonts w:hint="eastAsia" w:ascii="宋体" w:hAnsi="宋体" w:eastAsia="宋体" w:cs="Times New Roman"/>
        </w:rPr>
      </w:pPr>
      <w:r>
        <w:rPr>
          <w:rFonts w:hint="eastAsia" w:ascii="宋体" w:hAnsi="宋体" w:eastAsia="宋体" w:cs="Times New Roman"/>
        </w:rPr>
        <w:t>2.本表“供货方式”指：交钥匙方式——包括设计、制造、运输、安装、调试和验收直到交付使用以及培训等。</w:t>
      </w:r>
    </w:p>
    <w:p>
      <w:pPr>
        <w:spacing w:line="470" w:lineRule="exact"/>
        <w:ind w:firstLine="480"/>
        <w:rPr>
          <w:rFonts w:hint="eastAsia" w:ascii="宋体" w:hAnsi="宋体" w:eastAsia="宋体" w:cs="Times New Roman"/>
        </w:rPr>
      </w:pPr>
      <w:r>
        <w:rPr>
          <w:rFonts w:hint="eastAsia" w:ascii="宋体" w:hAnsi="宋体" w:eastAsia="宋体" w:cs="Times New Roman"/>
        </w:rPr>
        <w:t>3.以上内容仅对设备的基本功能进行了描述和建议，表中所列内容仅供参考，投标方投标前需对生产现场工艺环境进行充分调研与了解，确保投标方案满足工艺、产品、节拍、功能等要求，投标方对投标方案负责。</w:t>
      </w:r>
    </w:p>
    <w:p>
      <w:pPr>
        <w:spacing w:line="470" w:lineRule="exact"/>
        <w:ind w:firstLine="480"/>
        <w:rPr>
          <w:rFonts w:hint="eastAsia" w:ascii="宋体" w:hAnsi="宋体" w:eastAsia="宋体" w:cs="Times New Roman"/>
        </w:rPr>
      </w:pPr>
      <w:r>
        <w:rPr>
          <w:rFonts w:hint="eastAsia" w:ascii="宋体" w:hAnsi="宋体" w:eastAsia="宋体" w:cs="Times New Roman"/>
        </w:rPr>
        <w:t>4.投标方需提供各分包报价总价及明细及所有分包总报价。</w:t>
      </w:r>
    </w:p>
    <w:p>
      <w:pPr>
        <w:overflowPunct w:val="0"/>
        <w:spacing w:line="360" w:lineRule="auto"/>
        <w:ind w:firstLine="420" w:firstLineChars="200"/>
        <w:rPr>
          <w:rFonts w:ascii="宋体" w:hAnsi="宋体" w:cs="宋体"/>
          <w:b/>
        </w:rPr>
      </w:pPr>
      <w:r>
        <w:rPr>
          <w:rFonts w:hint="eastAsia" w:ascii="宋体" w:hAnsi="宋体" w:cs="宋体"/>
          <w:b/>
        </w:rPr>
        <w:t>四、采购货物特别说明</w:t>
      </w:r>
    </w:p>
    <w:p>
      <w:pPr>
        <w:overflowPunct w:val="0"/>
        <w:spacing w:line="360" w:lineRule="auto"/>
        <w:ind w:firstLine="420" w:firstLineChars="200"/>
        <w:rPr>
          <w:rFonts w:hint="eastAsia"/>
          <w:sz w:val="21"/>
          <w:szCs w:val="21"/>
        </w:rPr>
      </w:pPr>
      <w:r>
        <w:rPr>
          <w:rFonts w:hint="eastAsia" w:ascii="宋体" w:hAnsi="宋体" w:cs="宋体"/>
        </w:rPr>
        <w:t>招标人所列货物的名称和规格型号，如为某一供应商所特有，则该名称和规格型号可作参考，但要求投标人所提供的货物必须满足本技术标书实质性要求</w:t>
      </w:r>
      <w:r>
        <w:rPr>
          <w:rFonts w:hint="eastAsia" w:ascii="宋体" w:hAnsi="宋体"/>
          <w:szCs w:val="20"/>
        </w:rPr>
        <w:t>。</w:t>
      </w:r>
    </w:p>
    <w:p>
      <w:pPr>
        <w:pStyle w:val="3"/>
        <w:spacing w:before="120" w:after="120"/>
        <w:jc w:val="center"/>
        <w:rPr>
          <w:rFonts w:hint="eastAsia" w:ascii="黑体" w:eastAsia="黑体"/>
          <w:sz w:val="24"/>
          <w:szCs w:val="24"/>
        </w:rPr>
      </w:pPr>
      <w:bookmarkStart w:id="105" w:name="_Toc17328"/>
      <w:bookmarkStart w:id="106" w:name="_Toc32262"/>
      <w:r>
        <w:rPr>
          <w:rFonts w:hint="eastAsia" w:ascii="黑体" w:eastAsia="黑体"/>
          <w:sz w:val="24"/>
          <w:szCs w:val="24"/>
        </w:rPr>
        <w:t>第二章  技术要求</w:t>
      </w:r>
      <w:bookmarkEnd w:id="104"/>
      <w:bookmarkEnd w:id="105"/>
      <w:bookmarkEnd w:id="106"/>
    </w:p>
    <w:p>
      <w:pPr>
        <w:spacing w:line="480" w:lineRule="exact"/>
        <w:ind w:firstLine="420" w:firstLineChars="200"/>
        <w:rPr>
          <w:rFonts w:hint="eastAsia" w:ascii="黑体" w:hAnsi="宋体" w:eastAsia="黑体"/>
        </w:rPr>
      </w:pPr>
      <w:r>
        <w:rPr>
          <w:rFonts w:hint="eastAsia" w:ascii="黑体" w:hAnsi="宋体" w:eastAsia="黑体"/>
        </w:rPr>
        <w:t>一、基本要求</w:t>
      </w:r>
    </w:p>
    <w:p>
      <w:pPr>
        <w:spacing w:line="480" w:lineRule="exact"/>
        <w:ind w:firstLine="420" w:firstLineChars="200"/>
        <w:rPr>
          <w:rFonts w:hint="eastAsia" w:ascii="宋体" w:hAnsi="宋体"/>
        </w:rPr>
      </w:pPr>
      <w:r>
        <w:rPr>
          <w:rFonts w:hint="eastAsia" w:ascii="宋体" w:hAnsi="宋体"/>
        </w:rPr>
        <w:t>1、投标方所供的设备，必须符合中国最新版的法律、法规和相关标准、规范的要求，符合项目所在地政府有关特殊要求。</w:t>
      </w:r>
    </w:p>
    <w:p>
      <w:pPr>
        <w:spacing w:line="480" w:lineRule="exact"/>
        <w:ind w:firstLine="420" w:firstLineChars="200"/>
        <w:rPr>
          <w:rFonts w:hint="eastAsia" w:ascii="宋体" w:hAnsi="宋体"/>
        </w:rPr>
      </w:pPr>
      <w:r>
        <w:rPr>
          <w:rFonts w:hint="eastAsia" w:ascii="宋体" w:hAnsi="宋体"/>
        </w:rPr>
        <w:t>2、投标方所供设备涉及的专利权技术以及知识产权保护的其它技术等，应保证招标方不因此受到任何侵权指控以及实际损失。</w:t>
      </w:r>
    </w:p>
    <w:p>
      <w:pPr>
        <w:spacing w:line="480" w:lineRule="exact"/>
        <w:ind w:firstLine="420" w:firstLineChars="200"/>
        <w:rPr>
          <w:rFonts w:hint="eastAsia" w:ascii="宋体" w:hAnsi="宋体"/>
        </w:rPr>
      </w:pPr>
      <w:r>
        <w:rPr>
          <w:rFonts w:hint="eastAsia" w:ascii="宋体" w:hAnsi="宋体"/>
        </w:rPr>
        <w:t>3、投标方应保证所供设备的先进性、可靠性、经济性和实用性，并为全新设备。</w:t>
      </w:r>
    </w:p>
    <w:p>
      <w:pPr>
        <w:spacing w:line="480" w:lineRule="exact"/>
        <w:ind w:firstLine="420" w:firstLineChars="200"/>
        <w:rPr>
          <w:rFonts w:hint="eastAsia" w:ascii="宋体" w:hAnsi="宋体"/>
        </w:rPr>
      </w:pPr>
      <w:r>
        <w:rPr>
          <w:rFonts w:hint="eastAsia" w:ascii="宋体" w:hAnsi="宋体"/>
        </w:rPr>
        <w:t>4、投标方应满足招标方提出的各项技术要求，必要时应当免费提供技术承诺或担保。</w:t>
      </w:r>
    </w:p>
    <w:p>
      <w:pPr>
        <w:spacing w:line="480" w:lineRule="exact"/>
        <w:ind w:firstLine="420" w:firstLineChars="200"/>
        <w:rPr>
          <w:rFonts w:hint="eastAsia" w:ascii="宋体" w:hAnsi="宋体"/>
        </w:rPr>
      </w:pPr>
      <w:r>
        <w:rPr>
          <w:rFonts w:hint="eastAsia" w:ascii="宋体" w:hAnsi="宋体"/>
        </w:rPr>
        <w:t>5、投标方应保证所供设备为中国公布的非淘汰设备，并为中国指定或规定的主管部门认可的环保型和节能型设备。</w:t>
      </w:r>
    </w:p>
    <w:p>
      <w:pPr>
        <w:spacing w:line="480" w:lineRule="exact"/>
        <w:ind w:firstLine="420" w:firstLineChars="200"/>
        <w:rPr>
          <w:rFonts w:hint="eastAsia" w:ascii="宋体" w:hAnsi="宋体"/>
        </w:rPr>
      </w:pPr>
      <w:r>
        <w:rPr>
          <w:rFonts w:hint="eastAsia" w:ascii="宋体" w:hAnsi="宋体"/>
        </w:rPr>
        <w:t>6、投标方应保证所供设备的完整性和成套性，能保证设备的正常运行、使用。</w:t>
      </w:r>
    </w:p>
    <w:p>
      <w:pPr>
        <w:spacing w:line="480" w:lineRule="exact"/>
        <w:ind w:firstLine="420" w:firstLineChars="200"/>
        <w:rPr>
          <w:rFonts w:hint="eastAsia" w:ascii="宋体" w:hAnsi="宋体"/>
        </w:rPr>
      </w:pPr>
      <w:r>
        <w:rPr>
          <w:rFonts w:hint="eastAsia" w:ascii="宋体" w:hAnsi="宋体"/>
        </w:rPr>
        <w:t>7、投标方应对招标方采购的设备所涉及的技术、产能等信息负有保密义务，招标方拥有追究投标方泄密责任的权利；招标方如有需要，投标方应无条件签署保密协议。</w:t>
      </w:r>
    </w:p>
    <w:p>
      <w:pPr>
        <w:spacing w:line="480" w:lineRule="exact"/>
        <w:ind w:firstLine="420" w:firstLineChars="200"/>
        <w:rPr>
          <w:rFonts w:hint="eastAsia" w:ascii="宋体" w:hAnsi="宋体"/>
        </w:rPr>
      </w:pPr>
      <w:r>
        <w:rPr>
          <w:rFonts w:hint="eastAsia" w:ascii="宋体" w:hAnsi="宋体"/>
        </w:rPr>
        <w:t>8、投标方需提供近三年内项目业绩证明。</w:t>
      </w:r>
    </w:p>
    <w:p>
      <w:pPr>
        <w:spacing w:line="480" w:lineRule="exact"/>
        <w:ind w:firstLine="420" w:firstLineChars="200"/>
        <w:rPr>
          <w:rFonts w:ascii="宋体" w:hAnsi="宋体"/>
        </w:rPr>
      </w:pPr>
      <w:r>
        <w:rPr>
          <w:rFonts w:hint="eastAsia" w:ascii="宋体" w:hAnsi="宋体"/>
        </w:rPr>
        <w:t>9、☆号项为否决项。</w:t>
      </w:r>
    </w:p>
    <w:p>
      <w:pPr>
        <w:spacing w:line="480" w:lineRule="exact"/>
        <w:ind w:firstLine="420" w:firstLineChars="200"/>
        <w:rPr>
          <w:rFonts w:hint="eastAsia" w:ascii="黑体" w:hAnsi="宋体" w:eastAsia="黑体"/>
        </w:rPr>
      </w:pPr>
      <w:r>
        <w:rPr>
          <w:rFonts w:hint="eastAsia" w:ascii="黑体" w:hAnsi="宋体" w:eastAsia="黑体"/>
        </w:rPr>
        <w:t>二、执行标准</w:t>
      </w:r>
    </w:p>
    <w:p>
      <w:pPr>
        <w:spacing w:line="480" w:lineRule="exact"/>
        <w:ind w:firstLine="420" w:firstLineChars="200"/>
        <w:rPr>
          <w:rFonts w:hint="eastAsia" w:ascii="宋体" w:hAnsi="宋体"/>
        </w:rPr>
      </w:pPr>
      <w:r>
        <w:rPr>
          <w:rFonts w:hint="eastAsia" w:ascii="宋体" w:hAnsi="宋体"/>
        </w:rPr>
        <w:t>1、招标方此处所列标准仅为涉及的主要标准，而且不保证其为最新版执行标准；投标方应当在投标文件以中认真予以填写、补充和修改完善。</w:t>
      </w:r>
    </w:p>
    <w:p>
      <w:pPr>
        <w:spacing w:line="480" w:lineRule="exact"/>
        <w:ind w:firstLine="420" w:firstLineChars="200"/>
        <w:rPr>
          <w:rFonts w:hint="eastAsia" w:ascii="宋体" w:hAnsi="宋体"/>
        </w:rPr>
      </w:pPr>
      <w:r>
        <w:rPr>
          <w:rFonts w:hint="eastAsia" w:ascii="宋体" w:hAnsi="宋体"/>
        </w:rPr>
        <w:t>2、投标方需要执行的标准，应当所供设备通过招标方将来组织的最终验收之日开始执行的最新标准。</w:t>
      </w:r>
    </w:p>
    <w:p>
      <w:pPr>
        <w:spacing w:line="480" w:lineRule="exact"/>
        <w:ind w:firstLine="420" w:firstLineChars="200"/>
        <w:rPr>
          <w:rFonts w:hint="eastAsia" w:ascii="宋体" w:hAnsi="宋体"/>
        </w:rPr>
      </w:pPr>
      <w:r>
        <w:rPr>
          <w:rFonts w:hint="eastAsia" w:ascii="宋体" w:hAnsi="宋体"/>
        </w:rPr>
        <w:t>3、采购设备的产品质量、技术标准如在招投标文件中无相应说明，则按中华人民共和国有关部门颁发的最新的国标或专业（部）标准执行及相应的国际标准。没有国家或专业（部）标准的，按企业标准执行。但当标准不统一时，原则上按照最严格标准执行。</w:t>
      </w:r>
    </w:p>
    <w:p>
      <w:pPr>
        <w:overflowPunct w:val="0"/>
        <w:spacing w:line="360" w:lineRule="auto"/>
        <w:ind w:firstLine="420" w:firstLineChars="200"/>
        <w:rPr>
          <w:rFonts w:hint="eastAsia" w:ascii="宋体" w:hAnsi="宋体" w:cs="宋体"/>
        </w:rPr>
      </w:pPr>
      <w:r>
        <w:rPr>
          <w:rFonts w:hint="eastAsia" w:ascii="宋体" w:hAnsi="宋体" w:cs="宋体"/>
        </w:rPr>
        <w:t>4、投标人所供货物涉及的专利权技术以及知识产权保护的其他技术等，应保证招标人不因此受到任何侵权指控以及实际损失。</w:t>
      </w:r>
    </w:p>
    <w:p>
      <w:pPr>
        <w:overflowPunct w:val="0"/>
        <w:spacing w:line="360" w:lineRule="auto"/>
        <w:ind w:firstLine="420" w:firstLineChars="200"/>
        <w:rPr>
          <w:rFonts w:hint="eastAsia" w:ascii="宋体" w:hAnsi="宋体" w:cs="宋体"/>
        </w:rPr>
      </w:pPr>
      <w:r>
        <w:rPr>
          <w:rFonts w:hint="eastAsia" w:ascii="宋体" w:hAnsi="宋体" w:cs="宋体"/>
        </w:rPr>
        <w:t>5、投标人应满足招标人提出的各项技术要求，必要时应当免费提供技术承诺或担保。</w:t>
      </w:r>
    </w:p>
    <w:p>
      <w:pPr>
        <w:overflowPunct w:val="0"/>
        <w:spacing w:line="360" w:lineRule="auto"/>
        <w:ind w:firstLine="420" w:firstLineChars="200"/>
        <w:rPr>
          <w:rFonts w:hint="eastAsia"/>
        </w:rPr>
      </w:pPr>
      <w:r>
        <w:rPr>
          <w:rFonts w:hint="eastAsia" w:ascii="宋体" w:hAnsi="宋体" w:cs="宋体"/>
        </w:rPr>
        <w:t>6、投标人应对招标人采购的货物所涉及的技术、产能等信息负有保密义务，招标人拥有追究投标人泄密责任的权利；招标人如有需要，投标人应无条件签署保密协议。</w:t>
      </w:r>
    </w:p>
    <w:p>
      <w:pPr>
        <w:spacing w:line="360" w:lineRule="exact"/>
        <w:ind w:firstLine="420" w:firstLineChars="200"/>
        <w:rPr>
          <w:rFonts w:hint="eastAsia" w:ascii="宋体" w:hAnsi="宋体"/>
        </w:rPr>
      </w:pPr>
      <w:r>
        <w:rPr>
          <w:rFonts w:hint="eastAsia" w:ascii="宋体" w:hAnsi="宋体"/>
        </w:rPr>
        <w:t>7、如果有采用国际标准的货物，其执行标准由投标方提供、招标方确认。</w:t>
      </w:r>
    </w:p>
    <w:p>
      <w:pPr>
        <w:spacing w:line="360" w:lineRule="auto"/>
        <w:ind w:firstLine="420" w:firstLineChars="200"/>
        <w:rPr>
          <w:rFonts w:hint="eastAsia" w:ascii="宋体"/>
        </w:rPr>
      </w:pPr>
      <w:r>
        <w:rPr>
          <w:rFonts w:hint="eastAsia" w:ascii="宋体"/>
        </w:rPr>
        <w:t>8、涉及的主要标准：</w:t>
      </w:r>
    </w:p>
    <w:tbl>
      <w:tblPr>
        <w:tblStyle w:val="41"/>
        <w:tblW w:w="8230" w:type="dxa"/>
        <w:tblInd w:w="96" w:type="dxa"/>
        <w:tblLayout w:type="fixed"/>
        <w:tblCellMar>
          <w:top w:w="0" w:type="dxa"/>
          <w:left w:w="108" w:type="dxa"/>
          <w:bottom w:w="0" w:type="dxa"/>
          <w:right w:w="108" w:type="dxa"/>
        </w:tblCellMar>
      </w:tblPr>
      <w:tblGrid>
        <w:gridCol w:w="761"/>
        <w:gridCol w:w="4973"/>
        <w:gridCol w:w="2496"/>
      </w:tblGrid>
      <w:tr>
        <w:tblPrEx>
          <w:tblCellMar>
            <w:top w:w="0" w:type="dxa"/>
            <w:left w:w="108" w:type="dxa"/>
            <w:bottom w:w="0" w:type="dxa"/>
            <w:right w:w="108" w:type="dxa"/>
          </w:tblCellMar>
        </w:tblPrEx>
        <w:trPr>
          <w:trHeight w:val="386" w:hRule="atLeast"/>
        </w:trPr>
        <w:tc>
          <w:tcPr>
            <w:tcW w:w="7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rPr>
            </w:pPr>
            <w:r>
              <w:rPr>
                <w:rFonts w:hint="eastAsia" w:ascii="宋体" w:hAnsi="宋体" w:cs="宋体"/>
                <w:b/>
                <w:bCs/>
                <w:color w:val="000000"/>
                <w:kern w:val="0"/>
                <w:lang w:bidi="ar"/>
              </w:rPr>
              <w:t>序号</w:t>
            </w:r>
          </w:p>
        </w:tc>
        <w:tc>
          <w:tcPr>
            <w:tcW w:w="49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rPr>
            </w:pPr>
            <w:r>
              <w:rPr>
                <w:rFonts w:hint="eastAsia" w:ascii="宋体" w:hAnsi="宋体" w:cs="宋体"/>
                <w:b/>
                <w:bCs/>
                <w:color w:val="000000"/>
                <w:kern w:val="0"/>
                <w:lang w:bidi="ar"/>
              </w:rPr>
              <w:t>标准名称</w:t>
            </w:r>
          </w:p>
        </w:tc>
        <w:tc>
          <w:tcPr>
            <w:tcW w:w="249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rPr>
            </w:pPr>
            <w:r>
              <w:rPr>
                <w:rFonts w:hint="eastAsia" w:ascii="宋体" w:hAnsi="宋体" w:cs="宋体"/>
                <w:b/>
                <w:bCs/>
                <w:color w:val="000000"/>
                <w:kern w:val="0"/>
                <w:lang w:bidi="ar"/>
              </w:rPr>
              <w:t>标准编号</w:t>
            </w:r>
          </w:p>
        </w:tc>
      </w:tr>
      <w:tr>
        <w:tblPrEx>
          <w:tblCellMar>
            <w:top w:w="0" w:type="dxa"/>
            <w:left w:w="108" w:type="dxa"/>
            <w:bottom w:w="0" w:type="dxa"/>
            <w:right w:w="108" w:type="dxa"/>
          </w:tblCellMar>
        </w:tblPrEx>
        <w:trPr>
          <w:trHeight w:val="568" w:hRule="atLeast"/>
        </w:trPr>
        <w:tc>
          <w:tcPr>
            <w:tcW w:w="761"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000000"/>
              </w:rPr>
            </w:pPr>
            <w:r>
              <w:rPr>
                <w:rFonts w:hint="eastAsia" w:ascii="宋体" w:hAnsi="宋体" w:cs="宋体"/>
                <w:color w:val="000000"/>
                <w:kern w:val="0"/>
                <w:lang w:bidi="ar"/>
              </w:rPr>
              <w:t>1</w:t>
            </w:r>
          </w:p>
        </w:tc>
        <w:tc>
          <w:tcPr>
            <w:tcW w:w="497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rPr>
            </w:pPr>
            <w:r>
              <w:rPr>
                <w:rFonts w:hint="eastAsia" w:ascii="宋体" w:hAnsi="宋体" w:cs="宋体"/>
                <w:color w:val="000000"/>
                <w:kern w:val="0"/>
                <w:lang w:bidi="ar"/>
              </w:rPr>
              <w:t>电气装置安装工程电缆线路施工及验收规范</w:t>
            </w:r>
          </w:p>
        </w:tc>
        <w:tc>
          <w:tcPr>
            <w:tcW w:w="249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rPr>
            </w:pPr>
            <w:r>
              <w:rPr>
                <w:rFonts w:hint="eastAsia" w:ascii="宋体" w:hAnsi="宋体" w:cs="宋体"/>
                <w:color w:val="000000"/>
                <w:kern w:val="0"/>
                <w:lang w:bidi="ar"/>
              </w:rPr>
              <w:t>GB50168-2018</w:t>
            </w:r>
          </w:p>
        </w:tc>
      </w:tr>
      <w:tr>
        <w:tblPrEx>
          <w:tblCellMar>
            <w:top w:w="0" w:type="dxa"/>
            <w:left w:w="108" w:type="dxa"/>
            <w:bottom w:w="0" w:type="dxa"/>
            <w:right w:w="108" w:type="dxa"/>
          </w:tblCellMar>
        </w:tblPrEx>
        <w:trPr>
          <w:trHeight w:val="592" w:hRule="atLeast"/>
        </w:trPr>
        <w:tc>
          <w:tcPr>
            <w:tcW w:w="761"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000000"/>
              </w:rPr>
            </w:pPr>
            <w:r>
              <w:rPr>
                <w:rFonts w:hint="eastAsia" w:ascii="宋体" w:hAnsi="宋体" w:cs="宋体"/>
                <w:color w:val="000000"/>
                <w:kern w:val="0"/>
                <w:lang w:bidi="ar"/>
              </w:rPr>
              <w:t>2</w:t>
            </w:r>
          </w:p>
        </w:tc>
        <w:tc>
          <w:tcPr>
            <w:tcW w:w="497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rPr>
            </w:pPr>
            <w:r>
              <w:rPr>
                <w:rFonts w:hint="eastAsia" w:ascii="宋体" w:hAnsi="宋体" w:cs="宋体"/>
                <w:color w:val="000000"/>
                <w:kern w:val="0"/>
                <w:lang w:bidi="ar"/>
              </w:rPr>
              <w:t>中国重型汽车有限公司企业标准《设备设施颜色标识》</w:t>
            </w:r>
          </w:p>
        </w:tc>
        <w:tc>
          <w:tcPr>
            <w:tcW w:w="249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rPr>
            </w:pPr>
            <w:r>
              <w:rPr>
                <w:rFonts w:hint="eastAsia" w:ascii="宋体" w:hAnsi="宋体" w:cs="宋体"/>
                <w:color w:val="000000"/>
                <w:kern w:val="0"/>
                <w:lang w:bidi="ar"/>
              </w:rPr>
              <w:t>Q/ZZ30070-2021</w:t>
            </w:r>
          </w:p>
        </w:tc>
      </w:tr>
      <w:tr>
        <w:tblPrEx>
          <w:tblCellMar>
            <w:top w:w="0" w:type="dxa"/>
            <w:left w:w="108" w:type="dxa"/>
            <w:bottom w:w="0" w:type="dxa"/>
            <w:right w:w="108" w:type="dxa"/>
          </w:tblCellMar>
        </w:tblPrEx>
        <w:trPr>
          <w:trHeight w:val="580" w:hRule="atLeast"/>
        </w:trPr>
        <w:tc>
          <w:tcPr>
            <w:tcW w:w="761"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000000"/>
              </w:rPr>
            </w:pPr>
            <w:r>
              <w:rPr>
                <w:rFonts w:hint="eastAsia" w:ascii="宋体" w:hAnsi="宋体" w:cs="宋体"/>
                <w:color w:val="000000"/>
                <w:kern w:val="0"/>
                <w:lang w:bidi="ar"/>
              </w:rPr>
              <w:t>3</w:t>
            </w:r>
          </w:p>
        </w:tc>
        <w:tc>
          <w:tcPr>
            <w:tcW w:w="497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rPr>
            </w:pPr>
            <w:r>
              <w:rPr>
                <w:rFonts w:hint="eastAsia" w:ascii="宋体" w:hAnsi="宋体" w:cs="宋体"/>
                <w:color w:val="000000"/>
                <w:kern w:val="0"/>
                <w:lang w:bidi="ar"/>
              </w:rPr>
              <w:t>机械安全 防止上下肢触及危险区的安全距离</w:t>
            </w:r>
          </w:p>
        </w:tc>
        <w:tc>
          <w:tcPr>
            <w:tcW w:w="249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rPr>
            </w:pPr>
            <w:r>
              <w:rPr>
                <w:rFonts w:hint="eastAsia" w:ascii="宋体" w:hAnsi="宋体" w:cs="宋体"/>
                <w:color w:val="000000"/>
                <w:kern w:val="0"/>
                <w:lang w:bidi="ar"/>
              </w:rPr>
              <w:t>GB23821-2009</w:t>
            </w:r>
          </w:p>
        </w:tc>
      </w:tr>
      <w:tr>
        <w:tblPrEx>
          <w:tblCellMar>
            <w:top w:w="0" w:type="dxa"/>
            <w:left w:w="108" w:type="dxa"/>
            <w:bottom w:w="0" w:type="dxa"/>
            <w:right w:w="108" w:type="dxa"/>
          </w:tblCellMar>
        </w:tblPrEx>
        <w:trPr>
          <w:trHeight w:val="302" w:hRule="atLeast"/>
        </w:trPr>
        <w:tc>
          <w:tcPr>
            <w:tcW w:w="761"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000000"/>
              </w:rPr>
            </w:pPr>
            <w:r>
              <w:rPr>
                <w:rFonts w:hint="eastAsia" w:ascii="宋体" w:hAnsi="宋体" w:cs="宋体"/>
                <w:color w:val="000000"/>
                <w:kern w:val="0"/>
                <w:lang w:bidi="ar"/>
              </w:rPr>
              <w:t>4</w:t>
            </w:r>
          </w:p>
        </w:tc>
        <w:tc>
          <w:tcPr>
            <w:tcW w:w="497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rPr>
            </w:pPr>
            <w:r>
              <w:rPr>
                <w:rFonts w:hint="eastAsia" w:ascii="宋体" w:hAnsi="宋体" w:cs="宋体"/>
                <w:color w:val="000000"/>
                <w:kern w:val="0"/>
                <w:lang w:bidi="ar"/>
              </w:rPr>
              <w:t>工业企业噪声控制设计规范</w:t>
            </w:r>
          </w:p>
        </w:tc>
        <w:tc>
          <w:tcPr>
            <w:tcW w:w="249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rPr>
            </w:pPr>
            <w:r>
              <w:rPr>
                <w:rFonts w:hint="eastAsia" w:ascii="宋体" w:hAnsi="宋体" w:cs="宋体"/>
                <w:color w:val="000000"/>
                <w:kern w:val="0"/>
                <w:lang w:bidi="ar"/>
              </w:rPr>
              <w:t>GB/T 50087-2013</w:t>
            </w:r>
          </w:p>
        </w:tc>
      </w:tr>
      <w:tr>
        <w:tblPrEx>
          <w:tblCellMar>
            <w:top w:w="0" w:type="dxa"/>
            <w:left w:w="108" w:type="dxa"/>
            <w:bottom w:w="0" w:type="dxa"/>
            <w:right w:w="108" w:type="dxa"/>
          </w:tblCellMar>
        </w:tblPrEx>
        <w:trPr>
          <w:trHeight w:val="578" w:hRule="atLeast"/>
        </w:trPr>
        <w:tc>
          <w:tcPr>
            <w:tcW w:w="761"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000000"/>
              </w:rPr>
            </w:pPr>
            <w:r>
              <w:rPr>
                <w:rFonts w:hint="eastAsia" w:ascii="宋体" w:hAnsi="宋体" w:cs="宋体"/>
                <w:color w:val="000000"/>
              </w:rPr>
              <w:t>5</w:t>
            </w:r>
          </w:p>
        </w:tc>
        <w:tc>
          <w:tcPr>
            <w:tcW w:w="497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rPr>
            </w:pPr>
            <w:r>
              <w:rPr>
                <w:rFonts w:hint="eastAsia" w:ascii="宋体" w:hAnsi="宋体" w:cs="宋体"/>
                <w:color w:val="000000"/>
                <w:kern w:val="0"/>
                <w:lang w:bidi="ar"/>
              </w:rPr>
              <w:t>工作场所物理因素测量</w:t>
            </w:r>
          </w:p>
        </w:tc>
        <w:tc>
          <w:tcPr>
            <w:tcW w:w="249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rPr>
            </w:pPr>
            <w:r>
              <w:rPr>
                <w:rFonts w:hint="eastAsia" w:ascii="宋体" w:hAnsi="宋体" w:cs="宋体"/>
                <w:color w:val="000000"/>
                <w:kern w:val="0"/>
                <w:lang w:bidi="ar"/>
              </w:rPr>
              <w:t>GBZ/T 189.1-2019</w:t>
            </w:r>
          </w:p>
        </w:tc>
      </w:tr>
      <w:tr>
        <w:tblPrEx>
          <w:tblCellMar>
            <w:top w:w="0" w:type="dxa"/>
            <w:left w:w="108" w:type="dxa"/>
            <w:bottom w:w="0" w:type="dxa"/>
            <w:right w:w="108" w:type="dxa"/>
          </w:tblCellMar>
        </w:tblPrEx>
        <w:trPr>
          <w:trHeight w:val="410" w:hRule="atLeast"/>
        </w:trPr>
        <w:tc>
          <w:tcPr>
            <w:tcW w:w="761"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000000"/>
              </w:rPr>
            </w:pPr>
            <w:r>
              <w:rPr>
                <w:rFonts w:hint="eastAsia" w:ascii="宋体" w:hAnsi="宋体" w:cs="宋体"/>
                <w:color w:val="000000"/>
                <w:kern w:val="0"/>
                <w:lang w:bidi="ar"/>
              </w:rPr>
              <w:t>6</w:t>
            </w:r>
          </w:p>
        </w:tc>
        <w:tc>
          <w:tcPr>
            <w:tcW w:w="497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rPr>
            </w:pPr>
            <w:r>
              <w:rPr>
                <w:rFonts w:hint="eastAsia" w:ascii="宋体" w:hAnsi="宋体" w:cs="宋体"/>
                <w:color w:val="000000"/>
                <w:kern w:val="0"/>
                <w:lang w:bidi="ar"/>
              </w:rPr>
              <w:t>通信电源设备安装工程设计规范</w:t>
            </w:r>
          </w:p>
        </w:tc>
        <w:tc>
          <w:tcPr>
            <w:tcW w:w="249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rPr>
            </w:pPr>
            <w:r>
              <w:rPr>
                <w:rFonts w:hint="eastAsia" w:ascii="宋体" w:hAnsi="宋体" w:cs="宋体"/>
                <w:color w:val="000000"/>
                <w:kern w:val="0"/>
                <w:lang w:bidi="ar"/>
              </w:rPr>
              <w:t>YD/T 5040-2020</w:t>
            </w:r>
          </w:p>
        </w:tc>
      </w:tr>
      <w:tr>
        <w:tblPrEx>
          <w:tblCellMar>
            <w:top w:w="0" w:type="dxa"/>
            <w:left w:w="108" w:type="dxa"/>
            <w:bottom w:w="0" w:type="dxa"/>
            <w:right w:w="108" w:type="dxa"/>
          </w:tblCellMar>
        </w:tblPrEx>
        <w:trPr>
          <w:trHeight w:val="542" w:hRule="atLeast"/>
        </w:trPr>
        <w:tc>
          <w:tcPr>
            <w:tcW w:w="761"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000000"/>
              </w:rPr>
            </w:pPr>
            <w:r>
              <w:rPr>
                <w:rFonts w:hint="eastAsia" w:ascii="宋体" w:hAnsi="宋体" w:cs="宋体"/>
                <w:color w:val="000000"/>
                <w:kern w:val="0"/>
                <w:lang w:bidi="ar"/>
              </w:rPr>
              <w:t>7</w:t>
            </w:r>
          </w:p>
        </w:tc>
        <w:tc>
          <w:tcPr>
            <w:tcW w:w="497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rPr>
            </w:pPr>
            <w:r>
              <w:rPr>
                <w:rFonts w:hint="eastAsia" w:ascii="宋体" w:hAnsi="宋体" w:cs="宋体"/>
                <w:color w:val="000000"/>
                <w:kern w:val="0"/>
                <w:lang w:bidi="ar"/>
              </w:rPr>
              <w:t>电气装置安装工程电力变压器、互感器施工及验收规范</w:t>
            </w:r>
          </w:p>
        </w:tc>
        <w:tc>
          <w:tcPr>
            <w:tcW w:w="249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rPr>
            </w:pPr>
            <w:r>
              <w:rPr>
                <w:rFonts w:hint="eastAsia" w:ascii="宋体" w:hAnsi="宋体" w:cs="宋体"/>
                <w:color w:val="000000"/>
                <w:kern w:val="0"/>
                <w:lang w:bidi="ar"/>
              </w:rPr>
              <w:t>GB 50148-2010</w:t>
            </w:r>
          </w:p>
        </w:tc>
      </w:tr>
      <w:tr>
        <w:tblPrEx>
          <w:tblCellMar>
            <w:top w:w="0" w:type="dxa"/>
            <w:left w:w="108" w:type="dxa"/>
            <w:bottom w:w="0" w:type="dxa"/>
            <w:right w:w="108" w:type="dxa"/>
          </w:tblCellMar>
        </w:tblPrEx>
        <w:trPr>
          <w:trHeight w:val="506" w:hRule="atLeast"/>
        </w:trPr>
        <w:tc>
          <w:tcPr>
            <w:tcW w:w="761"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000000"/>
              </w:rPr>
            </w:pPr>
            <w:r>
              <w:rPr>
                <w:rFonts w:hint="eastAsia" w:ascii="宋体" w:hAnsi="宋体" w:cs="宋体"/>
                <w:color w:val="000000"/>
                <w:kern w:val="0"/>
                <w:lang w:bidi="ar"/>
              </w:rPr>
              <w:t>8</w:t>
            </w:r>
          </w:p>
        </w:tc>
        <w:tc>
          <w:tcPr>
            <w:tcW w:w="497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rPr>
            </w:pPr>
            <w:r>
              <w:rPr>
                <w:rFonts w:hint="eastAsia" w:ascii="宋体" w:hAnsi="宋体" w:cs="宋体"/>
                <w:color w:val="000000"/>
                <w:kern w:val="0"/>
                <w:lang w:bidi="ar"/>
              </w:rPr>
              <w:t>可编程序控制器国际标准</w:t>
            </w:r>
          </w:p>
        </w:tc>
        <w:tc>
          <w:tcPr>
            <w:tcW w:w="249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rPr>
            </w:pPr>
            <w:r>
              <w:rPr>
                <w:rFonts w:hint="eastAsia" w:ascii="宋体" w:hAnsi="宋体" w:cs="宋体"/>
                <w:color w:val="000000"/>
                <w:kern w:val="0"/>
                <w:lang w:bidi="ar"/>
              </w:rPr>
              <w:t>IEC 61131-3:2020</w:t>
            </w:r>
          </w:p>
        </w:tc>
      </w:tr>
      <w:tr>
        <w:tblPrEx>
          <w:tblCellMar>
            <w:top w:w="0" w:type="dxa"/>
            <w:left w:w="108" w:type="dxa"/>
            <w:bottom w:w="0" w:type="dxa"/>
            <w:right w:w="108" w:type="dxa"/>
          </w:tblCellMar>
        </w:tblPrEx>
        <w:trPr>
          <w:trHeight w:val="578" w:hRule="atLeast"/>
        </w:trPr>
        <w:tc>
          <w:tcPr>
            <w:tcW w:w="761"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000000"/>
              </w:rPr>
            </w:pPr>
            <w:r>
              <w:rPr>
                <w:rFonts w:hint="eastAsia" w:ascii="宋体" w:hAnsi="宋体" w:cs="宋体"/>
                <w:color w:val="000000"/>
                <w:kern w:val="0"/>
                <w:lang w:bidi="ar"/>
              </w:rPr>
              <w:t>9</w:t>
            </w:r>
          </w:p>
        </w:tc>
        <w:tc>
          <w:tcPr>
            <w:tcW w:w="497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rPr>
            </w:pPr>
            <w:r>
              <w:rPr>
                <w:rFonts w:hint="eastAsia" w:ascii="宋体" w:hAnsi="宋体" w:cs="宋体"/>
                <w:color w:val="000000"/>
                <w:kern w:val="0"/>
                <w:lang w:bidi="ar"/>
              </w:rPr>
              <w:t>机械设备安装工程施工及验收规范</w:t>
            </w:r>
          </w:p>
        </w:tc>
        <w:tc>
          <w:tcPr>
            <w:tcW w:w="249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rPr>
            </w:pPr>
            <w:r>
              <w:rPr>
                <w:rFonts w:hint="eastAsia" w:ascii="宋体" w:hAnsi="宋体" w:cs="宋体"/>
                <w:color w:val="000000"/>
                <w:kern w:val="0"/>
                <w:lang w:bidi="ar"/>
              </w:rPr>
              <w:t>GB 50231-2017</w:t>
            </w:r>
          </w:p>
        </w:tc>
      </w:tr>
      <w:tr>
        <w:tblPrEx>
          <w:tblCellMar>
            <w:top w:w="0" w:type="dxa"/>
            <w:left w:w="108" w:type="dxa"/>
            <w:bottom w:w="0" w:type="dxa"/>
            <w:right w:w="108" w:type="dxa"/>
          </w:tblCellMar>
        </w:tblPrEx>
        <w:trPr>
          <w:trHeight w:val="494" w:hRule="atLeast"/>
        </w:trPr>
        <w:tc>
          <w:tcPr>
            <w:tcW w:w="761"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000000"/>
              </w:rPr>
            </w:pPr>
            <w:r>
              <w:rPr>
                <w:rFonts w:hint="eastAsia" w:ascii="宋体" w:hAnsi="宋体" w:cs="宋体"/>
                <w:color w:val="000000"/>
                <w:kern w:val="0"/>
                <w:lang w:bidi="ar"/>
              </w:rPr>
              <w:t>10</w:t>
            </w:r>
          </w:p>
        </w:tc>
        <w:tc>
          <w:tcPr>
            <w:tcW w:w="497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rPr>
            </w:pPr>
            <w:r>
              <w:rPr>
                <w:rFonts w:hint="eastAsia" w:ascii="宋体" w:hAnsi="宋体" w:cs="宋体"/>
                <w:color w:val="000000"/>
                <w:kern w:val="0"/>
                <w:lang w:bidi="ar"/>
              </w:rPr>
              <w:t>电工成套装置中的导线颜色</w:t>
            </w:r>
          </w:p>
        </w:tc>
        <w:tc>
          <w:tcPr>
            <w:tcW w:w="249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rPr>
            </w:pPr>
            <w:r>
              <w:rPr>
                <w:rFonts w:hint="eastAsia" w:ascii="宋体" w:hAnsi="宋体" w:cs="宋体"/>
                <w:color w:val="000000"/>
                <w:kern w:val="0"/>
                <w:lang w:bidi="ar"/>
              </w:rPr>
              <w:t>GB/T 2681-2013</w:t>
            </w:r>
          </w:p>
        </w:tc>
      </w:tr>
      <w:tr>
        <w:tblPrEx>
          <w:tblCellMar>
            <w:top w:w="0" w:type="dxa"/>
            <w:left w:w="108" w:type="dxa"/>
            <w:bottom w:w="0" w:type="dxa"/>
            <w:right w:w="108" w:type="dxa"/>
          </w:tblCellMar>
        </w:tblPrEx>
        <w:trPr>
          <w:trHeight w:val="470" w:hRule="atLeast"/>
        </w:trPr>
        <w:tc>
          <w:tcPr>
            <w:tcW w:w="761"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000000"/>
              </w:rPr>
            </w:pPr>
            <w:r>
              <w:rPr>
                <w:rFonts w:hint="eastAsia" w:ascii="宋体" w:hAnsi="宋体" w:cs="宋体"/>
                <w:color w:val="000000"/>
                <w:kern w:val="0"/>
                <w:lang w:bidi="ar"/>
              </w:rPr>
              <w:t>11</w:t>
            </w:r>
          </w:p>
        </w:tc>
        <w:tc>
          <w:tcPr>
            <w:tcW w:w="497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rPr>
            </w:pPr>
            <w:r>
              <w:rPr>
                <w:rFonts w:hint="eastAsia" w:ascii="宋体" w:hAnsi="宋体" w:cs="宋体"/>
                <w:color w:val="000000"/>
                <w:kern w:val="0"/>
                <w:lang w:bidi="ar"/>
              </w:rPr>
              <w:t>电工成套装置中的指示灯和按钮的颜色</w:t>
            </w:r>
          </w:p>
        </w:tc>
        <w:tc>
          <w:tcPr>
            <w:tcW w:w="249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rPr>
            </w:pPr>
            <w:r>
              <w:rPr>
                <w:rFonts w:hint="eastAsia" w:ascii="宋体" w:hAnsi="宋体" w:cs="宋体"/>
                <w:color w:val="000000"/>
                <w:kern w:val="0"/>
                <w:lang w:bidi="ar"/>
              </w:rPr>
              <w:t>GB/T 2682-2013</w:t>
            </w:r>
          </w:p>
        </w:tc>
      </w:tr>
      <w:tr>
        <w:tblPrEx>
          <w:tblCellMar>
            <w:top w:w="0" w:type="dxa"/>
            <w:left w:w="108" w:type="dxa"/>
            <w:bottom w:w="0" w:type="dxa"/>
            <w:right w:w="108" w:type="dxa"/>
          </w:tblCellMar>
        </w:tblPrEx>
        <w:trPr>
          <w:trHeight w:val="480" w:hRule="atLeast"/>
        </w:trPr>
        <w:tc>
          <w:tcPr>
            <w:tcW w:w="761"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ascii="宋体" w:hAnsi="宋体" w:cs="宋体"/>
                <w:color w:val="000000"/>
              </w:rPr>
            </w:pPr>
            <w:r>
              <w:rPr>
                <w:rFonts w:hint="eastAsia" w:ascii="宋体" w:hAnsi="宋体" w:cs="宋体"/>
                <w:color w:val="000000"/>
                <w:kern w:val="0"/>
                <w:lang w:bidi="ar"/>
              </w:rPr>
              <w:t>12</w:t>
            </w:r>
          </w:p>
        </w:tc>
        <w:tc>
          <w:tcPr>
            <w:tcW w:w="497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rPr>
            </w:pPr>
            <w:r>
              <w:rPr>
                <w:rFonts w:hint="eastAsia" w:ascii="宋体" w:hAnsi="宋体" w:cs="宋体"/>
                <w:color w:val="000000"/>
                <w:kern w:val="0"/>
                <w:lang w:bidi="ar"/>
              </w:rPr>
              <w:t>机械设备防护罩安全标准</w:t>
            </w:r>
          </w:p>
        </w:tc>
        <w:tc>
          <w:tcPr>
            <w:tcW w:w="249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rPr>
            </w:pPr>
            <w:r>
              <w:rPr>
                <w:rFonts w:hint="eastAsia" w:ascii="宋体" w:hAnsi="宋体" w:cs="宋体"/>
                <w:color w:val="000000"/>
                <w:kern w:val="0"/>
                <w:lang w:bidi="ar"/>
              </w:rPr>
              <w:t>GB8196-2003</w:t>
            </w:r>
          </w:p>
        </w:tc>
      </w:tr>
      <w:tr>
        <w:tblPrEx>
          <w:tblCellMar>
            <w:top w:w="0" w:type="dxa"/>
            <w:left w:w="108" w:type="dxa"/>
            <w:bottom w:w="0" w:type="dxa"/>
            <w:right w:w="108" w:type="dxa"/>
          </w:tblCellMar>
        </w:tblPrEx>
        <w:trPr>
          <w:trHeight w:val="480" w:hRule="atLeast"/>
        </w:trPr>
        <w:tc>
          <w:tcPr>
            <w:tcW w:w="761"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ascii="宋体" w:hAnsi="宋体" w:cs="宋体"/>
                <w:color w:val="000000"/>
                <w:kern w:val="0"/>
                <w:lang w:bidi="ar"/>
              </w:rPr>
            </w:pPr>
            <w:r>
              <w:rPr>
                <w:rFonts w:hint="eastAsia" w:ascii="宋体" w:hAnsi="宋体" w:cs="宋体"/>
                <w:color w:val="000000"/>
                <w:kern w:val="0"/>
                <w:lang w:bidi="ar"/>
              </w:rPr>
              <w:t>13</w:t>
            </w:r>
          </w:p>
        </w:tc>
        <w:tc>
          <w:tcPr>
            <w:tcW w:w="497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FF0000"/>
                <w:kern w:val="0"/>
                <w:lang w:bidi="ar"/>
              </w:rPr>
            </w:pPr>
            <w:r>
              <w:rPr>
                <w:rFonts w:ascii="宋体" w:hAnsi="宋体" w:cs="宋体"/>
              </w:rPr>
              <w:t>拧紧工具选型及释放规范</w:t>
            </w:r>
          </w:p>
        </w:tc>
        <w:tc>
          <w:tcPr>
            <w:tcW w:w="249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kern w:val="0"/>
                <w:lang w:bidi="ar"/>
              </w:rPr>
            </w:pPr>
            <w:r>
              <w:rPr>
                <w:rFonts w:ascii="宋体" w:hAnsi="宋体" w:cs="宋体"/>
              </w:rPr>
              <w:t>Q/ZZ 30183-2024</w:t>
            </w:r>
          </w:p>
        </w:tc>
      </w:tr>
    </w:tbl>
    <w:p>
      <w:pPr>
        <w:pStyle w:val="2"/>
      </w:pPr>
    </w:p>
    <w:p>
      <w:pPr>
        <w:numPr>
          <w:ilvl w:val="0"/>
          <w:numId w:val="7"/>
        </w:numPr>
        <w:spacing w:line="480" w:lineRule="exact"/>
        <w:rPr>
          <w:rFonts w:hint="eastAsia" w:ascii="黑体" w:hAnsi="宋体" w:eastAsia="黑体"/>
        </w:rPr>
      </w:pPr>
      <w:r>
        <w:rPr>
          <w:rFonts w:hint="eastAsia" w:ascii="黑体" w:hAnsi="宋体" w:eastAsia="黑体"/>
        </w:rPr>
        <w:t>技术规范和技术要求</w:t>
      </w:r>
    </w:p>
    <w:p>
      <w:pPr>
        <w:pStyle w:val="8"/>
        <w:keepNext w:val="0"/>
        <w:keepLines w:val="0"/>
        <w:numPr>
          <w:ilvl w:val="0"/>
          <w:numId w:val="8"/>
        </w:numPr>
        <w:spacing w:line="360" w:lineRule="auto"/>
        <w:ind w:firstLine="562" w:firstLineChars="200"/>
        <w:jc w:val="left"/>
        <w:rPr>
          <w:rFonts w:hint="eastAsia" w:ascii="宋体"/>
          <w:bCs w:val="0"/>
          <w:szCs w:val="20"/>
        </w:rPr>
      </w:pPr>
      <w:r>
        <w:rPr>
          <w:rFonts w:ascii="宋体"/>
          <w:bCs w:val="0"/>
          <w:szCs w:val="20"/>
        </w:rPr>
        <w:t>项目</w:t>
      </w:r>
      <w:r>
        <w:rPr>
          <w:rFonts w:hint="eastAsia" w:ascii="宋体"/>
          <w:bCs w:val="0"/>
          <w:szCs w:val="20"/>
        </w:rPr>
        <w:t>工艺要求</w:t>
      </w:r>
    </w:p>
    <w:p>
      <w:pPr>
        <w:overflowPunct w:val="0"/>
        <w:spacing w:line="360" w:lineRule="auto"/>
        <w:ind w:firstLine="420" w:firstLineChars="200"/>
        <w:rPr>
          <w:rFonts w:hint="eastAsia" w:ascii="宋体" w:hAnsi="宋体" w:cs="宋体"/>
          <w:b/>
          <w:bCs/>
          <w:color w:val="FF0000"/>
        </w:rPr>
      </w:pPr>
      <w:r>
        <w:rPr>
          <w:rFonts w:hint="eastAsia" w:ascii="宋体" w:hAnsi="宋体" w:cs="宋体"/>
        </w:rPr>
        <w:t>根据增加定值工具的结构及力矩实现方法等因素，增加</w:t>
      </w:r>
      <w:r>
        <w:rPr>
          <w:rFonts w:hint="eastAsia" w:ascii="宋体" w:hAnsi="宋体" w:cs="宋体"/>
          <w:lang w:val="en-US" w:eastAsia="zh-CN"/>
        </w:rPr>
        <w:t>4</w:t>
      </w:r>
      <w:r>
        <w:rPr>
          <w:rFonts w:hint="eastAsia" w:ascii="宋体" w:hAnsi="宋体" w:cs="宋体"/>
        </w:rPr>
        <w:t>套电动工具，新工具不需要反作用力臂。工装工具的拧紧工具使用工序、选型、力矩要求、数量信息详情等参考详细信息如下：</w:t>
      </w:r>
    </w:p>
    <w:tbl>
      <w:tblPr>
        <w:tblStyle w:val="41"/>
        <w:tblW w:w="937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32"/>
        <w:gridCol w:w="2011"/>
        <w:gridCol w:w="2009"/>
        <w:gridCol w:w="1715"/>
        <w:gridCol w:w="1443"/>
        <w:gridCol w:w="7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14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生产车间</w:t>
            </w:r>
          </w:p>
        </w:tc>
        <w:tc>
          <w:tcPr>
            <w:tcW w:w="20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岗位点</w:t>
            </w:r>
          </w:p>
        </w:tc>
        <w:tc>
          <w:tcPr>
            <w:tcW w:w="20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螺栓类别</w:t>
            </w:r>
          </w:p>
        </w:tc>
        <w:tc>
          <w:tcPr>
            <w:tcW w:w="17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力矩范围</w:t>
            </w:r>
          </w:p>
        </w:tc>
        <w:tc>
          <w:tcPr>
            <w:tcW w:w="14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工具类型</w:t>
            </w:r>
          </w:p>
        </w:tc>
        <w:tc>
          <w:tcPr>
            <w:tcW w:w="7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1432" w:type="dxa"/>
            <w:vMerge w:val="restart"/>
            <w:tcBorders>
              <w:top w:val="single" w:color="000000" w:sz="4" w:space="0"/>
              <w:left w:val="single" w:color="000000" w:sz="4" w:space="0"/>
              <w:right w:val="single" w:color="000000" w:sz="4" w:space="0"/>
            </w:tcBorders>
            <w:noWrap/>
            <w:vAlign w:val="center"/>
          </w:tcPr>
          <w:p>
            <w:pPr>
              <w:jc w:val="center"/>
              <w:rPr>
                <w:rFonts w:hint="default" w:ascii="仿宋" w:hAnsi="仿宋" w:eastAsia="仿宋" w:cs="仿宋"/>
                <w:i w:val="0"/>
                <w:iCs w:val="0"/>
                <w:color w:val="auto"/>
                <w:sz w:val="22"/>
                <w:szCs w:val="22"/>
                <w:u w:val="none"/>
                <w:lang w:val="en-US" w:eastAsia="zh-CN"/>
              </w:rPr>
            </w:pPr>
            <w:r>
              <w:rPr>
                <w:rFonts w:hint="eastAsia" w:ascii="仿宋" w:hAnsi="仿宋" w:eastAsia="仿宋" w:cs="仿宋"/>
                <w:i w:val="0"/>
                <w:iCs w:val="0"/>
                <w:color w:val="auto"/>
                <w:sz w:val="22"/>
                <w:szCs w:val="22"/>
                <w:u w:val="none"/>
                <w:lang w:val="en-US" w:eastAsia="zh-CN"/>
              </w:rPr>
              <w:t>涂装车间</w:t>
            </w:r>
          </w:p>
        </w:tc>
        <w:tc>
          <w:tcPr>
            <w:tcW w:w="20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615连接弯管</w:t>
            </w:r>
          </w:p>
        </w:tc>
        <w:tc>
          <w:tcPr>
            <w:tcW w:w="20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空压机胶管普通卡箍</w:t>
            </w:r>
          </w:p>
        </w:tc>
        <w:tc>
          <w:tcPr>
            <w:tcW w:w="17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6±0.6Nm</w:t>
            </w:r>
          </w:p>
        </w:tc>
        <w:tc>
          <w:tcPr>
            <w:tcW w:w="14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离合式电枪</w:t>
            </w:r>
          </w:p>
          <w:p>
            <w:pPr>
              <w:keepNext w:val="0"/>
              <w:keepLines w:val="0"/>
              <w:widowControl/>
              <w:suppressLineNumbers w:val="0"/>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（枪式，含2电1充）</w:t>
            </w:r>
          </w:p>
        </w:tc>
        <w:tc>
          <w:tcPr>
            <w:tcW w:w="7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143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auto"/>
                <w:sz w:val="22"/>
                <w:szCs w:val="22"/>
                <w:u w:val="none"/>
              </w:rPr>
            </w:pPr>
          </w:p>
        </w:tc>
        <w:tc>
          <w:tcPr>
            <w:tcW w:w="20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615连接弯管</w:t>
            </w:r>
          </w:p>
        </w:tc>
        <w:tc>
          <w:tcPr>
            <w:tcW w:w="20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615连接弯管强力卡箍</w:t>
            </w:r>
          </w:p>
        </w:tc>
        <w:tc>
          <w:tcPr>
            <w:tcW w:w="17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b w:val="0"/>
                <w:bCs w:val="0"/>
                <w:i w:val="0"/>
                <w:iCs w:val="0"/>
                <w:color w:val="auto"/>
                <w:kern w:val="0"/>
                <w:sz w:val="22"/>
                <w:szCs w:val="22"/>
                <w:u w:val="none"/>
                <w:lang w:val="en-US" w:eastAsia="zh-CN" w:bidi="ar"/>
              </w:rPr>
              <w:t>9±1Nm</w:t>
            </w:r>
          </w:p>
        </w:tc>
        <w:tc>
          <w:tcPr>
            <w:tcW w:w="14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离合式电枪</w:t>
            </w:r>
          </w:p>
          <w:p>
            <w:pPr>
              <w:keepNext w:val="0"/>
              <w:keepLines w:val="0"/>
              <w:widowControl/>
              <w:suppressLineNumbers w:val="0"/>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（枪式，含2电1充）</w:t>
            </w:r>
          </w:p>
        </w:tc>
        <w:tc>
          <w:tcPr>
            <w:tcW w:w="7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143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auto"/>
                <w:sz w:val="22"/>
                <w:szCs w:val="22"/>
                <w:u w:val="none"/>
              </w:rPr>
            </w:pPr>
          </w:p>
        </w:tc>
        <w:tc>
          <w:tcPr>
            <w:tcW w:w="20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615中冷管点</w:t>
            </w:r>
          </w:p>
        </w:tc>
        <w:tc>
          <w:tcPr>
            <w:tcW w:w="20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固定中冷管普通卡箍</w:t>
            </w:r>
          </w:p>
        </w:tc>
        <w:tc>
          <w:tcPr>
            <w:tcW w:w="17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6±0.6Nm</w:t>
            </w:r>
          </w:p>
        </w:tc>
        <w:tc>
          <w:tcPr>
            <w:tcW w:w="14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离合式电枪</w:t>
            </w:r>
          </w:p>
          <w:p>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（枪式，含2电1充）</w:t>
            </w:r>
          </w:p>
        </w:tc>
        <w:tc>
          <w:tcPr>
            <w:tcW w:w="7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143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auto"/>
                <w:sz w:val="22"/>
                <w:szCs w:val="22"/>
                <w:u w:val="none"/>
              </w:rPr>
            </w:pPr>
          </w:p>
        </w:tc>
        <w:tc>
          <w:tcPr>
            <w:tcW w:w="20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615中冷管点</w:t>
            </w:r>
          </w:p>
        </w:tc>
        <w:tc>
          <w:tcPr>
            <w:tcW w:w="20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固定中冷管强力卡箍</w:t>
            </w:r>
          </w:p>
        </w:tc>
        <w:tc>
          <w:tcPr>
            <w:tcW w:w="17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9±1Nm</w:t>
            </w:r>
          </w:p>
        </w:tc>
        <w:tc>
          <w:tcPr>
            <w:tcW w:w="14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离合式电枪</w:t>
            </w:r>
          </w:p>
          <w:p>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（枪式，含2电1充）</w:t>
            </w:r>
          </w:p>
        </w:tc>
        <w:tc>
          <w:tcPr>
            <w:tcW w:w="7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trPr>
        <w:tc>
          <w:tcPr>
            <w:tcW w:w="1432" w:type="dxa"/>
            <w:tcBorders>
              <w:top w:val="single" w:color="000000" w:sz="4" w:space="0"/>
              <w:left w:val="single" w:color="000000" w:sz="4" w:space="0"/>
              <w:bottom w:val="single" w:color="000000" w:sz="4" w:space="0"/>
              <w:right w:val="single" w:color="000000" w:sz="4" w:space="0"/>
            </w:tcBorders>
            <w:noWrap/>
            <w:vAlign w:val="bottom"/>
          </w:tcPr>
          <w:p>
            <w:pPr>
              <w:rPr>
                <w:rFonts w:hint="eastAsia" w:ascii="仿宋" w:hAnsi="仿宋" w:eastAsia="仿宋" w:cs="仿宋"/>
                <w:i w:val="0"/>
                <w:iCs w:val="0"/>
                <w:color w:val="auto"/>
                <w:sz w:val="22"/>
                <w:szCs w:val="22"/>
                <w:u w:val="none"/>
              </w:rPr>
            </w:pPr>
          </w:p>
        </w:tc>
        <w:tc>
          <w:tcPr>
            <w:tcW w:w="201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auto"/>
                <w:sz w:val="22"/>
                <w:szCs w:val="22"/>
                <w:u w:val="none"/>
              </w:rPr>
            </w:pPr>
          </w:p>
        </w:tc>
        <w:tc>
          <w:tcPr>
            <w:tcW w:w="200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auto"/>
                <w:sz w:val="22"/>
                <w:szCs w:val="22"/>
                <w:u w:val="none"/>
              </w:rPr>
            </w:pPr>
          </w:p>
        </w:tc>
        <w:tc>
          <w:tcPr>
            <w:tcW w:w="17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auto"/>
                <w:sz w:val="22"/>
                <w:szCs w:val="22"/>
                <w:u w:val="none"/>
              </w:rPr>
            </w:pPr>
          </w:p>
        </w:tc>
        <w:tc>
          <w:tcPr>
            <w:tcW w:w="14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合计</w:t>
            </w:r>
          </w:p>
        </w:tc>
        <w:tc>
          <w:tcPr>
            <w:tcW w:w="7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4</w:t>
            </w:r>
          </w:p>
        </w:tc>
      </w:tr>
    </w:tbl>
    <w:p>
      <w:pPr>
        <w:overflowPunct w:val="0"/>
        <w:spacing w:line="360" w:lineRule="auto"/>
        <w:rPr>
          <w:rFonts w:hint="eastAsia" w:ascii="宋体" w:hAnsi="宋体" w:cs="宋体"/>
        </w:rPr>
      </w:pPr>
    </w:p>
    <w:p>
      <w:pPr>
        <w:spacing w:line="480" w:lineRule="exact"/>
        <w:outlineLvl w:val="4"/>
        <w:rPr>
          <w:rFonts w:hint="eastAsia" w:ascii="宋体" w:hAnsi="宋体" w:eastAsia="宋体" w:cs="Times New Roman"/>
        </w:rPr>
      </w:pPr>
      <w:r>
        <w:rPr>
          <w:rFonts w:hint="eastAsia" w:ascii="宋体" w:hAnsi="宋体"/>
        </w:rPr>
        <w:t>2. 通用条款</w:t>
      </w:r>
      <w:r>
        <w:rPr>
          <w:rFonts w:hint="eastAsia" w:ascii="宋体" w:hAnsi="宋体"/>
        </w:rPr>
        <w:br w:type="textWrapping"/>
      </w:r>
      <w:r>
        <w:rPr>
          <w:rFonts w:hint="eastAsia" w:ascii="宋体" w:hAnsi="宋体"/>
        </w:rPr>
        <w:t>2.1 所有零部件和各种仪表的计量单位全部采用国际单位标准（SI）标准；</w:t>
      </w:r>
      <w:r>
        <w:rPr>
          <w:rFonts w:hint="eastAsia" w:ascii="宋体" w:hAnsi="宋体"/>
        </w:rPr>
        <w:br w:type="textWrapping"/>
      </w:r>
      <w:r>
        <w:rPr>
          <w:rFonts w:hint="eastAsia" w:ascii="宋体" w:hAnsi="宋体" w:eastAsia="宋体" w:cs="Times New Roman"/>
        </w:rPr>
        <w:t>☆2.2 卖方所提供的产品必须为</w:t>
      </w:r>
      <w:r>
        <w:rPr>
          <w:rFonts w:hint="eastAsia" w:ascii="宋体" w:hAnsi="宋体" w:eastAsia="宋体" w:cs="Times New Roman"/>
          <w:lang w:val="en-US" w:eastAsia="zh-CN"/>
        </w:rPr>
        <w:t>国际</w:t>
      </w:r>
      <w:r>
        <w:rPr>
          <w:rFonts w:hint="eastAsia" w:ascii="宋体" w:hAnsi="宋体" w:eastAsia="宋体" w:cs="Times New Roman"/>
        </w:rPr>
        <w:t>知名品牌，必须是国外原产地、全新的、同类产品中最先进的可靠的产品；</w:t>
      </w:r>
      <w:r>
        <w:rPr>
          <w:rFonts w:hint="eastAsia" w:ascii="宋体" w:hAnsi="宋体" w:eastAsia="宋体" w:cs="Times New Roman"/>
        </w:rPr>
        <w:br w:type="textWrapping"/>
      </w:r>
      <w:r>
        <w:rPr>
          <w:rFonts w:hint="eastAsia" w:ascii="宋体" w:hAnsi="宋体" w:eastAsia="宋体" w:cs="Times New Roman"/>
        </w:rPr>
        <w:t>☆2.3 设备工具的选择必须考虑作业姿势、使用空间、紧固速度等因素，必须满足工艺扭矩设定值及生产节拍，离合式电动工具扭矩精度≦±5%。</w:t>
      </w:r>
    </w:p>
    <w:p>
      <w:pPr>
        <w:spacing w:line="480" w:lineRule="exact"/>
        <w:outlineLvl w:val="4"/>
        <w:rPr>
          <w:rFonts w:hint="eastAsia" w:ascii="宋体" w:hAnsi="宋体"/>
        </w:rPr>
      </w:pPr>
      <w:r>
        <w:rPr>
          <w:rFonts w:hint="eastAsia" w:ascii="宋体" w:hAnsi="宋体" w:eastAsia="宋体" w:cs="Times New Roman"/>
        </w:rPr>
        <w:t>2.4 所选工具的扭矩上限的80%不得低于工艺扭矩上限，特殊情况需说明；</w:t>
      </w:r>
      <w:r>
        <w:rPr>
          <w:rFonts w:hint="eastAsia" w:ascii="宋体" w:hAnsi="宋体" w:eastAsia="宋体" w:cs="Times New Roman"/>
        </w:rPr>
        <w:br w:type="textWrapping"/>
      </w:r>
      <w:r>
        <w:rPr>
          <w:rFonts w:hint="eastAsia" w:ascii="宋体" w:hAnsi="宋体" w:eastAsia="宋体" w:cs="Times New Roman"/>
        </w:rPr>
        <w:t>2.5 正常使用50万次（拧紧次数）以内免维护，工具寿命不低于500万次（拧紧次数）；</w:t>
      </w:r>
      <w:r>
        <w:rPr>
          <w:rFonts w:hint="eastAsia" w:ascii="宋体" w:hAnsi="宋体" w:eastAsia="宋体" w:cs="Times New Roman"/>
        </w:rPr>
        <w:br w:type="textWrapping"/>
      </w:r>
      <w:r>
        <w:rPr>
          <w:rFonts w:hint="eastAsia" w:ascii="宋体" w:hAnsi="宋体" w:eastAsia="宋体" w:cs="Times New Roman"/>
        </w:rPr>
        <w:t>2.6 工具稳定性必须达到：CMK≥1.67；</w:t>
      </w:r>
      <w:r>
        <w:rPr>
          <w:rFonts w:hint="eastAsia" w:ascii="宋体" w:hAnsi="宋体" w:eastAsia="宋体" w:cs="Times New Roman"/>
        </w:rPr>
        <w:br w:type="textWrapping"/>
      </w:r>
      <w:r>
        <w:rPr>
          <w:rFonts w:hint="eastAsia" w:ascii="宋体" w:hAnsi="宋体" w:eastAsia="宋体" w:cs="Times New Roman"/>
        </w:rPr>
        <w:t>2.7 驱动方榫应采用标准规格的驱动方榫，如3/8’、1/2’、1’等驱动头，驱动头具备高强度、耐磨损，保证与套筒、连杆等附件连接可靠、准确；</w:t>
      </w:r>
      <w:r>
        <w:rPr>
          <w:rFonts w:hint="eastAsia" w:ascii="宋体" w:hAnsi="宋体" w:eastAsia="宋体" w:cs="Times New Roman"/>
        </w:rPr>
        <w:br w:type="textWrapping"/>
      </w:r>
      <w:r>
        <w:rPr>
          <w:rFonts w:hint="eastAsia" w:ascii="宋体" w:hAnsi="宋体"/>
        </w:rPr>
        <w:t>2.8 所有设备运行平稳，工作噪声等级≤75db；</w:t>
      </w:r>
      <w:r>
        <w:rPr>
          <w:rFonts w:hint="eastAsia" w:ascii="宋体" w:hAnsi="宋体"/>
        </w:rPr>
        <w:br w:type="textWrapping"/>
      </w:r>
      <w:r>
        <w:rPr>
          <w:rFonts w:hint="eastAsia" w:ascii="宋体" w:hAnsi="宋体"/>
        </w:rPr>
        <w:t>2.9  所选设备具备模块化快速维修结构，便于维护及维修；</w:t>
      </w:r>
      <w:r>
        <w:rPr>
          <w:rFonts w:hint="eastAsia" w:ascii="宋体" w:hAnsi="宋体"/>
        </w:rPr>
        <w:br w:type="textWrapping"/>
      </w:r>
      <w:r>
        <w:rPr>
          <w:rFonts w:hint="eastAsia" w:ascii="宋体" w:hAnsi="宋体"/>
        </w:rPr>
        <w:t>2.1</w:t>
      </w:r>
      <w:r>
        <w:rPr>
          <w:rFonts w:hint="eastAsia" w:ascii="宋体" w:hAnsi="宋体"/>
          <w:lang w:val="en-US" w:eastAsia="zh-CN"/>
        </w:rPr>
        <w:t>0</w:t>
      </w:r>
      <w:r>
        <w:rPr>
          <w:rFonts w:hint="eastAsia" w:ascii="宋体" w:hAnsi="宋体"/>
        </w:rPr>
        <w:t xml:space="preserve"> 所选设备配备相应的悬挂装置，确保操作灵活、方便；</w:t>
      </w:r>
      <w:r>
        <w:rPr>
          <w:rFonts w:hint="eastAsia" w:ascii="宋体" w:hAnsi="宋体"/>
        </w:rPr>
        <w:br w:type="textWrapping"/>
      </w:r>
      <w:r>
        <w:rPr>
          <w:rFonts w:hint="eastAsia" w:ascii="宋体" w:hAnsi="宋体"/>
        </w:rPr>
        <w:t>2.1</w:t>
      </w:r>
      <w:r>
        <w:rPr>
          <w:rFonts w:hint="eastAsia" w:ascii="宋体" w:hAnsi="宋体"/>
          <w:lang w:val="en-US" w:eastAsia="zh-CN"/>
        </w:rPr>
        <w:t>1</w:t>
      </w:r>
      <w:r>
        <w:rPr>
          <w:rFonts w:hint="eastAsia" w:ascii="宋体" w:hAnsi="宋体"/>
        </w:rPr>
        <w:t xml:space="preserve"> 所选设备操作界面及附属软件、说明书等为中文；</w:t>
      </w:r>
    </w:p>
    <w:p>
      <w:pPr>
        <w:spacing w:line="480" w:lineRule="exact"/>
        <w:outlineLvl w:val="4"/>
        <w:rPr>
          <w:rFonts w:hint="eastAsia" w:ascii="宋体" w:hAnsi="宋体"/>
        </w:rPr>
      </w:pPr>
      <w:r>
        <w:rPr>
          <w:rFonts w:hint="eastAsia" w:ascii="宋体" w:hAnsi="宋体"/>
        </w:rPr>
        <w:t>3 设备组件要求</w:t>
      </w:r>
    </w:p>
    <w:p>
      <w:pPr>
        <w:spacing w:line="480" w:lineRule="exact"/>
        <w:ind w:firstLine="420" w:firstLineChars="200"/>
        <w:outlineLvl w:val="4"/>
        <w:rPr>
          <w:rFonts w:hint="eastAsia" w:ascii="宋体" w:hAnsi="宋体" w:eastAsia="宋体" w:cs="Times New Roman"/>
          <w:lang w:val="en-US" w:eastAsia="zh-CN"/>
        </w:rPr>
      </w:pPr>
      <w:r>
        <w:rPr>
          <w:rFonts w:hint="eastAsia" w:ascii="宋体" w:hAnsi="宋体"/>
        </w:rPr>
        <w:t>无线</w:t>
      </w:r>
      <w:r>
        <w:rPr>
          <w:rFonts w:hint="eastAsia" w:ascii="宋体" w:hAnsi="宋体"/>
          <w:lang w:val="en-US" w:eastAsia="zh-CN"/>
        </w:rPr>
        <w:t>离合式</w:t>
      </w:r>
      <w:r>
        <w:rPr>
          <w:rFonts w:hint="eastAsia" w:ascii="宋体" w:hAnsi="宋体"/>
        </w:rPr>
        <w:t>设备配置拧紧工具、电池、充电器等组成。每次拧紧过程结束后，拧紧值是否合格，同时拧紧工具上也具有指示灯显示</w:t>
      </w:r>
      <w:r>
        <w:rPr>
          <w:rFonts w:hint="eastAsia" w:ascii="宋体" w:hAnsi="宋体"/>
          <w:lang w:eastAsia="zh-CN"/>
        </w:rPr>
        <w:t>；</w:t>
      </w:r>
      <w:r>
        <w:rPr>
          <w:rFonts w:hint="eastAsia" w:ascii="宋体" w:hAnsi="宋体" w:eastAsia="宋体" w:cs="Times New Roman"/>
          <w:lang w:val="en-US" w:eastAsia="zh-CN"/>
        </w:rPr>
        <w:t>离合器式定值电枪要求扭矩连续合格输出，无间断、可调节；工具拧紧力矩达到要求时自动切断，能保证各自工位对拧紧力矩大 小及拧紧精度的要求，保证每一次拧紧都能达到合格的扭矩，工具不能因电池电量低而影响拧紧结果的精确度；并具备以下功能：</w:t>
      </w:r>
    </w:p>
    <w:p>
      <w:pPr>
        <w:spacing w:line="480" w:lineRule="exact"/>
        <w:ind w:firstLine="420" w:firstLineChars="200"/>
        <w:outlineLvl w:val="4"/>
        <w:rPr>
          <w:rFonts w:hint="eastAsia" w:ascii="宋体" w:hAnsi="宋体" w:eastAsia="宋体" w:cs="Times New Roman"/>
          <w:lang w:val="en-US" w:eastAsia="zh-CN"/>
        </w:rPr>
      </w:pPr>
      <w:r>
        <w:rPr>
          <w:rFonts w:hint="eastAsia" w:ascii="宋体" w:hAnsi="宋体" w:eastAsia="宋体" w:cs="Times New Roman"/>
          <w:lang w:val="en-US" w:eastAsia="zh-CN"/>
        </w:rPr>
        <w:t>3.1拧紧工具</w:t>
      </w:r>
    </w:p>
    <w:p>
      <w:pPr>
        <w:spacing w:line="480" w:lineRule="exact"/>
        <w:ind w:firstLine="420" w:firstLineChars="200"/>
        <w:outlineLvl w:val="4"/>
        <w:rPr>
          <w:rFonts w:hint="eastAsia" w:ascii="宋体" w:hAnsi="宋体" w:eastAsia="宋体" w:cs="Times New Roman"/>
          <w:lang w:val="en-US" w:eastAsia="zh-CN"/>
        </w:rPr>
      </w:pPr>
      <w:r>
        <w:rPr>
          <w:rFonts w:hint="eastAsia" w:ascii="宋体" w:hAnsi="宋体" w:eastAsia="宋体" w:cs="Times New Roman"/>
          <w:lang w:val="en-US" w:eastAsia="zh-CN"/>
        </w:rPr>
        <w:t>a) 扭矩可调，支持自动编程模式，可记录多种拧紧程序。</w:t>
      </w:r>
    </w:p>
    <w:p>
      <w:pPr>
        <w:spacing w:line="480" w:lineRule="exact"/>
        <w:ind w:firstLine="420" w:firstLineChars="200"/>
        <w:outlineLvl w:val="4"/>
        <w:rPr>
          <w:rFonts w:hint="eastAsia" w:ascii="宋体" w:hAnsi="宋体" w:eastAsia="宋体" w:cs="Times New Roman"/>
          <w:lang w:val="en-US" w:eastAsia="zh-CN"/>
        </w:rPr>
      </w:pPr>
      <w:r>
        <w:rPr>
          <w:rFonts w:hint="eastAsia" w:ascii="宋体" w:hAnsi="宋体" w:eastAsia="宋体" w:cs="Times New Roman"/>
          <w:lang w:val="en-US" w:eastAsia="zh-CN"/>
        </w:rPr>
        <w:t>b）拧紧工具配有液晶显示屏，能实时显示拧紧结果、扭矩角度数值、拧紧程序，电池电量信息等，单机版工具可通过显示屏和枪身按键快速选择程序和设置存储多种拧紧程序。</w:t>
      </w:r>
    </w:p>
    <w:p>
      <w:pPr>
        <w:spacing w:line="480" w:lineRule="exact"/>
        <w:ind w:firstLine="420" w:firstLineChars="200"/>
        <w:outlineLvl w:val="4"/>
        <w:rPr>
          <w:rFonts w:hint="eastAsia" w:ascii="宋体" w:hAnsi="宋体" w:eastAsia="宋体" w:cs="Times New Roman"/>
          <w:lang w:val="en-US" w:eastAsia="zh-CN"/>
        </w:rPr>
      </w:pPr>
      <w:r>
        <w:rPr>
          <w:rFonts w:hint="eastAsia" w:ascii="宋体" w:hAnsi="宋体" w:eastAsia="宋体" w:cs="Times New Roman"/>
          <w:lang w:val="en-US" w:eastAsia="zh-CN"/>
        </w:rPr>
        <w:t>c）需有良好的人机工程学设计，工具尽量轻便，可单手操作。</w:t>
      </w:r>
    </w:p>
    <w:p>
      <w:pPr>
        <w:spacing w:line="480" w:lineRule="exact"/>
        <w:ind w:firstLine="420" w:firstLineChars="200"/>
        <w:outlineLvl w:val="4"/>
        <w:rPr>
          <w:rFonts w:hint="eastAsia" w:ascii="宋体" w:hAnsi="宋体" w:eastAsia="宋体" w:cs="Times New Roman"/>
          <w:lang w:val="en-US" w:eastAsia="zh-CN"/>
        </w:rPr>
      </w:pPr>
      <w:r>
        <w:rPr>
          <w:rFonts w:hint="eastAsia" w:ascii="宋体" w:hAnsi="宋体" w:eastAsia="宋体" w:cs="Times New Roman"/>
          <w:lang w:val="en-US" w:eastAsia="zh-CN"/>
        </w:rPr>
        <w:t>d)</w:t>
      </w:r>
      <w:r>
        <w:rPr>
          <w:rFonts w:hint="eastAsia" w:ascii="宋体" w:hAnsi="宋体" w:eastAsia="宋体" w:cs="Times New Roman"/>
          <w:lang w:val="en-US" w:eastAsia="zh-CN"/>
        </w:rPr>
        <w:tab/>
      </w:r>
      <w:r>
        <w:rPr>
          <w:rFonts w:hint="eastAsia" w:ascii="宋体" w:hAnsi="宋体" w:eastAsia="宋体" w:cs="Times New Roman"/>
          <w:lang w:val="en-US" w:eastAsia="zh-CN"/>
        </w:rPr>
        <w:t>拧紧枪必须采用电动无刷方式。</w:t>
      </w:r>
    </w:p>
    <w:p>
      <w:pPr>
        <w:spacing w:line="480" w:lineRule="exact"/>
        <w:ind w:firstLine="420" w:firstLineChars="200"/>
        <w:outlineLvl w:val="4"/>
        <w:rPr>
          <w:rFonts w:hint="eastAsia" w:ascii="宋体" w:hAnsi="宋体" w:eastAsia="宋体" w:cs="Times New Roman"/>
          <w:lang w:val="en-US" w:eastAsia="zh-CN"/>
        </w:rPr>
      </w:pPr>
      <w:r>
        <w:rPr>
          <w:rFonts w:hint="eastAsia" w:ascii="宋体" w:hAnsi="宋体" w:eastAsia="宋体" w:cs="Times New Roman"/>
          <w:lang w:val="en-US" w:eastAsia="zh-CN"/>
        </w:rPr>
        <w:t xml:space="preserve">e)控制策略：紧固方式满足为扭矩控制/角度监控；同时工具本身支持力矩、角度、时间、反转等控制功能。工具可实现多步拧紧，对每步拧紧可以进行控制类型的设置，如目标扭矩、转速等。  </w:t>
      </w:r>
    </w:p>
    <w:p>
      <w:pPr>
        <w:spacing w:line="480" w:lineRule="exact"/>
        <w:ind w:firstLine="420" w:firstLineChars="200"/>
        <w:outlineLvl w:val="4"/>
        <w:rPr>
          <w:rFonts w:hint="eastAsia" w:ascii="宋体" w:hAnsi="宋体" w:eastAsia="宋体" w:cs="Times New Roman"/>
          <w:lang w:val="en-US" w:eastAsia="zh-CN"/>
        </w:rPr>
      </w:pPr>
      <w:r>
        <w:rPr>
          <w:rFonts w:hint="eastAsia" w:ascii="宋体" w:hAnsi="宋体" w:eastAsia="宋体" w:cs="Times New Roman"/>
          <w:lang w:val="en-US" w:eastAsia="zh-CN"/>
        </w:rPr>
        <w:t xml:space="preserve">f)具备报警信息和自诊断功能。 </w:t>
      </w:r>
    </w:p>
    <w:p>
      <w:pPr>
        <w:spacing w:line="480" w:lineRule="exact"/>
        <w:ind w:firstLine="420" w:firstLineChars="200"/>
        <w:outlineLvl w:val="4"/>
        <w:rPr>
          <w:rFonts w:hint="eastAsia" w:ascii="宋体" w:hAnsi="宋体" w:eastAsia="宋体" w:cs="Times New Roman"/>
          <w:lang w:val="en-US" w:eastAsia="zh-CN"/>
        </w:rPr>
      </w:pPr>
      <w:r>
        <w:rPr>
          <w:rFonts w:hint="eastAsia" w:ascii="宋体" w:hAnsi="宋体" w:eastAsia="宋体" w:cs="Times New Roman"/>
          <w:lang w:val="en-US" w:eastAsia="zh-CN"/>
        </w:rPr>
        <w:t xml:space="preserve">g) 可正转、反转，通过编辑拧紧程序方便地更改，工具转速可通过程序软件任意调整，最小可调范围为1转/分。 </w:t>
      </w:r>
    </w:p>
    <w:p>
      <w:pPr>
        <w:spacing w:line="480" w:lineRule="exact"/>
        <w:ind w:firstLine="420" w:firstLineChars="200"/>
        <w:outlineLvl w:val="4"/>
        <w:rPr>
          <w:rFonts w:hint="eastAsia" w:ascii="宋体" w:hAnsi="宋体" w:eastAsia="宋体" w:cs="Times New Roman"/>
          <w:lang w:val="en-US" w:eastAsia="zh-CN"/>
        </w:rPr>
      </w:pPr>
      <w:r>
        <w:rPr>
          <w:rFonts w:hint="eastAsia" w:ascii="宋体" w:hAnsi="宋体" w:eastAsia="宋体" w:cs="Times New Roman"/>
          <w:lang w:val="en-US" w:eastAsia="zh-CN"/>
        </w:rPr>
        <w:t xml:space="preserve">h) 具有过电流、过电压自动保护功能，并具有欠压自动保护功能。  </w:t>
      </w:r>
    </w:p>
    <w:p>
      <w:pPr>
        <w:spacing w:line="480" w:lineRule="exact"/>
        <w:ind w:firstLine="420" w:firstLineChars="200"/>
        <w:outlineLvl w:val="4"/>
        <w:rPr>
          <w:rFonts w:hint="eastAsia" w:ascii="宋体" w:hAnsi="宋体" w:eastAsia="宋体" w:cs="Times New Roman"/>
          <w:lang w:val="en-US" w:eastAsia="zh-CN"/>
        </w:rPr>
      </w:pPr>
      <w:r>
        <w:rPr>
          <w:rFonts w:hint="eastAsia" w:ascii="宋体" w:hAnsi="宋体" w:eastAsia="宋体" w:cs="Times New Roman"/>
          <w:lang w:val="en-US" w:eastAsia="zh-CN"/>
        </w:rPr>
        <w:t xml:space="preserve">i)单次拧紧不合格，会报警提示。  </w:t>
      </w:r>
    </w:p>
    <w:p>
      <w:pPr>
        <w:spacing w:line="480" w:lineRule="exact"/>
        <w:ind w:firstLine="420" w:firstLineChars="200"/>
        <w:outlineLvl w:val="4"/>
        <w:rPr>
          <w:rFonts w:hint="eastAsia" w:ascii="宋体" w:hAnsi="宋体" w:eastAsia="宋体" w:cs="Times New Roman"/>
          <w:lang w:val="en-US" w:eastAsia="zh-CN"/>
        </w:rPr>
      </w:pPr>
      <w:r>
        <w:rPr>
          <w:rFonts w:hint="eastAsia" w:ascii="宋体" w:hAnsi="宋体" w:eastAsia="宋体" w:cs="Times New Roman"/>
          <w:lang w:val="en-US" w:eastAsia="zh-CN"/>
        </w:rPr>
        <w:t xml:space="preserve">j) 工具配置高强度封闭式外壳，轻巧耐用，配置无接触式封闭式启动开关。  </w:t>
      </w:r>
    </w:p>
    <w:p>
      <w:pPr>
        <w:spacing w:line="480" w:lineRule="exact"/>
        <w:ind w:firstLine="420" w:firstLineChars="200"/>
        <w:outlineLvl w:val="4"/>
        <w:rPr>
          <w:rFonts w:hint="eastAsia" w:ascii="宋体" w:hAnsi="宋体" w:eastAsia="宋体" w:cs="Times New Roman"/>
          <w:lang w:val="en-US" w:eastAsia="zh-CN"/>
        </w:rPr>
      </w:pPr>
      <w:r>
        <w:rPr>
          <w:rFonts w:hint="eastAsia" w:ascii="宋体" w:hAnsi="宋体" w:eastAsia="宋体" w:cs="Times New Roman"/>
          <w:lang w:val="en-US" w:eastAsia="zh-CN"/>
        </w:rPr>
        <w:t>3.2 电池及充电器</w:t>
      </w:r>
    </w:p>
    <w:p>
      <w:pPr>
        <w:spacing w:line="480" w:lineRule="exact"/>
        <w:ind w:firstLine="420" w:firstLineChars="200"/>
        <w:outlineLvl w:val="4"/>
        <w:rPr>
          <w:rFonts w:hint="eastAsia" w:ascii="宋体" w:hAnsi="宋体" w:eastAsia="宋体" w:cs="Times New Roman"/>
          <w:lang w:val="en-US" w:eastAsia="zh-CN"/>
        </w:rPr>
      </w:pPr>
      <w:r>
        <w:rPr>
          <w:rFonts w:hint="eastAsia" w:ascii="宋体" w:hAnsi="宋体" w:eastAsia="宋体" w:cs="Times New Roman"/>
          <w:lang w:val="en-US" w:eastAsia="zh-CN"/>
        </w:rPr>
        <w:t>a）工具要求要求配置一充两电；</w:t>
      </w:r>
    </w:p>
    <w:p>
      <w:pPr>
        <w:spacing w:line="480" w:lineRule="exact"/>
        <w:ind w:firstLine="420" w:firstLineChars="200"/>
        <w:outlineLvl w:val="4"/>
        <w:rPr>
          <w:rFonts w:hint="eastAsia" w:ascii="宋体" w:hAnsi="宋体" w:eastAsia="宋体" w:cs="Times New Roman"/>
          <w:lang w:val="en-US" w:eastAsia="zh-CN"/>
        </w:rPr>
      </w:pPr>
      <w:r>
        <w:rPr>
          <w:rFonts w:hint="eastAsia" w:ascii="宋体" w:hAnsi="宋体" w:eastAsia="宋体" w:cs="Times New Roman"/>
          <w:lang w:val="en-US" w:eastAsia="zh-CN"/>
        </w:rPr>
        <w:t>b）当电池电量不足或工作扭矩不合格时应有明显的声光报警；</w:t>
      </w:r>
    </w:p>
    <w:p>
      <w:pPr>
        <w:spacing w:line="480" w:lineRule="exact"/>
        <w:ind w:firstLine="420" w:firstLineChars="200"/>
        <w:outlineLvl w:val="4"/>
        <w:rPr>
          <w:rFonts w:hint="eastAsia" w:ascii="宋体" w:hAnsi="宋体" w:eastAsia="宋体" w:cs="Times New Roman"/>
          <w:lang w:val="en-US" w:eastAsia="zh-CN"/>
        </w:rPr>
      </w:pPr>
      <w:r>
        <w:rPr>
          <w:rFonts w:hint="eastAsia" w:ascii="宋体" w:hAnsi="宋体" w:eastAsia="宋体" w:cs="Times New Roman"/>
          <w:lang w:val="en-US" w:eastAsia="zh-CN"/>
        </w:rPr>
        <w:t>c）电池应为锂电池，无“记忆效应”，可随时充电且不影响电池使用寿命；</w:t>
      </w:r>
    </w:p>
    <w:p>
      <w:pPr>
        <w:spacing w:line="480" w:lineRule="exact"/>
        <w:ind w:firstLine="420" w:firstLineChars="200"/>
        <w:outlineLvl w:val="4"/>
        <w:rPr>
          <w:rFonts w:hint="eastAsia" w:ascii="宋体" w:hAnsi="宋体" w:eastAsia="宋体" w:cs="Times New Roman"/>
          <w:lang w:val="en-US" w:eastAsia="zh-CN"/>
        </w:rPr>
      </w:pPr>
      <w:r>
        <w:rPr>
          <w:rFonts w:hint="eastAsia" w:ascii="宋体" w:hAnsi="宋体" w:eastAsia="宋体" w:cs="Times New Roman"/>
          <w:lang w:val="en-US" w:eastAsia="zh-CN"/>
        </w:rPr>
        <w:t>d）充电器具有通用性及过充保护功能，具有异常状态提示功能；</w:t>
      </w:r>
    </w:p>
    <w:p>
      <w:pPr>
        <w:spacing w:line="480" w:lineRule="exact"/>
        <w:ind w:firstLine="420" w:firstLineChars="200"/>
        <w:outlineLvl w:val="4"/>
        <w:rPr>
          <w:rFonts w:hint="eastAsia" w:ascii="宋体" w:hAnsi="宋体" w:eastAsia="宋体" w:cs="Times New Roman"/>
          <w:lang w:val="en-US" w:eastAsia="zh-CN"/>
        </w:rPr>
      </w:pPr>
      <w:r>
        <w:rPr>
          <w:rFonts w:hint="eastAsia" w:ascii="宋体" w:hAnsi="宋体" w:eastAsia="宋体" w:cs="Times New Roman"/>
          <w:lang w:val="en-US" w:eastAsia="zh-CN"/>
        </w:rPr>
        <w:t>e）在电池电量低时应保证扭矩不会减小、转速不会降低，具有防错功能，防止不同型号的电池混用；</w:t>
      </w:r>
    </w:p>
    <w:p>
      <w:pPr>
        <w:spacing w:line="480" w:lineRule="exact"/>
        <w:ind w:firstLine="420" w:firstLineChars="200"/>
        <w:outlineLvl w:val="4"/>
        <w:rPr>
          <w:rFonts w:hint="eastAsia" w:ascii="宋体" w:hAnsi="宋体" w:eastAsia="宋体" w:cs="Times New Roman"/>
          <w:lang w:val="en-US" w:eastAsia="zh-CN"/>
        </w:rPr>
      </w:pPr>
      <w:r>
        <w:rPr>
          <w:rFonts w:hint="eastAsia" w:ascii="宋体" w:hAnsi="宋体" w:eastAsia="宋体" w:cs="Times New Roman"/>
          <w:lang w:val="en-US" w:eastAsia="zh-CN"/>
        </w:rPr>
        <w:t>f)工具前端配置LED等照亮工作区域；</w:t>
      </w:r>
    </w:p>
    <w:p>
      <w:pPr>
        <w:spacing w:line="480" w:lineRule="exact"/>
        <w:ind w:firstLine="420" w:firstLineChars="200"/>
        <w:outlineLvl w:val="4"/>
        <w:rPr>
          <w:rFonts w:hint="eastAsia" w:ascii="宋体" w:hAnsi="宋体" w:eastAsia="宋体" w:cs="Times New Roman"/>
          <w:lang w:val="en-US" w:eastAsia="zh-CN"/>
        </w:rPr>
      </w:pPr>
      <w:r>
        <w:rPr>
          <w:rFonts w:hint="eastAsia" w:ascii="宋体" w:hAnsi="宋体" w:eastAsia="宋体" w:cs="Times New Roman"/>
          <w:lang w:val="en-US" w:eastAsia="zh-CN"/>
        </w:rPr>
        <w:t>g)单块电池100%充满时间≤60分钟，以满足生产需要；</w:t>
      </w:r>
    </w:p>
    <w:p>
      <w:pPr>
        <w:spacing w:line="480" w:lineRule="exact"/>
        <w:ind w:firstLine="420" w:firstLineChars="200"/>
        <w:outlineLvl w:val="4"/>
        <w:rPr>
          <w:rFonts w:hint="eastAsia" w:ascii="宋体" w:hAnsi="宋体" w:eastAsia="宋体" w:cs="Times New Roman"/>
          <w:lang w:val="en-US" w:eastAsia="zh-CN"/>
        </w:rPr>
      </w:pPr>
      <w:r>
        <w:rPr>
          <w:rFonts w:hint="eastAsia" w:ascii="宋体" w:hAnsi="宋体" w:eastAsia="宋体" w:cs="Times New Roman"/>
          <w:lang w:val="en-US" w:eastAsia="zh-CN"/>
        </w:rPr>
        <w:t>h)电池充电完成后应有明显的声光报警信号，当电池电量未消耗完毕而进行充电时，不应对电池产生伤害。</w:t>
      </w:r>
    </w:p>
    <w:p>
      <w:pPr>
        <w:spacing w:line="480" w:lineRule="exact"/>
        <w:ind w:firstLine="420" w:firstLineChars="200"/>
        <w:outlineLvl w:val="4"/>
        <w:rPr>
          <w:rFonts w:hint="eastAsia" w:ascii="宋体" w:hAnsi="宋体" w:eastAsia="宋体" w:cs="Times New Roman"/>
          <w:lang w:val="en-US" w:eastAsia="zh-CN"/>
        </w:rPr>
      </w:pPr>
      <w:r>
        <w:rPr>
          <w:rFonts w:hint="eastAsia" w:ascii="宋体" w:hAnsi="宋体" w:eastAsia="宋体" w:cs="Times New Roman"/>
          <w:lang w:val="en-US" w:eastAsia="zh-CN"/>
        </w:rPr>
        <w:t>4.维护保养要求</w:t>
      </w:r>
    </w:p>
    <w:p>
      <w:pPr>
        <w:spacing w:line="480" w:lineRule="exact"/>
        <w:ind w:firstLine="420" w:firstLineChars="200"/>
        <w:outlineLvl w:val="4"/>
        <w:rPr>
          <w:rFonts w:hint="eastAsia" w:ascii="宋体" w:hAnsi="宋体" w:eastAsia="宋体" w:cs="Times New Roman"/>
          <w:lang w:val="en-US" w:eastAsia="zh-CN"/>
        </w:rPr>
      </w:pPr>
      <w:r>
        <w:rPr>
          <w:rFonts w:hint="eastAsia" w:ascii="宋体" w:hAnsi="宋体" w:eastAsia="宋体" w:cs="Times New Roman"/>
          <w:lang w:val="en-US" w:eastAsia="zh-CN"/>
        </w:rPr>
        <w:t>4.1工具首次标定由投标方找国家认可的第三方检测机构标定，需提供检定校准报告；</w:t>
      </w:r>
    </w:p>
    <w:p>
      <w:pPr>
        <w:spacing w:line="480" w:lineRule="exact"/>
        <w:ind w:firstLine="420" w:firstLineChars="200"/>
        <w:outlineLvl w:val="4"/>
        <w:rPr>
          <w:rFonts w:hint="eastAsia" w:ascii="宋体" w:hAnsi="宋体" w:eastAsia="宋体" w:cs="Times New Roman"/>
          <w:lang w:val="en-US" w:eastAsia="zh-CN"/>
        </w:rPr>
      </w:pPr>
      <w:r>
        <w:rPr>
          <w:rFonts w:hint="eastAsia" w:ascii="宋体" w:hAnsi="宋体" w:eastAsia="宋体" w:cs="Times New Roman"/>
          <w:lang w:val="en-US" w:eastAsia="zh-CN"/>
        </w:rPr>
        <w:t>4.2工具维保：验收前对设备免费保养和备件更换；验收后质保期内一年内提供免费维保；工具维修保养次数根据工具的使用频次确定，一年质保期到期前，应免费进行批量维护保养；</w:t>
      </w:r>
    </w:p>
    <w:p>
      <w:pPr>
        <w:spacing w:line="480" w:lineRule="exact"/>
        <w:ind w:firstLine="420" w:firstLineChars="200"/>
        <w:outlineLvl w:val="4"/>
        <w:rPr>
          <w:rFonts w:hint="eastAsia" w:ascii="宋体" w:hAnsi="宋体" w:eastAsia="宋体" w:cs="Times New Roman"/>
          <w:lang w:val="en-US" w:eastAsia="zh-CN"/>
        </w:rPr>
      </w:pPr>
      <w:r>
        <w:rPr>
          <w:rFonts w:hint="eastAsia" w:ascii="宋体" w:hAnsi="宋体" w:eastAsia="宋体" w:cs="Times New Roman"/>
          <w:lang w:val="en-US" w:eastAsia="zh-CN"/>
        </w:rPr>
        <w:t>4.3备件价格：承诺维修备件零整比不大于2（单件备件价格不超过整机50%），并提供易损备件明细及价格用于后续5年内备件定价；</w:t>
      </w:r>
    </w:p>
    <w:p>
      <w:pPr>
        <w:spacing w:line="480" w:lineRule="exact"/>
        <w:ind w:firstLine="420" w:firstLineChars="200"/>
        <w:outlineLvl w:val="4"/>
        <w:rPr>
          <w:rFonts w:hint="eastAsia" w:ascii="宋体" w:hAnsi="宋体" w:eastAsia="宋体" w:cs="Times New Roman"/>
          <w:lang w:val="en-US" w:eastAsia="zh-CN"/>
        </w:rPr>
      </w:pPr>
      <w:r>
        <w:rPr>
          <w:rFonts w:hint="eastAsia" w:ascii="宋体" w:hAnsi="宋体" w:eastAsia="宋体" w:cs="Times New Roman"/>
          <w:lang w:val="en-US" w:eastAsia="zh-CN"/>
        </w:rPr>
        <w:t>4.4投标方需对招标方人员工装、设备、工具的基本结构、工作原理、操作内容（常见故障及排除方法）进行专项培训；</w:t>
      </w:r>
    </w:p>
    <w:p>
      <w:pPr>
        <w:spacing w:line="480" w:lineRule="exact"/>
        <w:ind w:firstLine="420" w:firstLineChars="200"/>
        <w:outlineLvl w:val="4"/>
        <w:rPr>
          <w:rFonts w:hint="eastAsia" w:ascii="宋体" w:hAnsi="宋体" w:eastAsia="宋体" w:cs="Times New Roman"/>
          <w:lang w:val="en-US" w:eastAsia="zh-CN"/>
        </w:rPr>
      </w:pPr>
      <w:r>
        <w:rPr>
          <w:rFonts w:hint="eastAsia" w:ascii="宋体" w:hAnsi="宋体" w:eastAsia="宋体" w:cs="Times New Roman"/>
          <w:lang w:val="en-US" w:eastAsia="zh-CN"/>
        </w:rPr>
        <w:t>4.5投标方需对招标方人员涉及的工具维修、保养、性能标定项目和要求进行专项培训；</w:t>
      </w:r>
    </w:p>
    <w:p>
      <w:pPr>
        <w:spacing w:line="480" w:lineRule="exact"/>
        <w:ind w:firstLine="420" w:firstLineChars="200"/>
        <w:outlineLvl w:val="4"/>
        <w:rPr>
          <w:rFonts w:hint="eastAsia" w:ascii="宋体" w:hAnsi="宋体" w:eastAsia="宋体" w:cs="Times New Roman"/>
          <w:lang w:val="en-US" w:eastAsia="zh-CN"/>
        </w:rPr>
      </w:pPr>
      <w:r>
        <w:rPr>
          <w:rFonts w:hint="eastAsia" w:ascii="宋体" w:hAnsi="宋体" w:eastAsia="宋体" w:cs="Times New Roman"/>
          <w:lang w:val="en-US" w:eastAsia="zh-CN"/>
        </w:rPr>
        <w:t>4.6维修维保响应：建议维修维保响应时间为一周，特殊情况需说明。</w:t>
      </w:r>
    </w:p>
    <w:p>
      <w:pPr>
        <w:pStyle w:val="2"/>
        <w:spacing w:line="360" w:lineRule="auto"/>
        <w:ind w:firstLine="562" w:firstLineChars="200"/>
        <w:rPr>
          <w:rFonts w:hAnsi="宋体" w:cs="宋体"/>
          <w:sz w:val="24"/>
          <w:szCs w:val="24"/>
        </w:rPr>
      </w:pPr>
      <w:r>
        <w:rPr>
          <w:rFonts w:hint="eastAsia" w:ascii="黑体" w:hAnsi="黑体" w:eastAsia="黑体"/>
          <w:b/>
          <w:bCs/>
          <w:sz w:val="28"/>
          <w:szCs w:val="28"/>
        </w:rPr>
        <w:t>五</w:t>
      </w:r>
      <w:r>
        <w:rPr>
          <w:rFonts w:ascii="黑体" w:hAnsi="黑体" w:eastAsia="黑体"/>
          <w:b/>
          <w:bCs/>
          <w:sz w:val="28"/>
          <w:szCs w:val="28"/>
        </w:rPr>
        <w:t>、</w:t>
      </w:r>
      <w:r>
        <w:rPr>
          <w:rFonts w:hint="eastAsia" w:ascii="黑体" w:hAnsi="黑体" w:eastAsia="黑体"/>
          <w:b/>
          <w:bCs/>
          <w:sz w:val="28"/>
          <w:szCs w:val="28"/>
        </w:rPr>
        <w:t>安全要求</w:t>
      </w:r>
    </w:p>
    <w:p>
      <w:pPr>
        <w:pStyle w:val="2"/>
        <w:spacing w:line="360"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1. 安全可靠：合理配备安全防护措施、实时监测、系统报警；</w:t>
      </w:r>
    </w:p>
    <w:p>
      <w:pPr>
        <w:pStyle w:val="131"/>
        <w:spacing w:line="360" w:lineRule="auto"/>
        <w:ind w:firstLine="480"/>
        <w:jc w:val="left"/>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2. 安全防护、环境保护、节能要求应满足ISO及国家相关标准；</w:t>
      </w:r>
    </w:p>
    <w:p>
      <w:pPr>
        <w:pStyle w:val="2"/>
        <w:spacing w:line="360" w:lineRule="auto"/>
        <w:ind w:firstLine="562" w:firstLineChars="200"/>
        <w:rPr>
          <w:rFonts w:ascii="黑体" w:hAnsi="黑体" w:eastAsia="黑体"/>
          <w:b/>
          <w:bCs/>
          <w:sz w:val="28"/>
          <w:szCs w:val="28"/>
        </w:rPr>
      </w:pPr>
      <w:r>
        <w:rPr>
          <w:rFonts w:hint="eastAsia" w:ascii="黑体" w:hAnsi="黑体" w:eastAsia="黑体"/>
          <w:b/>
          <w:bCs/>
          <w:sz w:val="28"/>
          <w:szCs w:val="28"/>
        </w:rPr>
        <w:t>六、供货要求</w:t>
      </w:r>
    </w:p>
    <w:p>
      <w:pPr>
        <w:pStyle w:val="2"/>
        <w:spacing w:line="360"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1. 供货范围包括货物为达到产品标准以及环保、消防和劳动安全卫生等国家法律、法规和标准、规范要求而必须配备但标书未明确提出的通风系统、近距离照明系统以及劳动安全防护设施（不包括人体防护用品）等使用现场配套的设备、材料等；</w:t>
      </w:r>
    </w:p>
    <w:p>
      <w:pPr>
        <w:pStyle w:val="2"/>
        <w:spacing w:line="360"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2. 供货范围包括货物正常运行所必需的全套连线设备、材料等。如货物端连接法兰外端面之内的、电气系统接口压线板（插座等）之内的设备、材料、连接螺栓、垫片等；</w:t>
      </w:r>
    </w:p>
    <w:p>
      <w:pPr>
        <w:pStyle w:val="2"/>
        <w:spacing w:line="360"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3. 供货范围包括货物正常运行、使用所需要的桥架、护栏、防护网、盖板等辅助设施；</w:t>
      </w:r>
    </w:p>
    <w:p>
      <w:pPr>
        <w:pStyle w:val="2"/>
        <w:spacing w:line="360"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4. 质保期终止之日起一年内重复出现的质保期之内出现的故障，仍属于质保范围而且应当免费；</w:t>
      </w:r>
    </w:p>
    <w:p>
      <w:pPr>
        <w:pStyle w:val="2"/>
        <w:spacing w:line="360" w:lineRule="auto"/>
        <w:ind w:firstLine="562" w:firstLineChars="200"/>
        <w:rPr>
          <w:rFonts w:ascii="黑体" w:hAnsi="黑体" w:eastAsia="黑体"/>
          <w:b/>
          <w:bCs/>
          <w:sz w:val="28"/>
          <w:szCs w:val="28"/>
        </w:rPr>
      </w:pPr>
      <w:r>
        <w:rPr>
          <w:rFonts w:hint="eastAsia" w:ascii="黑体" w:hAnsi="黑体" w:eastAsia="黑体"/>
          <w:b/>
          <w:bCs/>
          <w:sz w:val="28"/>
          <w:szCs w:val="28"/>
        </w:rPr>
        <w:t>七、售中售后服务</w:t>
      </w:r>
    </w:p>
    <w:p>
      <w:pPr>
        <w:pStyle w:val="2"/>
        <w:spacing w:line="360"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1. 招标方应负责在买方设备使用现场，进行5工作日免费的技术指导和培训。</w:t>
      </w:r>
    </w:p>
    <w:p>
      <w:pPr>
        <w:pStyle w:val="2"/>
        <w:spacing w:line="360"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2. 招标方应免费提供培训资料2份。</w:t>
      </w:r>
    </w:p>
    <w:p>
      <w:pPr>
        <w:pStyle w:val="2"/>
        <w:spacing w:line="360"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3. 若卖方提供的设备涉及到外购外协货物、而且该货物的技术质量等较为关键时，卖方应能保证得到配套厂家的技术支持，并免费为买方提供技术服务。</w:t>
      </w:r>
    </w:p>
    <w:p>
      <w:pPr>
        <w:pStyle w:val="2"/>
        <w:spacing w:line="360"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4. 负责制定对买方人员在运行、维修等方面的培训计划，并有专人负责实施培训计划，负责指导买方受培训人员正确理解设计和制造意图，认识设备的特点和特性，掌握在运行、维修和使用管理中应遵守的规则等方面的综合知识。</w:t>
      </w:r>
    </w:p>
    <w:p>
      <w:pPr>
        <w:pStyle w:val="2"/>
        <w:spacing w:line="360" w:lineRule="auto"/>
        <w:ind w:firstLine="562" w:firstLineChars="200"/>
        <w:rPr>
          <w:rFonts w:ascii="黑体" w:hAnsi="黑体" w:eastAsia="黑体"/>
          <w:b/>
          <w:bCs/>
          <w:sz w:val="28"/>
          <w:szCs w:val="28"/>
        </w:rPr>
      </w:pPr>
      <w:r>
        <w:rPr>
          <w:rFonts w:hint="eastAsia" w:ascii="黑体" w:hAnsi="黑体" w:eastAsia="黑体"/>
          <w:b/>
          <w:bCs/>
          <w:sz w:val="28"/>
          <w:szCs w:val="28"/>
        </w:rPr>
        <w:t>八、备件</w:t>
      </w:r>
    </w:p>
    <w:p>
      <w:pPr>
        <w:pStyle w:val="2"/>
        <w:spacing w:line="360"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1.备件内容包括但不限于：</w:t>
      </w:r>
    </w:p>
    <w:p>
      <w:pPr>
        <w:pStyle w:val="2"/>
        <w:spacing w:line="360"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套筒、电器元件、气路附件及其它易损件。</w:t>
      </w:r>
    </w:p>
    <w:p>
      <w:pPr>
        <w:pStyle w:val="2"/>
        <w:spacing w:line="360"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2.在完成设备技术会签后，由买方确定具体备件清单及要求到货时间、卖方按清单提供。</w:t>
      </w:r>
    </w:p>
    <w:p>
      <w:pPr>
        <w:pStyle w:val="2"/>
        <w:spacing w:line="360"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3.卖方对备件价格核算时，应按照市场价格85%以下（含85%）对买方进行核算。</w:t>
      </w:r>
    </w:p>
    <w:p>
      <w:pPr>
        <w:pStyle w:val="2"/>
        <w:spacing w:line="360" w:lineRule="auto"/>
        <w:ind w:firstLine="562" w:firstLineChars="200"/>
        <w:rPr>
          <w:rFonts w:ascii="黑体" w:hAnsi="黑体" w:eastAsia="黑体"/>
          <w:b/>
          <w:bCs/>
          <w:sz w:val="28"/>
          <w:szCs w:val="28"/>
        </w:rPr>
      </w:pPr>
      <w:r>
        <w:rPr>
          <w:rFonts w:hint="eastAsia" w:ascii="黑体" w:hAnsi="黑体" w:eastAsia="黑体"/>
          <w:b/>
          <w:bCs/>
          <w:sz w:val="28"/>
          <w:szCs w:val="28"/>
        </w:rPr>
        <w:t>九、其他</w:t>
      </w:r>
    </w:p>
    <w:p>
      <w:pPr>
        <w:pStyle w:val="2"/>
        <w:spacing w:line="360"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1. 投标人承诺对参与该项目所获得的与招标人产品相关的所有信息都予以保密，并承担与此相关的所有法律责任；</w:t>
      </w:r>
    </w:p>
    <w:p>
      <w:pPr>
        <w:pStyle w:val="2"/>
        <w:spacing w:line="360"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2. 终验收合格后，质保期一年。在正常运行的情况下，系统出现故障，在接到通知后4小时以内予以答复，并在24小时以内派出服务人员，无偿维修；在质保期满后，投标方在接到通知后4小时以内予以答复，并在24小时以内派出服务人员；</w:t>
      </w:r>
    </w:p>
    <w:p>
      <w:pPr>
        <w:pStyle w:val="2"/>
        <w:spacing w:line="360"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3. 其余未尽事宜，投标人应与招标人指派的答疑人员充分沟通，理解认可并接受相关技术规范及服务要求；</w:t>
      </w:r>
    </w:p>
    <w:p>
      <w:pPr>
        <w:pStyle w:val="2"/>
        <w:spacing w:line="360"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4. 中标人需安排专人负责本招标项目的联络、检测计划布置、检测现场指导工作，该负责人对于以上问题的响应时间不得超过2小时；</w:t>
      </w:r>
    </w:p>
    <w:p>
      <w:pPr>
        <w:pStyle w:val="2"/>
        <w:spacing w:line="360"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5. 投标人需自备交通工具、各种设备及食宿等必需品；</w:t>
      </w:r>
    </w:p>
    <w:p>
      <w:pPr>
        <w:pStyle w:val="2"/>
        <w:spacing w:line="360"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6. 中标方需对招标人提供的数据及企业资料进行保密，并不得向第三方扩散，因泄密对招标人造成的损失由中标方承担相应全部责任；</w:t>
      </w:r>
    </w:p>
    <w:p>
      <w:pPr>
        <w:pStyle w:val="14"/>
        <w:rPr>
          <w:rFonts w:hint="eastAsia"/>
        </w:rPr>
      </w:pPr>
      <w:r>
        <w:rPr>
          <w:rFonts w:hint="eastAsia" w:hAnsi="宋体" w:cs="宋体"/>
          <w:sz w:val="24"/>
        </w:rPr>
        <w:br w:type="page"/>
      </w:r>
    </w:p>
    <w:p>
      <w:pPr>
        <w:pStyle w:val="3"/>
        <w:spacing w:before="120" w:after="120" w:line="480" w:lineRule="exact"/>
        <w:jc w:val="center"/>
        <w:rPr>
          <w:rFonts w:hint="eastAsia" w:ascii="黑体" w:eastAsia="黑体"/>
          <w:b w:val="0"/>
          <w:sz w:val="24"/>
          <w:szCs w:val="24"/>
        </w:rPr>
      </w:pPr>
      <w:bookmarkStart w:id="107" w:name="_Toc137705869"/>
      <w:bookmarkStart w:id="108" w:name="_Toc9668"/>
      <w:bookmarkStart w:id="109" w:name="_Toc5879"/>
      <w:bookmarkStart w:id="110" w:name="_Toc10810"/>
      <w:bookmarkStart w:id="111" w:name="_Toc10963"/>
      <w:r>
        <w:rPr>
          <w:rFonts w:hint="eastAsia" w:ascii="黑体" w:eastAsia="黑体"/>
          <w:b w:val="0"/>
          <w:sz w:val="24"/>
          <w:szCs w:val="24"/>
        </w:rPr>
        <w:t>第三章  供货范围及供货方式</w:t>
      </w:r>
      <w:bookmarkEnd w:id="107"/>
      <w:bookmarkEnd w:id="108"/>
      <w:bookmarkEnd w:id="109"/>
      <w:bookmarkEnd w:id="110"/>
      <w:bookmarkEnd w:id="111"/>
    </w:p>
    <w:p>
      <w:pPr>
        <w:pStyle w:val="5"/>
        <w:spacing w:before="120" w:after="120" w:line="480" w:lineRule="exact"/>
        <w:jc w:val="center"/>
        <w:rPr>
          <w:rFonts w:hint="eastAsia"/>
          <w:b w:val="0"/>
          <w:sz w:val="24"/>
          <w:szCs w:val="24"/>
        </w:rPr>
      </w:pPr>
      <w:bookmarkStart w:id="112" w:name="_Toc10065"/>
      <w:bookmarkStart w:id="113" w:name="_Toc15892"/>
      <w:bookmarkStart w:id="114" w:name="_Toc137705870"/>
      <w:bookmarkStart w:id="115" w:name="_Toc22761"/>
      <w:bookmarkStart w:id="116" w:name="_Toc19615"/>
      <w:r>
        <w:rPr>
          <w:rFonts w:hint="eastAsia"/>
          <w:b w:val="0"/>
          <w:sz w:val="24"/>
          <w:szCs w:val="24"/>
        </w:rPr>
        <w:t>第一节  供货范围</w:t>
      </w:r>
      <w:bookmarkEnd w:id="112"/>
      <w:bookmarkEnd w:id="113"/>
      <w:bookmarkEnd w:id="114"/>
      <w:bookmarkEnd w:id="115"/>
      <w:bookmarkEnd w:id="116"/>
    </w:p>
    <w:p>
      <w:pPr>
        <w:spacing w:line="480" w:lineRule="exact"/>
        <w:ind w:firstLine="420" w:firstLineChars="200"/>
        <w:rPr>
          <w:rFonts w:hint="eastAsia" w:ascii="黑体" w:hAnsi="宋体" w:eastAsia="黑体"/>
        </w:rPr>
      </w:pPr>
      <w:r>
        <w:rPr>
          <w:rFonts w:hint="eastAsia" w:ascii="黑体" w:hAnsi="宋体" w:eastAsia="黑体"/>
        </w:rPr>
        <w:t>一、主要货物一般供货范围界定</w:t>
      </w:r>
    </w:p>
    <w:p>
      <w:pPr>
        <w:spacing w:line="480" w:lineRule="exact"/>
        <w:ind w:firstLine="420" w:firstLineChars="200"/>
        <w:rPr>
          <w:rFonts w:hint="eastAsia" w:ascii="宋体" w:hAnsi="宋体"/>
        </w:rPr>
      </w:pPr>
      <w:r>
        <w:rPr>
          <w:rFonts w:hint="eastAsia" w:ascii="宋体" w:hAnsi="宋体"/>
        </w:rPr>
        <w:t>1、供货范围包括本技术标书“采购货物概况” 所列及所要求的设备。</w:t>
      </w:r>
    </w:p>
    <w:p>
      <w:pPr>
        <w:spacing w:line="480" w:lineRule="exact"/>
        <w:ind w:firstLine="420" w:firstLineChars="200"/>
        <w:rPr>
          <w:rFonts w:hint="eastAsia" w:ascii="宋体" w:hAnsi="宋体"/>
        </w:rPr>
      </w:pPr>
      <w:r>
        <w:rPr>
          <w:rFonts w:hint="eastAsia" w:ascii="宋体" w:hAnsi="宋体"/>
        </w:rPr>
        <w:t>2、供货范围包括为保证设备正常安装、调试和验收完成及以前所必需的整套配件、附件及材料、油料、控制软件及程序或指令等。</w:t>
      </w:r>
    </w:p>
    <w:p>
      <w:pPr>
        <w:spacing w:line="480" w:lineRule="exact"/>
        <w:ind w:firstLine="420" w:firstLineChars="200"/>
        <w:rPr>
          <w:rFonts w:hint="eastAsia" w:ascii="宋体" w:hAnsi="宋体"/>
        </w:rPr>
      </w:pPr>
      <w:r>
        <w:rPr>
          <w:rFonts w:hint="eastAsia" w:ascii="宋体" w:hAnsi="宋体"/>
        </w:rPr>
        <w:t>如果终验收完成后，投标方有需要收回的配件、附件、材料、油料等，应当在投标文件的技术偏离条款中，予以详细说明；否则视同包括在供货范围之内。</w:t>
      </w:r>
    </w:p>
    <w:p>
      <w:pPr>
        <w:spacing w:line="480" w:lineRule="exact"/>
        <w:ind w:firstLine="420" w:firstLineChars="200"/>
        <w:rPr>
          <w:rFonts w:hint="eastAsia" w:ascii="宋体" w:hAnsi="宋体"/>
        </w:rPr>
      </w:pPr>
      <w:r>
        <w:rPr>
          <w:rFonts w:hint="eastAsia" w:ascii="宋体" w:hAnsi="宋体"/>
        </w:rPr>
        <w:t>3、供货范围包括货物维护维修所必需的专用工具。</w:t>
      </w:r>
    </w:p>
    <w:p>
      <w:pPr>
        <w:spacing w:line="480" w:lineRule="exact"/>
        <w:ind w:firstLine="420" w:firstLineChars="200"/>
        <w:rPr>
          <w:rFonts w:hint="eastAsia" w:ascii="宋体" w:hAnsi="宋体"/>
        </w:rPr>
      </w:pPr>
      <w:r>
        <w:rPr>
          <w:rFonts w:hint="eastAsia" w:ascii="宋体" w:hAnsi="宋体"/>
        </w:rPr>
        <w:t>4、供货范围包括设备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480" w:lineRule="exact"/>
        <w:ind w:firstLine="420" w:firstLineChars="200"/>
        <w:rPr>
          <w:rFonts w:hint="eastAsia" w:ascii="宋体" w:hAnsi="宋体"/>
        </w:rPr>
      </w:pPr>
      <w:r>
        <w:rPr>
          <w:rFonts w:hint="eastAsia" w:ascii="宋体" w:hAnsi="宋体"/>
        </w:rPr>
        <w:t>如投标方难以提供或无优势提供以及属于选用配置的，则应当在投标文件的技术偏离条款中，予以详细说明并注明投标报价未包含该部分的货值。</w:t>
      </w:r>
    </w:p>
    <w:p>
      <w:pPr>
        <w:spacing w:line="480" w:lineRule="exact"/>
        <w:ind w:firstLine="420" w:firstLineChars="200"/>
        <w:rPr>
          <w:rFonts w:hint="eastAsia" w:ascii="宋体" w:hAnsi="宋体"/>
        </w:rPr>
      </w:pPr>
      <w:r>
        <w:rPr>
          <w:rFonts w:hint="eastAsia" w:ascii="宋体" w:hAnsi="宋体"/>
        </w:rPr>
        <w:t>5、供货范围包括为保证设备自身正常运行所必需的、满足使用地点环境条件的通风、冷却、降温等必需设施。</w:t>
      </w:r>
    </w:p>
    <w:p>
      <w:pPr>
        <w:spacing w:line="480" w:lineRule="exact"/>
        <w:ind w:firstLine="420" w:firstLineChars="200"/>
        <w:rPr>
          <w:rFonts w:hint="eastAsia" w:ascii="宋体" w:hAnsi="宋体"/>
        </w:rPr>
      </w:pPr>
      <w:r>
        <w:rPr>
          <w:rFonts w:hint="eastAsia" w:ascii="宋体" w:hAnsi="宋体"/>
        </w:rPr>
        <w:t>6、以“交钥匙”方式采购的设备，在满足技术标书本节上述要求之外，供货范围还包括如下界定（货物）：</w:t>
      </w:r>
    </w:p>
    <w:p>
      <w:pPr>
        <w:spacing w:line="480" w:lineRule="exact"/>
        <w:ind w:firstLine="420" w:firstLineChars="200"/>
        <w:rPr>
          <w:rFonts w:hint="eastAsia" w:ascii="宋体" w:hAnsi="宋体"/>
        </w:rPr>
      </w:pPr>
      <w:r>
        <w:rPr>
          <w:rFonts w:hint="eastAsia" w:ascii="宋体" w:hAnsi="宋体"/>
        </w:rPr>
        <w:t>6.1  招标方只提设备所需的厂房以及砼基础；只提供符合本技术标书中“采购货物概况”和“使用环境”章节所列明品质的电力、自来水、压缩空气、蒸汽、天然气管线至系统接口，如：系统电力接口的接线端，水、气、汽等外围管线端联接法兰外端面。</w:t>
      </w:r>
    </w:p>
    <w:p>
      <w:pPr>
        <w:spacing w:line="480" w:lineRule="exact"/>
        <w:ind w:firstLine="420" w:firstLineChars="200"/>
        <w:rPr>
          <w:rFonts w:hint="eastAsia" w:ascii="宋体" w:hAnsi="宋体"/>
        </w:rPr>
      </w:pPr>
      <w:r>
        <w:rPr>
          <w:rFonts w:hint="eastAsia" w:ascii="宋体" w:hAnsi="宋体"/>
        </w:rPr>
        <w:t>6.2  供货范围包括设备正常运行所必需的全套连线设备、材料等。如货物端联接法兰外端面之内的、电气系统接口压线板（插座等）之内的设备、材料、联接螺栓、垫片等。</w:t>
      </w:r>
    </w:p>
    <w:p>
      <w:pPr>
        <w:spacing w:line="480" w:lineRule="exact"/>
        <w:ind w:firstLine="420" w:firstLineChars="200"/>
        <w:rPr>
          <w:rFonts w:hint="eastAsia" w:ascii="宋体" w:hAnsi="宋体"/>
        </w:rPr>
      </w:pPr>
      <w:r>
        <w:rPr>
          <w:rFonts w:hint="eastAsia" w:ascii="宋体" w:hAnsi="宋体"/>
        </w:rPr>
        <w:t>6.3  供货范围包括设备正常运行、使用所需要的桥架、护栏、防护网、盖板等辅助设施。</w:t>
      </w:r>
    </w:p>
    <w:p>
      <w:pPr>
        <w:spacing w:line="480" w:lineRule="exact"/>
        <w:ind w:firstLine="420" w:firstLineChars="200"/>
        <w:rPr>
          <w:rFonts w:hint="eastAsia" w:ascii="宋体" w:hAnsi="宋体"/>
        </w:rPr>
      </w:pPr>
      <w:r>
        <w:rPr>
          <w:rFonts w:hint="eastAsia" w:ascii="宋体" w:hAnsi="宋体"/>
        </w:rPr>
        <w:t>6.4  供货范围包括招标文件中无明确具体要求而投标方认为必须具备的其它货物。但是，在投标文件报价明细中，</w:t>
      </w:r>
      <w:r>
        <w:rPr>
          <w:rFonts w:hint="eastAsia" w:ascii="宋体" w:hAnsi="宋体" w:eastAsia="宋体" w:cs="Times New Roman"/>
          <w:kern w:val="2"/>
          <w:sz w:val="24"/>
          <w:szCs w:val="24"/>
          <w:lang w:val="en-US" w:eastAsia="zh-CN" w:bidi="ar-SA"/>
        </w:rPr>
        <w:t>该部分货物</w:t>
      </w:r>
      <w:r>
        <w:rPr>
          <w:rFonts w:hint="eastAsia" w:ascii="宋体" w:hAnsi="宋体"/>
        </w:rPr>
        <w:t>单独报价（该报价含运杂费及税费等其它费用，而且不再作为其它报价涉及的其它费用的计算基数）。</w:t>
      </w:r>
    </w:p>
    <w:p>
      <w:pPr>
        <w:spacing w:line="480" w:lineRule="exact"/>
        <w:ind w:firstLine="420" w:firstLineChars="200"/>
        <w:rPr>
          <w:rFonts w:hint="eastAsia" w:ascii="黑体" w:hAnsi="宋体" w:eastAsia="黑体"/>
        </w:rPr>
      </w:pPr>
      <w:r>
        <w:rPr>
          <w:rFonts w:hint="eastAsia" w:ascii="黑体" w:hAnsi="宋体" w:eastAsia="黑体"/>
        </w:rPr>
        <w:t>二、备品备件、易损件和专用耗材供货范围</w:t>
      </w:r>
    </w:p>
    <w:p>
      <w:pPr>
        <w:spacing w:line="480" w:lineRule="exact"/>
        <w:ind w:firstLine="420" w:firstLineChars="200"/>
        <w:rPr>
          <w:rFonts w:hint="eastAsia" w:ascii="宋体" w:hAnsi="宋体"/>
        </w:rPr>
      </w:pPr>
      <w:r>
        <w:rPr>
          <w:rFonts w:hint="eastAsia" w:ascii="宋体" w:hAnsi="宋体"/>
        </w:rPr>
        <w:t>1、备品备件、易损件和专用耗材是招标方为保证设备质保期之后正常运行一年所自备自用的备品备件、易损件和专用耗材。质保期之内正常需要的备品备件、易损件和专用耗材全部包括在供货范围之内而不属于本条款界定的范围。</w:t>
      </w:r>
    </w:p>
    <w:p>
      <w:pPr>
        <w:spacing w:line="480" w:lineRule="exact"/>
        <w:ind w:firstLine="420" w:firstLineChars="200"/>
        <w:rPr>
          <w:rFonts w:ascii="宋体" w:hAnsi="宋体"/>
        </w:rPr>
      </w:pPr>
      <w:r>
        <w:rPr>
          <w:rFonts w:hint="eastAsia" w:ascii="宋体" w:hAnsi="宋体"/>
        </w:rPr>
        <w:t>2、供货范围包括易损件和专用耗材的制造图纸及其技术要求等资料。</w:t>
      </w:r>
    </w:p>
    <w:p>
      <w:pPr>
        <w:spacing w:line="480" w:lineRule="exact"/>
        <w:ind w:firstLine="420" w:firstLineChars="200"/>
        <w:rPr>
          <w:rFonts w:hint="eastAsia" w:ascii="黑体" w:hAnsi="宋体" w:eastAsia="黑体"/>
        </w:rPr>
      </w:pPr>
      <w:r>
        <w:rPr>
          <w:rFonts w:hint="eastAsia" w:ascii="黑体" w:hAnsi="宋体" w:eastAsia="黑体"/>
        </w:rPr>
        <w:t>三、技术资料供货范围</w:t>
      </w:r>
    </w:p>
    <w:p>
      <w:pPr>
        <w:spacing w:line="480" w:lineRule="exact"/>
        <w:ind w:firstLine="420" w:firstLineChars="200"/>
        <w:rPr>
          <w:rFonts w:hint="eastAsia" w:ascii="宋体" w:hAnsi="宋体"/>
        </w:rPr>
      </w:pPr>
      <w:r>
        <w:rPr>
          <w:rFonts w:hint="eastAsia" w:ascii="宋体" w:hAnsi="宋体"/>
        </w:rPr>
        <w:t>技术资料供货范围包括：</w:t>
      </w:r>
    </w:p>
    <w:p>
      <w:pPr>
        <w:spacing w:line="480" w:lineRule="exact"/>
        <w:ind w:firstLine="420" w:firstLineChars="200"/>
        <w:rPr>
          <w:rFonts w:hint="eastAsia" w:ascii="宋体" w:hAnsi="宋体"/>
          <w:bCs/>
        </w:rPr>
      </w:pPr>
      <w:r>
        <w:rPr>
          <w:rFonts w:hint="eastAsia" w:ascii="宋体" w:hAnsi="宋体"/>
        </w:rPr>
        <w:t>1、在</w:t>
      </w:r>
      <w:r>
        <w:rPr>
          <w:rFonts w:hint="eastAsia" w:hAnsi="宋体" w:cs="宋体"/>
        </w:rPr>
        <w:t>中标通知发出之</w:t>
      </w:r>
      <w:r>
        <w:rPr>
          <w:rFonts w:hint="eastAsia" w:ascii="宋体" w:hAnsi="宋体"/>
          <w:bCs/>
        </w:rPr>
        <w:t>后</w:t>
      </w:r>
      <w:r>
        <w:rPr>
          <w:rFonts w:hint="eastAsia" w:ascii="宋体" w:hAnsi="宋体"/>
          <w:bCs/>
          <w:u w:val="single"/>
          <w:shd w:val="pct10" w:color="auto" w:fill="FFFFFF"/>
        </w:rPr>
        <w:t xml:space="preserve">   15   </w:t>
      </w:r>
      <w:r>
        <w:rPr>
          <w:rFonts w:hint="eastAsia" w:ascii="宋体" w:hAnsi="宋体"/>
          <w:bCs/>
        </w:rPr>
        <w:t>个日历日内，提供设备基础及相关的设计、制作所需的纸质及电子版资料；电子版文件应当能够使用常用版本软件可以阅读甚至使用，进口货物、设备应有中外文对照。</w:t>
      </w:r>
    </w:p>
    <w:p>
      <w:pPr>
        <w:spacing w:line="480" w:lineRule="exact"/>
        <w:ind w:firstLine="420" w:firstLineChars="200"/>
        <w:rPr>
          <w:rFonts w:hint="eastAsia" w:ascii="宋体" w:hAnsi="宋体"/>
        </w:rPr>
      </w:pPr>
      <w:r>
        <w:rPr>
          <w:rFonts w:hint="eastAsia" w:ascii="宋体" w:hAnsi="宋体"/>
        </w:rPr>
        <w:t>2、在验收前，</w:t>
      </w:r>
      <w:r>
        <w:rPr>
          <w:rFonts w:hint="eastAsia" w:ascii="宋体" w:hAnsi="宋体"/>
          <w:bCs/>
        </w:rPr>
        <w:t>提供设备各部分的功能描述文件、图片、影像、</w:t>
      </w:r>
      <w:r>
        <w:rPr>
          <w:rFonts w:ascii="宋体" w:hAnsi="宋体" w:cs="宋体"/>
        </w:rPr>
        <w:t>第三方检定校准报告</w:t>
      </w:r>
      <w:r>
        <w:rPr>
          <w:rFonts w:hint="eastAsia" w:ascii="宋体" w:hAnsi="宋体"/>
          <w:bCs/>
        </w:rPr>
        <w:t>等资料（进口、设备应有中外文对照）。</w:t>
      </w:r>
    </w:p>
    <w:p>
      <w:pPr>
        <w:spacing w:line="480" w:lineRule="exact"/>
        <w:ind w:firstLine="420" w:firstLineChars="200"/>
        <w:rPr>
          <w:rFonts w:hint="eastAsia" w:ascii="宋体" w:hAnsi="宋体"/>
        </w:rPr>
      </w:pPr>
      <w:r>
        <w:rPr>
          <w:rFonts w:hint="eastAsia" w:ascii="宋体" w:hAnsi="宋体"/>
        </w:rPr>
        <w:t>3、在终验收前，提供为保证设备后续正常运行所需的工装、吊（挂）具明细及其图纸、具体技术要求等资料（如果供货范围包含该部分实物）。</w:t>
      </w:r>
    </w:p>
    <w:p>
      <w:pPr>
        <w:spacing w:line="480" w:lineRule="exact"/>
        <w:ind w:firstLine="420" w:firstLineChars="200"/>
        <w:rPr>
          <w:rFonts w:hint="eastAsia" w:ascii="宋体" w:hAnsi="宋体"/>
        </w:rPr>
      </w:pPr>
      <w:r>
        <w:rPr>
          <w:rFonts w:hint="eastAsia" w:ascii="宋体" w:hAnsi="宋体"/>
        </w:rPr>
        <w:t>4、在终验收前，提供确定的维修所需要且招标方可以自行采购的外购件、外协件、电气元件及主要原材料的供货厂家明细表。</w:t>
      </w:r>
    </w:p>
    <w:p>
      <w:pPr>
        <w:spacing w:line="480" w:lineRule="exact"/>
        <w:ind w:firstLine="420" w:firstLineChars="200"/>
        <w:rPr>
          <w:rFonts w:hint="eastAsia" w:ascii="宋体" w:hAnsi="宋体"/>
        </w:rPr>
      </w:pPr>
      <w:r>
        <w:rPr>
          <w:rFonts w:hint="eastAsia" w:ascii="宋体" w:hAnsi="宋体"/>
        </w:rPr>
        <w:t>5、在终验收后的第一笔货款支付日之前，提供包括设备的备品备件、易损件和专用耗材的图纸及技术参数、技术要求等资料。</w:t>
      </w:r>
    </w:p>
    <w:p>
      <w:pPr>
        <w:spacing w:line="480" w:lineRule="exact"/>
        <w:ind w:firstLine="420" w:firstLineChars="200"/>
        <w:rPr>
          <w:rFonts w:hint="eastAsia" w:ascii="宋体" w:hAnsi="宋体"/>
        </w:rPr>
      </w:pPr>
      <w:r>
        <w:rPr>
          <w:rFonts w:hint="eastAsia" w:ascii="宋体" w:hAnsi="宋体"/>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480" w:lineRule="exact"/>
        <w:ind w:firstLine="420" w:firstLineChars="200"/>
        <w:rPr>
          <w:rFonts w:hint="eastAsia" w:ascii="宋体" w:hAnsi="宋体"/>
        </w:rPr>
      </w:pPr>
      <w:r>
        <w:rPr>
          <w:rFonts w:hint="eastAsia" w:ascii="宋体" w:hAnsi="宋体"/>
        </w:rPr>
        <w:t>7、在终验收后的第一笔货款支付日之前，提供关于采购设备的电气资料（包括接线图、原理图、布线图、梯形图等）、液压（气动）原理图和系统图、安装基础图、维修图等有关的资料（含图片和影像等资料）；非标准货物应提供整套设备3D模型、设计总图、全线布置图、部件装配图、工装夹具全套零件图纸等详细资料；对于进口设备，应有中外文资料说明。</w:t>
      </w:r>
    </w:p>
    <w:p>
      <w:pPr>
        <w:spacing w:line="480" w:lineRule="exact"/>
        <w:ind w:firstLine="420" w:firstLineChars="200"/>
        <w:rPr>
          <w:rFonts w:hint="eastAsia" w:ascii="宋体" w:hAnsi="宋体"/>
        </w:rPr>
      </w:pPr>
      <w:r>
        <w:rPr>
          <w:rFonts w:hint="eastAsia" w:ascii="宋体" w:hAnsi="宋体"/>
        </w:rPr>
        <w:t>8、本条款所列的技术资料、图片、影像等，投标方应各提供4套，其中2套为电子版光（U）盘；每份技术文件应装有目录清单。</w:t>
      </w:r>
    </w:p>
    <w:p>
      <w:pPr>
        <w:spacing w:line="480" w:lineRule="exact"/>
        <w:ind w:firstLine="420" w:firstLineChars="200"/>
        <w:rPr>
          <w:rFonts w:hint="eastAsia" w:ascii="宋体" w:hAnsi="宋体"/>
        </w:rPr>
      </w:pPr>
      <w:r>
        <w:rPr>
          <w:rFonts w:hint="eastAsia" w:ascii="宋体" w:hAnsi="宋体"/>
        </w:rPr>
        <w:t>9、本条款所列要求，如招标方认为投标方提供的资料不能满足要求时，有权要求投标方免费补充或增加。</w:t>
      </w:r>
    </w:p>
    <w:p>
      <w:pPr>
        <w:pStyle w:val="5"/>
        <w:spacing w:before="120" w:after="120" w:line="480" w:lineRule="exact"/>
        <w:jc w:val="center"/>
        <w:rPr>
          <w:rFonts w:hint="eastAsia"/>
          <w:b w:val="0"/>
          <w:sz w:val="24"/>
          <w:szCs w:val="24"/>
        </w:rPr>
      </w:pPr>
      <w:bookmarkStart w:id="117" w:name="_Toc137705871"/>
      <w:bookmarkStart w:id="118" w:name="_Toc13936"/>
      <w:bookmarkStart w:id="119" w:name="_Toc9858"/>
      <w:bookmarkStart w:id="120" w:name="_Toc8159"/>
      <w:bookmarkStart w:id="121" w:name="_Toc26064"/>
      <w:r>
        <w:rPr>
          <w:rFonts w:hint="eastAsia"/>
          <w:b w:val="0"/>
          <w:sz w:val="24"/>
          <w:szCs w:val="24"/>
        </w:rPr>
        <w:t>第二节  供货方式</w:t>
      </w:r>
      <w:bookmarkEnd w:id="117"/>
      <w:bookmarkEnd w:id="118"/>
      <w:bookmarkEnd w:id="119"/>
      <w:bookmarkEnd w:id="120"/>
      <w:bookmarkEnd w:id="121"/>
    </w:p>
    <w:p>
      <w:pPr>
        <w:spacing w:line="480" w:lineRule="exact"/>
        <w:ind w:firstLine="420" w:firstLineChars="200"/>
        <w:rPr>
          <w:rFonts w:hint="eastAsia" w:ascii="宋体" w:hAnsi="宋体"/>
        </w:rPr>
      </w:pPr>
      <w:r>
        <w:rPr>
          <w:rFonts w:hint="eastAsia" w:ascii="黑体" w:hAnsi="宋体" w:eastAsia="黑体"/>
        </w:rPr>
        <w:t>一、供货地点：</w:t>
      </w:r>
      <w:r>
        <w:rPr>
          <w:rFonts w:hint="eastAsia" w:ascii="宋体" w:hAnsi="宋体"/>
        </w:rPr>
        <w:t>本项目建设工地。</w:t>
      </w:r>
    </w:p>
    <w:p>
      <w:pPr>
        <w:spacing w:line="480" w:lineRule="exact"/>
        <w:ind w:firstLine="420" w:firstLineChars="200"/>
        <w:jc w:val="left"/>
        <w:rPr>
          <w:rFonts w:hint="eastAsia" w:ascii="黑体" w:hAnsi="宋体" w:eastAsia="黑体"/>
        </w:rPr>
      </w:pPr>
      <w:r>
        <w:rPr>
          <w:rFonts w:hint="eastAsia" w:ascii="黑体" w:hAnsi="宋体" w:eastAsia="黑体"/>
        </w:rPr>
        <w:t>二、供货时间</w:t>
      </w:r>
    </w:p>
    <w:p>
      <w:pPr>
        <w:spacing w:line="480" w:lineRule="exact"/>
        <w:ind w:firstLine="420" w:firstLineChars="200"/>
        <w:jc w:val="left"/>
        <w:rPr>
          <w:rFonts w:hint="eastAsia" w:ascii="宋体" w:hAnsi="宋体"/>
        </w:rPr>
      </w:pPr>
      <w:r>
        <w:rPr>
          <w:rFonts w:hint="eastAsia" w:ascii="宋体" w:hAnsi="宋体"/>
        </w:rPr>
        <w:t>1、以交钥匙方式供货的，按照以下时间要求（安装调试工期超过10个日历日的，投标方应当随标书提供详细的工期计划）：</w:t>
      </w:r>
    </w:p>
    <w:p>
      <w:pPr>
        <w:spacing w:line="480" w:lineRule="exact"/>
        <w:ind w:firstLine="420" w:firstLineChars="200"/>
        <w:jc w:val="left"/>
        <w:rPr>
          <w:rFonts w:hint="eastAsia" w:ascii="宋体" w:hAnsi="宋体"/>
        </w:rPr>
      </w:pPr>
      <w:r>
        <w:rPr>
          <w:rFonts w:hint="eastAsia" w:ascii="宋体" w:hAnsi="宋体"/>
        </w:rPr>
        <w:t>1.1  自</w:t>
      </w:r>
      <w:r>
        <w:rPr>
          <w:rFonts w:hint="eastAsia" w:hAnsi="宋体" w:cs="宋体"/>
          <w:lang w:val="en-US" w:eastAsia="zh-CN"/>
        </w:rPr>
        <w:t>合同签订后=</w:t>
      </w:r>
      <w:r>
        <w:rPr>
          <w:rFonts w:hint="eastAsia" w:hAnsi="宋体" w:cs="宋体"/>
        </w:rPr>
        <w:t>之日</w:t>
      </w:r>
      <w:r>
        <w:rPr>
          <w:rFonts w:hint="eastAsia" w:ascii="宋体" w:hAnsi="宋体"/>
        </w:rPr>
        <w:t>起</w:t>
      </w:r>
      <w:r>
        <w:rPr>
          <w:rFonts w:hint="eastAsia" w:ascii="宋体" w:hAnsi="宋体"/>
          <w:color w:val="auto"/>
        </w:rPr>
        <w:t>，</w:t>
      </w:r>
      <w:r>
        <w:rPr>
          <w:rFonts w:hint="eastAsia" w:ascii="宋体" w:hAnsi="宋体"/>
          <w:color w:val="auto"/>
          <w:u w:val="single"/>
          <w:shd w:val="pct10" w:color="auto" w:fill="FFFFFF"/>
          <w:lang w:val="en-US" w:eastAsia="zh-CN"/>
        </w:rPr>
        <w:t>90</w:t>
      </w:r>
      <w:r>
        <w:rPr>
          <w:rFonts w:hint="eastAsia" w:ascii="宋体" w:hAnsi="宋体"/>
        </w:rPr>
        <w:t>个日历日之内交货至供货地点。</w:t>
      </w:r>
    </w:p>
    <w:p>
      <w:pPr>
        <w:spacing w:line="480" w:lineRule="exact"/>
        <w:ind w:firstLine="420" w:firstLineChars="200"/>
        <w:jc w:val="left"/>
        <w:rPr>
          <w:rFonts w:hint="eastAsia" w:ascii="宋体" w:hAnsi="宋体"/>
        </w:rPr>
      </w:pPr>
      <w:r>
        <w:rPr>
          <w:rFonts w:hint="eastAsia" w:ascii="宋体" w:hAnsi="宋体"/>
        </w:rPr>
        <w:t>1.2  接续</w:t>
      </w:r>
      <w:r>
        <w:rPr>
          <w:rFonts w:hint="eastAsia" w:ascii="宋体" w:hAnsi="宋体"/>
          <w:u w:val="single"/>
          <w:shd w:val="pct10" w:color="auto" w:fill="FFFFFF"/>
          <w:lang w:val="en-US" w:eastAsia="zh-CN"/>
        </w:rPr>
        <w:t>5</w:t>
      </w:r>
      <w:r>
        <w:rPr>
          <w:rFonts w:hint="eastAsia" w:ascii="宋体" w:hAnsi="宋体"/>
        </w:rPr>
        <w:t>个日历日之内安装调试完毕。</w:t>
      </w:r>
    </w:p>
    <w:p>
      <w:pPr>
        <w:spacing w:line="480" w:lineRule="exact"/>
        <w:ind w:firstLine="420" w:firstLineChars="200"/>
        <w:jc w:val="left"/>
        <w:rPr>
          <w:rFonts w:hint="eastAsia" w:ascii="黑体" w:hAnsi="宋体" w:eastAsia="黑体"/>
        </w:rPr>
      </w:pPr>
      <w:r>
        <w:rPr>
          <w:rFonts w:hint="eastAsia" w:ascii="黑体" w:hAnsi="宋体" w:eastAsia="黑体"/>
        </w:rPr>
        <w:t>三、质保期及质保要求</w:t>
      </w:r>
    </w:p>
    <w:p>
      <w:pPr>
        <w:spacing w:line="480" w:lineRule="exact"/>
        <w:ind w:firstLine="420" w:firstLineChars="200"/>
        <w:jc w:val="left"/>
        <w:rPr>
          <w:rFonts w:hint="eastAsia" w:ascii="宋体" w:hAnsi="宋体"/>
        </w:rPr>
      </w:pPr>
      <w:r>
        <w:rPr>
          <w:rFonts w:hint="eastAsia" w:ascii="宋体" w:hAnsi="宋体"/>
        </w:rPr>
        <w:t>1、全部供货范围内的设备、材料、零配件和工器具等，除合同特别约定外，其质保期均自终验收签字生效之日起</w:t>
      </w:r>
      <w:r>
        <w:rPr>
          <w:rFonts w:hint="eastAsia" w:ascii="宋体" w:hAnsi="宋体"/>
          <w:u w:val="single"/>
          <w:shd w:val="pct10" w:color="auto" w:fill="FFFFFF"/>
        </w:rPr>
        <w:t xml:space="preserve">  12  </w:t>
      </w:r>
      <w:r>
        <w:rPr>
          <w:rFonts w:hint="eastAsia" w:ascii="宋体" w:hAnsi="宋体"/>
        </w:rPr>
        <w:t>个月。</w:t>
      </w:r>
    </w:p>
    <w:p>
      <w:pPr>
        <w:spacing w:line="480" w:lineRule="exact"/>
        <w:ind w:firstLine="420" w:firstLineChars="200"/>
        <w:jc w:val="left"/>
        <w:rPr>
          <w:rFonts w:hint="eastAsia" w:ascii="宋体" w:hAnsi="宋体"/>
        </w:rPr>
      </w:pPr>
      <w:r>
        <w:rPr>
          <w:rFonts w:hint="eastAsia" w:ascii="宋体" w:hAnsi="宋体"/>
        </w:rPr>
        <w:t>投标货物或涉及的关键总成和零件，如果有更长时间质保期，允许更改并说明，此将有利于投标方。</w:t>
      </w:r>
    </w:p>
    <w:p>
      <w:pPr>
        <w:spacing w:line="480" w:lineRule="exact"/>
        <w:ind w:firstLine="420" w:firstLineChars="200"/>
        <w:jc w:val="left"/>
        <w:rPr>
          <w:rFonts w:hint="eastAsia" w:ascii="宋体" w:hAnsi="宋体"/>
        </w:rPr>
      </w:pPr>
      <w:r>
        <w:rPr>
          <w:rFonts w:hint="eastAsia" w:ascii="宋体" w:hAnsi="宋体"/>
        </w:rPr>
        <w:t>设计使用寿命短于质保期的易损件除外，但属于易损件的，应当有明确说明。</w:t>
      </w:r>
    </w:p>
    <w:p>
      <w:pPr>
        <w:spacing w:line="480" w:lineRule="exact"/>
        <w:ind w:firstLine="420" w:firstLineChars="200"/>
        <w:jc w:val="left"/>
        <w:rPr>
          <w:rFonts w:hint="eastAsia" w:ascii="宋体" w:hAnsi="宋体"/>
        </w:rPr>
      </w:pPr>
      <w:r>
        <w:rPr>
          <w:rFonts w:hint="eastAsia" w:ascii="宋体" w:hAnsi="宋体"/>
        </w:rPr>
        <w:t>2、质保期之内，如果设备出现设备、总成、关键零部件或者多处一般零部件的更换或维修行为，则质保期自更换或维修行为结束、设备重新正常运行使用之日起重新计算。</w:t>
      </w:r>
    </w:p>
    <w:p>
      <w:pPr>
        <w:spacing w:line="480" w:lineRule="exact"/>
        <w:ind w:firstLine="420" w:firstLineChars="200"/>
        <w:jc w:val="left"/>
        <w:rPr>
          <w:rFonts w:hint="eastAsia" w:ascii="宋体" w:hAnsi="宋体"/>
        </w:rPr>
      </w:pPr>
      <w:r>
        <w:rPr>
          <w:rFonts w:hint="eastAsia" w:ascii="宋体" w:hAnsi="宋体"/>
        </w:rPr>
        <w:t>3、质保期内免费提供零部件和及时有效的服务。质保期内因货物本身缺陷造成的各种故障，投标方应负责免费维修和服务。如果设备出现故障影响产线节拍单次超过1</w:t>
      </w:r>
      <w:r>
        <w:rPr>
          <w:rFonts w:ascii="宋体" w:hAnsi="宋体"/>
        </w:rPr>
        <w:t>5</w:t>
      </w:r>
      <w:r>
        <w:rPr>
          <w:rFonts w:hint="eastAsia" w:ascii="宋体" w:hAnsi="宋体"/>
        </w:rPr>
        <w:t>分钟累计超过1小时，投标方需要按照8</w:t>
      </w:r>
      <w:r>
        <w:rPr>
          <w:rFonts w:ascii="宋体" w:hAnsi="宋体"/>
        </w:rPr>
        <w:t>000</w:t>
      </w:r>
      <w:r>
        <w:rPr>
          <w:rFonts w:hint="eastAsia" w:ascii="宋体" w:hAnsi="宋体"/>
        </w:rPr>
        <w:t>元人民币/小时进行赔偿。</w:t>
      </w:r>
    </w:p>
    <w:p>
      <w:pPr>
        <w:spacing w:line="480" w:lineRule="exact"/>
        <w:ind w:firstLine="420" w:firstLineChars="200"/>
        <w:jc w:val="left"/>
        <w:rPr>
          <w:rFonts w:hint="eastAsia" w:ascii="宋体" w:hAnsi="宋体"/>
        </w:rPr>
      </w:pPr>
      <w:r>
        <w:rPr>
          <w:rFonts w:hint="eastAsia" w:ascii="宋体" w:hAnsi="宋体"/>
        </w:rPr>
        <w:t>4、质保期终止之日起18个月内重复出现的质保期之内出现的故障，仍属质保范围而且应当免费。</w:t>
      </w:r>
    </w:p>
    <w:p>
      <w:pPr>
        <w:spacing w:line="480" w:lineRule="exact"/>
        <w:ind w:firstLine="420" w:firstLineChars="200"/>
        <w:rPr>
          <w:rFonts w:hint="eastAsia" w:ascii="黑体" w:hAnsi="宋体" w:eastAsia="黑体"/>
        </w:rPr>
      </w:pPr>
      <w:r>
        <w:rPr>
          <w:rFonts w:hint="eastAsia" w:ascii="黑体" w:hAnsi="宋体" w:eastAsia="黑体"/>
        </w:rPr>
        <w:t>四、包装</w:t>
      </w:r>
    </w:p>
    <w:p>
      <w:pPr>
        <w:adjustRightInd w:val="0"/>
        <w:snapToGrid w:val="0"/>
        <w:spacing w:line="460" w:lineRule="exact"/>
        <w:ind w:firstLine="420" w:firstLineChars="200"/>
        <w:rPr>
          <w:rFonts w:hint="eastAsia" w:ascii="宋体" w:hAnsi="宋体"/>
        </w:rPr>
      </w:pPr>
      <w:r>
        <w:rPr>
          <w:rFonts w:hint="eastAsia" w:ascii="宋体" w:hAnsi="宋体"/>
        </w:rPr>
        <w:t>1、所提供设备的包装，应遵照国家标准和有关包装、包皮的技术条件，或按照最好的商业惯例进行包装。</w:t>
      </w:r>
    </w:p>
    <w:p>
      <w:pPr>
        <w:adjustRightInd w:val="0"/>
        <w:snapToGrid w:val="0"/>
        <w:spacing w:line="460" w:lineRule="exact"/>
        <w:ind w:firstLine="420" w:firstLineChars="200"/>
        <w:rPr>
          <w:rFonts w:hint="eastAsia" w:ascii="宋体" w:hAnsi="宋体"/>
        </w:rPr>
      </w:pPr>
      <w:r>
        <w:rPr>
          <w:rFonts w:hint="eastAsia" w:ascii="宋体" w:hAnsi="宋体"/>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460" w:lineRule="exact"/>
        <w:ind w:firstLine="420" w:firstLineChars="200"/>
        <w:rPr>
          <w:rFonts w:hint="eastAsia" w:ascii="宋体" w:hAnsi="宋体"/>
        </w:rPr>
      </w:pPr>
      <w:r>
        <w:rPr>
          <w:rFonts w:hint="eastAsia" w:ascii="宋体" w:hAnsi="宋体"/>
        </w:rPr>
        <w:t>3、所提供设备的包装，应能防止其一般性被窃或受外力破坏；一般不得采用有大缝隙的板条包装。</w:t>
      </w:r>
    </w:p>
    <w:p>
      <w:pPr>
        <w:adjustRightInd w:val="0"/>
        <w:snapToGrid w:val="0"/>
        <w:spacing w:line="460" w:lineRule="exact"/>
        <w:ind w:firstLine="420" w:firstLineChars="200"/>
        <w:rPr>
          <w:rFonts w:hint="eastAsia" w:ascii="宋体" w:hAnsi="宋体"/>
        </w:rPr>
      </w:pPr>
      <w:r>
        <w:rPr>
          <w:rFonts w:hint="eastAsia" w:ascii="宋体" w:hAnsi="宋体"/>
        </w:rPr>
        <w:t>4、应对包装件做必要的加固和固定，以防止运输可能造成的损坏。</w:t>
      </w:r>
    </w:p>
    <w:p>
      <w:pPr>
        <w:adjustRightInd w:val="0"/>
        <w:snapToGrid w:val="0"/>
        <w:spacing w:line="460" w:lineRule="exact"/>
        <w:ind w:firstLine="420" w:firstLineChars="200"/>
        <w:rPr>
          <w:rFonts w:hint="eastAsia" w:ascii="宋体" w:hAnsi="宋体"/>
        </w:rPr>
      </w:pPr>
      <w:r>
        <w:rPr>
          <w:rFonts w:hint="eastAsia" w:ascii="宋体" w:hAnsi="宋体"/>
        </w:rPr>
        <w:t>5、每个包装件应有装箱单，并至少标明名称、型号规格、数量、净重和毛重、投标方（或供货商）名称和制造日期等相关内容。</w:t>
      </w:r>
    </w:p>
    <w:p>
      <w:pPr>
        <w:adjustRightInd w:val="0"/>
        <w:snapToGrid w:val="0"/>
        <w:spacing w:line="460" w:lineRule="exact"/>
        <w:ind w:firstLine="420" w:firstLineChars="200"/>
        <w:rPr>
          <w:rFonts w:hint="eastAsia" w:ascii="宋体" w:hAnsi="宋体"/>
        </w:rPr>
      </w:pPr>
      <w:r>
        <w:rPr>
          <w:rFonts w:hint="eastAsia" w:ascii="宋体" w:hAnsi="宋体"/>
        </w:rPr>
        <w:t>6、每个包装箱应有明显标志，并具有中文书写的合同号、装运标志、发货和到货地点名称、发货人和收货人名称、设备名称和项目号、箱号和外型尺寸等内容。</w:t>
      </w:r>
    </w:p>
    <w:p>
      <w:pPr>
        <w:adjustRightInd w:val="0"/>
        <w:snapToGrid w:val="0"/>
        <w:spacing w:line="460" w:lineRule="exact"/>
        <w:ind w:firstLine="420" w:firstLineChars="200"/>
        <w:rPr>
          <w:rFonts w:hint="eastAsia" w:ascii="宋体" w:hAnsi="宋体"/>
        </w:rPr>
      </w:pPr>
      <w:r>
        <w:rPr>
          <w:rFonts w:hint="eastAsia" w:ascii="宋体" w:hAnsi="宋体"/>
        </w:rPr>
        <w:t>7、应按照不同的装运要求在包装箱上标明“小心轻放”、“箭头向上”、“防潮”、“防磁”、“不准平放”等标志，以及其它适用的国标通用标志。</w:t>
      </w:r>
    </w:p>
    <w:p>
      <w:pPr>
        <w:adjustRightInd w:val="0"/>
        <w:snapToGrid w:val="0"/>
        <w:spacing w:line="460" w:lineRule="exact"/>
        <w:ind w:firstLine="420" w:firstLineChars="200"/>
        <w:rPr>
          <w:rFonts w:hint="eastAsia" w:ascii="宋体" w:hAnsi="宋体"/>
        </w:rPr>
      </w:pPr>
      <w:r>
        <w:rPr>
          <w:rFonts w:hint="eastAsia" w:ascii="宋体" w:hAnsi="宋体"/>
        </w:rPr>
        <w:t>8、包装箱应连续编号，不应出现重复编号。</w:t>
      </w:r>
    </w:p>
    <w:p>
      <w:pPr>
        <w:adjustRightInd w:val="0"/>
        <w:snapToGrid w:val="0"/>
        <w:spacing w:line="460" w:lineRule="exact"/>
        <w:ind w:firstLine="420" w:firstLineChars="200"/>
        <w:rPr>
          <w:rFonts w:hint="eastAsia" w:ascii="宋体" w:hAnsi="宋体"/>
        </w:rPr>
      </w:pPr>
      <w:r>
        <w:rPr>
          <w:rFonts w:hint="eastAsia" w:ascii="宋体" w:hAnsi="宋体"/>
        </w:rPr>
        <w:t>9、在不受到外界破坏情况下，包装应保证自交货日起一年内货物（或设备）完好无损。</w:t>
      </w:r>
    </w:p>
    <w:p>
      <w:pPr>
        <w:adjustRightInd w:val="0"/>
        <w:snapToGrid w:val="0"/>
        <w:spacing w:line="460" w:lineRule="exact"/>
        <w:ind w:firstLine="420" w:firstLineChars="200"/>
        <w:rPr>
          <w:rFonts w:hint="eastAsia" w:ascii="黑体" w:hAnsi="宋体" w:eastAsia="黑体"/>
        </w:rPr>
      </w:pPr>
      <w:r>
        <w:rPr>
          <w:rFonts w:hint="eastAsia" w:ascii="黑体" w:hAnsi="宋体" w:eastAsia="黑体"/>
        </w:rPr>
        <w:t>五、运输</w:t>
      </w:r>
    </w:p>
    <w:p>
      <w:pPr>
        <w:adjustRightInd w:val="0"/>
        <w:snapToGrid w:val="0"/>
        <w:spacing w:line="460" w:lineRule="exact"/>
        <w:ind w:firstLine="420" w:firstLineChars="200"/>
        <w:rPr>
          <w:rFonts w:hint="eastAsia" w:ascii="宋体" w:hAnsi="宋体"/>
        </w:rPr>
      </w:pPr>
      <w:r>
        <w:rPr>
          <w:rFonts w:hint="eastAsia" w:ascii="宋体" w:hAnsi="宋体"/>
        </w:rPr>
        <w:t>1、应负责将设备运到目的地，并必须做到设备在任何运输过程中不受损坏和遗失。</w:t>
      </w:r>
    </w:p>
    <w:p>
      <w:pPr>
        <w:adjustRightInd w:val="0"/>
        <w:snapToGrid w:val="0"/>
        <w:spacing w:line="460" w:lineRule="exact"/>
        <w:ind w:firstLine="420" w:firstLineChars="200"/>
        <w:rPr>
          <w:rFonts w:hint="eastAsia" w:ascii="宋体" w:hAnsi="宋体"/>
        </w:rPr>
      </w:pPr>
      <w:r>
        <w:rPr>
          <w:rFonts w:hint="eastAsia" w:ascii="宋体" w:hAnsi="宋体"/>
        </w:rPr>
        <w:t>2、同批设备应统一包装、编号运输。</w:t>
      </w:r>
    </w:p>
    <w:p>
      <w:pPr>
        <w:adjustRightInd w:val="0"/>
        <w:snapToGrid w:val="0"/>
        <w:spacing w:line="460" w:lineRule="exact"/>
        <w:ind w:firstLine="420" w:firstLineChars="200"/>
        <w:rPr>
          <w:rFonts w:hint="eastAsia" w:ascii="宋体" w:hAnsi="宋体"/>
        </w:rPr>
      </w:pPr>
      <w:r>
        <w:rPr>
          <w:rFonts w:hint="eastAsia" w:ascii="宋体" w:hAnsi="宋体"/>
        </w:rPr>
        <w:t>3、一般情况下，经由铁路、公路运输的包装件尺寸和重量不应超过国家所规定的尺寸限制。特殊情况应予以说明。</w:t>
      </w:r>
    </w:p>
    <w:p>
      <w:pPr>
        <w:adjustRightInd w:val="0"/>
        <w:snapToGrid w:val="0"/>
        <w:spacing w:line="460" w:lineRule="exact"/>
        <w:ind w:firstLine="420" w:firstLineChars="200"/>
        <w:rPr>
          <w:rFonts w:hint="eastAsia" w:ascii="宋体" w:hAnsi="宋体"/>
        </w:rPr>
      </w:pPr>
      <w:r>
        <w:rPr>
          <w:rFonts w:hint="eastAsia" w:ascii="宋体" w:hAnsi="宋体"/>
        </w:rPr>
        <w:t>4、在每批设备发出后，应立即通知招标方；通知中应指明：合同号、货运单号、件数、重量和设备发出日期等相关内容。</w:t>
      </w:r>
    </w:p>
    <w:p>
      <w:pPr>
        <w:adjustRightInd w:val="0"/>
        <w:snapToGrid w:val="0"/>
        <w:spacing w:line="460" w:lineRule="exact"/>
        <w:ind w:firstLine="420" w:firstLineChars="200"/>
        <w:rPr>
          <w:rFonts w:hint="eastAsia" w:ascii="宋体" w:hAnsi="宋体"/>
        </w:rPr>
      </w:pPr>
      <w:r>
        <w:rPr>
          <w:rFonts w:hint="eastAsia" w:ascii="宋体" w:hAnsi="宋体"/>
        </w:rPr>
        <w:t>5、设备运抵交货地点后，应负责货物（或设备）的卸货、搬运、保管等事宜；或按照合同约定。</w:t>
      </w:r>
    </w:p>
    <w:p>
      <w:pPr>
        <w:pStyle w:val="3"/>
        <w:spacing w:before="120" w:after="120" w:line="480" w:lineRule="exact"/>
        <w:jc w:val="center"/>
        <w:rPr>
          <w:rFonts w:hint="eastAsia" w:ascii="黑体" w:eastAsia="黑体"/>
          <w:b w:val="0"/>
          <w:sz w:val="24"/>
          <w:szCs w:val="24"/>
        </w:rPr>
      </w:pPr>
      <w:r>
        <w:rPr>
          <w:rFonts w:ascii="宋体" w:hAnsi="宋体"/>
        </w:rPr>
        <w:br w:type="page"/>
      </w:r>
      <w:bookmarkStart w:id="122" w:name="_Toc30960"/>
      <w:bookmarkStart w:id="123" w:name="_Toc137705872"/>
      <w:bookmarkStart w:id="124" w:name="_Toc28593"/>
      <w:bookmarkStart w:id="125" w:name="_Toc9796"/>
      <w:bookmarkStart w:id="126" w:name="_Toc2931"/>
      <w:r>
        <w:rPr>
          <w:rFonts w:hint="eastAsia" w:ascii="黑体" w:eastAsia="黑体"/>
          <w:b w:val="0"/>
          <w:bCs w:val="0"/>
          <w:sz w:val="24"/>
          <w:szCs w:val="24"/>
        </w:rPr>
        <w:t>第四章  售中售后服务</w:t>
      </w:r>
      <w:bookmarkEnd w:id="122"/>
      <w:bookmarkEnd w:id="123"/>
      <w:bookmarkEnd w:id="124"/>
      <w:bookmarkEnd w:id="125"/>
      <w:bookmarkEnd w:id="126"/>
    </w:p>
    <w:p>
      <w:pPr>
        <w:adjustRightInd w:val="0"/>
        <w:snapToGrid w:val="0"/>
        <w:spacing w:line="460" w:lineRule="exact"/>
        <w:ind w:firstLine="420" w:firstLineChars="200"/>
        <w:rPr>
          <w:rFonts w:hint="eastAsia" w:ascii="黑体" w:hAnsi="宋体" w:eastAsia="黑体"/>
        </w:rPr>
      </w:pPr>
      <w:r>
        <w:rPr>
          <w:rFonts w:hint="eastAsia" w:ascii="黑体" w:hAnsi="宋体" w:eastAsia="黑体"/>
        </w:rPr>
        <w:t>一、技术及培训服务</w:t>
      </w:r>
    </w:p>
    <w:p>
      <w:pPr>
        <w:adjustRightInd w:val="0"/>
        <w:snapToGrid w:val="0"/>
        <w:spacing w:line="460" w:lineRule="exact"/>
        <w:ind w:firstLine="420" w:firstLineChars="200"/>
        <w:rPr>
          <w:rFonts w:hint="eastAsia" w:ascii="宋体" w:hAnsi="宋体"/>
        </w:rPr>
      </w:pPr>
      <w:r>
        <w:rPr>
          <w:rFonts w:hint="eastAsia" w:ascii="宋体" w:hAnsi="宋体"/>
        </w:rPr>
        <w:t>1、应负责对招标方</w:t>
      </w:r>
      <w:r>
        <w:rPr>
          <w:rFonts w:hint="eastAsia" w:ascii="宋体" w:hAnsi="宋体"/>
          <w:u w:val="single"/>
          <w:shd w:val="pct10" w:color="auto" w:fill="FFFFFF"/>
        </w:rPr>
        <w:t xml:space="preserve"> </w:t>
      </w:r>
      <w:r>
        <w:rPr>
          <w:rFonts w:hint="eastAsia" w:ascii="宋体" w:hAnsi="宋体"/>
          <w:b/>
          <w:bCs/>
          <w:u w:val="single"/>
          <w:shd w:val="pct10" w:color="auto" w:fill="FFFFFF"/>
        </w:rPr>
        <w:t xml:space="preserve"> </w:t>
      </w:r>
      <w:r>
        <w:rPr>
          <w:rFonts w:hint="eastAsia" w:ascii="宋体" w:hAnsi="宋体"/>
          <w:b/>
          <w:bCs/>
          <w:u w:val="single"/>
          <w:shd w:val="pct10" w:color="auto" w:fill="FFFFFF"/>
          <w:lang w:val="en-US" w:eastAsia="zh-CN"/>
        </w:rPr>
        <w:t>3</w:t>
      </w:r>
      <w:r>
        <w:rPr>
          <w:rFonts w:hint="eastAsia" w:ascii="宋体" w:hAnsi="宋体"/>
          <w:u w:val="single"/>
          <w:shd w:val="pct10" w:color="auto" w:fill="FFFFFF"/>
        </w:rPr>
        <w:t xml:space="preserve">  </w:t>
      </w:r>
      <w:r>
        <w:rPr>
          <w:rFonts w:hint="eastAsia" w:ascii="宋体" w:hAnsi="宋体"/>
        </w:rPr>
        <w:t>名及以上给技术、维修和操作人员提供不少于</w:t>
      </w:r>
      <w:r>
        <w:rPr>
          <w:rFonts w:hint="eastAsia" w:ascii="宋体" w:hAnsi="宋体"/>
          <w:u w:val="single"/>
          <w:shd w:val="pct10" w:color="auto" w:fill="FFFFFF"/>
        </w:rPr>
        <w:t xml:space="preserve">   2  </w:t>
      </w:r>
      <w:r>
        <w:rPr>
          <w:rFonts w:hint="eastAsia" w:ascii="宋体" w:hAnsi="宋体"/>
        </w:rPr>
        <w:t>个日历日的免费的、招标方生产制造现场的理论、技术和操作、维修等方面的技术指导和培训,提供免费的2人在机器人工厂的标准培训，培训内容包括</w:t>
      </w:r>
      <w:r>
        <w:rPr>
          <w:rFonts w:hint="eastAsia"/>
          <w:lang w:val="zh-CN"/>
        </w:rPr>
        <w:t>机器人编程及简单维护培训、电气培训。</w:t>
      </w:r>
    </w:p>
    <w:p>
      <w:pPr>
        <w:adjustRightInd w:val="0"/>
        <w:snapToGrid w:val="0"/>
        <w:spacing w:line="460" w:lineRule="exact"/>
        <w:ind w:firstLine="420" w:firstLineChars="200"/>
        <w:rPr>
          <w:rFonts w:hint="eastAsia" w:ascii="宋体" w:hAnsi="宋体"/>
        </w:rPr>
      </w:pPr>
      <w:r>
        <w:rPr>
          <w:rFonts w:hint="eastAsia" w:ascii="宋体" w:hAnsi="宋体"/>
        </w:rPr>
        <w:t>2、应负责在招标方设备使用现场，进行1～2次免费的技术指导和培训，并接受招标方有关人员的技术咨询。</w:t>
      </w:r>
    </w:p>
    <w:p>
      <w:pPr>
        <w:adjustRightInd w:val="0"/>
        <w:snapToGrid w:val="0"/>
        <w:spacing w:line="460" w:lineRule="exact"/>
        <w:ind w:firstLine="420" w:firstLineChars="200"/>
        <w:rPr>
          <w:rFonts w:hint="eastAsia" w:ascii="宋体" w:hAnsi="宋体"/>
        </w:rPr>
      </w:pPr>
      <w:r>
        <w:rPr>
          <w:rFonts w:hint="eastAsia" w:ascii="宋体" w:hAnsi="宋体"/>
        </w:rPr>
        <w:t>3、应免费提供一定数量的培训资料。</w:t>
      </w:r>
    </w:p>
    <w:p>
      <w:pPr>
        <w:adjustRightInd w:val="0"/>
        <w:snapToGrid w:val="0"/>
        <w:spacing w:line="460" w:lineRule="exact"/>
        <w:ind w:firstLine="420" w:firstLineChars="200"/>
        <w:rPr>
          <w:rFonts w:hint="eastAsia" w:ascii="宋体" w:hAnsi="宋体"/>
        </w:rPr>
      </w:pPr>
      <w:r>
        <w:rPr>
          <w:rFonts w:hint="eastAsia" w:ascii="宋体" w:hAnsi="宋体"/>
        </w:rPr>
        <w:t>4、应按要求免费积极协助和提供招标方以及招标方所委托的工程设计单位有关人员所需要的、与设备有关的工程设计资料、技术咨询等。</w:t>
      </w:r>
    </w:p>
    <w:p>
      <w:pPr>
        <w:adjustRightInd w:val="0"/>
        <w:snapToGrid w:val="0"/>
        <w:spacing w:line="460" w:lineRule="exact"/>
        <w:ind w:firstLine="420" w:firstLineChars="200"/>
        <w:rPr>
          <w:rFonts w:hint="eastAsia" w:ascii="宋体" w:hAnsi="宋体"/>
        </w:rPr>
      </w:pPr>
      <w:r>
        <w:rPr>
          <w:rFonts w:hint="eastAsia" w:ascii="宋体" w:hAnsi="宋体"/>
        </w:rPr>
        <w:t>5、若投标方提供的设备涉及到外购外协货物、而且该货物的技术质量等较为关键时，投标方应能保证得到配套厂家的技术支持，并免费为招标方提供技术服务。</w:t>
      </w:r>
    </w:p>
    <w:p>
      <w:pPr>
        <w:adjustRightInd w:val="0"/>
        <w:snapToGrid w:val="0"/>
        <w:spacing w:line="460" w:lineRule="exact"/>
        <w:ind w:firstLine="420" w:firstLineChars="200"/>
        <w:rPr>
          <w:rFonts w:hint="eastAsia" w:ascii="宋体" w:hAnsi="宋体"/>
        </w:rPr>
      </w:pPr>
      <w:r>
        <w:rPr>
          <w:rFonts w:hint="eastAsia" w:ascii="宋体" w:hAnsi="宋体"/>
        </w:rPr>
        <w:t>6、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pPr>
        <w:adjustRightInd w:val="0"/>
        <w:snapToGrid w:val="0"/>
        <w:spacing w:line="460" w:lineRule="exact"/>
        <w:ind w:firstLine="420" w:firstLineChars="200"/>
        <w:rPr>
          <w:rFonts w:hint="eastAsia" w:ascii="黑体" w:hAnsi="宋体" w:eastAsia="黑体"/>
        </w:rPr>
      </w:pPr>
      <w:r>
        <w:rPr>
          <w:rFonts w:hint="eastAsia" w:ascii="黑体" w:hAnsi="宋体" w:eastAsia="黑体"/>
        </w:rPr>
        <w:t>二、安装调试及验收服务</w:t>
      </w:r>
    </w:p>
    <w:p>
      <w:pPr>
        <w:adjustRightInd w:val="0"/>
        <w:snapToGrid w:val="0"/>
        <w:spacing w:line="460" w:lineRule="exact"/>
        <w:ind w:firstLine="420" w:firstLineChars="200"/>
        <w:rPr>
          <w:rFonts w:hint="eastAsia" w:ascii="宋体" w:hAnsi="宋体"/>
        </w:rPr>
      </w:pPr>
      <w:r>
        <w:rPr>
          <w:rFonts w:hint="eastAsia" w:ascii="宋体" w:hAnsi="宋体"/>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pPr>
        <w:adjustRightInd w:val="0"/>
        <w:snapToGrid w:val="0"/>
        <w:spacing w:line="460" w:lineRule="exact"/>
        <w:ind w:firstLine="420" w:firstLineChars="200"/>
        <w:rPr>
          <w:rFonts w:hint="eastAsia" w:ascii="宋体" w:hAnsi="宋体"/>
        </w:rPr>
      </w:pPr>
      <w:r>
        <w:rPr>
          <w:rFonts w:hint="eastAsia" w:ascii="宋体" w:hAnsi="宋体"/>
        </w:rPr>
        <w:t>2、若投标方提供的设备涉及到外购外协货物、而且该货物的技术质量等较为关键时，应保证能得到供应商的技术支持，并免费为招标方提供安装使用现场的指导与培训。</w:t>
      </w:r>
    </w:p>
    <w:p>
      <w:pPr>
        <w:adjustRightInd w:val="0"/>
        <w:snapToGrid w:val="0"/>
        <w:spacing w:line="460" w:lineRule="exact"/>
        <w:ind w:firstLine="420" w:firstLineChars="200"/>
        <w:rPr>
          <w:rFonts w:hint="eastAsia" w:ascii="宋体" w:hAnsi="宋体"/>
        </w:rPr>
      </w:pPr>
      <w:r>
        <w:rPr>
          <w:rFonts w:hint="eastAsia" w:ascii="宋体" w:hAnsi="宋体"/>
        </w:rPr>
        <w:t>3、根据设备的要求，调试及验收可分空载和负载两个阶段进行；招标方将积极协助投标方达到设备的各项技术指标和性能要求。投标方在招标方现场进行的货物的安装、调试和试运行，招标方有权参与，投标方应无条件向招标方提供现场记录和试运行数据及报告。</w:t>
      </w:r>
    </w:p>
    <w:p>
      <w:pPr>
        <w:adjustRightInd w:val="0"/>
        <w:snapToGrid w:val="0"/>
        <w:spacing w:line="460" w:lineRule="exact"/>
        <w:ind w:firstLine="420" w:firstLineChars="200"/>
        <w:rPr>
          <w:rFonts w:hint="eastAsia" w:ascii="宋体" w:hAnsi="宋体"/>
        </w:rPr>
      </w:pPr>
      <w:r>
        <w:rPr>
          <w:rFonts w:hint="eastAsia" w:ascii="宋体" w:hAnsi="宋体"/>
        </w:rPr>
        <w:t>4、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pPr>
        <w:adjustRightInd w:val="0"/>
        <w:snapToGrid w:val="0"/>
        <w:spacing w:line="460" w:lineRule="exact"/>
        <w:ind w:firstLine="420" w:firstLineChars="200"/>
        <w:rPr>
          <w:rFonts w:hint="eastAsia" w:ascii="宋体" w:hAnsi="宋体"/>
        </w:rPr>
      </w:pPr>
      <w:r>
        <w:rPr>
          <w:rFonts w:hint="eastAsia" w:ascii="宋体" w:hAnsi="宋体"/>
        </w:rPr>
        <w:t>5、投标方应当向招标方提供货物试验、验收的有关标准、规范和方法，同时提供货物涉及并使用的软件合法性证明。</w:t>
      </w:r>
    </w:p>
    <w:p>
      <w:pPr>
        <w:adjustRightInd w:val="0"/>
        <w:snapToGrid w:val="0"/>
        <w:spacing w:line="460" w:lineRule="exact"/>
        <w:ind w:firstLine="420" w:firstLineChars="200"/>
        <w:rPr>
          <w:rFonts w:hint="eastAsia" w:ascii="宋体" w:hAnsi="宋体"/>
        </w:rPr>
      </w:pPr>
      <w:r>
        <w:rPr>
          <w:rFonts w:hint="eastAsia" w:ascii="宋体" w:hAnsi="宋体"/>
        </w:rPr>
        <w:t>6、服务缺陷视同货物缺陷和履约延期。</w:t>
      </w:r>
    </w:p>
    <w:p>
      <w:pPr>
        <w:adjustRightInd w:val="0"/>
        <w:snapToGrid w:val="0"/>
        <w:spacing w:line="460" w:lineRule="exact"/>
        <w:ind w:firstLine="420" w:firstLineChars="200"/>
        <w:rPr>
          <w:rFonts w:hint="eastAsia" w:ascii="黑体" w:hAnsi="宋体" w:eastAsia="黑体"/>
        </w:rPr>
      </w:pPr>
      <w:r>
        <w:rPr>
          <w:rFonts w:hint="eastAsia" w:ascii="黑体" w:hAnsi="宋体" w:eastAsia="黑体"/>
        </w:rPr>
        <w:t>三、售后服务</w:t>
      </w:r>
    </w:p>
    <w:p>
      <w:pPr>
        <w:adjustRightInd w:val="0"/>
        <w:snapToGrid w:val="0"/>
        <w:spacing w:line="460" w:lineRule="exact"/>
        <w:ind w:firstLine="420" w:firstLineChars="200"/>
        <w:rPr>
          <w:rFonts w:hint="eastAsia" w:ascii="宋体" w:hAnsi="宋体"/>
        </w:rPr>
      </w:pPr>
      <w:r>
        <w:rPr>
          <w:rFonts w:hint="eastAsia" w:ascii="宋体" w:hAnsi="宋体"/>
        </w:rPr>
        <w:t>1、投标方提供的设备涉及的所有售后服务均由投标方负责。如果发生问题并且收到通知，投标方应当在2小时内予以答复。</w:t>
      </w:r>
    </w:p>
    <w:p>
      <w:pPr>
        <w:adjustRightInd w:val="0"/>
        <w:snapToGrid w:val="0"/>
        <w:spacing w:line="460" w:lineRule="exact"/>
        <w:ind w:firstLine="420" w:firstLineChars="200"/>
        <w:rPr>
          <w:rFonts w:hint="eastAsia" w:ascii="宋体" w:hAnsi="宋体"/>
        </w:rPr>
      </w:pPr>
      <w:r>
        <w:rPr>
          <w:rFonts w:hint="eastAsia" w:ascii="宋体" w:hAnsi="宋体"/>
        </w:rPr>
        <w:t>2、如发现所提供的设备存在问题，需要投标方解决或配合解决时：在质保期之内，应在接到通知后</w:t>
      </w:r>
      <w:r>
        <w:rPr>
          <w:rFonts w:hint="eastAsia" w:ascii="宋体" w:hAnsi="宋体"/>
          <w:u w:val="single"/>
          <w:shd w:val="pct10" w:color="auto" w:fill="FFFFFF"/>
        </w:rPr>
        <w:t xml:space="preserve">  24    </w:t>
      </w:r>
      <w:r>
        <w:rPr>
          <w:rFonts w:hint="eastAsia" w:ascii="宋体" w:hAnsi="宋体"/>
        </w:rPr>
        <w:t>小时内派有关人员到达现场；在质保期之外，应在接到通知后</w:t>
      </w:r>
      <w:r>
        <w:rPr>
          <w:rFonts w:hint="eastAsia" w:ascii="宋体" w:hAnsi="宋体"/>
          <w:u w:val="single"/>
          <w:shd w:val="pct10" w:color="auto" w:fill="FFFFFF"/>
        </w:rPr>
        <w:t xml:space="preserve">  24   </w:t>
      </w:r>
      <w:r>
        <w:rPr>
          <w:rFonts w:hint="eastAsia" w:ascii="宋体" w:hAnsi="宋体"/>
        </w:rPr>
        <w:t>小时内派有关人员到达现场。</w:t>
      </w:r>
    </w:p>
    <w:p>
      <w:pPr>
        <w:adjustRightInd w:val="0"/>
        <w:snapToGrid w:val="0"/>
        <w:spacing w:line="460" w:lineRule="exact"/>
        <w:ind w:firstLine="420" w:firstLineChars="200"/>
        <w:rPr>
          <w:rFonts w:hint="eastAsia" w:ascii="宋体" w:hAnsi="宋体"/>
        </w:rPr>
      </w:pPr>
      <w:r>
        <w:rPr>
          <w:rFonts w:hint="eastAsia" w:ascii="宋体" w:hAnsi="宋体"/>
        </w:rPr>
        <w:t>3、投标方派往招标方使用现场的人员，应具有较高的业务素质；现场解决问题时，不得无故拖延或推迟，应为招标方提供最佳的服务。</w:t>
      </w:r>
    </w:p>
    <w:p>
      <w:pPr>
        <w:adjustRightInd w:val="0"/>
        <w:snapToGrid w:val="0"/>
        <w:spacing w:line="460" w:lineRule="exact"/>
        <w:ind w:firstLine="420" w:firstLineChars="200"/>
        <w:rPr>
          <w:rFonts w:hint="eastAsia" w:ascii="黑体" w:hAnsi="宋体" w:eastAsia="黑体"/>
        </w:rPr>
      </w:pPr>
      <w:r>
        <w:rPr>
          <w:rFonts w:hint="eastAsia" w:ascii="黑体" w:hAnsi="宋体" w:eastAsia="黑体"/>
        </w:rPr>
        <w:t>四、其它服务</w:t>
      </w:r>
    </w:p>
    <w:p>
      <w:pPr>
        <w:adjustRightInd w:val="0"/>
        <w:snapToGrid w:val="0"/>
        <w:spacing w:line="460" w:lineRule="exact"/>
        <w:ind w:firstLine="420" w:firstLineChars="200"/>
        <w:rPr>
          <w:rFonts w:hint="eastAsia" w:ascii="宋体" w:hAnsi="宋体"/>
        </w:rPr>
      </w:pPr>
      <w:r>
        <w:rPr>
          <w:rFonts w:hint="eastAsia" w:ascii="宋体" w:hAnsi="宋体"/>
        </w:rPr>
        <w:t>1、若投标方所提供设备有需要进口的，投标方一般应自行、自费办理；必要时，买卖双方共同办理。</w:t>
      </w:r>
    </w:p>
    <w:p>
      <w:pPr>
        <w:adjustRightInd w:val="0"/>
        <w:snapToGrid w:val="0"/>
        <w:spacing w:line="460" w:lineRule="exact"/>
        <w:ind w:firstLine="420" w:firstLineChars="200"/>
        <w:rPr>
          <w:rFonts w:hint="eastAsia" w:ascii="宋体" w:hAnsi="宋体"/>
        </w:rPr>
      </w:pPr>
      <w:r>
        <w:rPr>
          <w:rFonts w:hint="eastAsia" w:ascii="宋体" w:hAnsi="宋体"/>
        </w:rPr>
        <w:t>2、除招标文件、投标文件、答疑文件、技术协议、合同等约定之外，投标方应免费负责必要的或强制性的设备的检验、试验、化验等直接费用。</w:t>
      </w:r>
    </w:p>
    <w:p>
      <w:pPr>
        <w:spacing w:line="520" w:lineRule="exact"/>
        <w:ind w:firstLine="420" w:firstLineChars="200"/>
        <w:rPr>
          <w:rFonts w:hint="eastAsia"/>
        </w:rPr>
      </w:pPr>
      <w:r>
        <w:rPr>
          <w:rFonts w:hint="eastAsia" w:ascii="宋体" w:hAnsi="宋体"/>
        </w:rPr>
        <w:t>3、本章节条款所列“免费”，并非指定不可收费，而是指招标文件、投标文件、</w:t>
      </w:r>
      <w:r>
        <w:rPr>
          <w:rFonts w:hint="eastAsia"/>
        </w:rPr>
        <w:t>答疑文件、技术交流文件、技术协议书和合同等范围之外，投标方不可另行收取的费用。</w:t>
      </w:r>
    </w:p>
    <w:p>
      <w:pPr>
        <w:spacing w:line="480" w:lineRule="exact"/>
        <w:ind w:firstLine="420" w:firstLineChars="200"/>
        <w:rPr>
          <w:rFonts w:hint="eastAsia" w:ascii="宋体" w:hAnsi="宋体"/>
        </w:rPr>
      </w:pPr>
    </w:p>
    <w:p>
      <w:pPr>
        <w:pStyle w:val="3"/>
        <w:spacing w:before="120" w:after="120" w:line="480" w:lineRule="exact"/>
        <w:jc w:val="center"/>
        <w:rPr>
          <w:rFonts w:hint="eastAsia" w:ascii="黑体" w:eastAsia="黑体"/>
          <w:b w:val="0"/>
          <w:sz w:val="24"/>
          <w:szCs w:val="24"/>
        </w:rPr>
      </w:pPr>
      <w:r>
        <w:rPr>
          <w:rFonts w:ascii="宋体" w:hAnsi="宋体"/>
        </w:rPr>
        <w:br w:type="page"/>
      </w:r>
      <w:bookmarkStart w:id="127" w:name="_Toc19419"/>
      <w:bookmarkStart w:id="128" w:name="_Toc23200"/>
      <w:bookmarkStart w:id="129" w:name="_Toc9060"/>
      <w:bookmarkStart w:id="130" w:name="_Toc137705873"/>
      <w:bookmarkStart w:id="131" w:name="_Toc21539"/>
      <w:r>
        <w:rPr>
          <w:rFonts w:hint="eastAsia" w:ascii="黑体" w:eastAsia="黑体"/>
          <w:b w:val="0"/>
          <w:sz w:val="24"/>
          <w:szCs w:val="24"/>
        </w:rPr>
        <w:t>第五章  终验收</w:t>
      </w:r>
      <w:bookmarkEnd w:id="127"/>
      <w:bookmarkEnd w:id="128"/>
      <w:bookmarkEnd w:id="129"/>
      <w:bookmarkEnd w:id="130"/>
      <w:bookmarkEnd w:id="131"/>
    </w:p>
    <w:p>
      <w:pPr>
        <w:spacing w:line="480" w:lineRule="exact"/>
        <w:ind w:firstLine="420" w:firstLineChars="200"/>
        <w:rPr>
          <w:rFonts w:hint="eastAsia" w:ascii="黑体" w:hAnsi="宋体" w:eastAsia="黑体"/>
        </w:rPr>
      </w:pPr>
      <w:r>
        <w:rPr>
          <w:rFonts w:hint="eastAsia" w:ascii="黑体" w:hAnsi="宋体" w:eastAsia="黑体"/>
        </w:rPr>
        <w:t>一、验收的一般约定</w:t>
      </w:r>
    </w:p>
    <w:p>
      <w:pPr>
        <w:spacing w:line="480" w:lineRule="exact"/>
        <w:ind w:firstLine="420" w:firstLineChars="200"/>
        <w:rPr>
          <w:rFonts w:ascii="宋体" w:hAnsi="宋体"/>
          <w:highlight w:val="yellow"/>
        </w:rPr>
      </w:pPr>
      <w:r>
        <w:rPr>
          <w:rFonts w:hint="eastAsia" w:ascii="宋体" w:hAnsi="宋体"/>
        </w:rPr>
        <w:t xml:space="preserve">1、验收标准一般以技术协议书和合同规定验收。 </w:t>
      </w:r>
    </w:p>
    <w:p>
      <w:pPr>
        <w:adjustRightInd w:val="0"/>
        <w:snapToGrid w:val="0"/>
        <w:spacing w:line="460" w:lineRule="exact"/>
        <w:ind w:firstLine="420" w:firstLineChars="200"/>
        <w:rPr>
          <w:rFonts w:hint="eastAsia" w:ascii="宋体" w:hAnsi="宋体"/>
        </w:rPr>
      </w:pPr>
      <w:r>
        <w:rPr>
          <w:rFonts w:hint="eastAsia" w:ascii="宋体" w:hAnsi="宋体"/>
        </w:rPr>
        <w:t>2、如果验收过程中，发现招标文件、投标文件、答疑文件、技术交流文件等与技术协议书、合同存在差异，原则上以涉及条款中对招标方最有利条款为验收依据。</w:t>
      </w:r>
    </w:p>
    <w:p>
      <w:pPr>
        <w:adjustRightInd w:val="0"/>
        <w:snapToGrid w:val="0"/>
        <w:spacing w:line="460" w:lineRule="exact"/>
        <w:ind w:firstLine="420" w:firstLineChars="200"/>
        <w:rPr>
          <w:rFonts w:hint="eastAsia" w:ascii="黑体" w:hAnsi="宋体" w:eastAsia="黑体"/>
        </w:rPr>
      </w:pPr>
      <w:r>
        <w:rPr>
          <w:rFonts w:hint="eastAsia" w:ascii="黑体" w:hAnsi="宋体" w:eastAsia="黑体"/>
        </w:rPr>
        <w:t>二、检验</w:t>
      </w:r>
    </w:p>
    <w:p>
      <w:pPr>
        <w:adjustRightInd w:val="0"/>
        <w:snapToGrid w:val="0"/>
        <w:spacing w:line="460" w:lineRule="exact"/>
        <w:ind w:firstLine="420" w:firstLineChars="200"/>
        <w:rPr>
          <w:rFonts w:hint="eastAsia" w:ascii="宋体" w:hAnsi="宋体"/>
        </w:rPr>
      </w:pPr>
      <w:r>
        <w:rPr>
          <w:rFonts w:hint="eastAsia" w:ascii="宋体" w:hAnsi="宋体"/>
        </w:rPr>
        <w:t>1、国产货物的检验由买卖双方按照合同要求或在制造现场进行。</w:t>
      </w:r>
    </w:p>
    <w:p>
      <w:pPr>
        <w:adjustRightInd w:val="0"/>
        <w:snapToGrid w:val="0"/>
        <w:spacing w:line="460" w:lineRule="exact"/>
        <w:ind w:firstLine="420" w:firstLineChars="200"/>
        <w:rPr>
          <w:rFonts w:hint="eastAsia" w:ascii="宋体" w:hAnsi="宋体"/>
        </w:rPr>
      </w:pPr>
      <w:r>
        <w:rPr>
          <w:rFonts w:hint="eastAsia" w:ascii="宋体" w:hAnsi="宋体"/>
        </w:rPr>
        <w:t>2、进口货物的检验，投标方需要按照下述要求进行：</w:t>
      </w:r>
    </w:p>
    <w:p>
      <w:pPr>
        <w:adjustRightInd w:val="0"/>
        <w:snapToGrid w:val="0"/>
        <w:spacing w:line="460" w:lineRule="exact"/>
        <w:ind w:firstLine="420" w:firstLineChars="200"/>
        <w:rPr>
          <w:rFonts w:ascii="宋体" w:hAnsi="宋体"/>
        </w:rPr>
      </w:pPr>
      <w:r>
        <w:rPr>
          <w:rFonts w:hint="eastAsia" w:ascii="宋体" w:hAnsi="宋体"/>
        </w:rPr>
        <w:t>2.1  进口货物发货前，应对货物的质量、型号、规格、性能和数量/重量作精密、全面的检验，并出具证明书，证明所供货物符合合同规定。</w:t>
      </w:r>
    </w:p>
    <w:p>
      <w:pPr>
        <w:adjustRightInd w:val="0"/>
        <w:snapToGrid w:val="0"/>
        <w:spacing w:line="460" w:lineRule="exact"/>
        <w:ind w:firstLine="420" w:firstLineChars="200"/>
        <w:rPr>
          <w:rFonts w:ascii="宋体" w:hAnsi="宋体"/>
        </w:rPr>
      </w:pPr>
      <w:r>
        <w:rPr>
          <w:rFonts w:hint="eastAsia" w:ascii="宋体" w:hAnsi="宋体"/>
        </w:rPr>
        <w:t>2.2  应依据合同规定的要求，提供买卖双方达成一致的货物的验收标准和装箱单，作为招标方检验的依据。</w:t>
      </w:r>
    </w:p>
    <w:p>
      <w:pPr>
        <w:adjustRightInd w:val="0"/>
        <w:snapToGrid w:val="0"/>
        <w:spacing w:line="460" w:lineRule="exact"/>
        <w:ind w:firstLine="420" w:firstLineChars="200"/>
        <w:rPr>
          <w:rFonts w:hint="eastAsia" w:ascii="宋体" w:hAnsi="宋体"/>
        </w:rPr>
      </w:pPr>
      <w:r>
        <w:rPr>
          <w:rFonts w:hint="eastAsia" w:ascii="宋体" w:hAnsi="宋体"/>
        </w:rPr>
        <w:t>2.3  进口货物到达目的地后，招标方有权申请中国商品检验检疫局进行检验，如发现货物的品质及规格与合同或发票不符，除招标方的责任外，招标方有权在货物到达卸货目的地后18</w:t>
      </w:r>
      <w:r>
        <w:rPr>
          <w:rFonts w:ascii="宋体" w:hAnsi="宋体"/>
        </w:rPr>
        <w:t>0</w:t>
      </w:r>
      <w:r>
        <w:rPr>
          <w:rFonts w:hint="eastAsia" w:ascii="宋体" w:hAnsi="宋体"/>
        </w:rPr>
        <w:t>个日历日内，根据中国商品检验检疫局出具的证明书向投标方提出索赔，因索赔所发生的一切费用</w:t>
      </w:r>
      <w:r>
        <w:rPr>
          <w:rFonts w:ascii="宋体" w:hAnsi="宋体"/>
        </w:rPr>
        <w:t>(</w:t>
      </w:r>
      <w:r>
        <w:rPr>
          <w:rFonts w:hint="eastAsia" w:ascii="宋体" w:hAnsi="宋体"/>
        </w:rPr>
        <w:t>包括检验检疫费等</w:t>
      </w:r>
      <w:r>
        <w:rPr>
          <w:rFonts w:ascii="宋体" w:hAnsi="宋体"/>
        </w:rPr>
        <w:t>)</w:t>
      </w:r>
      <w:r>
        <w:rPr>
          <w:rFonts w:hint="eastAsia" w:ascii="宋体" w:hAnsi="宋体"/>
        </w:rPr>
        <w:t>均由投标方承担。</w:t>
      </w:r>
    </w:p>
    <w:p>
      <w:pPr>
        <w:adjustRightInd w:val="0"/>
        <w:snapToGrid w:val="0"/>
        <w:spacing w:line="460" w:lineRule="exact"/>
        <w:ind w:firstLine="420" w:firstLineChars="200"/>
        <w:rPr>
          <w:rFonts w:hint="eastAsia" w:ascii="黑体" w:hAnsi="宋体" w:eastAsia="黑体"/>
        </w:rPr>
      </w:pPr>
      <w:r>
        <w:rPr>
          <w:rFonts w:hint="eastAsia" w:ascii="黑体" w:hAnsi="宋体" w:eastAsia="黑体"/>
        </w:rPr>
        <w:t>三、验收基本条件</w:t>
      </w:r>
    </w:p>
    <w:p>
      <w:pPr>
        <w:adjustRightInd w:val="0"/>
        <w:snapToGrid w:val="0"/>
        <w:spacing w:line="460" w:lineRule="exact"/>
        <w:ind w:firstLine="420" w:firstLineChars="200"/>
        <w:rPr>
          <w:rFonts w:hint="eastAsia" w:ascii="宋体" w:hAnsi="宋体"/>
        </w:rPr>
      </w:pPr>
      <w:r>
        <w:rPr>
          <w:rFonts w:hint="eastAsia"/>
        </w:rPr>
        <w:t>终验收在安装调试完成及试运行后的招标方现场进行。所有的项目，在终验收</w:t>
      </w:r>
      <w:r>
        <w:rPr>
          <w:rFonts w:hint="eastAsia" w:ascii="宋体" w:hAnsi="宋体"/>
        </w:rPr>
        <w:t>时进行检验，最终只以终验收为准。</w:t>
      </w:r>
    </w:p>
    <w:p>
      <w:pPr>
        <w:adjustRightInd w:val="0"/>
        <w:snapToGrid w:val="0"/>
        <w:spacing w:line="460" w:lineRule="exact"/>
        <w:ind w:firstLine="420" w:firstLineChars="200"/>
        <w:rPr>
          <w:rFonts w:hint="eastAsia" w:ascii="宋体" w:hAnsi="宋体"/>
        </w:rPr>
      </w:pPr>
      <w:r>
        <w:rPr>
          <w:rFonts w:hint="eastAsia" w:ascii="宋体" w:hAnsi="宋体"/>
        </w:rPr>
        <w:t>买卖双方按照合同约定执行了合同，同时设备完成了试运行并经检验合格，则具备验收条件。</w:t>
      </w:r>
    </w:p>
    <w:p>
      <w:pPr>
        <w:adjustRightInd w:val="0"/>
        <w:snapToGrid w:val="0"/>
        <w:spacing w:line="460" w:lineRule="exact"/>
        <w:ind w:firstLine="420" w:firstLineChars="200"/>
        <w:rPr>
          <w:rFonts w:hint="eastAsia" w:ascii="宋体" w:hAnsi="宋体"/>
        </w:rPr>
      </w:pPr>
      <w:r>
        <w:rPr>
          <w:rFonts w:hint="eastAsia" w:ascii="宋体" w:hAnsi="宋体"/>
        </w:rPr>
        <w:t>1、终验收一般条件</w:t>
      </w:r>
    </w:p>
    <w:p>
      <w:pPr>
        <w:adjustRightInd w:val="0"/>
        <w:snapToGrid w:val="0"/>
        <w:spacing w:line="460" w:lineRule="exact"/>
        <w:ind w:firstLine="420" w:firstLineChars="200"/>
        <w:rPr>
          <w:rFonts w:hint="eastAsia" w:ascii="宋体" w:hAnsi="宋体"/>
        </w:rPr>
      </w:pPr>
      <w:r>
        <w:rPr>
          <w:rFonts w:hint="eastAsia" w:ascii="宋体" w:hAnsi="宋体"/>
        </w:rPr>
        <w:t>1.1  设备稳定后没有出现新的质量问题。</w:t>
      </w:r>
    </w:p>
    <w:p>
      <w:pPr>
        <w:adjustRightInd w:val="0"/>
        <w:snapToGrid w:val="0"/>
        <w:spacing w:line="460" w:lineRule="exact"/>
        <w:ind w:firstLine="420" w:firstLineChars="200"/>
        <w:rPr>
          <w:rFonts w:hint="eastAsia" w:ascii="宋体" w:hAnsi="宋体"/>
        </w:rPr>
      </w:pPr>
      <w:r>
        <w:rPr>
          <w:rFonts w:hint="eastAsia" w:ascii="宋体" w:hAnsi="宋体"/>
        </w:rPr>
        <w:t>1.2  设备安装调试完毕，并至少经过了验收要求的负荷试运行。</w:t>
      </w:r>
    </w:p>
    <w:p>
      <w:pPr>
        <w:adjustRightInd w:val="0"/>
        <w:snapToGrid w:val="0"/>
        <w:spacing w:line="460" w:lineRule="exact"/>
        <w:ind w:firstLine="420" w:firstLineChars="200"/>
        <w:rPr>
          <w:rFonts w:hint="eastAsia" w:ascii="宋体" w:hAnsi="宋体"/>
        </w:rPr>
      </w:pPr>
      <w:r>
        <w:rPr>
          <w:rFonts w:hint="eastAsia" w:ascii="宋体" w:hAnsi="宋体"/>
        </w:rPr>
        <w:t>1.3  设备正常运行时，噪声等环境影响因素满足国家和当地环保主管部门规定，安全措施落实、有效。</w:t>
      </w:r>
    </w:p>
    <w:p>
      <w:pPr>
        <w:adjustRightInd w:val="0"/>
        <w:snapToGrid w:val="0"/>
        <w:spacing w:line="460" w:lineRule="exact"/>
        <w:ind w:firstLine="420" w:firstLineChars="200"/>
        <w:rPr>
          <w:rFonts w:hint="eastAsia" w:ascii="宋体" w:hAnsi="宋体"/>
        </w:rPr>
      </w:pPr>
      <w:r>
        <w:rPr>
          <w:rFonts w:hint="eastAsia" w:ascii="宋体" w:hAnsi="宋体"/>
        </w:rPr>
        <w:t>1.4  计量仪器、仪表配套合理，采用中国的法定计量单位，计量准确、灵敏可靠。保证设计指标和仪器说明书的参数的实现。</w:t>
      </w:r>
    </w:p>
    <w:p>
      <w:pPr>
        <w:adjustRightInd w:val="0"/>
        <w:snapToGrid w:val="0"/>
        <w:spacing w:line="460" w:lineRule="exact"/>
        <w:ind w:firstLine="420" w:firstLineChars="200"/>
        <w:rPr>
          <w:rFonts w:ascii="宋体" w:hAnsi="宋体"/>
        </w:rPr>
      </w:pPr>
      <w:r>
        <w:rPr>
          <w:rFonts w:hint="eastAsia" w:ascii="宋体" w:hAnsi="宋体"/>
        </w:rPr>
        <w:t>1.5  试运行期间或之后无维修、调整等行为（特殊情况除外）。</w:t>
      </w:r>
    </w:p>
    <w:p>
      <w:pPr>
        <w:adjustRightInd w:val="0"/>
        <w:snapToGrid w:val="0"/>
        <w:spacing w:line="460" w:lineRule="exact"/>
        <w:ind w:firstLine="420" w:firstLineChars="200"/>
        <w:rPr>
          <w:rFonts w:hint="eastAsia" w:ascii="宋体" w:hAnsi="宋体"/>
        </w:rPr>
      </w:pPr>
      <w:r>
        <w:rPr>
          <w:rFonts w:hint="eastAsia" w:ascii="宋体" w:hAnsi="宋体"/>
        </w:rPr>
        <w:t>1.6 设备质量、技术性能等，达到签定的技术协议书和合同规定的终验收标准。</w:t>
      </w:r>
    </w:p>
    <w:p>
      <w:pPr>
        <w:spacing w:line="480" w:lineRule="exact"/>
        <w:ind w:firstLine="420" w:firstLineChars="200"/>
        <w:rPr>
          <w:rFonts w:hint="eastAsia" w:ascii="宋体" w:hAnsi="宋体"/>
        </w:rPr>
      </w:pPr>
      <w:r>
        <w:rPr>
          <w:rFonts w:hint="eastAsia" w:ascii="宋体" w:hAnsi="宋体"/>
        </w:rPr>
        <w:t>2、终验收基本要求</w:t>
      </w:r>
    </w:p>
    <w:p>
      <w:pPr>
        <w:adjustRightInd w:val="0"/>
        <w:snapToGrid w:val="0"/>
        <w:spacing w:line="360" w:lineRule="auto"/>
        <w:ind w:firstLine="420" w:firstLineChars="200"/>
        <w:rPr>
          <w:rFonts w:ascii="宋体" w:hAnsi="宋体" w:cs="宋体"/>
        </w:rPr>
      </w:pPr>
      <w:r>
        <w:rPr>
          <w:rFonts w:hint="eastAsia" w:ascii="宋体" w:hAnsi="宋体" w:cs="宋体"/>
        </w:rPr>
        <w:t>2.1资料齐全性、完整性和有效性。按照 “技术资料范围”等的规定验收；</w:t>
      </w:r>
    </w:p>
    <w:p>
      <w:pPr>
        <w:adjustRightInd w:val="0"/>
        <w:snapToGrid w:val="0"/>
        <w:spacing w:line="360" w:lineRule="auto"/>
        <w:ind w:firstLine="420" w:firstLineChars="200"/>
        <w:rPr>
          <w:rFonts w:ascii="宋体" w:hAnsi="宋体" w:cs="宋体"/>
        </w:rPr>
      </w:pPr>
      <w:r>
        <w:rPr>
          <w:rFonts w:hint="eastAsia" w:ascii="宋体" w:hAnsi="宋体" w:cs="宋体"/>
        </w:rPr>
        <w:t>2.2设备应运行灵活、稳定、可靠、安全，无异常声音和非正常振动。设备不允许出现漏水、漏液、漏气（汽）。运动的零部件（如链条、联轴器、离合器等）应动作平稳、没有异常声音，不松动或易于调整；</w:t>
      </w:r>
    </w:p>
    <w:p>
      <w:pPr>
        <w:adjustRightInd w:val="0"/>
        <w:snapToGrid w:val="0"/>
        <w:spacing w:line="360" w:lineRule="auto"/>
        <w:ind w:firstLine="420" w:firstLineChars="200"/>
        <w:rPr>
          <w:rFonts w:ascii="宋体" w:hAnsi="宋体" w:cs="宋体"/>
        </w:rPr>
      </w:pPr>
      <w:r>
        <w:rPr>
          <w:rFonts w:hint="eastAsia" w:ascii="宋体" w:hAnsi="宋体" w:cs="宋体"/>
        </w:rPr>
        <w:t>2.3设备外观应无损伤，应该涂满同种明亮清晰的油漆（特殊标志除外）。设备应该完整且所有的零部件应该安装牢固，所有的焊缝饱满、无残渣等缺陷；</w:t>
      </w:r>
    </w:p>
    <w:p>
      <w:pPr>
        <w:adjustRightInd w:val="0"/>
        <w:snapToGrid w:val="0"/>
        <w:spacing w:line="360" w:lineRule="auto"/>
        <w:ind w:firstLine="420" w:firstLineChars="200"/>
        <w:rPr>
          <w:rFonts w:ascii="宋体" w:hAnsi="宋体" w:cs="宋体"/>
        </w:rPr>
      </w:pPr>
      <w:r>
        <w:rPr>
          <w:rFonts w:hint="eastAsia" w:ascii="宋体" w:hAnsi="宋体" w:cs="宋体"/>
        </w:rPr>
        <w:t>2.4所有的管道和电缆线等，应排列有序（正确、牢固、整齐）无皱褶、收缩和裂缝，电缆线在整个长度范围内，所有的接头应完全正确地连接；</w:t>
      </w:r>
    </w:p>
    <w:p>
      <w:pPr>
        <w:adjustRightInd w:val="0"/>
        <w:snapToGrid w:val="0"/>
        <w:spacing w:line="360" w:lineRule="auto"/>
        <w:ind w:firstLine="420" w:firstLineChars="200"/>
        <w:rPr>
          <w:rFonts w:ascii="宋体" w:hAnsi="宋体" w:cs="宋体"/>
        </w:rPr>
      </w:pPr>
      <w:r>
        <w:rPr>
          <w:rFonts w:hint="eastAsia" w:ascii="宋体" w:hAnsi="宋体" w:cs="宋体"/>
        </w:rPr>
        <w:t>2.5设备应有完整的标牌，且清晰易见；</w:t>
      </w:r>
    </w:p>
    <w:p>
      <w:pPr>
        <w:adjustRightInd w:val="0"/>
        <w:snapToGrid w:val="0"/>
        <w:spacing w:line="360" w:lineRule="auto"/>
        <w:ind w:firstLine="420" w:firstLineChars="200"/>
        <w:rPr>
          <w:rFonts w:ascii="宋体" w:hAnsi="宋体" w:cs="宋体"/>
        </w:rPr>
      </w:pPr>
      <w:r>
        <w:rPr>
          <w:rFonts w:hint="eastAsia" w:ascii="宋体" w:hAnsi="宋体" w:cs="宋体"/>
        </w:rPr>
        <w:t>2.6设备的润滑系统工作可靠，润滑点易于到达；</w:t>
      </w:r>
    </w:p>
    <w:p>
      <w:pPr>
        <w:adjustRightInd w:val="0"/>
        <w:snapToGrid w:val="0"/>
        <w:spacing w:line="360" w:lineRule="auto"/>
        <w:ind w:firstLine="420" w:firstLineChars="200"/>
        <w:rPr>
          <w:rFonts w:ascii="宋体" w:hAnsi="宋体" w:cs="宋体"/>
        </w:rPr>
      </w:pPr>
      <w:r>
        <w:rPr>
          <w:rFonts w:hint="eastAsia" w:ascii="宋体" w:hAnsi="宋体" w:cs="宋体"/>
        </w:rPr>
        <w:t>2.7设备的安全要求符合中国最新的相关法律、法规、标准和规范以及合同要求；</w:t>
      </w:r>
    </w:p>
    <w:p>
      <w:pPr>
        <w:adjustRightInd w:val="0"/>
        <w:snapToGrid w:val="0"/>
        <w:spacing w:line="360" w:lineRule="auto"/>
        <w:ind w:firstLine="420" w:firstLineChars="200"/>
        <w:rPr>
          <w:rFonts w:ascii="宋体" w:hAnsi="宋体" w:cs="宋体"/>
        </w:rPr>
      </w:pPr>
      <w:r>
        <w:rPr>
          <w:rFonts w:hint="eastAsia" w:ascii="宋体" w:hAnsi="宋体" w:cs="宋体"/>
        </w:rPr>
        <w:t>2.8地线连接和地极符合国际（ISO/IEC）标准规范；</w:t>
      </w:r>
    </w:p>
    <w:p>
      <w:pPr>
        <w:adjustRightInd w:val="0"/>
        <w:snapToGrid w:val="0"/>
        <w:spacing w:line="360" w:lineRule="auto"/>
        <w:ind w:firstLine="420" w:firstLineChars="200"/>
        <w:rPr>
          <w:rFonts w:ascii="宋体" w:hAnsi="宋体" w:cs="宋体"/>
        </w:rPr>
      </w:pPr>
      <w:r>
        <w:rPr>
          <w:rFonts w:hint="eastAsia" w:ascii="宋体" w:hAnsi="宋体" w:cs="宋体"/>
        </w:rPr>
        <w:t>2.9设备正常运行时，噪音不超过70dB；</w:t>
      </w:r>
    </w:p>
    <w:p>
      <w:pPr>
        <w:adjustRightInd w:val="0"/>
        <w:snapToGrid w:val="0"/>
        <w:spacing w:line="360" w:lineRule="auto"/>
        <w:ind w:firstLine="420" w:firstLineChars="200"/>
        <w:rPr>
          <w:rFonts w:ascii="宋体" w:hAnsi="宋体" w:cs="宋体"/>
        </w:rPr>
      </w:pPr>
      <w:r>
        <w:rPr>
          <w:rFonts w:hint="eastAsia" w:ascii="宋体" w:hAnsi="宋体" w:cs="宋体"/>
        </w:rPr>
        <w:t>2.10计量仪器、仪表配套合理，采用中国的法定计量单位，计量准确、灵敏可靠，计量仪器仪表由乙方提供合格证。</w:t>
      </w:r>
    </w:p>
    <w:p>
      <w:pPr>
        <w:adjustRightInd w:val="0"/>
        <w:snapToGrid w:val="0"/>
        <w:spacing w:line="360" w:lineRule="auto"/>
        <w:ind w:firstLine="420" w:firstLineChars="200"/>
        <w:rPr>
          <w:rFonts w:ascii="宋体" w:hAnsi="宋体" w:cs="宋体"/>
        </w:rPr>
      </w:pPr>
      <w:r>
        <w:rPr>
          <w:rFonts w:hint="eastAsia" w:ascii="宋体" w:hAnsi="宋体" w:cs="宋体"/>
        </w:rPr>
        <w:t>2.11保证设计指标和仪器说明书的参数的实现，要求竣工验收交付一次合格，返修更换校调不超过</w:t>
      </w:r>
      <w:r>
        <w:rPr>
          <w:rFonts w:hint="eastAsia" w:ascii="宋体" w:hAnsi="宋体" w:cs="宋体"/>
          <w:u w:val="single"/>
        </w:rPr>
        <w:t xml:space="preserve"> 8 </w:t>
      </w:r>
      <w:r>
        <w:rPr>
          <w:rFonts w:hint="eastAsia" w:ascii="宋体" w:hAnsi="宋体" w:cs="宋体"/>
        </w:rPr>
        <w:t>小时，特殊情况除外；</w:t>
      </w:r>
    </w:p>
    <w:p>
      <w:pPr>
        <w:adjustRightInd w:val="0"/>
        <w:snapToGrid w:val="0"/>
        <w:spacing w:line="360" w:lineRule="auto"/>
        <w:ind w:firstLine="420" w:firstLineChars="200"/>
        <w:rPr>
          <w:rFonts w:hint="eastAsia" w:ascii="宋体" w:hAnsi="宋体" w:cs="宋体"/>
          <w:bCs/>
        </w:rPr>
      </w:pPr>
      <w:bookmarkStart w:id="132" w:name="_Toc5237"/>
      <w:r>
        <w:rPr>
          <w:rFonts w:hint="eastAsia" w:ascii="宋体" w:hAnsi="宋体" w:cs="宋体"/>
          <w:bCs/>
        </w:rPr>
        <w:t>2.12</w:t>
      </w:r>
      <w:r>
        <w:rPr>
          <w:rFonts w:hint="eastAsia" w:ascii="宋体" w:hAnsi="宋体" w:cs="宋体"/>
        </w:rPr>
        <w:t>设备</w:t>
      </w:r>
      <w:r>
        <w:rPr>
          <w:rFonts w:hint="eastAsia" w:ascii="宋体" w:hAnsi="宋体" w:cs="宋体"/>
          <w:bCs/>
        </w:rPr>
        <w:t>质量、技术性能等，按照签定的技术协议书和合同规定的终验收标准验收。</w:t>
      </w:r>
      <w:bookmarkEnd w:id="132"/>
    </w:p>
    <w:p>
      <w:pPr>
        <w:adjustRightInd w:val="0"/>
        <w:snapToGrid w:val="0"/>
        <w:spacing w:line="460" w:lineRule="exact"/>
        <w:ind w:firstLine="420" w:firstLineChars="200"/>
        <w:rPr>
          <w:rFonts w:hint="eastAsia" w:ascii="宋体" w:hAnsi="宋体"/>
        </w:rPr>
      </w:pPr>
      <w:r>
        <w:rPr>
          <w:rFonts w:hint="eastAsia" w:ascii="宋体" w:hAnsi="宋体"/>
        </w:rPr>
        <w:t>3  终验收内容包括以下内容：</w:t>
      </w:r>
    </w:p>
    <w:p>
      <w:pPr>
        <w:adjustRightInd w:val="0"/>
        <w:snapToGrid w:val="0"/>
        <w:spacing w:line="460" w:lineRule="exact"/>
        <w:ind w:firstLine="420" w:firstLineChars="200"/>
        <w:rPr>
          <w:rFonts w:ascii="宋体" w:hAnsi="宋体"/>
        </w:rPr>
      </w:pPr>
      <w:r>
        <w:rPr>
          <w:rFonts w:hint="eastAsia" w:ascii="宋体" w:hAnsi="宋体"/>
        </w:rPr>
        <w:t>3.1终验收在招标方车间进行，验收内容包括但不限于设备资料、培训、设备配置、生产节拍、工期、重复定位精度及技术要求的其它条款内容。</w:t>
      </w:r>
    </w:p>
    <w:p>
      <w:pPr>
        <w:adjustRightInd w:val="0"/>
        <w:snapToGrid w:val="0"/>
        <w:spacing w:line="460" w:lineRule="exact"/>
        <w:ind w:firstLine="420" w:firstLineChars="200"/>
        <w:rPr>
          <w:rFonts w:hint="eastAsia" w:ascii="宋体" w:hAnsi="宋体"/>
        </w:rPr>
      </w:pPr>
      <w:r>
        <w:rPr>
          <w:rFonts w:hint="eastAsia" w:ascii="宋体" w:hAnsi="宋体"/>
        </w:rPr>
        <w:t>3.2 投标方在终验收时需提交一份调试时发现的缺陷和设备故障确认完成整改的汇总表，列入终验收报告。</w:t>
      </w:r>
    </w:p>
    <w:p>
      <w:pPr>
        <w:tabs>
          <w:tab w:val="left" w:pos="1260"/>
        </w:tabs>
        <w:adjustRightInd w:val="0"/>
        <w:snapToGrid w:val="0"/>
        <w:spacing w:line="460" w:lineRule="exact"/>
        <w:ind w:firstLine="420" w:firstLineChars="200"/>
        <w:rPr>
          <w:rFonts w:hint="eastAsia" w:ascii="宋体" w:hAnsi="宋体"/>
        </w:rPr>
      </w:pPr>
      <w:r>
        <w:rPr>
          <w:rFonts w:hint="eastAsia" w:ascii="宋体" w:hAnsi="宋体"/>
        </w:rPr>
        <w:t>3.3存在影响节拍、装配质量、安全的缺陷，投标方应及时整改，整改合格后验收和移交。当由于招标方原因影响终验收进度时，则移交日期相应顺延。</w:t>
      </w:r>
    </w:p>
    <w:p>
      <w:pPr>
        <w:adjustRightInd w:val="0"/>
        <w:snapToGrid w:val="0"/>
        <w:spacing w:line="460" w:lineRule="exact"/>
        <w:ind w:firstLine="420" w:firstLineChars="200"/>
        <w:rPr>
          <w:rFonts w:ascii="宋体" w:hAnsi="宋体"/>
        </w:rPr>
      </w:pPr>
      <w:r>
        <w:rPr>
          <w:rFonts w:hint="eastAsia" w:ascii="宋体" w:hAnsi="宋体"/>
        </w:rPr>
        <w:t>3.4  终验收原则上要求一次完成。若一次验收不成功，最多允许两次；如果出现第三次验收失败，重新作价或退货；</w:t>
      </w:r>
    </w:p>
    <w:p>
      <w:pPr>
        <w:adjustRightInd w:val="0"/>
        <w:snapToGrid w:val="0"/>
        <w:spacing w:line="460" w:lineRule="exact"/>
        <w:ind w:firstLine="420" w:firstLineChars="200"/>
        <w:rPr>
          <w:rFonts w:ascii="宋体" w:hAnsi="宋体"/>
        </w:rPr>
      </w:pPr>
      <w:r>
        <w:rPr>
          <w:rFonts w:hint="eastAsia" w:ascii="宋体" w:hAnsi="宋体"/>
        </w:rPr>
        <w:t>3.5  终验收通过后买卖双方共同签署终验收报告，并移交、核对全部供货范围内物品。</w:t>
      </w:r>
    </w:p>
    <w:p>
      <w:pPr>
        <w:spacing w:line="480" w:lineRule="exact"/>
        <w:ind w:firstLine="420" w:firstLineChars="200"/>
        <w:rPr>
          <w:rFonts w:hint="eastAsia" w:ascii="宋体" w:hAnsi="宋体"/>
        </w:rPr>
      </w:pPr>
    </w:p>
    <w:p>
      <w:pPr>
        <w:pStyle w:val="3"/>
        <w:spacing w:before="120" w:after="120" w:line="480" w:lineRule="exact"/>
        <w:jc w:val="center"/>
        <w:rPr>
          <w:rFonts w:hint="eastAsia" w:ascii="黑体" w:eastAsia="黑体"/>
          <w:b w:val="0"/>
          <w:sz w:val="24"/>
          <w:szCs w:val="24"/>
        </w:rPr>
      </w:pPr>
      <w:r>
        <w:rPr>
          <w:rFonts w:ascii="宋体" w:hAnsi="宋体"/>
        </w:rPr>
        <w:br w:type="page"/>
      </w:r>
      <w:bookmarkStart w:id="133" w:name="_Toc137705874"/>
      <w:bookmarkStart w:id="134" w:name="_Toc22000"/>
      <w:bookmarkStart w:id="135" w:name="_Toc28978"/>
      <w:bookmarkStart w:id="136" w:name="_Toc12996"/>
      <w:bookmarkStart w:id="137" w:name="_Toc25335"/>
      <w:r>
        <w:rPr>
          <w:rFonts w:hint="eastAsia" w:ascii="黑体" w:eastAsia="黑体"/>
          <w:b w:val="0"/>
          <w:sz w:val="24"/>
          <w:szCs w:val="24"/>
        </w:rPr>
        <w:t>第六章  投标技术文件一般要求</w:t>
      </w:r>
      <w:bookmarkEnd w:id="133"/>
      <w:bookmarkEnd w:id="134"/>
      <w:bookmarkEnd w:id="135"/>
      <w:bookmarkEnd w:id="136"/>
      <w:bookmarkEnd w:id="137"/>
    </w:p>
    <w:p>
      <w:pPr>
        <w:adjustRightInd w:val="0"/>
        <w:snapToGrid w:val="0"/>
        <w:spacing w:line="460" w:lineRule="exact"/>
        <w:ind w:firstLine="420" w:firstLineChars="200"/>
        <w:rPr>
          <w:rFonts w:hint="eastAsia" w:ascii="黑体" w:hAnsi="宋体" w:eastAsia="黑体"/>
        </w:rPr>
      </w:pPr>
      <w:r>
        <w:rPr>
          <w:rFonts w:hint="eastAsia" w:ascii="黑体" w:hAnsi="宋体" w:eastAsia="黑体"/>
        </w:rPr>
        <w:t>一、技术文件一般内容要求</w:t>
      </w:r>
    </w:p>
    <w:p>
      <w:pPr>
        <w:adjustRightInd w:val="0"/>
        <w:snapToGrid w:val="0"/>
        <w:spacing w:line="460" w:lineRule="exact"/>
        <w:ind w:firstLine="420" w:firstLineChars="200"/>
        <w:rPr>
          <w:rFonts w:hint="eastAsia" w:ascii="宋体" w:hAnsi="宋体"/>
        </w:rPr>
      </w:pPr>
      <w:r>
        <w:rPr>
          <w:rFonts w:hint="eastAsia" w:ascii="宋体" w:hAnsi="宋体"/>
        </w:rPr>
        <w:t>1、投标方应认真阅读招标文件和本技术标书，并按要求编写投标技术文件。</w:t>
      </w:r>
    </w:p>
    <w:p>
      <w:pPr>
        <w:adjustRightInd w:val="0"/>
        <w:snapToGrid w:val="0"/>
        <w:spacing w:line="460" w:lineRule="exact"/>
        <w:ind w:firstLine="420" w:firstLineChars="200"/>
        <w:rPr>
          <w:rFonts w:hint="eastAsia" w:ascii="宋体" w:hAnsi="宋体"/>
        </w:rPr>
      </w:pPr>
      <w:r>
        <w:rPr>
          <w:rFonts w:hint="eastAsia" w:ascii="宋体" w:hAnsi="宋体"/>
        </w:rPr>
        <w:t>2、投标技术文件至少应对投标设备的功能用途、技术性能、质量标准、技术参数等作出详细说明。</w:t>
      </w:r>
    </w:p>
    <w:p>
      <w:pPr>
        <w:adjustRightInd w:val="0"/>
        <w:snapToGrid w:val="0"/>
        <w:spacing w:line="460" w:lineRule="exact"/>
        <w:ind w:firstLine="420" w:firstLineChars="200"/>
        <w:rPr>
          <w:rFonts w:hint="eastAsia" w:ascii="宋体" w:hAnsi="宋体"/>
        </w:rPr>
      </w:pPr>
      <w:r>
        <w:rPr>
          <w:rFonts w:hint="eastAsia" w:ascii="宋体" w:hAnsi="宋体"/>
        </w:rPr>
        <w:t>3、投标技术文件至少应根据投标设备的关键设备、总成、零部件或系统作出优越性说明。</w:t>
      </w:r>
    </w:p>
    <w:p>
      <w:pPr>
        <w:spacing w:line="480" w:lineRule="exact"/>
        <w:ind w:firstLine="420" w:firstLineChars="200"/>
        <w:rPr>
          <w:rFonts w:hint="eastAsia" w:ascii="宋体" w:hAnsi="宋体"/>
        </w:rPr>
      </w:pPr>
      <w:r>
        <w:rPr>
          <w:rFonts w:hint="eastAsia" w:ascii="宋体" w:hAnsi="宋体"/>
        </w:rPr>
        <w:t>4、投标技术文件至少应按照招标文件要求（或投标方建议）列明备品备件、易损件和专用耗材明细。</w:t>
      </w:r>
    </w:p>
    <w:p>
      <w:pPr>
        <w:spacing w:line="480" w:lineRule="exact"/>
        <w:ind w:firstLine="420" w:firstLineChars="200"/>
        <w:rPr>
          <w:rFonts w:hint="eastAsia" w:ascii="宋体" w:hAnsi="宋体"/>
        </w:rPr>
      </w:pPr>
      <w:r>
        <w:rPr>
          <w:rFonts w:hint="eastAsia" w:ascii="宋体" w:hAnsi="宋体"/>
        </w:rPr>
        <w:t>5、投标方应当而且必须分别说明所列备品备件、易损件和专用耗材的使用寿命（以有效工作小时数说明）。</w:t>
      </w:r>
    </w:p>
    <w:p>
      <w:pPr>
        <w:adjustRightInd w:val="0"/>
        <w:snapToGrid w:val="0"/>
        <w:spacing w:line="460" w:lineRule="exact"/>
        <w:ind w:firstLine="420" w:firstLineChars="200"/>
        <w:rPr>
          <w:rFonts w:hint="eastAsia" w:ascii="宋体" w:hAnsi="宋体"/>
        </w:rPr>
      </w:pPr>
      <w:r>
        <w:rPr>
          <w:rFonts w:hint="eastAsia" w:ascii="宋体" w:hAnsi="宋体"/>
        </w:rPr>
        <w:t>6、投标的设备，应当根据其配置和备品备件、易损件、专用耗材情况，尽可能详细且分类填入下表：</w:t>
      </w:r>
    </w:p>
    <w:p>
      <w:pPr>
        <w:adjustRightInd w:val="0"/>
        <w:snapToGrid w:val="0"/>
        <w:spacing w:line="460" w:lineRule="exact"/>
        <w:ind w:firstLine="420" w:firstLineChars="200"/>
        <w:rPr>
          <w:rFonts w:hint="eastAsia" w:ascii="宋体" w:hAnsi="宋体"/>
        </w:rPr>
      </w:pPr>
      <w:r>
        <w:rPr>
          <w:rFonts w:hint="eastAsia" w:ascii="宋体" w:hAnsi="宋体"/>
        </w:rPr>
        <w:t>6.1  投标设备配置一览表：</w:t>
      </w:r>
    </w:p>
    <w:p>
      <w:pPr>
        <w:adjustRightInd w:val="0"/>
        <w:snapToGrid w:val="0"/>
        <w:spacing w:line="460" w:lineRule="exact"/>
        <w:ind w:firstLine="1890" w:firstLineChars="900"/>
        <w:rPr>
          <w:rFonts w:hint="eastAsia" w:ascii="宋体" w:hAnsi="宋体"/>
        </w:rPr>
      </w:pPr>
      <w:r>
        <w:rPr>
          <w:rFonts w:hint="eastAsia" w:ascii="宋体" w:hAnsi="宋体"/>
        </w:rPr>
        <w:t xml:space="preserve">投标货物配置一览表          </w:t>
      </w:r>
      <w:r>
        <w:rPr>
          <w:rFonts w:hint="eastAsia" w:ascii="宋体" w:hAnsi="宋体"/>
          <w:sz w:val="21"/>
        </w:rPr>
        <w:t>单位：元</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sz w:val="21"/>
              </w:rPr>
            </w:pPr>
            <w:r>
              <w:rPr>
                <w:rFonts w:hint="eastAsia" w:ascii="宋体" w:hAnsi="宋体"/>
                <w:sz w:val="21"/>
              </w:rPr>
              <w:t>序号</w:t>
            </w:r>
          </w:p>
        </w:tc>
        <w:tc>
          <w:tcPr>
            <w:tcW w:w="1924" w:type="dxa"/>
            <w:noWrap w:val="0"/>
            <w:vAlign w:val="top"/>
          </w:tcPr>
          <w:p>
            <w:pPr>
              <w:adjustRightInd w:val="0"/>
              <w:snapToGrid w:val="0"/>
              <w:spacing w:line="360" w:lineRule="exact"/>
              <w:jc w:val="center"/>
              <w:rPr>
                <w:rFonts w:hint="eastAsia" w:ascii="宋体" w:hAnsi="宋体"/>
                <w:sz w:val="21"/>
              </w:rPr>
            </w:pPr>
            <w:r>
              <w:rPr>
                <w:rFonts w:hint="eastAsia" w:ascii="宋体" w:hAnsi="宋体"/>
                <w:sz w:val="21"/>
              </w:rPr>
              <w:t>名称</w:t>
            </w:r>
          </w:p>
        </w:tc>
        <w:tc>
          <w:tcPr>
            <w:tcW w:w="1236" w:type="dxa"/>
            <w:noWrap w:val="0"/>
            <w:vAlign w:val="top"/>
          </w:tcPr>
          <w:p>
            <w:pPr>
              <w:adjustRightInd w:val="0"/>
              <w:snapToGrid w:val="0"/>
              <w:spacing w:line="360" w:lineRule="exact"/>
              <w:jc w:val="center"/>
              <w:rPr>
                <w:rFonts w:hint="eastAsia" w:ascii="宋体" w:hAnsi="宋体"/>
                <w:sz w:val="21"/>
              </w:rPr>
            </w:pPr>
            <w:r>
              <w:rPr>
                <w:rFonts w:hint="eastAsia" w:ascii="宋体" w:hAnsi="宋体"/>
                <w:sz w:val="21"/>
              </w:rPr>
              <w:t>型号规格</w:t>
            </w:r>
          </w:p>
        </w:tc>
        <w:tc>
          <w:tcPr>
            <w:tcW w:w="720" w:type="dxa"/>
            <w:noWrap w:val="0"/>
            <w:vAlign w:val="top"/>
          </w:tcPr>
          <w:p>
            <w:pPr>
              <w:adjustRightInd w:val="0"/>
              <w:snapToGrid w:val="0"/>
              <w:spacing w:line="360" w:lineRule="exact"/>
              <w:jc w:val="center"/>
              <w:rPr>
                <w:rFonts w:hint="eastAsia" w:ascii="宋体" w:hAnsi="宋体"/>
                <w:sz w:val="21"/>
              </w:rPr>
            </w:pPr>
            <w:r>
              <w:rPr>
                <w:rFonts w:hint="eastAsia" w:ascii="宋体" w:hAnsi="宋体"/>
                <w:sz w:val="21"/>
              </w:rPr>
              <w:t>单位</w:t>
            </w:r>
          </w:p>
        </w:tc>
        <w:tc>
          <w:tcPr>
            <w:tcW w:w="720" w:type="dxa"/>
            <w:noWrap w:val="0"/>
            <w:vAlign w:val="top"/>
          </w:tcPr>
          <w:p>
            <w:pPr>
              <w:adjustRightInd w:val="0"/>
              <w:snapToGrid w:val="0"/>
              <w:spacing w:line="360" w:lineRule="exact"/>
              <w:jc w:val="center"/>
              <w:rPr>
                <w:rFonts w:hint="eastAsia" w:ascii="宋体" w:hAnsi="宋体"/>
                <w:sz w:val="21"/>
              </w:rPr>
            </w:pPr>
            <w:r>
              <w:rPr>
                <w:rFonts w:hint="eastAsia" w:ascii="宋体" w:hAnsi="宋体"/>
                <w:sz w:val="21"/>
              </w:rPr>
              <w:t>数量</w:t>
            </w:r>
          </w:p>
        </w:tc>
        <w:tc>
          <w:tcPr>
            <w:tcW w:w="720" w:type="dxa"/>
            <w:noWrap w:val="0"/>
            <w:vAlign w:val="top"/>
          </w:tcPr>
          <w:p>
            <w:pPr>
              <w:adjustRightInd w:val="0"/>
              <w:snapToGrid w:val="0"/>
              <w:spacing w:line="360" w:lineRule="exact"/>
              <w:jc w:val="center"/>
              <w:rPr>
                <w:rFonts w:hint="eastAsia" w:ascii="宋体" w:hAnsi="宋体"/>
                <w:sz w:val="21"/>
              </w:rPr>
            </w:pPr>
            <w:r>
              <w:rPr>
                <w:rFonts w:hint="eastAsia" w:ascii="宋体" w:hAnsi="宋体"/>
                <w:sz w:val="21"/>
              </w:rPr>
              <w:t>单价</w:t>
            </w:r>
          </w:p>
        </w:tc>
        <w:tc>
          <w:tcPr>
            <w:tcW w:w="720" w:type="dxa"/>
            <w:noWrap w:val="0"/>
            <w:vAlign w:val="top"/>
          </w:tcPr>
          <w:p>
            <w:pPr>
              <w:adjustRightInd w:val="0"/>
              <w:snapToGrid w:val="0"/>
              <w:spacing w:line="360" w:lineRule="exact"/>
              <w:jc w:val="center"/>
              <w:rPr>
                <w:rFonts w:hint="eastAsia" w:ascii="宋体" w:hAnsi="宋体"/>
                <w:sz w:val="21"/>
              </w:rPr>
            </w:pPr>
            <w:r>
              <w:rPr>
                <w:rFonts w:hint="eastAsia" w:ascii="宋体" w:hAnsi="宋体"/>
                <w:sz w:val="21"/>
              </w:rPr>
              <w:t>总价</w:t>
            </w:r>
          </w:p>
        </w:tc>
        <w:tc>
          <w:tcPr>
            <w:tcW w:w="2235" w:type="dxa"/>
            <w:noWrap w:val="0"/>
            <w:vAlign w:val="top"/>
          </w:tcPr>
          <w:p>
            <w:pPr>
              <w:adjustRightInd w:val="0"/>
              <w:snapToGrid w:val="0"/>
              <w:spacing w:line="360" w:lineRule="exact"/>
              <w:jc w:val="center"/>
              <w:rPr>
                <w:rFonts w:hint="eastAsia" w:ascii="宋体" w:hAnsi="宋体"/>
                <w:sz w:val="21"/>
              </w:rPr>
            </w:pPr>
            <w:r>
              <w:rPr>
                <w:rFonts w:hint="eastAsia" w:ascii="宋体" w:hAnsi="宋体"/>
                <w:sz w:val="21"/>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sz w:val="21"/>
              </w:rPr>
            </w:pPr>
          </w:p>
        </w:tc>
        <w:tc>
          <w:tcPr>
            <w:tcW w:w="1924" w:type="dxa"/>
            <w:noWrap w:val="0"/>
            <w:vAlign w:val="top"/>
          </w:tcPr>
          <w:p>
            <w:pPr>
              <w:adjustRightInd w:val="0"/>
              <w:snapToGrid w:val="0"/>
              <w:spacing w:line="360" w:lineRule="exact"/>
              <w:rPr>
                <w:rFonts w:hint="eastAsia" w:ascii="宋体" w:hAnsi="宋体"/>
                <w:sz w:val="21"/>
              </w:rPr>
            </w:pPr>
          </w:p>
        </w:tc>
        <w:tc>
          <w:tcPr>
            <w:tcW w:w="1236" w:type="dxa"/>
            <w:noWrap w:val="0"/>
            <w:vAlign w:val="top"/>
          </w:tcPr>
          <w:p>
            <w:pPr>
              <w:adjustRightInd w:val="0"/>
              <w:snapToGrid w:val="0"/>
              <w:spacing w:line="360" w:lineRule="exact"/>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2235" w:type="dxa"/>
            <w:noWrap w:val="0"/>
            <w:vAlign w:val="top"/>
          </w:tcPr>
          <w:p>
            <w:pPr>
              <w:adjustRightInd w:val="0"/>
              <w:snapToGrid w:val="0"/>
              <w:spacing w:line="360" w:lineRule="exact"/>
              <w:rPr>
                <w:rFonts w:hint="eastAsia"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sz w:val="21"/>
              </w:rPr>
            </w:pPr>
          </w:p>
        </w:tc>
        <w:tc>
          <w:tcPr>
            <w:tcW w:w="1924" w:type="dxa"/>
            <w:noWrap w:val="0"/>
            <w:vAlign w:val="top"/>
          </w:tcPr>
          <w:p>
            <w:pPr>
              <w:adjustRightInd w:val="0"/>
              <w:snapToGrid w:val="0"/>
              <w:spacing w:line="360" w:lineRule="exact"/>
              <w:rPr>
                <w:rFonts w:hint="eastAsia" w:ascii="宋体" w:hAnsi="宋体"/>
                <w:sz w:val="21"/>
              </w:rPr>
            </w:pPr>
          </w:p>
        </w:tc>
        <w:tc>
          <w:tcPr>
            <w:tcW w:w="1236" w:type="dxa"/>
            <w:noWrap w:val="0"/>
            <w:vAlign w:val="top"/>
          </w:tcPr>
          <w:p>
            <w:pPr>
              <w:adjustRightInd w:val="0"/>
              <w:snapToGrid w:val="0"/>
              <w:spacing w:line="360" w:lineRule="exact"/>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2235" w:type="dxa"/>
            <w:noWrap w:val="0"/>
            <w:vAlign w:val="top"/>
          </w:tcPr>
          <w:p>
            <w:pPr>
              <w:adjustRightInd w:val="0"/>
              <w:snapToGrid w:val="0"/>
              <w:spacing w:line="360" w:lineRule="exact"/>
              <w:rPr>
                <w:rFonts w:hint="eastAsia"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sz w:val="21"/>
              </w:rPr>
            </w:pPr>
          </w:p>
        </w:tc>
        <w:tc>
          <w:tcPr>
            <w:tcW w:w="1924" w:type="dxa"/>
            <w:noWrap w:val="0"/>
            <w:vAlign w:val="top"/>
          </w:tcPr>
          <w:p>
            <w:pPr>
              <w:adjustRightInd w:val="0"/>
              <w:snapToGrid w:val="0"/>
              <w:spacing w:line="360" w:lineRule="exact"/>
              <w:rPr>
                <w:rFonts w:hint="eastAsia" w:ascii="宋体" w:hAnsi="宋体"/>
                <w:sz w:val="21"/>
              </w:rPr>
            </w:pPr>
          </w:p>
        </w:tc>
        <w:tc>
          <w:tcPr>
            <w:tcW w:w="1236" w:type="dxa"/>
            <w:noWrap w:val="0"/>
            <w:vAlign w:val="top"/>
          </w:tcPr>
          <w:p>
            <w:pPr>
              <w:adjustRightInd w:val="0"/>
              <w:snapToGrid w:val="0"/>
              <w:spacing w:line="360" w:lineRule="exact"/>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2235" w:type="dxa"/>
            <w:noWrap w:val="0"/>
            <w:vAlign w:val="top"/>
          </w:tcPr>
          <w:p>
            <w:pPr>
              <w:adjustRightInd w:val="0"/>
              <w:snapToGrid w:val="0"/>
              <w:spacing w:line="360" w:lineRule="exact"/>
              <w:rPr>
                <w:rFonts w:hint="eastAsia"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sz w:val="21"/>
              </w:rPr>
            </w:pPr>
          </w:p>
        </w:tc>
        <w:tc>
          <w:tcPr>
            <w:tcW w:w="1924" w:type="dxa"/>
            <w:noWrap w:val="0"/>
            <w:vAlign w:val="top"/>
          </w:tcPr>
          <w:p>
            <w:pPr>
              <w:adjustRightInd w:val="0"/>
              <w:snapToGrid w:val="0"/>
              <w:spacing w:line="360" w:lineRule="exact"/>
              <w:rPr>
                <w:rFonts w:hint="eastAsia" w:ascii="宋体" w:hAnsi="宋体"/>
                <w:sz w:val="21"/>
              </w:rPr>
            </w:pPr>
          </w:p>
        </w:tc>
        <w:tc>
          <w:tcPr>
            <w:tcW w:w="1236" w:type="dxa"/>
            <w:noWrap w:val="0"/>
            <w:vAlign w:val="top"/>
          </w:tcPr>
          <w:p>
            <w:pPr>
              <w:adjustRightInd w:val="0"/>
              <w:snapToGrid w:val="0"/>
              <w:spacing w:line="360" w:lineRule="exact"/>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2235" w:type="dxa"/>
            <w:noWrap w:val="0"/>
            <w:vAlign w:val="top"/>
          </w:tcPr>
          <w:p>
            <w:pPr>
              <w:adjustRightInd w:val="0"/>
              <w:snapToGrid w:val="0"/>
              <w:spacing w:line="360" w:lineRule="exact"/>
              <w:rPr>
                <w:rFonts w:hint="eastAsia"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sz w:val="21"/>
              </w:rPr>
            </w:pPr>
          </w:p>
        </w:tc>
        <w:tc>
          <w:tcPr>
            <w:tcW w:w="1924" w:type="dxa"/>
            <w:noWrap w:val="0"/>
            <w:vAlign w:val="top"/>
          </w:tcPr>
          <w:p>
            <w:pPr>
              <w:adjustRightInd w:val="0"/>
              <w:snapToGrid w:val="0"/>
              <w:spacing w:line="360" w:lineRule="exact"/>
              <w:rPr>
                <w:rFonts w:hint="eastAsia" w:ascii="宋体" w:hAnsi="宋体"/>
                <w:sz w:val="21"/>
              </w:rPr>
            </w:pPr>
          </w:p>
        </w:tc>
        <w:tc>
          <w:tcPr>
            <w:tcW w:w="1236" w:type="dxa"/>
            <w:noWrap w:val="0"/>
            <w:vAlign w:val="top"/>
          </w:tcPr>
          <w:p>
            <w:pPr>
              <w:adjustRightInd w:val="0"/>
              <w:snapToGrid w:val="0"/>
              <w:spacing w:line="360" w:lineRule="exact"/>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2235" w:type="dxa"/>
            <w:noWrap w:val="0"/>
            <w:vAlign w:val="top"/>
          </w:tcPr>
          <w:p>
            <w:pPr>
              <w:adjustRightInd w:val="0"/>
              <w:snapToGrid w:val="0"/>
              <w:spacing w:line="360" w:lineRule="exact"/>
              <w:rPr>
                <w:rFonts w:hint="eastAsia"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sz w:val="21"/>
              </w:rPr>
            </w:pPr>
          </w:p>
        </w:tc>
        <w:tc>
          <w:tcPr>
            <w:tcW w:w="1924" w:type="dxa"/>
            <w:noWrap w:val="0"/>
            <w:vAlign w:val="top"/>
          </w:tcPr>
          <w:p>
            <w:pPr>
              <w:adjustRightInd w:val="0"/>
              <w:snapToGrid w:val="0"/>
              <w:spacing w:line="360" w:lineRule="exact"/>
              <w:rPr>
                <w:rFonts w:hint="eastAsia" w:ascii="宋体" w:hAnsi="宋体"/>
                <w:sz w:val="21"/>
              </w:rPr>
            </w:pPr>
          </w:p>
        </w:tc>
        <w:tc>
          <w:tcPr>
            <w:tcW w:w="1236" w:type="dxa"/>
            <w:noWrap w:val="0"/>
            <w:vAlign w:val="top"/>
          </w:tcPr>
          <w:p>
            <w:pPr>
              <w:adjustRightInd w:val="0"/>
              <w:snapToGrid w:val="0"/>
              <w:spacing w:line="360" w:lineRule="exact"/>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2235" w:type="dxa"/>
            <w:noWrap w:val="0"/>
            <w:vAlign w:val="top"/>
          </w:tcPr>
          <w:p>
            <w:pPr>
              <w:adjustRightInd w:val="0"/>
              <w:snapToGrid w:val="0"/>
              <w:spacing w:line="360" w:lineRule="exact"/>
              <w:rPr>
                <w:rFonts w:hint="eastAsia" w:ascii="宋体" w:hAnsi="宋体"/>
                <w:sz w:val="21"/>
              </w:rPr>
            </w:pPr>
          </w:p>
        </w:tc>
      </w:tr>
    </w:tbl>
    <w:p>
      <w:pPr>
        <w:adjustRightInd w:val="0"/>
        <w:snapToGrid w:val="0"/>
        <w:spacing w:line="460" w:lineRule="exact"/>
        <w:ind w:firstLine="420" w:firstLineChars="200"/>
        <w:rPr>
          <w:rFonts w:hint="eastAsia" w:ascii="宋体" w:hAnsi="宋体"/>
        </w:rPr>
      </w:pPr>
      <w:r>
        <w:rPr>
          <w:rFonts w:hint="eastAsia" w:ascii="宋体" w:hAnsi="宋体"/>
        </w:rPr>
        <w:t>6.2  备品备件、易损件和专用耗材明细表：</w:t>
      </w:r>
    </w:p>
    <w:p>
      <w:pPr>
        <w:adjustRightInd w:val="0"/>
        <w:snapToGrid w:val="0"/>
        <w:spacing w:line="460" w:lineRule="exact"/>
        <w:ind w:firstLine="1890" w:firstLineChars="900"/>
        <w:rPr>
          <w:rFonts w:hint="eastAsia" w:ascii="宋体" w:hAnsi="宋体"/>
        </w:rPr>
      </w:pPr>
      <w:r>
        <w:rPr>
          <w:rFonts w:hint="eastAsia" w:ascii="宋体" w:hAnsi="宋体"/>
        </w:rPr>
        <w:t xml:space="preserve">备品备件、易损件和专用耗材明细表             </w:t>
      </w:r>
      <w:r>
        <w:rPr>
          <w:rFonts w:hint="eastAsia" w:ascii="宋体" w:hAnsi="宋体"/>
          <w:sz w:val="21"/>
        </w:rPr>
        <w:t>单位：元</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sz w:val="21"/>
              </w:rPr>
            </w:pPr>
            <w:r>
              <w:rPr>
                <w:rFonts w:hint="eastAsia" w:ascii="宋体" w:hAnsi="宋体"/>
                <w:sz w:val="21"/>
              </w:rPr>
              <w:t>序号</w:t>
            </w:r>
          </w:p>
        </w:tc>
        <w:tc>
          <w:tcPr>
            <w:tcW w:w="1924" w:type="dxa"/>
            <w:noWrap w:val="0"/>
            <w:vAlign w:val="top"/>
          </w:tcPr>
          <w:p>
            <w:pPr>
              <w:adjustRightInd w:val="0"/>
              <w:snapToGrid w:val="0"/>
              <w:spacing w:line="360" w:lineRule="exact"/>
              <w:jc w:val="center"/>
              <w:rPr>
                <w:rFonts w:hint="eastAsia" w:ascii="宋体" w:hAnsi="宋体"/>
                <w:sz w:val="21"/>
              </w:rPr>
            </w:pPr>
            <w:r>
              <w:rPr>
                <w:rFonts w:hint="eastAsia" w:ascii="宋体" w:hAnsi="宋体"/>
                <w:sz w:val="21"/>
              </w:rPr>
              <w:t>名称</w:t>
            </w:r>
          </w:p>
        </w:tc>
        <w:tc>
          <w:tcPr>
            <w:tcW w:w="1236" w:type="dxa"/>
            <w:noWrap w:val="0"/>
            <w:vAlign w:val="top"/>
          </w:tcPr>
          <w:p>
            <w:pPr>
              <w:adjustRightInd w:val="0"/>
              <w:snapToGrid w:val="0"/>
              <w:spacing w:line="360" w:lineRule="exact"/>
              <w:jc w:val="center"/>
              <w:rPr>
                <w:rFonts w:hint="eastAsia" w:ascii="宋体" w:hAnsi="宋体"/>
                <w:sz w:val="21"/>
              </w:rPr>
            </w:pPr>
            <w:r>
              <w:rPr>
                <w:rFonts w:hint="eastAsia" w:ascii="宋体" w:hAnsi="宋体"/>
                <w:sz w:val="21"/>
              </w:rPr>
              <w:t>型号规格</w:t>
            </w:r>
          </w:p>
        </w:tc>
        <w:tc>
          <w:tcPr>
            <w:tcW w:w="720" w:type="dxa"/>
            <w:noWrap w:val="0"/>
            <w:vAlign w:val="top"/>
          </w:tcPr>
          <w:p>
            <w:pPr>
              <w:adjustRightInd w:val="0"/>
              <w:snapToGrid w:val="0"/>
              <w:spacing w:line="360" w:lineRule="exact"/>
              <w:jc w:val="center"/>
              <w:rPr>
                <w:rFonts w:hint="eastAsia" w:ascii="宋体" w:hAnsi="宋体"/>
                <w:sz w:val="21"/>
              </w:rPr>
            </w:pPr>
            <w:r>
              <w:rPr>
                <w:rFonts w:hint="eastAsia" w:ascii="宋体" w:hAnsi="宋体"/>
                <w:sz w:val="21"/>
              </w:rPr>
              <w:t>单位</w:t>
            </w:r>
          </w:p>
        </w:tc>
        <w:tc>
          <w:tcPr>
            <w:tcW w:w="720" w:type="dxa"/>
            <w:noWrap w:val="0"/>
            <w:vAlign w:val="top"/>
          </w:tcPr>
          <w:p>
            <w:pPr>
              <w:adjustRightInd w:val="0"/>
              <w:snapToGrid w:val="0"/>
              <w:spacing w:line="360" w:lineRule="exact"/>
              <w:jc w:val="center"/>
              <w:rPr>
                <w:rFonts w:hint="eastAsia" w:ascii="宋体" w:hAnsi="宋体"/>
                <w:sz w:val="21"/>
              </w:rPr>
            </w:pPr>
            <w:r>
              <w:rPr>
                <w:rFonts w:hint="eastAsia" w:ascii="宋体" w:hAnsi="宋体"/>
                <w:sz w:val="21"/>
              </w:rPr>
              <w:t>数量</w:t>
            </w:r>
          </w:p>
        </w:tc>
        <w:tc>
          <w:tcPr>
            <w:tcW w:w="720" w:type="dxa"/>
            <w:noWrap w:val="0"/>
            <w:vAlign w:val="top"/>
          </w:tcPr>
          <w:p>
            <w:pPr>
              <w:adjustRightInd w:val="0"/>
              <w:snapToGrid w:val="0"/>
              <w:spacing w:line="360" w:lineRule="exact"/>
              <w:jc w:val="center"/>
              <w:rPr>
                <w:rFonts w:hint="eastAsia" w:ascii="宋体" w:hAnsi="宋体"/>
                <w:sz w:val="21"/>
              </w:rPr>
            </w:pPr>
            <w:r>
              <w:rPr>
                <w:rFonts w:hint="eastAsia" w:ascii="宋体" w:hAnsi="宋体"/>
                <w:sz w:val="21"/>
              </w:rPr>
              <w:t>单价</w:t>
            </w:r>
          </w:p>
        </w:tc>
        <w:tc>
          <w:tcPr>
            <w:tcW w:w="720" w:type="dxa"/>
            <w:noWrap w:val="0"/>
            <w:vAlign w:val="top"/>
          </w:tcPr>
          <w:p>
            <w:pPr>
              <w:adjustRightInd w:val="0"/>
              <w:snapToGrid w:val="0"/>
              <w:spacing w:line="360" w:lineRule="exact"/>
              <w:jc w:val="center"/>
              <w:rPr>
                <w:rFonts w:hint="eastAsia" w:ascii="宋体" w:hAnsi="宋体"/>
                <w:sz w:val="21"/>
              </w:rPr>
            </w:pPr>
            <w:r>
              <w:rPr>
                <w:rFonts w:hint="eastAsia" w:ascii="宋体" w:hAnsi="宋体"/>
                <w:sz w:val="21"/>
              </w:rPr>
              <w:t>总价</w:t>
            </w:r>
          </w:p>
        </w:tc>
        <w:tc>
          <w:tcPr>
            <w:tcW w:w="2235" w:type="dxa"/>
            <w:noWrap w:val="0"/>
            <w:vAlign w:val="top"/>
          </w:tcPr>
          <w:p>
            <w:pPr>
              <w:adjustRightInd w:val="0"/>
              <w:snapToGrid w:val="0"/>
              <w:spacing w:line="360" w:lineRule="exact"/>
              <w:jc w:val="center"/>
              <w:rPr>
                <w:rFonts w:hint="eastAsia" w:ascii="宋体" w:hAnsi="宋体"/>
                <w:sz w:val="21"/>
              </w:rPr>
            </w:pPr>
            <w:r>
              <w:rPr>
                <w:rFonts w:hint="eastAsia" w:ascii="宋体" w:hAnsi="宋体"/>
                <w:sz w:val="21"/>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sz w:val="21"/>
              </w:rPr>
            </w:pPr>
          </w:p>
        </w:tc>
        <w:tc>
          <w:tcPr>
            <w:tcW w:w="1924" w:type="dxa"/>
            <w:noWrap w:val="0"/>
            <w:vAlign w:val="top"/>
          </w:tcPr>
          <w:p>
            <w:pPr>
              <w:adjustRightInd w:val="0"/>
              <w:snapToGrid w:val="0"/>
              <w:spacing w:line="360" w:lineRule="exact"/>
              <w:rPr>
                <w:rFonts w:hint="eastAsia" w:ascii="宋体" w:hAnsi="宋体"/>
                <w:sz w:val="21"/>
              </w:rPr>
            </w:pPr>
          </w:p>
        </w:tc>
        <w:tc>
          <w:tcPr>
            <w:tcW w:w="1236" w:type="dxa"/>
            <w:noWrap w:val="0"/>
            <w:vAlign w:val="top"/>
          </w:tcPr>
          <w:p>
            <w:pPr>
              <w:adjustRightInd w:val="0"/>
              <w:snapToGrid w:val="0"/>
              <w:spacing w:line="360" w:lineRule="exact"/>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2235" w:type="dxa"/>
            <w:noWrap w:val="0"/>
            <w:vAlign w:val="top"/>
          </w:tcPr>
          <w:p>
            <w:pPr>
              <w:adjustRightInd w:val="0"/>
              <w:snapToGrid w:val="0"/>
              <w:spacing w:line="360" w:lineRule="exact"/>
              <w:rPr>
                <w:rFonts w:hint="eastAsia"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sz w:val="21"/>
              </w:rPr>
            </w:pPr>
          </w:p>
        </w:tc>
        <w:tc>
          <w:tcPr>
            <w:tcW w:w="1924" w:type="dxa"/>
            <w:noWrap w:val="0"/>
            <w:vAlign w:val="top"/>
          </w:tcPr>
          <w:p>
            <w:pPr>
              <w:adjustRightInd w:val="0"/>
              <w:snapToGrid w:val="0"/>
              <w:spacing w:line="360" w:lineRule="exact"/>
              <w:rPr>
                <w:rFonts w:hint="eastAsia" w:ascii="宋体" w:hAnsi="宋体"/>
                <w:sz w:val="21"/>
              </w:rPr>
            </w:pPr>
          </w:p>
        </w:tc>
        <w:tc>
          <w:tcPr>
            <w:tcW w:w="1236" w:type="dxa"/>
            <w:noWrap w:val="0"/>
            <w:vAlign w:val="top"/>
          </w:tcPr>
          <w:p>
            <w:pPr>
              <w:adjustRightInd w:val="0"/>
              <w:snapToGrid w:val="0"/>
              <w:spacing w:line="360" w:lineRule="exact"/>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2235" w:type="dxa"/>
            <w:noWrap w:val="0"/>
            <w:vAlign w:val="top"/>
          </w:tcPr>
          <w:p>
            <w:pPr>
              <w:adjustRightInd w:val="0"/>
              <w:snapToGrid w:val="0"/>
              <w:spacing w:line="360" w:lineRule="exact"/>
              <w:rPr>
                <w:rFonts w:hint="eastAsia"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sz w:val="21"/>
              </w:rPr>
            </w:pPr>
          </w:p>
        </w:tc>
        <w:tc>
          <w:tcPr>
            <w:tcW w:w="1924" w:type="dxa"/>
            <w:noWrap w:val="0"/>
            <w:vAlign w:val="top"/>
          </w:tcPr>
          <w:p>
            <w:pPr>
              <w:adjustRightInd w:val="0"/>
              <w:snapToGrid w:val="0"/>
              <w:spacing w:line="360" w:lineRule="exact"/>
              <w:rPr>
                <w:rFonts w:hint="eastAsia" w:ascii="宋体" w:hAnsi="宋体"/>
                <w:sz w:val="21"/>
              </w:rPr>
            </w:pPr>
          </w:p>
        </w:tc>
        <w:tc>
          <w:tcPr>
            <w:tcW w:w="1236" w:type="dxa"/>
            <w:noWrap w:val="0"/>
            <w:vAlign w:val="top"/>
          </w:tcPr>
          <w:p>
            <w:pPr>
              <w:adjustRightInd w:val="0"/>
              <w:snapToGrid w:val="0"/>
              <w:spacing w:line="360" w:lineRule="exact"/>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2235" w:type="dxa"/>
            <w:noWrap w:val="0"/>
            <w:vAlign w:val="top"/>
          </w:tcPr>
          <w:p>
            <w:pPr>
              <w:adjustRightInd w:val="0"/>
              <w:snapToGrid w:val="0"/>
              <w:spacing w:line="360" w:lineRule="exact"/>
              <w:rPr>
                <w:rFonts w:hint="eastAsia"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sz w:val="21"/>
              </w:rPr>
            </w:pPr>
          </w:p>
        </w:tc>
        <w:tc>
          <w:tcPr>
            <w:tcW w:w="1924" w:type="dxa"/>
            <w:noWrap w:val="0"/>
            <w:vAlign w:val="top"/>
          </w:tcPr>
          <w:p>
            <w:pPr>
              <w:adjustRightInd w:val="0"/>
              <w:snapToGrid w:val="0"/>
              <w:spacing w:line="360" w:lineRule="exact"/>
              <w:rPr>
                <w:rFonts w:hint="eastAsia" w:ascii="宋体" w:hAnsi="宋体"/>
                <w:sz w:val="21"/>
              </w:rPr>
            </w:pPr>
          </w:p>
        </w:tc>
        <w:tc>
          <w:tcPr>
            <w:tcW w:w="1236" w:type="dxa"/>
            <w:noWrap w:val="0"/>
            <w:vAlign w:val="top"/>
          </w:tcPr>
          <w:p>
            <w:pPr>
              <w:adjustRightInd w:val="0"/>
              <w:snapToGrid w:val="0"/>
              <w:spacing w:line="360" w:lineRule="exact"/>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2235" w:type="dxa"/>
            <w:noWrap w:val="0"/>
            <w:vAlign w:val="top"/>
          </w:tcPr>
          <w:p>
            <w:pPr>
              <w:adjustRightInd w:val="0"/>
              <w:snapToGrid w:val="0"/>
              <w:spacing w:line="360" w:lineRule="exact"/>
              <w:rPr>
                <w:rFonts w:hint="eastAsia"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sz w:val="21"/>
              </w:rPr>
            </w:pPr>
          </w:p>
        </w:tc>
        <w:tc>
          <w:tcPr>
            <w:tcW w:w="1924" w:type="dxa"/>
            <w:noWrap w:val="0"/>
            <w:vAlign w:val="top"/>
          </w:tcPr>
          <w:p>
            <w:pPr>
              <w:adjustRightInd w:val="0"/>
              <w:snapToGrid w:val="0"/>
              <w:spacing w:line="360" w:lineRule="exact"/>
              <w:rPr>
                <w:rFonts w:hint="eastAsia" w:ascii="宋体" w:hAnsi="宋体"/>
                <w:sz w:val="21"/>
              </w:rPr>
            </w:pPr>
          </w:p>
        </w:tc>
        <w:tc>
          <w:tcPr>
            <w:tcW w:w="1236" w:type="dxa"/>
            <w:noWrap w:val="0"/>
            <w:vAlign w:val="top"/>
          </w:tcPr>
          <w:p>
            <w:pPr>
              <w:adjustRightInd w:val="0"/>
              <w:snapToGrid w:val="0"/>
              <w:spacing w:line="360" w:lineRule="exact"/>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2235" w:type="dxa"/>
            <w:noWrap w:val="0"/>
            <w:vAlign w:val="top"/>
          </w:tcPr>
          <w:p>
            <w:pPr>
              <w:adjustRightInd w:val="0"/>
              <w:snapToGrid w:val="0"/>
              <w:spacing w:line="360" w:lineRule="exact"/>
              <w:rPr>
                <w:rFonts w:hint="eastAsia"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sz w:val="21"/>
              </w:rPr>
            </w:pPr>
          </w:p>
        </w:tc>
        <w:tc>
          <w:tcPr>
            <w:tcW w:w="1924" w:type="dxa"/>
            <w:noWrap w:val="0"/>
            <w:vAlign w:val="top"/>
          </w:tcPr>
          <w:p>
            <w:pPr>
              <w:adjustRightInd w:val="0"/>
              <w:snapToGrid w:val="0"/>
              <w:spacing w:line="360" w:lineRule="exact"/>
              <w:rPr>
                <w:rFonts w:hint="eastAsia" w:ascii="宋体" w:hAnsi="宋体"/>
                <w:sz w:val="21"/>
              </w:rPr>
            </w:pPr>
          </w:p>
        </w:tc>
        <w:tc>
          <w:tcPr>
            <w:tcW w:w="1236" w:type="dxa"/>
            <w:noWrap w:val="0"/>
            <w:vAlign w:val="top"/>
          </w:tcPr>
          <w:p>
            <w:pPr>
              <w:adjustRightInd w:val="0"/>
              <w:snapToGrid w:val="0"/>
              <w:spacing w:line="360" w:lineRule="exact"/>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2235" w:type="dxa"/>
            <w:noWrap w:val="0"/>
            <w:vAlign w:val="top"/>
          </w:tcPr>
          <w:p>
            <w:pPr>
              <w:adjustRightInd w:val="0"/>
              <w:snapToGrid w:val="0"/>
              <w:spacing w:line="360" w:lineRule="exact"/>
              <w:rPr>
                <w:rFonts w:hint="eastAsia" w:ascii="宋体" w:hAnsi="宋体"/>
                <w:sz w:val="21"/>
              </w:rPr>
            </w:pPr>
          </w:p>
        </w:tc>
      </w:tr>
    </w:tbl>
    <w:p>
      <w:pPr>
        <w:adjustRightInd w:val="0"/>
        <w:snapToGrid w:val="0"/>
        <w:spacing w:line="360" w:lineRule="exact"/>
        <w:ind w:firstLine="420" w:firstLineChars="200"/>
        <w:rPr>
          <w:rFonts w:hint="eastAsia" w:ascii="宋体" w:hAnsi="宋体"/>
          <w:sz w:val="21"/>
        </w:rPr>
      </w:pPr>
    </w:p>
    <w:p>
      <w:pPr>
        <w:spacing w:line="480" w:lineRule="exact"/>
        <w:ind w:firstLine="420" w:firstLineChars="200"/>
        <w:rPr>
          <w:rFonts w:hint="eastAsia" w:ascii="宋体" w:hAnsi="宋体"/>
        </w:rPr>
      </w:pPr>
      <w:r>
        <w:rPr>
          <w:rFonts w:hint="eastAsia" w:ascii="宋体" w:hAnsi="宋体"/>
        </w:rPr>
        <w:t>6.3  “一览表”和“明细表”仅作为投标方编制投标技术文件的一般格式。其中序号编写应当便于招标方了解分类或分项货物之间的所属关系，如1、1.1、1.2。</w:t>
      </w:r>
    </w:p>
    <w:p>
      <w:pPr>
        <w:spacing w:line="480" w:lineRule="exact"/>
        <w:ind w:firstLine="420" w:firstLineChars="200"/>
        <w:rPr>
          <w:rFonts w:hint="eastAsia" w:ascii="宋体" w:hAnsi="宋体"/>
        </w:rPr>
      </w:pPr>
      <w:r>
        <w:rPr>
          <w:rFonts w:hint="eastAsia" w:ascii="宋体" w:hAnsi="宋体"/>
        </w:rPr>
        <w:t>6.4  应当尽可能将设备的配置列全、列细，这将有助于投标方胜出。</w:t>
      </w:r>
    </w:p>
    <w:p>
      <w:pPr>
        <w:spacing w:line="480" w:lineRule="exact"/>
        <w:ind w:firstLine="420" w:firstLineChars="200"/>
        <w:rPr>
          <w:rFonts w:hint="eastAsia" w:ascii="宋体" w:hAnsi="宋体"/>
        </w:rPr>
      </w:pPr>
      <w:r>
        <w:rPr>
          <w:rFonts w:hint="eastAsia" w:ascii="宋体" w:hAnsi="宋体"/>
        </w:rPr>
        <w:t>6.5  单价与总价之间、总价与分类小计价之间、分类小计价与合计价之间数据应当齐全而且准确。</w:t>
      </w:r>
    </w:p>
    <w:p>
      <w:pPr>
        <w:spacing w:line="480" w:lineRule="exact"/>
        <w:ind w:firstLine="420" w:firstLineChars="200"/>
        <w:rPr>
          <w:rFonts w:hint="eastAsia" w:ascii="宋体" w:hAnsi="宋体"/>
        </w:rPr>
      </w:pPr>
      <w:r>
        <w:rPr>
          <w:rFonts w:hint="eastAsia" w:ascii="宋体" w:hAnsi="宋体"/>
        </w:rPr>
        <w:t>6.6  本条款表格中的制造商，应当为全称或公认的简称。</w:t>
      </w:r>
    </w:p>
    <w:p>
      <w:pPr>
        <w:spacing w:line="480" w:lineRule="exact"/>
        <w:ind w:firstLine="420" w:firstLineChars="200"/>
      </w:pPr>
      <w:r>
        <w:rPr>
          <w:rFonts w:hint="eastAsia"/>
        </w:rPr>
        <w:t>6.7  设备使用寿命：至少10年</w:t>
      </w:r>
    </w:p>
    <w:p>
      <w:pPr>
        <w:spacing w:line="480" w:lineRule="exact"/>
        <w:ind w:firstLine="420" w:firstLineChars="200"/>
        <w:rPr>
          <w:rFonts w:hint="eastAsia" w:ascii="黑体" w:hAnsi="宋体" w:eastAsia="黑体"/>
        </w:rPr>
      </w:pPr>
      <w:r>
        <w:rPr>
          <w:rFonts w:hint="eastAsia" w:ascii="黑体" w:hAnsi="宋体" w:eastAsia="黑体"/>
        </w:rPr>
        <w:t>二、技术文件中设备报价格式要求</w:t>
      </w:r>
    </w:p>
    <w:p>
      <w:pPr>
        <w:spacing w:line="480" w:lineRule="exact"/>
        <w:ind w:firstLine="420" w:firstLineChars="200"/>
        <w:rPr>
          <w:rFonts w:hint="eastAsia" w:ascii="宋体" w:hAnsi="宋体"/>
        </w:rPr>
      </w:pPr>
      <w:r>
        <w:rPr>
          <w:rFonts w:hint="eastAsia" w:ascii="宋体" w:hAnsi="宋体"/>
        </w:rPr>
        <w:t>1、设备配置一览表合计价以及备品备件、易损件和专用耗材明细表合计价应当在投标总报价内对应重现而且应当数据准确。其中，质保期之内需要的备品备件、易损件和专用耗材，需要在配置一览表内单独分类列出并计入设备配置一览表合计价。</w:t>
      </w:r>
    </w:p>
    <w:p>
      <w:pPr>
        <w:spacing w:line="480" w:lineRule="exact"/>
        <w:ind w:firstLine="420" w:firstLineChars="200"/>
        <w:rPr>
          <w:rFonts w:hint="eastAsia" w:ascii="宋体" w:hAnsi="宋体"/>
        </w:rPr>
      </w:pPr>
      <w:r>
        <w:rPr>
          <w:rFonts w:hint="eastAsia" w:ascii="宋体" w:hAnsi="宋体"/>
        </w:rPr>
        <w:t>2、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pPr>
        <w:spacing w:line="480" w:lineRule="exact"/>
        <w:ind w:firstLine="420" w:firstLineChars="200"/>
        <w:rPr>
          <w:rFonts w:hint="eastAsia" w:ascii="宋体" w:hAnsi="宋体"/>
        </w:rPr>
      </w:pPr>
      <w:r>
        <w:rPr>
          <w:rFonts w:hint="eastAsia" w:ascii="宋体" w:hAnsi="宋体"/>
        </w:rPr>
        <w:t>3、如果投标总报价与其它价格出现错误或不一致，将有可能导致废标。</w:t>
      </w:r>
    </w:p>
    <w:p>
      <w:pPr>
        <w:spacing w:line="480" w:lineRule="exact"/>
        <w:ind w:firstLine="420" w:firstLineChars="200"/>
        <w:rPr>
          <w:rFonts w:hint="eastAsia" w:ascii="宋体" w:hAnsi="宋体"/>
        </w:rPr>
      </w:pPr>
      <w:r>
        <w:rPr>
          <w:rFonts w:hint="eastAsia" w:ascii="宋体" w:hAnsi="宋体"/>
        </w:rPr>
        <w:t>4、投标总报价为自合同签定生效至合同无异议执行完毕涉及的招标方需要支付的全部费用。如投标方认为本招标及投标设备涉及专门的设计，应当列明设计费。</w:t>
      </w:r>
    </w:p>
    <w:p>
      <w:pPr>
        <w:spacing w:line="480" w:lineRule="exact"/>
        <w:ind w:firstLine="420" w:firstLineChars="200"/>
        <w:rPr>
          <w:rFonts w:hint="eastAsia" w:ascii="宋体" w:hAnsi="宋体"/>
        </w:rPr>
      </w:pPr>
      <w:r>
        <w:rPr>
          <w:rFonts w:hint="eastAsia" w:ascii="宋体" w:hAnsi="宋体"/>
        </w:rPr>
        <w:t>5、备品备件、易损件和专用耗材，招标方将可能与投标方按照投标价格另行签署供货合同。</w:t>
      </w:r>
    </w:p>
    <w:p>
      <w:pPr>
        <w:spacing w:line="480" w:lineRule="exact"/>
        <w:ind w:firstLine="420" w:firstLineChars="200"/>
        <w:rPr>
          <w:rFonts w:hint="eastAsia" w:ascii="宋体" w:hAnsi="宋体"/>
        </w:rPr>
      </w:pPr>
      <w:r>
        <w:rPr>
          <w:rFonts w:hint="eastAsia" w:ascii="宋体" w:hAnsi="宋体"/>
        </w:rPr>
        <w:t>6、要求投标总报价、分项报价、明细报价之间应当具有相互间对应关系以及填报分项和明细报价，仅为便于评标而不妨碍投标人以最合适的形式签署合同。</w:t>
      </w:r>
    </w:p>
    <w:p>
      <w:pPr>
        <w:adjustRightInd w:val="0"/>
        <w:snapToGrid w:val="0"/>
        <w:spacing w:line="460" w:lineRule="exact"/>
        <w:ind w:firstLine="420" w:firstLineChars="200"/>
        <w:rPr>
          <w:rFonts w:hint="eastAsia" w:ascii="黑体" w:hAnsi="宋体" w:eastAsia="黑体"/>
        </w:rPr>
      </w:pPr>
      <w:r>
        <w:rPr>
          <w:rFonts w:hint="eastAsia" w:ascii="黑体" w:hAnsi="宋体" w:eastAsia="黑体"/>
        </w:rPr>
        <w:t>三、验收标准及内容要求</w:t>
      </w:r>
    </w:p>
    <w:p>
      <w:pPr>
        <w:adjustRightInd w:val="0"/>
        <w:snapToGrid w:val="0"/>
        <w:spacing w:line="460" w:lineRule="exact"/>
        <w:ind w:firstLine="420" w:firstLineChars="200"/>
        <w:rPr>
          <w:rFonts w:hint="eastAsia" w:ascii="宋体" w:hAnsi="宋体"/>
        </w:rPr>
      </w:pPr>
      <w:r>
        <w:rPr>
          <w:rFonts w:hint="eastAsia" w:ascii="宋体" w:hAnsi="宋体"/>
        </w:rPr>
        <w:t>除招标文件明确的验收标准或内容之外，投标方应当在投标文件中终验收的标准以及规程；在合同签定之前，经投标方和招标方双方洽谈确认并签署，以作为验收标准执行。</w:t>
      </w:r>
    </w:p>
    <w:p>
      <w:pPr>
        <w:pStyle w:val="3"/>
        <w:spacing w:before="120" w:after="120" w:line="480" w:lineRule="exact"/>
        <w:jc w:val="center"/>
        <w:rPr>
          <w:rFonts w:hint="eastAsia" w:ascii="黑体" w:eastAsia="黑体"/>
          <w:b w:val="0"/>
          <w:sz w:val="24"/>
          <w:szCs w:val="24"/>
        </w:rPr>
      </w:pPr>
      <w:r>
        <w:rPr>
          <w:rFonts w:ascii="宋体" w:hAnsi="宋体"/>
        </w:rPr>
        <w:br w:type="page"/>
      </w:r>
      <w:bookmarkStart w:id="138" w:name="_Toc137705875"/>
      <w:bookmarkStart w:id="139" w:name="_Toc5388"/>
      <w:bookmarkStart w:id="140" w:name="_Toc15099"/>
      <w:bookmarkStart w:id="141" w:name="_Toc6037"/>
      <w:bookmarkStart w:id="142" w:name="_Toc31849"/>
      <w:r>
        <w:rPr>
          <w:rFonts w:hint="eastAsia" w:ascii="黑体" w:eastAsia="黑体"/>
          <w:b w:val="0"/>
          <w:sz w:val="24"/>
          <w:szCs w:val="24"/>
        </w:rPr>
        <w:t>第七章  其它要求及说明</w:t>
      </w:r>
      <w:bookmarkEnd w:id="138"/>
      <w:bookmarkEnd w:id="139"/>
      <w:bookmarkEnd w:id="140"/>
      <w:bookmarkEnd w:id="141"/>
      <w:bookmarkEnd w:id="142"/>
    </w:p>
    <w:p>
      <w:pPr>
        <w:spacing w:line="480" w:lineRule="exact"/>
        <w:ind w:firstLine="420" w:firstLineChars="200"/>
        <w:rPr>
          <w:rFonts w:hint="eastAsia" w:ascii="黑体" w:hAnsi="宋体" w:eastAsia="黑体"/>
        </w:rPr>
      </w:pPr>
      <w:r>
        <w:rPr>
          <w:rFonts w:hint="eastAsia" w:ascii="黑体" w:hAnsi="宋体" w:eastAsia="黑体"/>
        </w:rPr>
        <w:t>一、要求</w:t>
      </w:r>
    </w:p>
    <w:p>
      <w:pPr>
        <w:pStyle w:val="25"/>
        <w:rPr>
          <w:rFonts w:hint="eastAsia"/>
        </w:rPr>
      </w:pPr>
      <w:r>
        <w:rPr>
          <w:rFonts w:hint="eastAsia"/>
        </w:rPr>
        <w:t>为保证本技术标书所列采购设备的质量以及先进性、可靠性、经济性和实用性，要求投标方在投标文件中，至少应具备以下资格证明文件或资料：</w:t>
      </w:r>
    </w:p>
    <w:p>
      <w:pPr>
        <w:spacing w:line="520" w:lineRule="exact"/>
        <w:ind w:firstLine="417" w:firstLineChars="199"/>
        <w:rPr>
          <w:rFonts w:hint="eastAsia" w:ascii="宋体" w:hAnsi="宋体"/>
        </w:rPr>
      </w:pPr>
      <w:r>
        <w:rPr>
          <w:rFonts w:hint="eastAsia" w:ascii="宋体" w:hAnsi="宋体"/>
        </w:rPr>
        <w:t>1、投标方应是独立法人或得到法人授权的机构。应当在投标文件中提供法人营业执照（复印件）、税务登记证以及组织机构代码证（国外供应商参考该要求提供有效证明文件），并保证其真实性和有效性。</w:t>
      </w:r>
    </w:p>
    <w:p>
      <w:pPr>
        <w:spacing w:line="520" w:lineRule="exact"/>
        <w:ind w:firstLine="417" w:firstLineChars="199"/>
        <w:rPr>
          <w:rFonts w:hint="eastAsia"/>
        </w:rPr>
      </w:pPr>
      <w:r>
        <w:rPr>
          <w:rFonts w:hint="eastAsia" w:ascii="宋体" w:hAnsi="宋体"/>
        </w:rPr>
        <w:t>2、投标方应当是通过有关资格认证的法人。应当在投标文件中提供有效期内的资格认证证</w:t>
      </w:r>
      <w:r>
        <w:rPr>
          <w:rFonts w:hint="eastAsia"/>
        </w:rPr>
        <w:t>书，如：ISO9001、VDA6.1、QS9000等。</w:t>
      </w:r>
    </w:p>
    <w:p>
      <w:pPr>
        <w:spacing w:line="520" w:lineRule="exact"/>
        <w:ind w:firstLine="417" w:firstLineChars="199"/>
        <w:rPr>
          <w:rFonts w:hint="eastAsia" w:ascii="宋体" w:hAnsi="宋体"/>
        </w:rPr>
      </w:pPr>
      <w:r>
        <w:rPr>
          <w:rFonts w:hint="eastAsia" w:ascii="宋体" w:hAnsi="宋体"/>
        </w:rPr>
        <w:t>3、国产设备应附有采购设备涉及的由“中国质量认证中心”颁发的《中国国家强制性产品认证证书》（CCC证书）。</w:t>
      </w:r>
    </w:p>
    <w:p>
      <w:pPr>
        <w:spacing w:line="520" w:lineRule="exact"/>
        <w:ind w:firstLine="417" w:firstLineChars="199"/>
        <w:rPr>
          <w:rFonts w:hint="eastAsia" w:ascii="宋体" w:hAnsi="宋体"/>
        </w:rPr>
      </w:pPr>
      <w:r>
        <w:rPr>
          <w:rFonts w:hint="eastAsia" w:ascii="宋体" w:hAnsi="宋体"/>
        </w:rPr>
        <w:t>4、应附有其它与投标单位、采购货物有关的荣誉证书或资料。</w:t>
      </w:r>
    </w:p>
    <w:p>
      <w:pPr>
        <w:spacing w:line="520" w:lineRule="exact"/>
        <w:ind w:firstLine="417" w:firstLineChars="199"/>
        <w:rPr>
          <w:rFonts w:hint="eastAsia" w:ascii="宋体" w:hAnsi="宋体"/>
        </w:rPr>
      </w:pPr>
      <w:r>
        <w:rPr>
          <w:rFonts w:hint="eastAsia" w:ascii="宋体" w:hAnsi="宋体"/>
        </w:rPr>
        <w:t>5、必须附有投标货物涉及产品要求的、国家或行业管理规定要求的、或者投标方认为能够体现其投标货物合法性及先进性的最高级别的证明材料（投标货物不涉及的除外）：</w:t>
      </w:r>
    </w:p>
    <w:p>
      <w:pPr>
        <w:spacing w:line="520" w:lineRule="exact"/>
        <w:ind w:firstLine="417" w:firstLineChars="199"/>
        <w:rPr>
          <w:rFonts w:hint="eastAsia" w:ascii="宋体" w:hAnsi="宋体"/>
        </w:rPr>
      </w:pPr>
      <w:r>
        <w:rPr>
          <w:rFonts w:hint="eastAsia" w:ascii="宋体" w:hAnsi="宋体"/>
        </w:rPr>
        <w:t>5.1  国家相关机构颁发的有效期之内所必需的《生产许可证》。</w:t>
      </w:r>
    </w:p>
    <w:p>
      <w:pPr>
        <w:spacing w:line="520" w:lineRule="exact"/>
        <w:ind w:firstLine="417" w:firstLineChars="199"/>
        <w:rPr>
          <w:rFonts w:hint="eastAsia" w:ascii="宋体" w:hAnsi="宋体"/>
        </w:rPr>
      </w:pPr>
      <w:r>
        <w:rPr>
          <w:rFonts w:hint="eastAsia" w:ascii="宋体" w:hAnsi="宋体"/>
        </w:rPr>
        <w:t>5.2  产品（或技术）鉴定报告/证书、专利证书或专利许可证书、新技术成果证书等。</w:t>
      </w:r>
    </w:p>
    <w:p>
      <w:pPr>
        <w:spacing w:line="520" w:lineRule="exact"/>
        <w:ind w:firstLine="417" w:firstLineChars="199"/>
        <w:rPr>
          <w:rFonts w:hint="eastAsia" w:ascii="宋体" w:hAnsi="宋体"/>
        </w:rPr>
      </w:pPr>
      <w:r>
        <w:rPr>
          <w:rFonts w:hint="eastAsia" w:ascii="宋体" w:hAnsi="宋体"/>
        </w:rPr>
        <w:t>5.3  产品相关检验、试验报告，如：型式试验检验报告、安全试验检验报告、电弧效应试验报告、噪声检测报告等</w:t>
      </w:r>
    </w:p>
    <w:p>
      <w:pPr>
        <w:spacing w:line="520" w:lineRule="exact"/>
        <w:ind w:firstLine="417" w:firstLineChars="199"/>
        <w:rPr>
          <w:rFonts w:hint="eastAsia" w:ascii="宋体" w:hAnsi="宋体"/>
        </w:rPr>
      </w:pPr>
      <w:r>
        <w:rPr>
          <w:rFonts w:hint="eastAsia" w:ascii="宋体" w:hAnsi="宋体"/>
        </w:rPr>
        <w:t>5.4  其它能够证明所供设备的质量水平、技术水平、安全性水平、节能性水平、环保性水平等相关的其它证明文件或资料、报告等。</w:t>
      </w:r>
    </w:p>
    <w:p>
      <w:pPr>
        <w:spacing w:line="520" w:lineRule="exact"/>
        <w:ind w:firstLine="417" w:firstLineChars="199"/>
        <w:rPr>
          <w:rFonts w:hint="eastAsia" w:ascii="宋体" w:hAnsi="宋体"/>
        </w:rPr>
      </w:pPr>
      <w:r>
        <w:rPr>
          <w:rFonts w:hint="eastAsia" w:ascii="宋体" w:hAnsi="宋体"/>
        </w:rPr>
        <w:t>5.5  该类报告或证明材料对于投标方胜出乃至中标极为重要！</w:t>
      </w:r>
    </w:p>
    <w:p>
      <w:pPr>
        <w:spacing w:line="520" w:lineRule="exact"/>
        <w:ind w:firstLine="417" w:firstLineChars="199"/>
        <w:rPr>
          <w:rFonts w:hint="eastAsia" w:ascii="宋体" w:hAnsi="宋体"/>
        </w:rPr>
      </w:pPr>
      <w:r>
        <w:rPr>
          <w:rFonts w:hint="eastAsia" w:ascii="宋体" w:hAnsi="宋体"/>
        </w:rPr>
        <w:t>6、必须附有与本采购设备相同或相似技术规格、型号的而且已经正常使用或通过验收的近三年以上的设备的市场销售业绩清单，清单中应具备：招标方单位名称、销售设备的规格型号、数量、（交货）时间、联系人和联系电话（非移动通信号码）等条目内容；投标方应当保证其业绩的真实性，否则将影响投标或中标资格。</w:t>
      </w:r>
    </w:p>
    <w:p>
      <w:pPr>
        <w:spacing w:line="520" w:lineRule="exact"/>
        <w:ind w:firstLine="417" w:firstLineChars="199"/>
        <w:rPr>
          <w:rFonts w:hint="eastAsia" w:ascii="黑体" w:hAnsi="宋体" w:eastAsia="黑体"/>
        </w:rPr>
      </w:pPr>
      <w:r>
        <w:rPr>
          <w:rFonts w:hint="eastAsia" w:ascii="黑体" w:hAnsi="宋体" w:eastAsia="黑体"/>
        </w:rPr>
        <w:t>二、说明</w:t>
      </w:r>
    </w:p>
    <w:p>
      <w:pPr>
        <w:spacing w:line="480" w:lineRule="exact"/>
        <w:ind w:firstLine="420" w:firstLineChars="200"/>
        <w:rPr>
          <w:rFonts w:hint="eastAsia" w:ascii="宋体" w:hAnsi="宋体"/>
        </w:rPr>
      </w:pPr>
      <w:r>
        <w:rPr>
          <w:rFonts w:hint="eastAsia" w:ascii="宋体" w:hAnsi="宋体"/>
        </w:rPr>
        <w:t>1、投标方可以根据自身的技术、经验等优势以及对招标文件和本技术标书的理解，写明对招标方所采购设备的优化方案或建议意见。投标方的这些努力，招标方表示感谢，并将有助于投标方优先胜出。</w:t>
      </w:r>
    </w:p>
    <w:p>
      <w:pPr>
        <w:spacing w:line="480" w:lineRule="exact"/>
        <w:ind w:firstLine="420" w:firstLineChars="200"/>
        <w:rPr>
          <w:rFonts w:hint="eastAsia" w:ascii="宋体" w:hAnsi="宋体"/>
        </w:rPr>
      </w:pPr>
      <w:r>
        <w:rPr>
          <w:rFonts w:hint="eastAsia" w:ascii="宋体" w:hAnsi="宋体"/>
        </w:rPr>
        <w:t>2、即使有建议意见或建议方案，仍应依据招标文件和本技术标书要求，编写符合要求的投标文件。建议方案或建议意见，应以单独篇章或文件，予以说明。</w:t>
      </w:r>
    </w:p>
    <w:p>
      <w:pPr>
        <w:spacing w:line="480" w:lineRule="exact"/>
        <w:ind w:firstLine="420" w:firstLineChars="200"/>
        <w:rPr>
          <w:rFonts w:hint="eastAsia" w:ascii="宋体" w:hAnsi="宋体"/>
        </w:rPr>
      </w:pPr>
      <w:r>
        <w:rPr>
          <w:rFonts w:hint="eastAsia" w:ascii="宋体" w:hAnsi="宋体"/>
        </w:rPr>
        <w:t>3、请投标方仔细阅读“采购货物概况”章节内说明，针对允许分投分中的设备，招标方有权利选择其中优秀设备或服务，作为投标方合同供货范围中的指定选用设备或服务（替代投标方分投而未中标部分）。</w:t>
      </w:r>
    </w:p>
    <w:p>
      <w:pPr>
        <w:spacing w:line="480" w:lineRule="exact"/>
        <w:ind w:firstLine="420" w:firstLineChars="200"/>
        <w:rPr>
          <w:rFonts w:hint="eastAsia" w:ascii="宋体" w:hAnsi="宋体"/>
        </w:rPr>
      </w:pPr>
      <w:r>
        <w:rPr>
          <w:rFonts w:hint="eastAsia" w:ascii="宋体" w:hAnsi="宋体"/>
        </w:rPr>
        <w:t>4、招标文件、投标文件、答疑文件、技术交流文件、技术协议书等，在采购过程全部为有效文件，如有差异，以对招标方最有利的条款为准。</w:t>
      </w:r>
    </w:p>
    <w:p>
      <w:pPr>
        <w:spacing w:line="480" w:lineRule="exact"/>
        <w:ind w:firstLine="420" w:firstLineChars="200"/>
        <w:rPr>
          <w:rFonts w:hint="eastAsia" w:ascii="宋体" w:hAnsi="宋体"/>
        </w:rPr>
      </w:pPr>
      <w:r>
        <w:rPr>
          <w:rFonts w:hint="eastAsia" w:ascii="宋体" w:hAnsi="宋体"/>
        </w:rPr>
        <w:t>5、为避免歧异，本技术标书涉及招投标环节的条款，均将潜在的卖方称为投标方、将买方称为招标方；定标后合同签署环节以及后续的合同执行环节条款，招标方称为买方、投标方中的中标方称为卖方。</w:t>
      </w:r>
    </w:p>
    <w:p>
      <w:pPr>
        <w:spacing w:line="480" w:lineRule="exact"/>
        <w:rPr>
          <w:rFonts w:hint="eastAsia" w:ascii="宋体" w:hAnsi="宋体"/>
        </w:rPr>
      </w:pPr>
    </w:p>
    <w:p/>
    <w:p/>
    <w:p>
      <w:pPr>
        <w:rPr>
          <w:rFonts w:hint="eastAsia" w:ascii="仿宋_GB2312" w:hAnsi="仿宋_GB2312" w:eastAsia="仿宋_GB2312" w:cs="仿宋_GB2312"/>
          <w:sz w:val="44"/>
          <w:highlight w:val="green"/>
        </w:rPr>
        <w:sectPr>
          <w:pgSz w:w="11907" w:h="16840"/>
          <w:pgMar w:top="1304" w:right="1418" w:bottom="1304" w:left="1418" w:header="724" w:footer="851" w:gutter="0"/>
          <w:cols w:space="720" w:num="1"/>
          <w:docGrid w:linePitch="290" w:charSpace="-3931"/>
        </w:sectPr>
      </w:pPr>
    </w:p>
    <w:p>
      <w:pPr>
        <w:rPr>
          <w:rFonts w:hint="eastAsia" w:ascii="仿宋_GB2312" w:hAnsi="仿宋_GB2312" w:eastAsia="仿宋_GB2312" w:cs="仿宋_GB2312"/>
          <w:sz w:val="44"/>
          <w:highlight w:val="green"/>
        </w:rPr>
      </w:pPr>
    </w:p>
    <w:p/>
    <w:p>
      <w:pPr>
        <w:pStyle w:val="2"/>
      </w:pPr>
    </w:p>
    <w:p>
      <w:pPr>
        <w:spacing w:line="360" w:lineRule="auto"/>
        <w:jc w:val="center"/>
        <w:outlineLvl w:val="0"/>
        <w:rPr>
          <w:rFonts w:ascii="宋体" w:hAnsi="Calibri" w:eastAsia="宋体" w:cs="Times New Roman"/>
          <w:b/>
          <w:sz w:val="36"/>
          <w:szCs w:val="36"/>
        </w:rPr>
      </w:pPr>
      <w:bookmarkStart w:id="143"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43"/>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6"/>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pStyle w:val="6"/>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2" w:type="default"/>
          <w:footerReference r:id="rId13"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44" w:name="_Toc20872"/>
      <w:bookmarkStart w:id="145" w:name="_Toc15851"/>
      <w:bookmarkStart w:id="146" w:name="_Toc8509"/>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44"/>
      <w:bookmarkEnd w:id="145"/>
      <w:bookmarkEnd w:id="146"/>
    </w:p>
    <w:p>
      <w:pPr>
        <w:keepNext/>
        <w:keepLines/>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
        <w:rPr>
          <w:rFonts w:ascii="Times New Roman" w:hAnsi="Times New Roman" w:eastAsia="宋体" w:cs="Times New Roman"/>
          <w:b/>
          <w:bCs/>
          <w:color w:val="000000"/>
          <w:sz w:val="24"/>
          <w:szCs w:val="24"/>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6"/>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cs="宋体"/>
                <w:sz w:val="24"/>
                <w:szCs w:val="24"/>
              </w:rPr>
            </w:pPr>
          </w:p>
        </w:tc>
        <w:tc>
          <w:tcPr>
            <w:tcW w:w="645" w:type="dxa"/>
            <w:vAlign w:val="center"/>
          </w:tcPr>
          <w:p>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6"/>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7"/>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3"/>
        <w:gridCol w:w="1657"/>
        <w:gridCol w:w="2420"/>
        <w:gridCol w:w="891"/>
        <w:gridCol w:w="793"/>
        <w:gridCol w:w="2028"/>
        <w:gridCol w:w="1624"/>
        <w:gridCol w:w="2969"/>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7"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77" w:type="pct"/>
            <w:tcBorders>
              <w:righ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7"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2"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77"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cs="宋体"/>
                <w:sz w:val="24"/>
                <w:szCs w:val="24"/>
              </w:rPr>
            </w:pPr>
          </w:p>
        </w:tc>
        <w:tc>
          <w:tcPr>
            <w:tcW w:w="283" w:type="pct"/>
            <w:vAlign w:val="center"/>
          </w:tcPr>
          <w:p>
            <w:pPr>
              <w:widowControl/>
              <w:jc w:val="center"/>
              <w:textAlignment w:val="center"/>
              <w:rPr>
                <w:rFonts w:hint="eastAsia" w:ascii="宋体" w:hAnsi="宋体" w:eastAsia="宋体" w:cs="宋体"/>
                <w:sz w:val="24"/>
                <w:szCs w:val="24"/>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11</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12</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13</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29"/>
        <w:rPr>
          <w:rFonts w:hint="eastAsia"/>
        </w:rPr>
        <w:sectPr>
          <w:footerReference r:id="rId24"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5" w:type="default"/>
          <w:pgSz w:w="16841" w:h="11907"/>
          <w:pgMar w:top="400" w:right="1699" w:bottom="1184" w:left="1481" w:header="0" w:footer="1022" w:gutter="0"/>
          <w:cols w:space="720" w:num="1"/>
        </w:sectPr>
      </w:pPr>
    </w:p>
    <w:p>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6" w:type="default"/>
          <w:pgSz w:w="16841" w:h="11907"/>
          <w:pgMar w:top="400" w:right="1699" w:bottom="1184" w:left="1481" w:header="0" w:footer="1022" w:gutter="0"/>
          <w:cols w:space="720" w:num="1"/>
        </w:sectPr>
      </w:pPr>
    </w:p>
    <w:p>
      <w:pPr>
        <w:pStyle w:val="7"/>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7" w:type="default"/>
          <w:pgSz w:w="16841" w:h="11907"/>
          <w:pgMar w:top="400" w:right="1500" w:bottom="1184" w:left="1480" w:header="0" w:footer="1022" w:gutter="0"/>
          <w:cols w:space="720" w:num="1"/>
        </w:sectPr>
      </w:pPr>
    </w:p>
    <w:p>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
      </w:pPr>
    </w:p>
    <w:p>
      <w:pPr>
        <w:pStyle w:val="2"/>
      </w:pPr>
    </w:p>
    <w:p>
      <w:pPr>
        <w:spacing w:before="140" w:line="220" w:lineRule="auto"/>
        <w:ind w:left="2" w:firstLine="464" w:firstLineChars="200"/>
        <w:rPr>
          <w:rFonts w:hint="eastAsia" w:ascii="宋体" w:hAnsi="宋体" w:eastAsia="宋体" w:cs="宋体"/>
          <w:spacing w:val="-2"/>
          <w:szCs w:val="21"/>
        </w:rPr>
        <w:sectPr>
          <w:footerReference r:id="rId28"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29"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
      </w:pPr>
    </w:p>
    <w:p>
      <w:pPr>
        <w:jc w:val="right"/>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rPr>
      </w:pPr>
      <w:r>
        <w:br w:type="page"/>
      </w:r>
    </w:p>
    <w:p>
      <w:pPr>
        <w:pStyle w:val="29"/>
        <w:rPr>
          <w:rFonts w:hint="eastAsia"/>
        </w:rPr>
        <w:sectPr>
          <w:headerReference r:id="rId31" w:type="first"/>
          <w:footerReference r:id="rId33" w:type="first"/>
          <w:headerReference r:id="rId30" w:type="default"/>
          <w:footerReference r:id="rId32" w:type="default"/>
          <w:pgSz w:w="11906" w:h="16838"/>
          <w:pgMar w:top="1588" w:right="1418" w:bottom="1134" w:left="1418" w:header="851" w:footer="992" w:gutter="0"/>
          <w:cols w:space="720" w:num="1"/>
          <w:titlePg/>
          <w:docGrid w:type="lines" w:linePitch="312" w:charSpace="0"/>
        </w:sectPr>
      </w:pPr>
    </w:p>
    <w:p>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pPr>
        <w:jc w:val="right"/>
        <w:rPr>
          <w:rFonts w:hint="eastAsia" w:asciiTheme="minorEastAsia" w:hAnsiTheme="minorEastAsia" w:cstheme="minorEastAsia"/>
          <w:sz w:val="20"/>
          <w:szCs w:val="20"/>
        </w:rPr>
      </w:pP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9"/>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40"/>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41"/>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2"/>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3"/>
                    <a:stretch>
                      <a:fillRect/>
                    </a:stretch>
                  </pic:blipFill>
                  <pic:spPr>
                    <a:xfrm>
                      <a:off x="0" y="0"/>
                      <a:ext cx="5760085" cy="2810122"/>
                    </a:xfrm>
                    <a:prstGeom prst="rect">
                      <a:avLst/>
                    </a:prstGeom>
                  </pic:spPr>
                </pic:pic>
              </a:graphicData>
            </a:graphic>
          </wp:inline>
        </w:drawing>
      </w:r>
    </w:p>
    <w:p>
      <w:pPr>
        <w:pStyle w:val="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4"/>
                    <a:stretch>
                      <a:fillRect/>
                    </a:stretch>
                  </pic:blipFill>
                  <pic:spPr>
                    <a:xfrm>
                      <a:off x="0" y="0"/>
                      <a:ext cx="5760085" cy="2820042"/>
                    </a:xfrm>
                    <a:prstGeom prst="rect">
                      <a:avLst/>
                    </a:prstGeom>
                  </pic:spPr>
                </pic:pic>
              </a:graphicData>
            </a:graphic>
          </wp:inline>
        </w:drawing>
      </w:r>
    </w:p>
    <w:p>
      <w:pPr>
        <w:pStyle w:val="2"/>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5"/>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6"/>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7"/>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8"/>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49"/>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50"/>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51"/>
                    <a:stretch>
                      <a:fillRect/>
                    </a:stretch>
                  </pic:blipFill>
                  <pic:spPr>
                    <a:xfrm>
                      <a:off x="0" y="0"/>
                      <a:ext cx="5760085" cy="1956600"/>
                    </a:xfrm>
                    <a:prstGeom prst="rect">
                      <a:avLst/>
                    </a:prstGeom>
                  </pic:spPr>
                </pic:pic>
              </a:graphicData>
            </a:graphic>
          </wp:inline>
        </w:drawing>
      </w:r>
    </w:p>
    <w:p>
      <w:pPr>
        <w:pStyle w:val="2"/>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pStyle w:val="2"/>
        <w:outlineLvl w:val="2"/>
      </w:pPr>
      <w:r>
        <w:drawing>
          <wp:inline distT="0" distB="0" distL="114300" distR="114300">
            <wp:extent cx="5749290" cy="2501265"/>
            <wp:effectExtent l="0" t="0" r="381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2"/>
                    <a:stretch>
                      <a:fillRect/>
                    </a:stretch>
                  </pic:blipFill>
                  <pic:spPr>
                    <a:xfrm>
                      <a:off x="0" y="0"/>
                      <a:ext cx="5749290" cy="2501265"/>
                    </a:xfrm>
                    <a:prstGeom prst="rect">
                      <a:avLst/>
                    </a:prstGeom>
                    <a:noFill/>
                    <a:ln>
                      <a:noFill/>
                    </a:ln>
                  </pic:spPr>
                </pic:pic>
              </a:graphicData>
            </a:graphic>
          </wp:inline>
        </w:drawing>
      </w:r>
    </w:p>
    <w:p>
      <w:pPr>
        <w:pStyle w:val="2"/>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3"/>
                    <a:stretch>
                      <a:fillRect/>
                    </a:stretch>
                  </pic:blipFill>
                  <pic:spPr>
                    <a:xfrm>
                      <a:off x="0" y="0"/>
                      <a:ext cx="5746750" cy="3303270"/>
                    </a:xfrm>
                    <a:prstGeom prst="rect">
                      <a:avLst/>
                    </a:prstGeom>
                    <a:noFill/>
                    <a:ln>
                      <a:noFill/>
                    </a:ln>
                  </pic:spPr>
                </pic:pic>
              </a:graphicData>
            </a:graphic>
          </wp:inline>
        </w:drawing>
      </w:r>
    </w:p>
    <w:p>
      <w:pPr>
        <w:pStyle w:val="2"/>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4"/>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5"/>
                    <a:stretch>
                      <a:fillRect/>
                    </a:stretch>
                  </pic:blipFill>
                  <pic:spPr>
                    <a:xfrm>
                      <a:off x="0" y="0"/>
                      <a:ext cx="5742940" cy="2925445"/>
                    </a:xfrm>
                    <a:prstGeom prst="rect">
                      <a:avLst/>
                    </a:prstGeom>
                    <a:noFill/>
                    <a:ln>
                      <a:noFill/>
                    </a:ln>
                  </pic:spPr>
                </pic:pic>
              </a:graphicData>
            </a:graphic>
          </wp:inline>
        </w:drawing>
      </w:r>
    </w:p>
    <w:p/>
    <w:p>
      <w:pPr>
        <w:rPr>
          <w:rFonts w:hint="eastAsia"/>
        </w:rPr>
      </w:pPr>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5" w:type="first"/>
      <w:footerReference r:id="rId37" w:type="first"/>
      <w:headerReference r:id="rId34" w:type="default"/>
      <w:footerReference r:id="rId36"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仿宋">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altName w:val="黑体"/>
    <w:panose1 w:val="02000000000000000000"/>
    <w:charset w:val="86"/>
    <w:family w:val="auto"/>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Microsoft Sans Serif">
    <w:panose1 w:val="020B0604020202020204"/>
    <w:charset w:val="00"/>
    <w:family w:val="auto"/>
    <w:pitch w:val="default"/>
    <w:sig w:usb0="E5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rPr>
    </w:pPr>
  </w:p>
  <w:p>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mc:AlternateContent>
        <mc:Choice Requires="wps">
          <w:drawing>
            <wp:anchor distT="0" distB="0" distL="114300" distR="114300" simplePos="0" relativeHeight="251672576" behindDoc="0" locked="0" layoutInCell="0" allowOverlap="1">
              <wp:simplePos x="0" y="0"/>
              <wp:positionH relativeFrom="margin">
                <wp:align>center</wp:align>
              </wp:positionH>
              <wp:positionV relativeFrom="paragraph">
                <wp:posOffset>635</wp:posOffset>
              </wp:positionV>
              <wp:extent cx="1829435" cy="165100"/>
              <wp:effectExtent l="0" t="0" r="0" b="0"/>
              <wp:wrapNone/>
              <wp:docPr id="11" name="矩形 11"/>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a:effectLst/>
                    </wps:spPr>
                    <wps:txbx>
                      <w:txbxContent>
                        <w:p>
                          <w:pPr>
                            <w:pStyle w:val="171"/>
                            <w:snapToGrid w:val="0"/>
                            <w:jc w:val="center"/>
                            <w:rPr>
                              <w:sz w:val="18"/>
                            </w:rPr>
                          </w:pPr>
                          <w:r>
                            <w:rPr>
                              <w:color w:val="000000"/>
                              <w:szCs w:val="28"/>
                            </w:rPr>
                            <w:fldChar w:fldCharType="begin"/>
                          </w:r>
                          <w:r>
                            <w:rPr>
                              <w:color w:val="000000"/>
                              <w:szCs w:val="28"/>
                            </w:rPr>
                            <w:instrText xml:space="preserve">PAGE</w:instrText>
                          </w:r>
                          <w:r>
                            <w:rPr>
                              <w:color w:val="000000"/>
                              <w:szCs w:val="28"/>
                            </w:rPr>
                            <w:fldChar w:fldCharType="separate"/>
                          </w:r>
                          <w:r>
                            <w:rPr>
                              <w:color w:val="000000"/>
                              <w:szCs w:val="28"/>
                            </w:rPr>
                            <w:t>- 21 -</w:t>
                          </w:r>
                          <w:r>
                            <w:rPr>
                              <w:color w:val="000000"/>
                              <w:szCs w:val="28"/>
                            </w:rPr>
                            <w:fldChar w:fldCharType="end"/>
                          </w:r>
                        </w:p>
                      </w:txbxContent>
                    </wps:txbx>
                    <wps:bodyPr lIns="0" tIns="0" rIns="0" bIns="0">
                      <a:spAutoFit/>
                    </wps:bodyPr>
                  </wps:wsp>
                </a:graphicData>
              </a:graphic>
            </wp:anchor>
          </w:drawing>
        </mc:Choice>
        <mc:Fallback>
          <w:pict>
            <v:rect id="_x0000_s1026" o:spid="_x0000_s1026" o:spt="1" style="position:absolute;left:0pt;margin-top:0.05pt;height:13pt;width:144.05pt;mso-position-horizontal:center;mso-position-horizontal-relative:margin;z-index:251672576;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mCOvtMAAAAEAQAADwAAAAAAAAABACAAAAAiAAAAZHJzL2Rvd25yZXYueG1s&#10;UEsBAhQAFAAAAAgAh07iQOmq8vzEAQAAjAMAAA4AAAAAAAAAAQAgAAAAIgEAAGRycy9lMm9Eb2Mu&#10;eG1sUEsFBgAAAAAGAAYAWQEAAFgFAAAAAA==&#10;">
              <v:fill on="f" focussize="0,0"/>
              <v:stroke on="f" weight="0.5pt"/>
              <v:imagedata o:title=""/>
              <o:lock v:ext="edit" aspectratio="f"/>
              <v:textbox inset="0mm,0mm,0mm,0mm" style="mso-fit-shape-to-text:t;">
                <w:txbxContent>
                  <w:p>
                    <w:pPr>
                      <w:pStyle w:val="171"/>
                      <w:snapToGrid w:val="0"/>
                      <w:jc w:val="center"/>
                      <w:rPr>
                        <w:sz w:val="18"/>
                      </w:rPr>
                    </w:pPr>
                    <w:r>
                      <w:rPr>
                        <w:color w:val="000000"/>
                        <w:szCs w:val="28"/>
                      </w:rPr>
                      <w:fldChar w:fldCharType="begin"/>
                    </w:r>
                    <w:r>
                      <w:rPr>
                        <w:color w:val="000000"/>
                        <w:szCs w:val="28"/>
                      </w:rPr>
                      <w:instrText xml:space="preserve">PAGE</w:instrText>
                    </w:r>
                    <w:r>
                      <w:rPr>
                        <w:color w:val="000000"/>
                        <w:szCs w:val="28"/>
                      </w:rPr>
                      <w:fldChar w:fldCharType="separate"/>
                    </w:r>
                    <w:r>
                      <w:rPr>
                        <w:color w:val="000000"/>
                        <w:szCs w:val="28"/>
                      </w:rPr>
                      <w:t>- 21 -</w:t>
                    </w:r>
                    <w:r>
                      <w:rPr>
                        <w:color w:val="000000"/>
                        <w:szCs w:val="28"/>
                      </w:rP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6FCA9"/>
    <w:multiLevelType w:val="singleLevel"/>
    <w:tmpl w:val="D146FCA9"/>
    <w:lvl w:ilvl="0" w:tentative="0">
      <w:start w:val="4"/>
      <w:numFmt w:val="chineseCounting"/>
      <w:suff w:val="space"/>
      <w:lvlText w:val="第%1部分"/>
      <w:lvlJc w:val="left"/>
      <w:rPr>
        <w:rFonts w:hint="eastAsia"/>
      </w:rPr>
    </w:lvl>
  </w:abstractNum>
  <w:abstractNum w:abstractNumId="1">
    <w:nsid w:val="1DECDA7B"/>
    <w:multiLevelType w:val="singleLevel"/>
    <w:tmpl w:val="1DECDA7B"/>
    <w:lvl w:ilvl="0" w:tentative="0">
      <w:start w:val="3"/>
      <w:numFmt w:val="chineseCounting"/>
      <w:suff w:val="nothing"/>
      <w:lvlText w:val="%1、"/>
      <w:lvlJc w:val="left"/>
      <w:rPr>
        <w:rFonts w:hint="eastAsia"/>
      </w:rPr>
    </w:lvl>
  </w:abstractNum>
  <w:abstractNum w:abstractNumId="2">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37377EEB"/>
    <w:multiLevelType w:val="singleLevel"/>
    <w:tmpl w:val="37377EEB"/>
    <w:lvl w:ilvl="0" w:tentative="0">
      <w:start w:val="1"/>
      <w:numFmt w:val="decimal"/>
      <w:suff w:val="nothing"/>
      <w:lvlText w:val="%1、"/>
      <w:lvlJc w:val="left"/>
    </w:lvl>
  </w:abstractNum>
  <w:abstractNum w:abstractNumId="5">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E8C6948"/>
    <w:multiLevelType w:val="singleLevel"/>
    <w:tmpl w:val="6E8C6948"/>
    <w:lvl w:ilvl="0" w:tentative="0">
      <w:start w:val="1"/>
      <w:numFmt w:val="chineseCounting"/>
      <w:suff w:val="space"/>
      <w:lvlText w:val="第%1部分"/>
      <w:lvlJc w:val="left"/>
      <w:rPr>
        <w:rFonts w:hint="eastAsia"/>
      </w:rPr>
    </w:lvl>
  </w:abstractNum>
  <w:abstractNum w:abstractNumId="7">
    <w:nsid w:val="7A612DE2"/>
    <w:multiLevelType w:val="singleLevel"/>
    <w:tmpl w:val="7A612DE2"/>
    <w:lvl w:ilvl="0" w:tentative="0">
      <w:start w:val="2"/>
      <w:numFmt w:val="decimal"/>
      <w:lvlText w:val="%1."/>
      <w:lvlJc w:val="left"/>
      <w:pPr>
        <w:tabs>
          <w:tab w:val="left" w:pos="312"/>
        </w:tabs>
      </w:pPr>
    </w:lvl>
  </w:abstractNum>
  <w:num w:numId="1">
    <w:abstractNumId w:val="5"/>
  </w:num>
  <w:num w:numId="2">
    <w:abstractNumId w:val="6"/>
  </w:num>
  <w:num w:numId="3">
    <w:abstractNumId w:val="7"/>
  </w:num>
  <w:num w:numId="4">
    <w:abstractNumId w:val="2"/>
  </w:num>
  <w:num w:numId="5">
    <w:abstractNumId w:val="3"/>
  </w:num>
  <w:num w:numId="6">
    <w:abstractNumId w:val="0"/>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8260BF"/>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5337FE"/>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9500FF"/>
    <w:rsid w:val="0FA75561"/>
    <w:rsid w:val="0FB83603"/>
    <w:rsid w:val="0FCA77F1"/>
    <w:rsid w:val="0FCD5DCC"/>
    <w:rsid w:val="0FEF02B3"/>
    <w:rsid w:val="10270545"/>
    <w:rsid w:val="102E461D"/>
    <w:rsid w:val="103819AC"/>
    <w:rsid w:val="104B7348"/>
    <w:rsid w:val="106E6B1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2F795A"/>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83924"/>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0632D1"/>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6F71881"/>
    <w:rsid w:val="270701F0"/>
    <w:rsid w:val="270D0281"/>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514925"/>
    <w:rsid w:val="298E421D"/>
    <w:rsid w:val="299E147F"/>
    <w:rsid w:val="29C32A87"/>
    <w:rsid w:val="29CF070E"/>
    <w:rsid w:val="29CF26DC"/>
    <w:rsid w:val="2A1C5DA0"/>
    <w:rsid w:val="2A200D39"/>
    <w:rsid w:val="2A507EFF"/>
    <w:rsid w:val="2A9248E5"/>
    <w:rsid w:val="2A931BAD"/>
    <w:rsid w:val="2ACB3B45"/>
    <w:rsid w:val="2ADC05A4"/>
    <w:rsid w:val="2B6A6540"/>
    <w:rsid w:val="2B6F0D7F"/>
    <w:rsid w:val="2B797443"/>
    <w:rsid w:val="2B8716BD"/>
    <w:rsid w:val="2B8B76FF"/>
    <w:rsid w:val="2B906D86"/>
    <w:rsid w:val="2BAF763B"/>
    <w:rsid w:val="2BD5034F"/>
    <w:rsid w:val="2C0B6845"/>
    <w:rsid w:val="2C164021"/>
    <w:rsid w:val="2C4E3791"/>
    <w:rsid w:val="2C8A2821"/>
    <w:rsid w:val="2CC04EFA"/>
    <w:rsid w:val="2CF750C7"/>
    <w:rsid w:val="2D025012"/>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7194D"/>
    <w:rsid w:val="30A77875"/>
    <w:rsid w:val="30B631E1"/>
    <w:rsid w:val="311933AA"/>
    <w:rsid w:val="313D57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50B22"/>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41612"/>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AA5B5E"/>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B70D36"/>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2F60E9"/>
    <w:rsid w:val="4B3E6D0C"/>
    <w:rsid w:val="4B8F44A9"/>
    <w:rsid w:val="4B9A1456"/>
    <w:rsid w:val="4BA32C82"/>
    <w:rsid w:val="4BAD1567"/>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31409F"/>
    <w:rsid w:val="4F4437CC"/>
    <w:rsid w:val="4F5C0D3C"/>
    <w:rsid w:val="4F5E670E"/>
    <w:rsid w:val="4F830A4B"/>
    <w:rsid w:val="4F846A83"/>
    <w:rsid w:val="4F9F566B"/>
    <w:rsid w:val="4FE52410"/>
    <w:rsid w:val="50070E2C"/>
    <w:rsid w:val="500E01E6"/>
    <w:rsid w:val="502F619C"/>
    <w:rsid w:val="504B57F2"/>
    <w:rsid w:val="505C5D66"/>
    <w:rsid w:val="50631D77"/>
    <w:rsid w:val="509A4341"/>
    <w:rsid w:val="50B72BFD"/>
    <w:rsid w:val="50C62BC7"/>
    <w:rsid w:val="50F72A66"/>
    <w:rsid w:val="510A39E4"/>
    <w:rsid w:val="5123368C"/>
    <w:rsid w:val="512B012E"/>
    <w:rsid w:val="5130747C"/>
    <w:rsid w:val="513238AD"/>
    <w:rsid w:val="51527191"/>
    <w:rsid w:val="515C765A"/>
    <w:rsid w:val="516610D8"/>
    <w:rsid w:val="51825244"/>
    <w:rsid w:val="51905BB3"/>
    <w:rsid w:val="51946FCB"/>
    <w:rsid w:val="519E7677"/>
    <w:rsid w:val="51A05024"/>
    <w:rsid w:val="51AC60FD"/>
    <w:rsid w:val="51DD796B"/>
    <w:rsid w:val="51DF373B"/>
    <w:rsid w:val="521066B1"/>
    <w:rsid w:val="524C33AF"/>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30CDD"/>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6E37A2"/>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22A5268"/>
    <w:rsid w:val="622C5484"/>
    <w:rsid w:val="623C3E38"/>
    <w:rsid w:val="624049E0"/>
    <w:rsid w:val="625C563D"/>
    <w:rsid w:val="626A1704"/>
    <w:rsid w:val="628C1BC6"/>
    <w:rsid w:val="62AD7E76"/>
    <w:rsid w:val="62B362C8"/>
    <w:rsid w:val="62B97A94"/>
    <w:rsid w:val="62C1330E"/>
    <w:rsid w:val="62FD5F86"/>
    <w:rsid w:val="62FD6475"/>
    <w:rsid w:val="630C5A29"/>
    <w:rsid w:val="630D3DF3"/>
    <w:rsid w:val="6342085E"/>
    <w:rsid w:val="636F415C"/>
    <w:rsid w:val="63754A1B"/>
    <w:rsid w:val="63852ED6"/>
    <w:rsid w:val="63F40F8B"/>
    <w:rsid w:val="640F4C9F"/>
    <w:rsid w:val="64372D3D"/>
    <w:rsid w:val="64785A9C"/>
    <w:rsid w:val="64917820"/>
    <w:rsid w:val="6494516E"/>
    <w:rsid w:val="64AA1CC5"/>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BD2D82"/>
    <w:rsid w:val="6CC60283"/>
    <w:rsid w:val="6CCD388D"/>
    <w:rsid w:val="6CD62D03"/>
    <w:rsid w:val="6CD97FB6"/>
    <w:rsid w:val="6CDA233C"/>
    <w:rsid w:val="6D170809"/>
    <w:rsid w:val="6D4B22B8"/>
    <w:rsid w:val="6D663E0B"/>
    <w:rsid w:val="6D930013"/>
    <w:rsid w:val="6DA828B1"/>
    <w:rsid w:val="6E1374F8"/>
    <w:rsid w:val="6E1A1656"/>
    <w:rsid w:val="6E1C6A73"/>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1F12A1"/>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9265A2"/>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63E5"/>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05147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51"/>
    <w:qFormat/>
    <w:uiPriority w:val="9"/>
    <w:pPr>
      <w:keepNext/>
      <w:keepLines/>
      <w:jc w:val="center"/>
      <w:outlineLvl w:val="0"/>
    </w:pPr>
    <w:rPr>
      <w:b/>
      <w:bCs/>
      <w:kern w:val="44"/>
      <w:sz w:val="36"/>
      <w:szCs w:val="44"/>
    </w:rPr>
  </w:style>
  <w:style w:type="paragraph" w:styleId="5">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8">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9">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10">
    <w:name w:val="heading 7"/>
    <w:basedOn w:val="1"/>
    <w:next w:val="1"/>
    <w:link w:val="150"/>
    <w:unhideWhenUsed/>
    <w:qFormat/>
    <w:uiPriority w:val="9"/>
    <w:pPr>
      <w:keepNext/>
      <w:keepLines/>
      <w:spacing w:before="240" w:after="64" w:line="317" w:lineRule="auto"/>
      <w:outlineLvl w:val="6"/>
    </w:pPr>
    <w:rPr>
      <w:b/>
      <w:sz w:val="24"/>
    </w:rPr>
  </w:style>
  <w:style w:type="paragraph" w:styleId="11">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6"/>
    <w:qFormat/>
    <w:uiPriority w:val="0"/>
    <w:rPr>
      <w:rFonts w:ascii="宋体" w:hAnsi="Courier New"/>
    </w:r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12">
    <w:name w:val="toc 7"/>
    <w:basedOn w:val="1"/>
    <w:next w:val="1"/>
    <w:qFormat/>
    <w:uiPriority w:val="39"/>
    <w:pPr>
      <w:ind w:left="1440"/>
      <w:jc w:val="left"/>
    </w:pPr>
    <w:rPr>
      <w:rFonts w:ascii="Calibri" w:hAnsi="Calibri" w:eastAsia="宋体" w:cs="Times New Roman"/>
      <w:sz w:val="18"/>
      <w:szCs w:val="18"/>
    </w:rPr>
  </w:style>
  <w:style w:type="paragraph" w:styleId="13">
    <w:name w:val="Normal Indent"/>
    <w:basedOn w:val="1"/>
    <w:next w:val="14"/>
    <w:qFormat/>
    <w:uiPriority w:val="0"/>
    <w:pPr>
      <w:ind w:firstLine="420"/>
    </w:pPr>
    <w:rPr>
      <w:rFonts w:ascii="Times New Roman" w:hAnsi="Times New Roman"/>
      <w:kern w:val="0"/>
      <w:sz w:val="20"/>
      <w:szCs w:val="20"/>
    </w:rPr>
  </w:style>
  <w:style w:type="paragraph" w:styleId="14">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5">
    <w:name w:val="caption"/>
    <w:basedOn w:val="1"/>
    <w:next w:val="1"/>
    <w:qFormat/>
    <w:uiPriority w:val="35"/>
    <w:pPr>
      <w:spacing w:before="152" w:after="160"/>
    </w:pPr>
    <w:rPr>
      <w:rFonts w:ascii="Arial" w:hAnsi="Arial" w:eastAsia="黑体" w:cs="Arial"/>
      <w:sz w:val="20"/>
      <w:szCs w:val="20"/>
    </w:rPr>
  </w:style>
  <w:style w:type="paragraph" w:styleId="16">
    <w:name w:val="Document Map"/>
    <w:basedOn w:val="1"/>
    <w:link w:val="74"/>
    <w:qFormat/>
    <w:uiPriority w:val="0"/>
    <w:pPr>
      <w:shd w:val="clear" w:color="auto" w:fill="000080"/>
    </w:pPr>
    <w:rPr>
      <w:sz w:val="24"/>
    </w:rPr>
  </w:style>
  <w:style w:type="paragraph" w:styleId="17">
    <w:name w:val="toa heading"/>
    <w:basedOn w:val="1"/>
    <w:next w:val="1"/>
    <w:qFormat/>
    <w:uiPriority w:val="99"/>
    <w:pPr>
      <w:spacing w:before="120"/>
    </w:pPr>
    <w:rPr>
      <w:rFonts w:ascii="Arial" w:hAnsi="Arial" w:eastAsia="宋体" w:cs="Arial"/>
      <w:sz w:val="24"/>
      <w:szCs w:val="24"/>
    </w:rPr>
  </w:style>
  <w:style w:type="paragraph" w:styleId="18">
    <w:name w:val="annotation text"/>
    <w:basedOn w:val="1"/>
    <w:link w:val="65"/>
    <w:qFormat/>
    <w:uiPriority w:val="0"/>
    <w:pPr>
      <w:jc w:val="left"/>
    </w:pPr>
  </w:style>
  <w:style w:type="paragraph" w:styleId="19">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20">
    <w:name w:val="Body Text Indent"/>
    <w:basedOn w:val="1"/>
    <w:link w:val="83"/>
    <w:qFormat/>
    <w:uiPriority w:val="99"/>
    <w:pPr>
      <w:spacing w:after="120"/>
      <w:ind w:left="420" w:leftChars="200"/>
    </w:pPr>
    <w:rPr>
      <w:rFonts w:ascii="Calibri" w:hAnsi="Calibri" w:eastAsia="宋体" w:cs="Times New Roman"/>
      <w:szCs w:val="20"/>
    </w:rPr>
  </w:style>
  <w:style w:type="paragraph" w:styleId="21">
    <w:name w:val="index 4"/>
    <w:basedOn w:val="1"/>
    <w:next w:val="1"/>
    <w:qFormat/>
    <w:uiPriority w:val="0"/>
    <w:pPr>
      <w:ind w:left="600" w:leftChars="600"/>
    </w:pPr>
  </w:style>
  <w:style w:type="paragraph" w:styleId="22">
    <w:name w:val="toc 5"/>
    <w:basedOn w:val="1"/>
    <w:next w:val="1"/>
    <w:qFormat/>
    <w:uiPriority w:val="39"/>
    <w:pPr>
      <w:ind w:left="960"/>
      <w:jc w:val="left"/>
    </w:pPr>
    <w:rPr>
      <w:rFonts w:ascii="Calibri" w:hAnsi="Calibri" w:eastAsia="宋体" w:cs="Times New Roman"/>
      <w:sz w:val="18"/>
      <w:szCs w:val="18"/>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8"/>
    <w:next w:val="18"/>
    <w:link w:val="56"/>
    <w:qFormat/>
    <w:uiPriority w:val="0"/>
    <w:rPr>
      <w:b/>
    </w:rPr>
  </w:style>
  <w:style w:type="paragraph" w:styleId="40">
    <w:name w:val="Body Text First Indent 2"/>
    <w:basedOn w:val="20"/>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3"/>
    <w:qFormat/>
    <w:uiPriority w:val="9"/>
    <w:rPr>
      <w:rFonts w:ascii="Calibri" w:hAnsi="Calibri" w:eastAsia="宋体" w:cs="Times New Roman"/>
      <w:b/>
      <w:bCs/>
      <w:kern w:val="44"/>
      <w:sz w:val="36"/>
      <w:szCs w:val="44"/>
    </w:rPr>
  </w:style>
  <w:style w:type="character" w:customStyle="1" w:styleId="52">
    <w:name w:val="标题 2 字符"/>
    <w:basedOn w:val="43"/>
    <w:link w:val="5"/>
    <w:qFormat/>
    <w:uiPriority w:val="9"/>
    <w:rPr>
      <w:rFonts w:ascii="Arial" w:hAnsi="Arial" w:eastAsia="宋体" w:cs="Times New Roman"/>
      <w:b/>
      <w:bCs/>
      <w:sz w:val="24"/>
      <w:szCs w:val="32"/>
    </w:rPr>
  </w:style>
  <w:style w:type="character" w:customStyle="1" w:styleId="53">
    <w:name w:val="标题 3 字符"/>
    <w:basedOn w:val="43"/>
    <w:link w:val="6"/>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8"/>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6"/>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20"/>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4"/>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5"/>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6"/>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3"/>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9"/>
    <w:qFormat/>
    <w:uiPriority w:val="9"/>
    <w:rPr>
      <w:rFonts w:ascii="Arial" w:hAnsi="Arial" w:eastAsia="黑体" w:cstheme="minorBidi"/>
      <w:b/>
      <w:kern w:val="2"/>
      <w:sz w:val="24"/>
      <w:szCs w:val="22"/>
    </w:rPr>
  </w:style>
  <w:style w:type="character" w:customStyle="1" w:styleId="150">
    <w:name w:val="标题 7 字符"/>
    <w:basedOn w:val="43"/>
    <w:link w:val="10"/>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11"/>
    <w:semiHidden/>
    <w:qFormat/>
    <w:uiPriority w:val="9"/>
    <w:rPr>
      <w:rFonts w:ascii="Arial" w:hAnsi="Arial" w:eastAsia="黑体" w:cstheme="minorBidi"/>
      <w:kern w:val="2"/>
      <w:sz w:val="21"/>
      <w:szCs w:val="22"/>
    </w:rPr>
  </w:style>
  <w:style w:type="paragraph" w:customStyle="1" w:styleId="152">
    <w:name w:val="_Style 4"/>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7"/>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 w:type="paragraph" w:customStyle="1" w:styleId="171">
    <w:name w:val="框架内容"/>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18.png"/><Relationship Id="rId54" Type="http://schemas.openxmlformats.org/officeDocument/2006/relationships/image" Target="media/image17.png"/><Relationship Id="rId53" Type="http://schemas.openxmlformats.org/officeDocument/2006/relationships/image" Target="media/image16.png"/><Relationship Id="rId52" Type="http://schemas.openxmlformats.org/officeDocument/2006/relationships/image" Target="media/image15.png"/><Relationship Id="rId51" Type="http://schemas.openxmlformats.org/officeDocument/2006/relationships/image" Target="media/image14.png"/><Relationship Id="rId50" Type="http://schemas.openxmlformats.org/officeDocument/2006/relationships/image" Target="media/image13.png"/><Relationship Id="rId5" Type="http://schemas.openxmlformats.org/officeDocument/2006/relationships/footer" Target="footer2.xml"/><Relationship Id="rId49" Type="http://schemas.openxmlformats.org/officeDocument/2006/relationships/image" Target="media/image12.png"/><Relationship Id="rId48" Type="http://schemas.openxmlformats.org/officeDocument/2006/relationships/image" Target="media/image11.png"/><Relationship Id="rId47" Type="http://schemas.openxmlformats.org/officeDocument/2006/relationships/image" Target="media/image10.png"/><Relationship Id="rId46" Type="http://schemas.openxmlformats.org/officeDocument/2006/relationships/image" Target="media/image9.png"/><Relationship Id="rId45" Type="http://schemas.openxmlformats.org/officeDocument/2006/relationships/image" Target="media/image8.png"/><Relationship Id="rId44" Type="http://schemas.openxmlformats.org/officeDocument/2006/relationships/image" Target="media/image7.png"/><Relationship Id="rId43" Type="http://schemas.openxmlformats.org/officeDocument/2006/relationships/image" Target="media/image6.png"/><Relationship Id="rId42" Type="http://schemas.openxmlformats.org/officeDocument/2006/relationships/image" Target="media/image5.png"/><Relationship Id="rId41" Type="http://schemas.openxmlformats.org/officeDocument/2006/relationships/image" Target="media/image4.png"/><Relationship Id="rId40" Type="http://schemas.openxmlformats.org/officeDocument/2006/relationships/image" Target="media/image3.png"/><Relationship Id="rId4" Type="http://schemas.openxmlformats.org/officeDocument/2006/relationships/footer" Target="footer1.xml"/><Relationship Id="rId39" Type="http://schemas.openxmlformats.org/officeDocument/2006/relationships/image" Target="media/image2.png"/><Relationship Id="rId38" Type="http://schemas.openxmlformats.org/officeDocument/2006/relationships/theme" Target="theme/theme1.xml"/><Relationship Id="rId37" Type="http://schemas.openxmlformats.org/officeDocument/2006/relationships/footer" Target="footer26.xml"/><Relationship Id="rId36" Type="http://schemas.openxmlformats.org/officeDocument/2006/relationships/footer" Target="footer25.xml"/><Relationship Id="rId35" Type="http://schemas.openxmlformats.org/officeDocument/2006/relationships/header" Target="header9.xml"/><Relationship Id="rId34" Type="http://schemas.openxmlformats.org/officeDocument/2006/relationships/header" Target="header8.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header" Target="header7.xml"/><Relationship Id="rId30" Type="http://schemas.openxmlformats.org/officeDocument/2006/relationships/header" Target="header6.xml"/><Relationship Id="rId3" Type="http://schemas.openxmlformats.org/officeDocument/2006/relationships/header" Target="head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82</Pages>
  <Words>9726</Words>
  <Characters>10320</Characters>
  <Lines>371</Lines>
  <Paragraphs>104</Paragraphs>
  <TotalTime>0</TotalTime>
  <ScaleCrop>false</ScaleCrop>
  <LinksUpToDate>false</LinksUpToDate>
  <CharactersWithSpaces>10509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2025-12-15T01:25:51Z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eyJoZGlkIjoiZTZkNDE3ZGE4Mjk4YmFlZDAwMWNlODJlYzdjMzk3YmQiLCJ1c2VySWQiOiI4MjIwMDM3MTEifQ==</vt:lpwstr>
  </property>
</Properties>
</file>