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中国重汽集团大同齿轮有限公司2026年度东风柳汽仓储服务项目（二次公告）</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FSCZB2025120084</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hint="eastAsia" w:ascii="宋体" w:hAnsi="Calibri" w:eastAsia="宋体" w:cs="Times New Roman"/>
          <w:b/>
          <w:bCs/>
          <w:color w:val="000000"/>
          <w:sz w:val="28"/>
          <w:szCs w:val="28"/>
          <w:lang w:eastAsia="zh-CN"/>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w:t>
      </w:r>
      <w:r>
        <w:rPr>
          <w:rFonts w:hint="eastAsia" w:ascii="宋体" w:hAnsi="宋体" w:cs="Times New Roman"/>
          <w:b/>
          <w:bCs/>
          <w:color w:val="000000"/>
          <w:sz w:val="28"/>
          <w:szCs w:val="28"/>
          <w:highlight w:val="none"/>
          <w:lang w:eastAsia="zh-CN"/>
        </w:rPr>
        <w:t>大同齿轮有限公司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12</w:t>
      </w:r>
      <w:r>
        <w:rPr>
          <w:rFonts w:hint="eastAsia" w:ascii="宋体" w:hAnsi="宋体"/>
          <w:b/>
          <w:bCs/>
          <w:sz w:val="28"/>
          <w:szCs w:val="28"/>
          <w:u w:val="single"/>
        </w:rPr>
        <w:t>月</w:t>
      </w:r>
    </w:p>
    <w:p w14:paraId="582BF911">
      <w:pPr>
        <w:pStyle w:val="16"/>
        <w:tabs>
          <w:tab w:val="left" w:pos="2940"/>
        </w:tabs>
        <w:spacing w:line="360" w:lineRule="auto"/>
      </w:pPr>
      <w:r>
        <w:tab/>
      </w:r>
    </w:p>
    <w:p w14:paraId="29FEE1FC">
      <w:pPr>
        <w:pStyle w:val="16"/>
        <w:spacing w:line="360" w:lineRule="auto"/>
        <w:jc w:val="center"/>
      </w:pPr>
    </w:p>
    <w:p w14:paraId="4D829B7B">
      <w:pPr>
        <w:pStyle w:val="16"/>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rPr>
          <w:rFonts w:hint="default" w:eastAsia="黑体"/>
          <w:lang w:val="en-US" w:eastAsia="zh-CN"/>
        </w:rPr>
      </w:pPr>
      <w:bookmarkStart w:id="0" w:name="_Toc7104"/>
      <w:bookmarkStart w:id="1" w:name="_Toc47976587"/>
      <w:r>
        <w:rPr>
          <w:rFonts w:hint="eastAsia"/>
        </w:rPr>
        <w:t>招标公告</w:t>
      </w:r>
      <w:bookmarkEnd w:id="0"/>
      <w:bookmarkEnd w:id="1"/>
      <w:r>
        <w:rPr>
          <w:rFonts w:hint="eastAsia"/>
          <w:lang w:eastAsia="zh-CN"/>
        </w:rPr>
        <w:t>（</w:t>
      </w:r>
      <w:r>
        <w:rPr>
          <w:rFonts w:hint="eastAsia"/>
          <w:lang w:val="en-US" w:eastAsia="zh-CN"/>
        </w:rPr>
        <w:t>二次公告）</w:t>
      </w:r>
    </w:p>
    <w:p w14:paraId="22C6BEDA">
      <w:pPr>
        <w:pStyle w:val="72"/>
        <w:rPr>
          <w:rFonts w:hint="eastAsia"/>
          <w:highlight w:val="cyan"/>
          <w:u w:val="single"/>
          <w:lang w:val="en-US" w:eastAsia="zh-CN"/>
        </w:rPr>
      </w:pPr>
      <w:bookmarkStart w:id="2" w:name="_Toc32474"/>
      <w:r>
        <w:rPr>
          <w:rFonts w:hint="eastAsia"/>
          <w:sz w:val="28"/>
          <w:lang w:val="en-US" w:eastAsia="zh-CN"/>
        </w:rPr>
        <w:t>中国重汽集团</w:t>
      </w:r>
      <w:r>
        <w:rPr>
          <w:rFonts w:hint="eastAsia"/>
          <w:sz w:val="28"/>
          <w:lang w:eastAsia="zh-CN"/>
        </w:rPr>
        <w:t>2026年度东风柳汽仓储服务项目</w:t>
      </w:r>
      <w:r>
        <w:rPr>
          <w:rFonts w:hint="eastAsia"/>
          <w:sz w:val="28"/>
        </w:rPr>
        <w:t>公告</w:t>
      </w:r>
      <w:bookmarkEnd w:id="2"/>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w:t>
      </w:r>
      <w:r>
        <w:rPr>
          <w:rFonts w:hint="eastAsia"/>
          <w:lang w:val="en-US" w:eastAsia="zh-CN"/>
        </w:rPr>
        <w:t>2026年度东风柳汽仓储服务项目</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FSCZB2025120084</w:t>
      </w:r>
    </w:p>
    <w:p w14:paraId="09C2DB2D">
      <w:pPr>
        <w:pStyle w:val="77"/>
        <w:numPr>
          <w:ilvl w:val="0"/>
          <w:numId w:val="10"/>
        </w:numPr>
        <w:ind w:left="425" w:leftChars="0" w:hanging="425" w:firstLineChars="0"/>
        <w:rPr>
          <w:rFonts w:hint="eastAsia" w:cs="Times New Roman"/>
          <w:highlight w:val="none"/>
          <w:lang w:val="en-US" w:eastAsia="zh-CN"/>
        </w:rPr>
      </w:pPr>
      <w:r>
        <w:rPr>
          <w:rFonts w:hint="eastAsia"/>
          <w:b/>
          <w:bCs/>
        </w:rPr>
        <w:t>招标形式</w:t>
      </w:r>
      <w:r>
        <w:rPr>
          <w:rFonts w:hint="eastAsia"/>
        </w:rPr>
        <w:t>：</w:t>
      </w:r>
      <w:bookmarkStart w:id="4" w:name="_Toc47112482"/>
      <w:r>
        <w:rPr>
          <w:rFonts w:hint="eastAsia"/>
          <w:lang w:val="en-US" w:eastAsia="zh-CN"/>
        </w:rPr>
        <w:t>公开招标</w:t>
      </w:r>
    </w:p>
    <w:p w14:paraId="218D8651">
      <w:pPr>
        <w:pStyle w:val="77"/>
        <w:numPr>
          <w:ilvl w:val="0"/>
          <w:numId w:val="10"/>
        </w:numPr>
        <w:ind w:left="425" w:leftChars="0" w:hanging="425" w:firstLineChars="0"/>
        <w:rPr>
          <w:rFonts w:hint="eastAsia" w:cs="Times New Roman"/>
          <w:highlight w:val="none"/>
          <w:lang w:val="en-US" w:eastAsia="zh-CN"/>
        </w:rPr>
      </w:pPr>
      <w:r>
        <w:rPr>
          <w:rFonts w:hint="eastAsia"/>
          <w:b/>
          <w:bCs/>
          <w:lang w:val="en-US" w:eastAsia="zh-CN"/>
        </w:rPr>
        <w:t>项目概况</w:t>
      </w:r>
      <w:r>
        <w:rPr>
          <w:rFonts w:hint="eastAsia"/>
          <w:lang w:val="en-US" w:eastAsia="zh-CN"/>
        </w:rPr>
        <w:t>：东风柳州汽车有限公司供货的仓储服务，主要服务于东风柳州汽车有限公司内柳州地区各主机厂变速箱总成订单上线前产品的暂存保管、按主机厂要求更换包装并配送至指定地点、保管装卸工位器具、配件的临时接收暂存等工作。</w:t>
      </w:r>
      <w:r>
        <w:rPr>
          <w:rFonts w:hint="eastAsia"/>
          <w:b/>
          <w:bCs/>
          <w:lang w:val="en-US" w:eastAsia="zh-CN"/>
        </w:rPr>
        <w:t>预计数量为300。</w:t>
      </w:r>
    </w:p>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招标人名称：中国重汽集团</w:t>
      </w:r>
      <w:r>
        <w:rPr>
          <w:rFonts w:hint="eastAsia" w:ascii="宋体" w:hAnsi="Courier New" w:cs="Times New Roman"/>
          <w:kern w:val="2"/>
          <w:sz w:val="21"/>
          <w:lang w:val="en-US" w:eastAsia="zh-CN" w:bidi="ar-SA"/>
        </w:rPr>
        <w:t>大同齿轮有限公司</w:t>
      </w:r>
      <w:r>
        <w:rPr>
          <w:rFonts w:hint="eastAsia" w:ascii="宋体" w:hAnsi="Courier New" w:eastAsia="宋体" w:cs="Times New Roman"/>
          <w:kern w:val="2"/>
          <w:sz w:val="21"/>
          <w:lang w:val="en-US" w:eastAsia="zh-CN" w:bidi="ar-SA"/>
        </w:rPr>
        <w:t xml:space="preserve"> </w:t>
      </w:r>
    </w:p>
    <w:p w14:paraId="278FDC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5EAFB4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116749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cs="Times New Roman"/>
          <w:kern w:val="2"/>
          <w:sz w:val="21"/>
          <w:lang w:val="en-US" w:eastAsia="zh-CN" w:bidi="ar-SA"/>
        </w:rPr>
      </w:pPr>
      <w:r>
        <w:rPr>
          <w:rFonts w:hint="eastAsia" w:ascii="宋体" w:hAnsi="Courier New" w:eastAsia="宋体" w:cs="Times New Roman"/>
          <w:kern w:val="2"/>
          <w:sz w:val="21"/>
          <w:highlight w:val="none"/>
          <w:lang w:val="en-US" w:eastAsia="zh-CN" w:bidi="ar-SA"/>
        </w:rPr>
        <w:t>技</w:t>
      </w:r>
      <w:r>
        <w:rPr>
          <w:rFonts w:hint="eastAsia" w:ascii="宋体" w:hAnsi="Courier New" w:cs="Times New Roman"/>
          <w:kern w:val="2"/>
          <w:sz w:val="21"/>
          <w:lang w:val="en-US" w:eastAsia="zh-CN" w:bidi="ar-SA"/>
        </w:rPr>
        <w:t>术联系人：杨守财</w:t>
      </w:r>
    </w:p>
    <w:p w14:paraId="2B9448E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电话：18735397025</w:t>
      </w:r>
    </w:p>
    <w:p w14:paraId="1E99A30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项目联系人：李春霞</w:t>
      </w:r>
    </w:p>
    <w:p w14:paraId="701897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cs="Times New Roman"/>
          <w:kern w:val="2"/>
          <w:sz w:val="21"/>
          <w:lang w:val="en-US" w:eastAsia="zh-CN" w:bidi="ar-SA"/>
        </w:rPr>
      </w:pPr>
      <w:r>
        <w:rPr>
          <w:rFonts w:hint="eastAsia" w:ascii="宋体" w:hAnsi="Courier New" w:cs="Times New Roman"/>
          <w:kern w:val="2"/>
          <w:sz w:val="21"/>
          <w:lang w:val="en-US" w:eastAsia="zh-CN" w:bidi="ar-SA"/>
        </w:rPr>
        <w:t>电话：13754929867</w:t>
      </w:r>
    </w:p>
    <w:bookmarkEnd w:id="4"/>
    <w:p w14:paraId="50DC6C75">
      <w:pPr>
        <w:pStyle w:val="73"/>
      </w:pPr>
      <w:bookmarkStart w:id="5" w:name="_Toc47976598"/>
      <w:r>
        <w:rPr>
          <w:rFonts w:hint="eastAsia"/>
        </w:rPr>
        <w:t>投标人</w:t>
      </w:r>
      <w:bookmarkEnd w:id="5"/>
      <w:r>
        <w:rPr>
          <w:rFonts w:hint="eastAsia"/>
          <w:lang w:val="en-US" w:eastAsia="zh-CN"/>
        </w:rPr>
        <w:t>资质要求：</w:t>
      </w:r>
    </w:p>
    <w:p w14:paraId="3C8DE851">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cs="Times New Roman"/>
          <w:b w:val="0"/>
          <w:bCs/>
          <w:strike w:val="0"/>
          <w:dstrike w:val="0"/>
          <w:highlight w:val="none"/>
          <w:u w:val="single"/>
          <w:lang w:val="en-US" w:eastAsia="zh-CN"/>
        </w:rPr>
        <w:t>10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4"/>
        <w:keepNext w:val="0"/>
        <w:keepLines w:val="0"/>
        <w:pageBreakBefore w:val="0"/>
        <w:widowControl w:val="0"/>
        <w:numPr>
          <w:ilvl w:val="0"/>
          <w:numId w:val="11"/>
        </w:numPr>
        <w:kinsoku/>
        <w:wordWrap/>
        <w:overflowPunct/>
        <w:topLinePunct w:val="0"/>
        <w:autoSpaceDE/>
        <w:autoSpaceDN/>
        <w:bidi w:val="0"/>
        <w:adjustRightInd/>
        <w:snapToGrid/>
        <w:ind w:left="0" w:firstLine="420" w:firstLineChars="200"/>
        <w:textAlignment w:val="auto"/>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4"/>
        <w:keepNext w:val="0"/>
        <w:keepLines w:val="0"/>
        <w:pageBreakBefore w:val="0"/>
        <w:widowControl w:val="0"/>
        <w:numPr>
          <w:ilvl w:val="0"/>
          <w:numId w:val="11"/>
        </w:numPr>
        <w:kinsoku/>
        <w:wordWrap/>
        <w:overflowPunct/>
        <w:topLinePunct w:val="0"/>
        <w:autoSpaceDE/>
        <w:autoSpaceDN/>
        <w:bidi w:val="0"/>
        <w:adjustRightInd/>
        <w:snapToGrid/>
        <w:ind w:left="0" w:firstLine="420" w:firstLineChars="200"/>
        <w:textAlignment w:val="auto"/>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67055C8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宋体"/>
          <w:b w:val="0"/>
          <w:bCs/>
          <w:lang w:val="en-US" w:eastAsia="zh-CN"/>
        </w:rPr>
      </w:pPr>
      <w:r>
        <w:rPr>
          <w:rFonts w:hint="eastAsia"/>
          <w:b w:val="0"/>
          <w:bCs/>
          <w:strike w:val="0"/>
          <w:dstrike w:val="0"/>
          <w:highlight w:val="none"/>
          <w:lang w:val="en-US" w:eastAsia="zh-CN"/>
        </w:rPr>
        <w:t>投标人</w:t>
      </w:r>
      <w:r>
        <w:rPr>
          <w:rFonts w:hint="eastAsia"/>
          <w:b w:val="0"/>
          <w:bCs/>
          <w:strike w:val="0"/>
          <w:dstrike w:val="0"/>
          <w:highlight w:val="none"/>
        </w:rPr>
        <w:t>是招标</w:t>
      </w:r>
      <w:r>
        <w:rPr>
          <w:rFonts w:hint="eastAsia"/>
          <w:b w:val="0"/>
          <w:bCs/>
          <w:strike w:val="0"/>
          <w:dstrike w:val="0"/>
          <w:highlight w:val="none"/>
          <w:lang w:val="en-US" w:eastAsia="zh-CN"/>
        </w:rPr>
        <w:t>服务</w:t>
      </w:r>
      <w:r>
        <w:rPr>
          <w:rFonts w:hint="eastAsia"/>
          <w:b w:val="0"/>
          <w:bCs/>
          <w:strike w:val="0"/>
          <w:dstrike w:val="0"/>
          <w:highlight w:val="none"/>
        </w:rPr>
        <w:t>的</w:t>
      </w:r>
      <w:r>
        <w:rPr>
          <w:rFonts w:hint="eastAsia"/>
          <w:b w:val="0"/>
          <w:bCs/>
          <w:strike w:val="0"/>
          <w:dstrike w:val="0"/>
          <w:highlight w:val="none"/>
          <w:lang w:val="en-US" w:eastAsia="zh-CN"/>
        </w:rPr>
        <w:t>直接提供者，不接受代理投标。</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yellow"/>
          <w:lang w:val="en-US" w:eastAsia="zh-CN"/>
        </w:rPr>
        <w:t>2025年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9</w:t>
      </w:r>
      <w:r>
        <w:rPr>
          <w:rFonts w:hint="eastAsia" w:ascii="宋体" w:hAnsi="Courier New" w:eastAsia="宋体" w:cs="Times New Roman"/>
          <w:highlight w:val="yellow"/>
          <w:lang w:val="en-US" w:eastAsia="zh-CN"/>
        </w:rPr>
        <w:t>日</w:t>
      </w:r>
    </w:p>
    <w:p w14:paraId="04ACA6F8">
      <w:pPr>
        <w:pStyle w:val="77"/>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p>
    <w:p w14:paraId="4EA2CF3D">
      <w:pPr>
        <w:pStyle w:val="77"/>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04E9F52B">
      <w:pPr>
        <w:pStyle w:val="77"/>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77"/>
        <w:numPr>
          <w:ilvl w:val="0"/>
          <w:numId w:val="12"/>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12</w:t>
      </w:r>
      <w:r>
        <w:rPr>
          <w:rFonts w:hint="eastAsia" w:eastAsia="宋体" w:cs="宋体"/>
          <w:highlight w:val="yellow"/>
        </w:rPr>
        <w:t>月</w:t>
      </w:r>
      <w:r>
        <w:rPr>
          <w:rFonts w:hint="eastAsia" w:cs="宋体"/>
          <w:highlight w:val="yellow"/>
          <w:lang w:val="en-US" w:eastAsia="zh-CN"/>
        </w:rPr>
        <w:t>23</w:t>
      </w:r>
      <w:r>
        <w:rPr>
          <w:rFonts w:hint="eastAsia" w:eastAsia="宋体" w:cs="宋体"/>
          <w:highlight w:val="yellow"/>
        </w:rPr>
        <w:t>日17时00分00秒</w:t>
      </w:r>
    </w:p>
    <w:p w14:paraId="2521BCA0">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5"/>
        <w:numPr>
          <w:ilvl w:val="0"/>
          <w:numId w:val="0"/>
        </w:numPr>
        <w:ind w:leftChars="0"/>
        <w:rPr>
          <w:b w:val="0"/>
          <w:bCs/>
          <w:highlight w:val="none"/>
        </w:rPr>
      </w:pPr>
      <w:r>
        <w:rPr>
          <w:rFonts w:hint="eastAsia"/>
          <w:b/>
          <w:bCs w:val="0"/>
          <w:highlight w:val="none"/>
        </w:rPr>
        <w:t>资质文件</w:t>
      </w:r>
      <w:r>
        <w:rPr>
          <w:rFonts w:hint="eastAsia"/>
          <w:b w:val="0"/>
          <w:bCs/>
          <w:highlight w:val="none"/>
        </w:rPr>
        <w:t>：</w:t>
      </w:r>
    </w:p>
    <w:p w14:paraId="0B30A1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bookmarkStart w:id="6" w:name="_Toc47976601"/>
      <w:r>
        <w:rPr>
          <w:rFonts w:hint="eastAsia"/>
          <w:b w:val="0"/>
          <w:bCs/>
        </w:rPr>
        <w:t>1.1营业执照副本复印件（需加盖公章）；</w:t>
      </w:r>
    </w:p>
    <w:p w14:paraId="63B442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1.2投标函；</w:t>
      </w:r>
    </w:p>
    <w:p w14:paraId="155E58A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614B6A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1.4出具近</w:t>
      </w:r>
      <w:r>
        <w:rPr>
          <w:rFonts w:hint="eastAsia"/>
          <w:b w:val="0"/>
          <w:bCs/>
          <w:lang w:val="en-US" w:eastAsia="zh-CN"/>
        </w:rPr>
        <w:t>三</w:t>
      </w:r>
      <w:r>
        <w:rPr>
          <w:rFonts w:hint="eastAsia"/>
          <w:b w:val="0"/>
          <w:bCs/>
        </w:rPr>
        <w:t>年的财务审计报告，并加盖公章，包括但不限于报告页、经审计的资产负债表、利润表、现金流量表</w:t>
      </w:r>
      <w:r>
        <w:rPr>
          <w:rFonts w:hint="eastAsia"/>
          <w:b w:val="0"/>
          <w:bCs/>
          <w:lang w:eastAsia="zh-CN"/>
        </w:rPr>
        <w:t>。</w:t>
      </w:r>
      <w:r>
        <w:rPr>
          <w:rFonts w:hint="eastAsia"/>
          <w:b w:val="0"/>
          <w:bCs/>
        </w:rPr>
        <w:t>（如投标人公司没有经审计的财务报告，可提供加盖公章的近</w:t>
      </w:r>
      <w:r>
        <w:rPr>
          <w:rFonts w:hint="eastAsia"/>
          <w:b w:val="0"/>
          <w:bCs/>
          <w:lang w:val="en-US" w:eastAsia="zh-CN"/>
        </w:rPr>
        <w:t>三</w:t>
      </w:r>
      <w:r>
        <w:rPr>
          <w:rFonts w:hint="eastAsia"/>
          <w:b w:val="0"/>
          <w:bCs/>
        </w:rPr>
        <w:t>年财务报表，包括但不限于资产负债表、利润表、现金流量表）</w:t>
      </w:r>
      <w:r>
        <w:rPr>
          <w:rFonts w:hint="eastAsia"/>
          <w:b w:val="0"/>
          <w:bCs/>
          <w:lang w:eastAsia="zh-CN"/>
        </w:rPr>
        <w:t>，</w:t>
      </w:r>
      <w:r>
        <w:rPr>
          <w:rFonts w:hint="eastAsia"/>
          <w:b w:val="0"/>
          <w:bCs/>
        </w:rPr>
        <w:t>必须连续</w:t>
      </w:r>
      <w:r>
        <w:rPr>
          <w:rFonts w:hint="eastAsia"/>
          <w:b w:val="0"/>
          <w:bCs/>
          <w:lang w:eastAsia="zh-CN"/>
        </w:rPr>
        <w:t>；</w:t>
      </w:r>
    </w:p>
    <w:p w14:paraId="3385DB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1.5近三年内在经营活动中无与本项目有关的违法及重大违规行为的声明；</w:t>
      </w:r>
    </w:p>
    <w:p w14:paraId="3E0884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1.6投标人在国家企业信用信息公示系统中无与本项目有关的行政处罚、经营异常和失信信息的声明；</w:t>
      </w:r>
    </w:p>
    <w:p w14:paraId="475108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1.7企业对外担保说明（写明贵单位对外有无对外担保和质押业务，需加盖公章）；</w:t>
      </w:r>
    </w:p>
    <w:p w14:paraId="572AE4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w:t>
      </w:r>
      <w:r>
        <w:rPr>
          <w:rFonts w:hint="eastAsia"/>
          <w:b w:val="0"/>
          <w:bCs/>
          <w:lang w:val="en-US" w:eastAsia="zh-CN"/>
        </w:rPr>
        <w:t>8</w:t>
      </w:r>
      <w:r>
        <w:rPr>
          <w:rFonts w:hint="eastAsia"/>
          <w:b w:val="0"/>
          <w:bCs/>
        </w:rPr>
        <w:t>企业最近半年的完税证明，并附年度纳税信用评价信息（可从电子税务局查询截图）；</w:t>
      </w:r>
    </w:p>
    <w:p w14:paraId="3188EF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w:t>
      </w:r>
      <w:r>
        <w:rPr>
          <w:rFonts w:hint="eastAsia"/>
          <w:b w:val="0"/>
          <w:bCs/>
          <w:lang w:val="en-US" w:eastAsia="zh-CN"/>
        </w:rPr>
        <w:t>9</w:t>
      </w:r>
      <w:r>
        <w:rPr>
          <w:rFonts w:hint="eastAsia"/>
          <w:b w:val="0"/>
          <w:bCs/>
        </w:rPr>
        <w:t xml:space="preserve"> 202</w:t>
      </w:r>
      <w:r>
        <w:rPr>
          <w:rFonts w:hint="eastAsia"/>
          <w:b w:val="0"/>
          <w:bCs/>
          <w:lang w:val="en-US" w:eastAsia="zh-CN"/>
        </w:rPr>
        <w:t>2</w:t>
      </w:r>
      <w:r>
        <w:rPr>
          <w:rFonts w:hint="eastAsia"/>
          <w:b w:val="0"/>
          <w:bCs/>
        </w:rPr>
        <w:t>年1月1日至今，企业近三年同类项目业绩证明，须提供用户清单、采购合同复印件；</w:t>
      </w:r>
    </w:p>
    <w:p w14:paraId="10FDA1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lang w:val="en-US" w:eastAsia="zh-CN"/>
        </w:rPr>
      </w:pPr>
      <w:r>
        <w:rPr>
          <w:rFonts w:hint="eastAsia"/>
          <w:b w:val="0"/>
          <w:bCs/>
        </w:rPr>
        <w:t>1.1</w:t>
      </w:r>
      <w:r>
        <w:rPr>
          <w:rFonts w:hint="eastAsia"/>
          <w:b w:val="0"/>
          <w:bCs/>
          <w:lang w:val="en-US" w:eastAsia="zh-CN"/>
        </w:rPr>
        <w:t>0</w:t>
      </w:r>
      <w:r>
        <w:rPr>
          <w:rFonts w:hint="eastAsia"/>
          <w:b w:val="0"/>
          <w:bCs/>
        </w:rPr>
        <w:t>投标保证金缴纳凭证，同时正文描述付款账号、户名、开户行名称、开户行行号、保证金金额。</w:t>
      </w:r>
      <w:r>
        <w:rPr>
          <w:rFonts w:hint="eastAsia" w:ascii="宋体" w:hAnsi="宋体" w:eastAsia="宋体" w:cs="宋体"/>
          <w:b w:val="0"/>
          <w:bCs w:val="0"/>
          <w:color w:val="000000"/>
          <w:kern w:val="2"/>
          <w:sz w:val="21"/>
          <w:szCs w:val="21"/>
          <w:highlight w:val="none"/>
          <w:u w:val="none"/>
          <w:lang w:val="en-US" w:eastAsia="zh-CN" w:bidi="ar"/>
        </w:rPr>
        <w:t>（</w:t>
      </w:r>
      <w:r>
        <w:rPr>
          <w:rFonts w:hint="eastAsia" w:ascii="宋体" w:hAnsi="宋体" w:cs="宋体"/>
          <w:b w:val="0"/>
          <w:bCs w:val="0"/>
          <w:color w:val="000000"/>
          <w:kern w:val="2"/>
          <w:sz w:val="21"/>
          <w:szCs w:val="21"/>
          <w:highlight w:val="none"/>
          <w:u w:val="none"/>
          <w:lang w:val="en-US" w:eastAsia="zh-CN" w:bidi="ar"/>
        </w:rPr>
        <w:t>应标时不做要求，</w:t>
      </w:r>
      <w:r>
        <w:rPr>
          <w:rFonts w:hint="eastAsia" w:ascii="宋体" w:hAnsi="宋体" w:eastAsia="宋体" w:cs="宋体"/>
          <w:b w:val="0"/>
          <w:bCs w:val="0"/>
          <w:sz w:val="21"/>
          <w:szCs w:val="21"/>
          <w:highlight w:val="none"/>
          <w:u w:val="none"/>
          <w:lang w:val="en-US" w:eastAsia="zh-CN"/>
        </w:rPr>
        <w:t>投标时需随投标资质文件一起上传）</w:t>
      </w:r>
    </w:p>
    <w:bookmarkEnd w:id="6"/>
    <w:p w14:paraId="5880241B">
      <w:pPr>
        <w:pStyle w:val="73"/>
        <w:rPr>
          <w:rFonts w:ascii="宋体" w:hAnsi="宋体" w:cs="宋体"/>
          <w:sz w:val="24"/>
          <w:szCs w:val="24"/>
        </w:rPr>
      </w:pPr>
      <w:r>
        <w:rPr>
          <w:rFonts w:hint="eastAsia"/>
          <w:lang w:val="en-US" w:eastAsia="zh-CN"/>
        </w:rPr>
        <w:t>交货及付款</w:t>
      </w:r>
    </w:p>
    <w:p w14:paraId="7B8C9C44">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1、交货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：中国重汽集团大同齿轮有限公司</w:t>
      </w:r>
    </w:p>
    <w:p w14:paraId="43B83927">
      <w:pPr>
        <w:pStyle w:val="16"/>
        <w:numPr>
          <w:ilvl w:val="0"/>
          <w:numId w:val="0"/>
        </w:numPr>
        <w:spacing w:line="360" w:lineRule="auto"/>
        <w:ind w:firstLine="422" w:firstLineChars="200"/>
        <w:rPr>
          <w:rFonts w:hint="eastAsia" w:ascii="Calibri" w:hAnsi="Calibri" w:eastAsia="宋体"/>
          <w:highlight w:val="none"/>
          <w:lang w:eastAsia="zh-CN"/>
        </w:rPr>
      </w:pPr>
      <w:r>
        <w:rPr>
          <w:rFonts w:hint="eastAsia" w:hAnsi="宋体" w:cs="宋体"/>
          <w:b/>
          <w:bCs/>
          <w:sz w:val="21"/>
          <w:szCs w:val="21"/>
          <w:highlight w:val="none"/>
          <w:lang w:val="en-US" w:eastAsia="zh-CN"/>
        </w:rPr>
        <w:t>2、</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Calibri" w:hAnsi="Calibri"/>
          <w:b/>
          <w:bCs/>
          <w:highlight w:val="none"/>
        </w:rPr>
        <w:t>付款结算方法：</w:t>
      </w:r>
      <w:r>
        <w:rPr>
          <w:rFonts w:hint="eastAsia" w:ascii="Calibri" w:hAnsi="Calibri"/>
          <w:highlight w:val="none"/>
          <w:u w:val="single"/>
          <w:lang w:val="en-US" w:eastAsia="zh-CN"/>
        </w:rPr>
        <w:t>转账</w:t>
      </w:r>
    </w:p>
    <w:p w14:paraId="34F1853B">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Calibri" w:hAnsi="Calibri" w:eastAsia="宋体" w:cs="Times New Roman"/>
          <w:b w:val="0"/>
          <w:bCs w:val="0"/>
          <w:kern w:val="2"/>
          <w:sz w:val="21"/>
          <w:highlight w:val="none"/>
          <w:u w:val="single"/>
          <w:lang w:val="en-US" w:eastAsia="zh-CN" w:bidi="ar-SA"/>
        </w:rPr>
      </w:pPr>
      <w:r>
        <w:rPr>
          <w:rFonts w:hint="eastAsia" w:ascii="Calibri" w:hAnsi="Calibri" w:eastAsia="宋体" w:cs="Times New Roman"/>
          <w:b w:val="0"/>
          <w:bCs w:val="0"/>
          <w:kern w:val="2"/>
          <w:sz w:val="21"/>
          <w:highlight w:val="none"/>
          <w:u w:val="single"/>
          <w:lang w:val="en-US" w:eastAsia="zh-CN" w:bidi="ar-SA"/>
        </w:rPr>
        <w:t>乙方完成甲方的需求，乙方开具合同价款100%的收据并增值税专用发票，经甲方核对无误后支付。</w:t>
      </w:r>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7F334810">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8"/>
        <w:keepNext w:val="0"/>
        <w:keepLines w:val="0"/>
        <w:widowControl w:val="0"/>
        <w:numPr>
          <w:ilvl w:val="0"/>
          <w:numId w:val="13"/>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1E14020">
      <w:pPr>
        <w:pStyle w:val="28"/>
        <w:keepNext w:val="0"/>
        <w:keepLines w:val="0"/>
        <w:pageBreakBefore w:val="0"/>
        <w:widowControl w:val="0"/>
        <w:numPr>
          <w:ilvl w:val="0"/>
          <w:numId w:val="13"/>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yellow"/>
          <w:u w:val="single"/>
          <w:lang w:val="en-US" w:eastAsia="zh-CN" w:bidi="ar"/>
        </w:rPr>
        <w:t>2025年1</w:t>
      </w:r>
      <w:r>
        <w:rPr>
          <w:rFonts w:hint="eastAsia" w:cs="宋体"/>
          <w:b/>
          <w:bCs/>
          <w:color w:val="000000"/>
          <w:kern w:val="2"/>
          <w:sz w:val="21"/>
          <w:szCs w:val="21"/>
          <w:highlight w:val="yellow"/>
          <w:u w:val="single"/>
          <w:lang w:val="en-US" w:eastAsia="zh-CN" w:bidi="ar"/>
        </w:rPr>
        <w:t>2</w:t>
      </w:r>
      <w:r>
        <w:rPr>
          <w:rFonts w:hint="eastAsia" w:ascii="宋体" w:hAnsi="宋体" w:eastAsia="宋体" w:cs="宋体"/>
          <w:b/>
          <w:bCs/>
          <w:color w:val="000000"/>
          <w:kern w:val="2"/>
          <w:sz w:val="21"/>
          <w:szCs w:val="21"/>
          <w:highlight w:val="yellow"/>
          <w:u w:val="single"/>
          <w:lang w:val="en-US" w:eastAsia="zh-CN" w:bidi="ar"/>
        </w:rPr>
        <w:t>月2</w:t>
      </w:r>
      <w:r>
        <w:rPr>
          <w:rFonts w:hint="eastAsia" w:cs="宋体"/>
          <w:b/>
          <w:bCs/>
          <w:color w:val="000000"/>
          <w:kern w:val="2"/>
          <w:sz w:val="21"/>
          <w:szCs w:val="21"/>
          <w:highlight w:val="yellow"/>
          <w:u w:val="single"/>
          <w:lang w:val="en-US" w:eastAsia="zh-CN" w:bidi="ar"/>
        </w:rPr>
        <w:t>9</w:t>
      </w:r>
      <w:r>
        <w:rPr>
          <w:rFonts w:hint="eastAsia" w:ascii="宋体" w:hAnsi="宋体" w:eastAsia="宋体" w:cs="宋体"/>
          <w:b/>
          <w:bCs/>
          <w:color w:val="000000"/>
          <w:kern w:val="2"/>
          <w:sz w:val="21"/>
          <w:szCs w:val="21"/>
          <w:highlight w:val="yellow"/>
          <w:u w:val="single"/>
          <w:lang w:val="en-US" w:eastAsia="zh-CN" w:bidi="ar"/>
        </w:rPr>
        <w:t>日9:00 （</w:t>
      </w:r>
      <w:bookmarkStart w:id="11" w:name="_GoBack"/>
      <w:bookmarkEnd w:id="11"/>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singl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6A9CCF77">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yellow"/>
        </w:rPr>
      </w:pPr>
      <w:r>
        <w:rPr>
          <w:rFonts w:hint="eastAsia" w:ascii="宋体" w:hAnsi="宋体" w:eastAsia="宋体" w:cs="宋体"/>
          <w:b/>
          <w:bCs/>
          <w:kern w:val="2"/>
          <w:sz w:val="21"/>
          <w:szCs w:val="21"/>
          <w:highlight w:val="yellow"/>
          <w:lang w:val="en-US" w:eastAsia="zh-CN" w:bidi="ar"/>
        </w:rPr>
        <w:t>投标保证金的金额：</w:t>
      </w:r>
      <w:r>
        <w:rPr>
          <w:rFonts w:hint="eastAsia" w:ascii="宋体" w:hAnsi="宋体" w:eastAsia="宋体" w:cs="宋体"/>
          <w:b w:val="0"/>
          <w:bCs w:val="0"/>
          <w:kern w:val="2"/>
          <w:sz w:val="21"/>
          <w:szCs w:val="21"/>
          <w:highlight w:val="yellow"/>
          <w:lang w:val="en-US" w:eastAsia="zh-CN" w:bidi="ar"/>
        </w:rPr>
        <w:t>人民币5000元</w:t>
      </w:r>
    </w:p>
    <w:p w14:paraId="1064FCC3">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收款名称：中国重汽集团大同齿轮有限公司</w:t>
      </w:r>
    </w:p>
    <w:p w14:paraId="1F3C5B05">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收款行账号：04272001040026121</w:t>
      </w:r>
    </w:p>
    <w:p w14:paraId="0FBEAA7B">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收款行：中国农业银行股份有限公司大同城区支行</w:t>
      </w:r>
    </w:p>
    <w:p w14:paraId="6773F296">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联行号：103162027204</w:t>
      </w:r>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8"/>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8"/>
        <w:keepNext w:val="0"/>
        <w:keepLines w:val="0"/>
        <w:widowControl w:val="0"/>
        <w:numPr>
          <w:ilvl w:val="0"/>
          <w:numId w:val="13"/>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8"/>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4"/>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4"/>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4"/>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4BF4D9F8">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23E75332">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default" w:hAnsi="宋体"/>
          <w:sz w:val="24"/>
          <w:lang w:val="en-US"/>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r>
        <w:rPr>
          <w:rFonts w:hint="default" w:hAnsi="宋体"/>
          <w:sz w:val="24"/>
          <w:lang w:val="en-US"/>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7" w:name="_Toc353881012"/>
      <w:bookmarkStart w:id="8" w:name="_Toc639004"/>
      <w:bookmarkStart w:id="9" w:name="_Toc212369550"/>
      <w:bookmarkStart w:id="1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7"/>
      <w:bookmarkEnd w:id="8"/>
      <w:bookmarkEnd w:id="9"/>
      <w:bookmarkEnd w:id="10"/>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eastAsia="zh-CN"/>
        </w:rPr>
        <w:t>大同齿轮有限公司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2026年度东风柳汽仓储服务项目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6"/>
        <w:rPr>
          <w:rFonts w:ascii="黑体" w:hAnsi="Calibri" w:eastAsia="黑体" w:cs="Times New Roman"/>
          <w:color w:val="000000"/>
          <w:sz w:val="24"/>
          <w:szCs w:val="24"/>
        </w:rPr>
      </w:pPr>
    </w:p>
    <w:p w14:paraId="4CA7A370">
      <w:pPr>
        <w:pStyle w:val="16"/>
        <w:rPr>
          <w:rFonts w:ascii="黑体" w:hAnsi="Calibri" w:eastAsia="黑体" w:cs="Times New Roman"/>
          <w:color w:val="000000"/>
          <w:sz w:val="24"/>
          <w:szCs w:val="24"/>
        </w:rPr>
      </w:pPr>
    </w:p>
    <w:p w14:paraId="28AE6C52">
      <w:pPr>
        <w:pStyle w:val="16"/>
        <w:rPr>
          <w:rFonts w:ascii="黑体" w:hAnsi="Calibri" w:eastAsia="黑体" w:cs="Times New Roman"/>
          <w:color w:val="000000"/>
          <w:sz w:val="24"/>
          <w:szCs w:val="24"/>
        </w:rPr>
      </w:pPr>
    </w:p>
    <w:p w14:paraId="44A19F45">
      <w:pPr>
        <w:pStyle w:val="16"/>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宋体"/>
          <w:b/>
          <w:bCs/>
          <w:sz w:val="24"/>
          <w:szCs w:val="24"/>
          <w:highlight w:val="none"/>
          <w:u w:val="single"/>
          <w:lang w:val="en-US" w:eastAsia="zh-CN"/>
        </w:rPr>
        <w:t>2026年度东风柳汽仓储服务项目</w:t>
      </w:r>
      <w:r>
        <w:rPr>
          <w:rFonts w:hint="eastAsia" w:ascii="宋体" w:hAnsi="宋体" w:eastAsia="宋体" w:cs="Times New Roman"/>
          <w:b/>
          <w:bCs/>
          <w:color w:val="000000"/>
          <w:sz w:val="24"/>
          <w:szCs w:val="24"/>
          <w:u w:val="single"/>
          <w:lang w:eastAsia="zh-CN"/>
        </w:rPr>
        <w:t>（</w:t>
      </w:r>
      <w:r>
        <w:rPr>
          <w:rFonts w:hint="eastAsia" w:ascii="宋体" w:hAnsi="宋体" w:cs="宋体"/>
          <w:b/>
          <w:bCs/>
          <w:sz w:val="24"/>
          <w:szCs w:val="24"/>
          <w:highlight w:val="none"/>
          <w:lang w:val="en-US" w:eastAsia="zh-CN"/>
        </w:rPr>
        <w:t>FSCZB2025120084</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4FA173B9">
      <w:pPr>
        <w:pStyle w:val="16"/>
        <w:rPr>
          <w:rFonts w:ascii="Calibri" w:hAnsi="Calibri" w:eastAsia="黑体" w:cs="Times New Roman"/>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6"/>
        <w:rPr>
          <w:rFonts w:ascii="Times New Roman" w:hAnsi="Times New Roman" w:eastAsia="宋体" w:cs="Times New Roman"/>
          <w:b/>
          <w:bCs/>
          <w:color w:val="000000"/>
          <w:sz w:val="24"/>
          <w:szCs w:val="24"/>
        </w:rPr>
      </w:pPr>
    </w:p>
    <w:p w14:paraId="37100778">
      <w:pPr>
        <w:pStyle w:val="16"/>
        <w:rPr>
          <w:rFonts w:ascii="Times New Roman" w:hAnsi="Times New Roman" w:eastAsia="宋体" w:cs="Times New Roman"/>
          <w:b/>
          <w:bCs/>
          <w:color w:val="000000"/>
          <w:sz w:val="24"/>
          <w:szCs w:val="24"/>
        </w:rPr>
      </w:pPr>
    </w:p>
    <w:p w14:paraId="39756F36">
      <w:pPr>
        <w:pStyle w:val="16"/>
        <w:rPr>
          <w:rFonts w:ascii="Times New Roman" w:hAnsi="Times New Roman" w:eastAsia="宋体" w:cs="Times New Roman"/>
          <w:b/>
          <w:bCs/>
          <w:color w:val="000000"/>
          <w:sz w:val="24"/>
          <w:szCs w:val="24"/>
        </w:rPr>
      </w:pPr>
    </w:p>
    <w:p w14:paraId="73D8D3DE">
      <w:pPr>
        <w:pStyle w:val="16"/>
        <w:rPr>
          <w:rFonts w:ascii="Times New Roman" w:hAnsi="Times New Roman" w:eastAsia="宋体" w:cs="Times New Roman"/>
          <w:b/>
          <w:bCs/>
          <w:color w:val="000000"/>
          <w:sz w:val="24"/>
          <w:szCs w:val="24"/>
        </w:rPr>
      </w:pPr>
    </w:p>
    <w:p w14:paraId="527F4C72">
      <w:pPr>
        <w:pStyle w:val="16"/>
        <w:rPr>
          <w:rFonts w:ascii="Times New Roman" w:hAnsi="Times New Roman" w:eastAsia="宋体" w:cs="Times New Roman"/>
          <w:b/>
          <w:bCs/>
          <w:color w:val="000000"/>
          <w:sz w:val="24"/>
          <w:szCs w:val="24"/>
        </w:rPr>
      </w:pPr>
    </w:p>
    <w:p w14:paraId="792B9788">
      <w:pPr>
        <w:pStyle w:val="16"/>
        <w:rPr>
          <w:rFonts w:ascii="Times New Roman" w:hAnsi="Times New Roman" w:eastAsia="宋体" w:cs="Times New Roman"/>
          <w:b/>
          <w:bCs/>
          <w:color w:val="000000"/>
          <w:sz w:val="24"/>
          <w:szCs w:val="24"/>
        </w:rPr>
      </w:pPr>
    </w:p>
    <w:p w14:paraId="0561AF60">
      <w:pPr>
        <w:pStyle w:val="16"/>
        <w:rPr>
          <w:rFonts w:ascii="Times New Roman" w:hAnsi="Times New Roman" w:eastAsia="宋体" w:cs="Times New Roman"/>
          <w:b/>
          <w:bCs/>
          <w:color w:val="000000"/>
          <w:sz w:val="24"/>
          <w:szCs w:val="24"/>
        </w:rPr>
      </w:pPr>
    </w:p>
    <w:p w14:paraId="78F0A321">
      <w:pPr>
        <w:pStyle w:val="16"/>
        <w:rPr>
          <w:rFonts w:ascii="Times New Roman" w:hAnsi="Times New Roman" w:eastAsia="宋体" w:cs="Times New Roman"/>
          <w:b/>
          <w:bCs/>
          <w:color w:val="000000"/>
          <w:sz w:val="24"/>
          <w:szCs w:val="24"/>
        </w:rPr>
      </w:pPr>
    </w:p>
    <w:p w14:paraId="54D6387F">
      <w:pPr>
        <w:pStyle w:val="16"/>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6"/>
        <w:outlineLvl w:val="3"/>
        <w:rPr>
          <w:rFonts w:hint="eastAsia" w:ascii="Times New Roman" w:hAnsi="Times New Roman" w:eastAsia="宋体" w:cs="Times New Roman"/>
          <w:b/>
          <w:bCs/>
          <w:color w:val="000000"/>
          <w:sz w:val="24"/>
          <w:szCs w:val="24"/>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A6ED26">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0B13CA40">
      <w:pPr>
        <w:pStyle w:val="1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2"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3"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4"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5" cstate="print"/>
                    <a:srcRect/>
                    <a:stretch>
                      <a:fillRect/>
                    </a:stretch>
                  </pic:blipFill>
                  <pic:spPr>
                    <a:xfrm>
                      <a:off x="0" y="0"/>
                      <a:ext cx="5760085" cy="2853055"/>
                    </a:xfrm>
                    <a:prstGeom prst="rect">
                      <a:avLst/>
                    </a:prstGeom>
                  </pic:spPr>
                </pic:pic>
              </a:graphicData>
            </a:graphic>
          </wp:inline>
        </w:drawing>
      </w:r>
    </w:p>
    <w:p w14:paraId="619779B8">
      <w:pPr>
        <w:numPr>
          <w:ilvl w:val="0"/>
          <w:numId w:val="1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6"/>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7"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仓储配送</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智能物流中心</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7"/>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0E9D63DB">
      <w:pPr>
        <w:outlineLvl w:val="9"/>
        <w:rPr>
          <w:rFonts w:hint="default"/>
          <w:lang w:val="en-US" w:eastAsia="zh-CN"/>
        </w:rPr>
        <w:sectPr>
          <w:headerReference r:id="rId12" w:type="first"/>
          <w:footerReference r:id="rId14" w:type="first"/>
          <w:headerReference r:id="rId11" w:type="default"/>
          <w:footerReference r:id="rId13"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8"/>
                    <a:stretch>
                      <a:fillRect/>
                    </a:stretch>
                  </pic:blipFill>
                  <pic:spPr>
                    <a:xfrm>
                      <a:off x="0" y="0"/>
                      <a:ext cx="5486400" cy="2661285"/>
                    </a:xfrm>
                    <a:prstGeom prst="rect">
                      <a:avLst/>
                    </a:prstGeom>
                    <a:noFill/>
                    <a:ln>
                      <a:noFill/>
                    </a:ln>
                  </pic:spPr>
                </pic:pic>
              </a:graphicData>
            </a:graphic>
          </wp:inline>
        </w:drawing>
      </w:r>
    </w:p>
    <w:p w14:paraId="1D419B5D">
      <w:pPr>
        <w:pStyle w:val="73"/>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9" cstate="print"/>
                    <a:srcRect/>
                    <a:stretch>
                      <a:fillRect/>
                    </a:stretch>
                  </pic:blipFill>
                  <pic:spPr>
                    <a:xfrm>
                      <a:off x="0" y="0"/>
                      <a:ext cx="5760085" cy="2269490"/>
                    </a:xfrm>
                    <a:prstGeom prst="rect">
                      <a:avLst/>
                    </a:prstGeom>
                  </pic:spPr>
                </pic:pic>
              </a:graphicData>
            </a:graphic>
          </wp:inline>
        </w:drawing>
      </w:r>
    </w:p>
    <w:p w14:paraId="7F5F97E1">
      <w:pPr>
        <w:pStyle w:val="16"/>
      </w:pPr>
    </w:p>
    <w:p w14:paraId="44F04E35">
      <w:pPr>
        <w:pStyle w:val="16"/>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0"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1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1"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2"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3"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4" cstate="print"/>
                    <a:srcRect/>
                    <a:stretch>
                      <a:fillRect/>
                    </a:stretch>
                  </pic:blipFill>
                  <pic:spPr>
                    <a:xfrm>
                      <a:off x="0" y="0"/>
                      <a:ext cx="5760085" cy="1956435"/>
                    </a:xfrm>
                    <a:prstGeom prst="rect">
                      <a:avLst/>
                    </a:prstGeom>
                  </pic:spPr>
                </pic:pic>
              </a:graphicData>
            </a:graphic>
          </wp:inline>
        </w:drawing>
      </w:r>
    </w:p>
    <w:p w14:paraId="3FF7DF5D">
      <w:pPr>
        <w:pStyle w:val="16"/>
        <w:rPr>
          <w:rFonts w:hAnsi="宋体" w:eastAsia="宋体" w:cs="Times New Roman"/>
          <w:b/>
          <w:color w:val="000000"/>
          <w:sz w:val="24"/>
          <w:szCs w:val="24"/>
        </w:rPr>
      </w:pPr>
    </w:p>
    <w:p w14:paraId="3CEE3B78">
      <w:pPr>
        <w:pStyle w:val="16"/>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77"/>
        <w:rPr>
          <w:rFonts w:hint="default" w:hAnsi="宋体"/>
          <w:sz w:val="24"/>
          <w:lang w:val="en-US"/>
        </w:rPr>
      </w:pPr>
    </w:p>
    <w:p w14:paraId="7AF3479E">
      <w:pPr>
        <w:pStyle w:val="77"/>
        <w:rPr>
          <w:rFonts w:hint="default" w:hAnsi="宋体"/>
          <w:sz w:val="24"/>
          <w:lang w:val="en-US"/>
        </w:rPr>
      </w:pPr>
    </w:p>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E43D2">
    <w:pPr>
      <w:pStyle w:val="2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F8588C">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BmjhruyAEAAJIDAAAOAAAAAAAAAAEAIAAAAB8BAABkcnMvZTJvRG9j&#10;LnhtbFBLBQYAAAAABgAGAFkBAABZBQAAAAA=&#10;">
              <v:fill on="f" focussize="0,0"/>
              <v:stroke on="f"/>
              <v:imagedata o:title=""/>
              <o:lock v:ext="edit" aspectratio="f"/>
              <v:textbox inset="0mm,0mm,0mm,0mm" style="mso-fit-shape-to-text:t;">
                <w:txbxContent>
                  <w:p w14:paraId="0FF8588C">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2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2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20"/>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7E4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7ECC41">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hbOkRskBAACSAwAADgAAAAAAAAABACAAAAAfAQAAZHJzL2Uyb0Rv&#10;Yy54bWxQSwUGAAAAAAYABgBZAQAAWgUAAAAA&#10;">
              <v:fill on="f" focussize="0,0"/>
              <v:stroke on="f"/>
              <v:imagedata o:title=""/>
              <o:lock v:ext="edit" aspectratio="f"/>
              <v:textbox inset="0mm,0mm,0mm,0mm" style="mso-fit-shape-to-text:t;">
                <w:txbxContent>
                  <w:p w14:paraId="257ECC41">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21"/>
    </w:pPr>
  </w:p>
  <w:p w14:paraId="75DC59E1">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2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817CE">
    <w:pPr>
      <w:pStyle w:val="21"/>
    </w:pPr>
  </w:p>
  <w:p w14:paraId="0A8AD883">
    <w:pPr>
      <w:pStyle w:val="2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A8A4C">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1">
    <w:nsid w:val="BD4C6742"/>
    <w:multiLevelType w:val="singleLevel"/>
    <w:tmpl w:val="BD4C6742"/>
    <w:lvl w:ilvl="0" w:tentative="0">
      <w:start w:val="1"/>
      <w:numFmt w:val="decimal"/>
      <w:lvlText w:val="%1."/>
      <w:lvlJc w:val="left"/>
      <w:pPr>
        <w:ind w:left="425" w:hanging="425"/>
      </w:pPr>
      <w:rPr>
        <w:rFonts w:hint="default"/>
      </w:rPr>
    </w:lvl>
  </w:abstractNum>
  <w:abstractNum w:abstractNumId="2">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7">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8">
    <w:nsid w:val="3D2537F8"/>
    <w:multiLevelType w:val="singleLevel"/>
    <w:tmpl w:val="3D2537F8"/>
    <w:lvl w:ilvl="0" w:tentative="0">
      <w:start w:val="1"/>
      <w:numFmt w:val="decimal"/>
      <w:lvlText w:val="%1."/>
      <w:lvlJc w:val="left"/>
      <w:pPr>
        <w:ind w:left="425" w:hanging="425"/>
      </w:pPr>
      <w:rPr>
        <w:rFonts w:hint="default"/>
        <w:b w:val="0"/>
        <w:bCs w:val="0"/>
        <w:color w:val="auto"/>
      </w:r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0"/>
  </w:num>
  <w:num w:numId="2">
    <w:abstractNumId w:val="14"/>
  </w:num>
  <w:num w:numId="3">
    <w:abstractNumId w:val="13"/>
  </w:num>
  <w:num w:numId="4">
    <w:abstractNumId w:val="11"/>
  </w:num>
  <w:num w:numId="5">
    <w:abstractNumId w:val="5"/>
  </w:num>
  <w:num w:numId="6">
    <w:abstractNumId w:val="6"/>
  </w:num>
  <w:num w:numId="7">
    <w:abstractNumId w:val="7"/>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8"/>
  </w:num>
  <w:num w:numId="12">
    <w:abstractNumId w:val="0"/>
  </w:num>
  <w:num w:numId="13">
    <w:abstractNumId w:val="2"/>
  </w:num>
  <w:num w:numId="14">
    <w:abstractNumId w:val="15"/>
  </w:num>
  <w:num w:numId="15">
    <w:abstractNumId w:val="4"/>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5953E92"/>
    <w:rsid w:val="08633479"/>
    <w:rsid w:val="08AB0C6A"/>
    <w:rsid w:val="0CB51572"/>
    <w:rsid w:val="0D200B10"/>
    <w:rsid w:val="0E4D31E3"/>
    <w:rsid w:val="0FC56F7C"/>
    <w:rsid w:val="10D421FF"/>
    <w:rsid w:val="10DC2AA3"/>
    <w:rsid w:val="10FA7C8C"/>
    <w:rsid w:val="118045F5"/>
    <w:rsid w:val="122E595A"/>
    <w:rsid w:val="130B198F"/>
    <w:rsid w:val="16A918E4"/>
    <w:rsid w:val="17D966D6"/>
    <w:rsid w:val="189044AC"/>
    <w:rsid w:val="1BBB0B95"/>
    <w:rsid w:val="1BC71D3B"/>
    <w:rsid w:val="1C59115B"/>
    <w:rsid w:val="1EB84180"/>
    <w:rsid w:val="1FB23E60"/>
    <w:rsid w:val="221B2F87"/>
    <w:rsid w:val="22C5630B"/>
    <w:rsid w:val="23EC0BA6"/>
    <w:rsid w:val="24701A48"/>
    <w:rsid w:val="24AE0768"/>
    <w:rsid w:val="268B0052"/>
    <w:rsid w:val="27743C90"/>
    <w:rsid w:val="29CA2459"/>
    <w:rsid w:val="2A434202"/>
    <w:rsid w:val="2B271A58"/>
    <w:rsid w:val="2B6304A7"/>
    <w:rsid w:val="2BAB52D9"/>
    <w:rsid w:val="2BCD1855"/>
    <w:rsid w:val="2C1D2D14"/>
    <w:rsid w:val="2CF6734C"/>
    <w:rsid w:val="2D5262D8"/>
    <w:rsid w:val="2D663463"/>
    <w:rsid w:val="2EF96EE4"/>
    <w:rsid w:val="2F0D010A"/>
    <w:rsid w:val="2FC30105"/>
    <w:rsid w:val="313A6339"/>
    <w:rsid w:val="34AD6C9C"/>
    <w:rsid w:val="36254FE4"/>
    <w:rsid w:val="372F61E0"/>
    <w:rsid w:val="379C1C4F"/>
    <w:rsid w:val="39322FCA"/>
    <w:rsid w:val="398C3264"/>
    <w:rsid w:val="3AB90991"/>
    <w:rsid w:val="3B706131"/>
    <w:rsid w:val="3DC4704B"/>
    <w:rsid w:val="3E6F041E"/>
    <w:rsid w:val="4275481E"/>
    <w:rsid w:val="428B617A"/>
    <w:rsid w:val="433D7BDC"/>
    <w:rsid w:val="437E1813"/>
    <w:rsid w:val="44A27E03"/>
    <w:rsid w:val="44DA29C7"/>
    <w:rsid w:val="45A55BAA"/>
    <w:rsid w:val="45BD47FC"/>
    <w:rsid w:val="45CC5FB2"/>
    <w:rsid w:val="469011FB"/>
    <w:rsid w:val="46B75BA8"/>
    <w:rsid w:val="48C97955"/>
    <w:rsid w:val="49880C8F"/>
    <w:rsid w:val="4A8835F7"/>
    <w:rsid w:val="4B592E71"/>
    <w:rsid w:val="4C1031E2"/>
    <w:rsid w:val="4EFA36BF"/>
    <w:rsid w:val="4FBE01E7"/>
    <w:rsid w:val="514C6556"/>
    <w:rsid w:val="51954F77"/>
    <w:rsid w:val="52B9239A"/>
    <w:rsid w:val="52BA3B63"/>
    <w:rsid w:val="54BD78FD"/>
    <w:rsid w:val="562C3D76"/>
    <w:rsid w:val="58A86DDE"/>
    <w:rsid w:val="59154AD7"/>
    <w:rsid w:val="5ADF548D"/>
    <w:rsid w:val="5CA63A4B"/>
    <w:rsid w:val="5D5C60B4"/>
    <w:rsid w:val="62FA1A25"/>
    <w:rsid w:val="63F04A69"/>
    <w:rsid w:val="64DF6B5C"/>
    <w:rsid w:val="65902D3B"/>
    <w:rsid w:val="66A50B1E"/>
    <w:rsid w:val="67B2063C"/>
    <w:rsid w:val="67C97AC3"/>
    <w:rsid w:val="67E30EC1"/>
    <w:rsid w:val="6A4E3B2B"/>
    <w:rsid w:val="6B481C3B"/>
    <w:rsid w:val="6C1331A3"/>
    <w:rsid w:val="6CA84BC1"/>
    <w:rsid w:val="6D3E4756"/>
    <w:rsid w:val="6DE17DBE"/>
    <w:rsid w:val="6FC523EB"/>
    <w:rsid w:val="72895F2E"/>
    <w:rsid w:val="72C02EBE"/>
    <w:rsid w:val="72C507AD"/>
    <w:rsid w:val="72D028D8"/>
    <w:rsid w:val="745D47C3"/>
    <w:rsid w:val="75D84470"/>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7"/>
    <w:qFormat/>
    <w:uiPriority w:val="99"/>
    <w:pPr>
      <w:jc w:val="left"/>
    </w:pPr>
  </w:style>
  <w:style w:type="paragraph" w:styleId="11">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2">
    <w:name w:val="Body Text"/>
    <w:basedOn w:val="1"/>
    <w:next w:val="13"/>
    <w:link w:val="43"/>
    <w:semiHidden/>
    <w:qFormat/>
    <w:uiPriority w:val="98"/>
    <w:rPr>
      <w:rFonts w:ascii="仿宋_GB2312" w:eastAsia="仿宋_GB2312"/>
      <w:sz w:val="32"/>
    </w:rPr>
  </w:style>
  <w:style w:type="paragraph" w:customStyle="1" w:styleId="1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4">
    <w:name w:val="Body Text Indent"/>
    <w:basedOn w:val="1"/>
    <w:next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0"/>
    <w:next w:val="10"/>
    <w:link w:val="55"/>
    <w:semiHidden/>
    <w:qFormat/>
    <w:uiPriority w:val="98"/>
    <w:rPr>
      <w:b/>
      <w:bCs/>
    </w:rPr>
  </w:style>
  <w:style w:type="paragraph" w:styleId="31">
    <w:name w:val="Body Text First Indent 2"/>
    <w:basedOn w:val="14"/>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0"/>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5"/>
    <w:semiHidden/>
    <w:qFormat/>
    <w:uiPriority w:val="0"/>
    <w:rPr>
      <w:rFonts w:ascii="Arial" w:hAnsi="Arial"/>
      <w:b/>
      <w:bCs/>
      <w:kern w:val="2"/>
      <w:sz w:val="21"/>
      <w:szCs w:val="28"/>
    </w:rPr>
  </w:style>
  <w:style w:type="character" w:customStyle="1" w:styleId="79">
    <w:name w:val="标题 5 字符"/>
    <w:basedOn w:val="34"/>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9"/>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17</Pages>
  <Words>3941</Words>
  <Characters>4158</Characters>
  <Lines>127</Lines>
  <Paragraphs>35</Paragraphs>
  <TotalTime>5</TotalTime>
  <ScaleCrop>false</ScaleCrop>
  <LinksUpToDate>false</LinksUpToDate>
  <CharactersWithSpaces>4512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許</cp:lastModifiedBy>
  <cp:lastPrinted>2020-06-28T02:28:00Z</cp:lastPrinted>
  <dcterms:modified xsi:type="dcterms:W3CDTF">2025-12-18T01:01:14Z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eyJoZGlkIjoiZTZkNDE3ZGE4Mjk4YmFlZDAwMWNlODJlYzdjMzk3YmQiLCJ1c2VySWQiOiI1MDMyNjc5ODcifQ==</vt:lpwstr>
  </property>
</Properties>
</file>