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pacing w:val="-8"/>
          <w:sz w:val="48"/>
          <w:szCs w:val="48"/>
        </w:rPr>
        <w:t>特种车公司总七装配线复产新增工艺设备技改项目包3-新增拧紧设备项目</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：中国重汽集团济南特种车有限公司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15480"/>
      <w:bookmarkStart w:id="1" w:name="_Toc29994"/>
      <w:bookmarkStart w:id="2" w:name="_Toc22242"/>
      <w:bookmarkStart w:id="3" w:name="_Toc23693"/>
      <w:bookmarkStart w:id="4" w:name="_Toc520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项目名称：特种车公司总七装配线复产新增工艺设备技改项目包3-新增拧紧设备项目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项目编号：FSCZB2025110547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招标内容：根据集团公司安排，为适应市场需求，对总七</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原卡车总一</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rPr>
              <w:t>总装产线进行适应性改造，</w:t>
            </w:r>
            <w:r>
              <w:rPr>
                <w:rFonts w:hint="eastAsia" w:ascii="仿宋_GB2312" w:hAnsi="仿宋_GB2312" w:eastAsia="仿宋_GB2312" w:cs="仿宋_GB2312"/>
                <w:b/>
                <w:bCs/>
                <w:sz w:val="24"/>
                <w:szCs w:val="24"/>
                <w:lang w:val="en-US" w:eastAsia="zh-CN"/>
              </w:rPr>
              <w:t>新增油液加注设备、拧紧设备、起重设备等满足产线复产需求。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招标人名称：中国重汽集团济南特种车有限公司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山东省济南市槐荫区经十西路3100号济南特种车公司</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何文亮</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电话：15066696050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80.89</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（2）拟投标人应具有相关招标项目的实施及服务能力，具有相应的生产及供货、安装能力；产品认证证书，安装资质。</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（3）拟投标人应提供营业执照副本原件和扫描件（需盖章）；</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（4）拟投标人应提供法定代表人资格证明文件；</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（5）拟投标人在国家市场监督管理总局的《国家企业信用信息公示系统》中查询不存在不良记录；</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（6）拟投标人不存在严重违规或被列入招标人“黑名单”的声明；</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（7）拟投标人2022年1月1日至今经第三方审计的公司财务报表（资产负债表、损益表、现金流量表）未显示异常；</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（8）拟投标人2022年1月1日至今供货实例，报名及投标时须提供用户清单、采购合同复印件；</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（9）拟投标人近三年内在经营活动中无与本项目有关的违法及重大违规情况；</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（10）拟投标人最近半年纳税正常；</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（11）拟投标人信用证明材料（征信报告）未显示异常；</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（12）拟投标人的直接或间接股东、法定代表人、董事、监事、高管非重汽员工及其亲属；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w:t>
            </w:r>
            <w:r>
              <w:rPr>
                <w:rFonts w:hint="eastAsia" w:ascii="仿宋_GB2312" w:hAnsi="仿宋_GB2312" w:cs="仿宋_GB2312"/>
                <w:b w:val="0"/>
                <w:bCs w:val="0"/>
                <w:highlight w:val="none"/>
                <w:lang w:val="en-US" w:eastAsia="zh-CN"/>
              </w:rPr>
              <w:t>3</w:t>
            </w:r>
            <w:r>
              <w:rPr>
                <w:rFonts w:hint="eastAsia" w:ascii="仿宋_GB2312" w:hAnsi="仿宋_GB2312" w:eastAsia="仿宋_GB2312" w:cs="仿宋_GB2312"/>
                <w:b w:val="0"/>
                <w:bCs w:val="0"/>
                <w:highlight w:val="none"/>
              </w:rPr>
              <w:t>）与招标人存在利害关系可能影响招标公正性的法人、其他组织或者个人，不得参加投标。</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cs="仿宋_GB2312"/>
                <w:b w:val="0"/>
                <w:bCs w:val="0"/>
                <w:highlight w:val="none"/>
                <w:lang w:eastAsia="zh-CN"/>
              </w:rPr>
              <w:t>（</w:t>
            </w:r>
            <w:r>
              <w:rPr>
                <w:rFonts w:hint="eastAsia" w:ascii="仿宋_GB2312" w:hAnsi="仿宋_GB2312" w:cs="仿宋_GB2312"/>
                <w:b w:val="0"/>
                <w:bCs w:val="0"/>
                <w:highlight w:val="none"/>
                <w:lang w:val="en-US" w:eastAsia="zh-CN"/>
              </w:rPr>
              <w:t>14</w:t>
            </w:r>
            <w:r>
              <w:rPr>
                <w:rFonts w:hint="eastAsia" w:ascii="仿宋_GB2312" w:hAnsi="仿宋_GB2312" w:cs="仿宋_GB2312"/>
                <w:b w:val="0"/>
                <w:bCs w:val="0"/>
                <w:highlight w:val="none"/>
                <w:lang w:eastAsia="zh-CN"/>
              </w:rPr>
              <w:t>）</w:t>
            </w:r>
            <w:r>
              <w:rPr>
                <w:rFonts w:hint="eastAsia" w:ascii="仿宋_GB2312" w:hAnsi="仿宋_GB2312" w:cs="仿宋_GB2312"/>
                <w:b w:val="0"/>
                <w:bCs w:val="0"/>
                <w:highlight w:val="none"/>
                <w:lang w:val="en-US" w:eastAsia="zh-CN"/>
              </w:rPr>
              <w:t>不允许代理商投标</w:t>
            </w:r>
            <w:r>
              <w:rPr>
                <w:rFonts w:hint="eastAsia" w:ascii="仿宋_GB2312" w:hAnsi="仿宋_GB2312" w:eastAsia="仿宋_GB2312" w:cs="仿宋_GB2312"/>
                <w:b w:val="0"/>
                <w:bCs w:val="0"/>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color w:val="000000"/>
                <w:sz w:val="24"/>
                <w:szCs w:val="24"/>
              </w:rPr>
            </w:pPr>
            <w:r>
              <w:rPr>
                <w:rFonts w:hint="eastAsia" w:ascii="仿宋_GB2312" w:hAnsi="仿宋_GB2312" w:cs="仿宋_GB2312"/>
                <w:b w:val="0"/>
                <w:bCs w:val="0"/>
                <w:highlight w:val="none"/>
                <w:lang w:eastAsia="zh-CN"/>
              </w:rPr>
              <w:t>（</w:t>
            </w:r>
            <w:r>
              <w:rPr>
                <w:rFonts w:hint="eastAsia" w:ascii="仿宋_GB2312" w:hAnsi="仿宋_GB2312" w:cs="仿宋_GB2312"/>
                <w:b w:val="0"/>
                <w:bCs w:val="0"/>
                <w:highlight w:val="none"/>
                <w:lang w:val="en-US" w:eastAsia="zh-CN"/>
              </w:rPr>
              <w:t>15</w:t>
            </w:r>
            <w:r>
              <w:rPr>
                <w:rFonts w:hint="eastAsia" w:ascii="仿宋_GB2312" w:hAnsi="仿宋_GB2312" w:cs="仿宋_GB2312"/>
                <w:b w:val="0"/>
                <w:bCs w:val="0"/>
                <w:highlight w:val="none"/>
                <w:lang w:eastAsia="zh-CN"/>
              </w:rPr>
              <w:t>）</w:t>
            </w:r>
            <w:r>
              <w:rPr>
                <w:rFonts w:hint="eastAsia" w:ascii="仿宋_GB2312" w:hAnsi="仿宋_GB2312" w:eastAsia="仿宋_GB2312" w:cs="仿宋_GB2312"/>
                <w:b w:val="0"/>
                <w:bCs w:val="0"/>
                <w:highlight w:val="none"/>
              </w:rPr>
              <w:t>本项目不接受联合体投标，拟投标人必须是最终投标单位和签订合同单位，不得以任何理由将已中标项目以任何形式分包或转包给其他单位。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2025年12月9日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2025年12月16日</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2025年12月16日</w:t>
            </w:r>
            <w:r>
              <w:rPr>
                <w:rFonts w:hint="eastAsia" w:ascii="仿宋_GB2312" w:hAnsi="仿宋_GB2312" w:eastAsia="仿宋_GB2312" w:cs="仿宋_GB2312"/>
                <w:b/>
                <w:snapToGrid w:val="0"/>
                <w:kern w:val="0"/>
                <w:sz w:val="24"/>
                <w:szCs w:val="24"/>
                <w:highlight w:val="none"/>
              </w:rPr>
              <w:t>。</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2025年12月14日17：00</w:t>
            </w:r>
            <w:r>
              <w:rPr>
                <w:rFonts w:hint="eastAsia" w:ascii="仿宋_GB2312" w:hAnsi="仿宋_GB2312" w:eastAsia="仿宋_GB2312" w:cs="仿宋_GB2312"/>
                <w:b/>
                <w:snapToGrid w:val="0"/>
                <w:kern w:val="0"/>
                <w:sz w:val="24"/>
                <w:szCs w:val="24"/>
                <w:highlight w:val="none"/>
              </w:rPr>
              <w:t>。</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2025年12月19日17：00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开 户 行：中信银行济南舜耕支行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开户名称：中国重汽集团济南特种车有限公司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账    号：7372610182600060547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纳税人识别号：913701007806234860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联行号：302451037264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2025年12月19</w:t>
            </w:r>
            <w:bookmarkStart w:id="156" w:name="_GoBack"/>
            <w:bookmarkEnd w:id="156"/>
            <w:r>
              <w:rPr>
                <w:rFonts w:hint="eastAsia" w:ascii="仿宋_GB2312" w:hAnsi="仿宋_GB2312" w:eastAsia="仿宋_GB2312" w:cs="仿宋_GB2312"/>
                <w:color w:val="000000"/>
                <w:sz w:val="24"/>
                <w:szCs w:val="24"/>
                <w:highlight w:val="green"/>
                <w:lang w:val="en-US" w:eastAsia="zh-CN"/>
              </w:rPr>
              <w:t>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2025年12月20日9：00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2"/>
              <w:ind w:firstLine="480" w:firstLineChars="200"/>
              <w:rPr>
                <w:rFonts w:hint="eastAsia" w:ascii="仿宋_GB2312" w:hAnsi="仿宋_GB2312" w:eastAsia="仿宋_GB2312" w:cs="仿宋_GB2312"/>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val="en-US" w:eastAsia="zh-CN"/>
              </w:rPr>
              <w:t>济南特种车公司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Cs/>
              </w:rPr>
            </w:pPr>
            <w:r>
              <w:rPr>
                <w:rFonts w:hint="eastAsia" w:ascii="仿宋_GB2312" w:hAnsi="仿宋_GB2312" w:eastAsia="仿宋_GB2312" w:cs="仿宋_GB2312"/>
                <w:bCs/>
              </w:rPr>
              <w:t>1.付款方式：</w:t>
            </w:r>
          </w:p>
          <w:p>
            <w:pPr>
              <w:pStyle w:val="131"/>
              <w:keepNext w:val="0"/>
              <w:keepLines w:val="0"/>
              <w:pageBreakBefore w:val="0"/>
              <w:widowControl w:val="0"/>
              <w:numPr>
                <w:ilvl w:val="1"/>
                <w:numId w:val="2"/>
              </w:numPr>
              <w:kinsoku/>
              <w:wordWrap/>
              <w:overflowPunct/>
              <w:topLinePunct w:val="0"/>
              <w:autoSpaceDE/>
              <w:autoSpaceDN/>
              <w:bidi w:val="0"/>
              <w:snapToGrid w:val="0"/>
              <w:spacing w:line="240" w:lineRule="atLeast"/>
              <w:ind w:left="880" w:leftChars="0" w:hanging="40" w:firstLineChars="0"/>
              <w:jc w:val="left"/>
              <w:textAlignment w:val="auto"/>
              <w:rPr>
                <w:rFonts w:hint="eastAsia" w:ascii="仿宋_GB2312" w:hAnsi="仿宋_GB2312" w:eastAsia="仿宋_GB2312" w:cs="仿宋_GB2312"/>
                <w:bCs/>
                <w:kern w:val="2"/>
                <w:sz w:val="28"/>
                <w:lang w:val="en-US" w:eastAsia="zh-CN" w:bidi="ar-SA"/>
              </w:rPr>
            </w:pPr>
            <w:r>
              <w:rPr>
                <w:rFonts w:hint="eastAsia" w:ascii="仿宋_GB2312" w:hAnsi="仿宋_GB2312" w:eastAsia="仿宋_GB2312" w:cs="仿宋_GB2312"/>
                <w:bCs/>
                <w:kern w:val="2"/>
                <w:sz w:val="28"/>
                <w:lang w:val="en-US" w:eastAsia="zh-CN" w:bidi="ar-SA"/>
              </w:rPr>
              <w:t>半年期商业汇票（包括银行承兑汇票和商业承兑汇票）</w:t>
            </w:r>
            <w:r>
              <w:rPr>
                <w:rFonts w:hint="eastAsia" w:ascii="仿宋_GB2312" w:hAnsi="仿宋_GB2312" w:cs="仿宋_GB2312"/>
                <w:bCs/>
                <w:kern w:val="2"/>
                <w:sz w:val="28"/>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default" w:ascii="仿宋_GB2312" w:hAnsi="仿宋_GB2312" w:eastAsia="仿宋_GB2312" w:cs="仿宋_GB2312"/>
                <w:bCs/>
                <w:lang w:val="en-US" w:eastAsia="zh-CN"/>
              </w:rPr>
            </w:pPr>
            <w:r>
              <w:rPr>
                <w:rFonts w:hint="eastAsia" w:ascii="仿宋_GB2312" w:hAnsi="仿宋_GB2312" w:cs="仿宋_GB2312"/>
                <w:bCs/>
                <w:lang w:val="en-US" w:eastAsia="zh-CN"/>
              </w:rPr>
              <w:t>2.</w:t>
            </w:r>
            <w:r>
              <w:rPr>
                <w:rFonts w:hint="eastAsia" w:ascii="仿宋_GB2312" w:hAnsi="仿宋_GB2312" w:eastAsia="仿宋_GB2312" w:cs="仿宋_GB2312"/>
                <w:bCs/>
                <w:lang w:val="en-US" w:eastAsia="zh-CN"/>
              </w:rPr>
              <w:t>付款节点</w:t>
            </w:r>
            <w:r>
              <w:rPr>
                <w:rFonts w:hint="eastAsia" w:ascii="仿宋_GB2312" w:hAnsi="仿宋_GB2312" w:cs="仿宋_GB2312"/>
                <w:bCs/>
                <w:lang w:val="en-US" w:eastAsia="zh-CN"/>
              </w:rPr>
              <w:t>:</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281" w:firstLineChars="100"/>
              <w:jc w:val="left"/>
              <w:textAlignment w:val="auto"/>
              <w:rPr>
                <w:rFonts w:hint="default" w:ascii="仿宋_GB2312" w:hAnsi="仿宋_GB2312" w:eastAsia="仿宋_GB2312" w:cs="仿宋_GB2312"/>
                <w:b/>
                <w:bCs w:val="0"/>
                <w:kern w:val="2"/>
                <w:sz w:val="28"/>
                <w:lang w:val="en-US" w:eastAsia="zh-CN" w:bidi="ar-SA"/>
              </w:rPr>
            </w:pPr>
            <w:r>
              <w:rPr>
                <w:rFonts w:hint="default" w:ascii="仿宋_GB2312" w:hAnsi="仿宋_GB2312" w:eastAsia="仿宋_GB2312" w:cs="仿宋_GB2312"/>
                <w:b/>
                <w:bCs w:val="0"/>
                <w:kern w:val="2"/>
                <w:sz w:val="28"/>
                <w:lang w:val="en-US" w:eastAsia="zh-CN" w:bidi="ar-SA"/>
              </w:rPr>
              <w:t>③</w:t>
            </w:r>
            <w:r>
              <w:rPr>
                <w:rFonts w:hint="eastAsia" w:ascii="仿宋_GB2312" w:hAnsi="仿宋_GB2312" w:cs="仿宋_GB2312"/>
                <w:b/>
                <w:bCs w:val="0"/>
                <w:kern w:val="2"/>
                <w:sz w:val="28"/>
                <w:lang w:val="en-US" w:eastAsia="zh-CN" w:bidi="ar-SA"/>
              </w:rPr>
              <w:t>3:6:1</w:t>
            </w:r>
            <w:r>
              <w:rPr>
                <w:rFonts w:hint="default" w:ascii="仿宋_GB2312" w:hAnsi="仿宋_GB2312" w:eastAsia="仿宋_GB2312" w:cs="仿宋_GB2312"/>
                <w:b/>
                <w:bCs w:val="0"/>
                <w:kern w:val="2"/>
                <w:sz w:val="28"/>
                <w:lang w:val="en-US" w:eastAsia="zh-CN" w:bidi="ar-SA"/>
              </w:rPr>
              <w:t xml:space="preserve"> ：</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560" w:firstLineChars="200"/>
              <w:jc w:val="left"/>
              <w:textAlignment w:val="auto"/>
              <w:rPr>
                <w:rFonts w:hint="default" w:ascii="仿宋_GB2312" w:hAnsi="仿宋_GB2312" w:eastAsia="仿宋_GB2312" w:cs="仿宋_GB2312"/>
                <w:bCs/>
                <w:kern w:val="2"/>
                <w:sz w:val="28"/>
                <w:lang w:val="en-US" w:eastAsia="zh-CN" w:bidi="ar-SA"/>
              </w:rPr>
            </w:pPr>
            <w:r>
              <w:rPr>
                <w:rFonts w:hint="default" w:ascii="仿宋_GB2312" w:hAnsi="仿宋_GB2312" w:eastAsia="仿宋_GB2312" w:cs="仿宋_GB2312"/>
                <w:bCs/>
                <w:kern w:val="2"/>
                <w:sz w:val="28"/>
                <w:lang w:val="en-US" w:eastAsia="zh-CN" w:bidi="ar-SA"/>
              </w:rPr>
              <w:t>A.设备全部到货后，中标人提交金额为合同价款30%的收据并提供合同价款30%的增值税专用发票（含复印件二份），经招标人依照财务制度审核通过后30日支付；</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560" w:firstLineChars="200"/>
              <w:jc w:val="left"/>
              <w:textAlignment w:val="auto"/>
              <w:rPr>
                <w:rFonts w:hint="default" w:ascii="仿宋_GB2312" w:hAnsi="仿宋_GB2312" w:eastAsia="仿宋_GB2312" w:cs="仿宋_GB2312"/>
                <w:bCs/>
                <w:kern w:val="2"/>
                <w:sz w:val="28"/>
                <w:lang w:val="en-US" w:eastAsia="zh-CN" w:bidi="ar-SA"/>
              </w:rPr>
            </w:pPr>
            <w:r>
              <w:rPr>
                <w:rFonts w:hint="default" w:ascii="仿宋_GB2312" w:hAnsi="仿宋_GB2312" w:eastAsia="仿宋_GB2312" w:cs="仿宋_GB2312"/>
                <w:bCs/>
                <w:kern w:val="2"/>
                <w:sz w:val="28"/>
                <w:lang w:val="en-US" w:eastAsia="zh-CN" w:bidi="ar-SA"/>
              </w:rPr>
              <w:t>B.设备验收合格后，中标人提交金额为合同价款60%的收据并提供合同价款70%的增值税专用发票（含复印件二份），经招标人依照财务制度审核通过后30日支付；</w:t>
            </w:r>
          </w:p>
          <w:p>
            <w:pPr>
              <w:ind w:firstLine="560" w:firstLineChars="200"/>
              <w:rPr>
                <w:rFonts w:hint="default" w:ascii="仿宋_GB2312" w:hAnsi="仿宋_GB2312" w:eastAsia="仿宋_GB2312" w:cs="仿宋_GB2312"/>
                <w:bCs/>
                <w:kern w:val="2"/>
                <w:sz w:val="28"/>
                <w:lang w:val="en-US" w:eastAsia="zh-CN" w:bidi="ar-SA"/>
              </w:rPr>
            </w:pPr>
            <w:r>
              <w:rPr>
                <w:rFonts w:hint="default" w:ascii="仿宋_GB2312" w:hAnsi="仿宋_GB2312" w:eastAsia="仿宋_GB2312" w:cs="仿宋_GB2312"/>
                <w:bCs/>
                <w:kern w:val="2"/>
                <w:sz w:val="28"/>
                <w:lang w:val="en-US" w:eastAsia="zh-CN" w:bidi="ar-SA"/>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3"/>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19183"/>
      <w:bookmarkStart w:id="8" w:name="_Toc27087"/>
      <w:bookmarkStart w:id="9" w:name="_Toc11216"/>
      <w:bookmarkStart w:id="10" w:name="_Toc6577"/>
      <w:bookmarkStart w:id="11" w:name="_Toc427"/>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6627"/>
      <w:bookmarkStart w:id="20" w:name="_Toc33265752"/>
      <w:bookmarkStart w:id="21" w:name="_Toc33267001"/>
      <w:bookmarkStart w:id="22" w:name="_Toc33266914"/>
      <w:bookmarkStart w:id="23" w:name="_Toc33265653"/>
      <w:bookmarkStart w:id="24" w:name="_Toc33266950"/>
      <w:bookmarkStart w:id="25" w:name="_Toc30534"/>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5654"/>
      <w:bookmarkStart w:id="29" w:name="_Toc33265753"/>
      <w:bookmarkStart w:id="30" w:name="_Toc33285489"/>
      <w:bookmarkStart w:id="31" w:name="_Toc395116634"/>
      <w:bookmarkStart w:id="32" w:name="_Toc33266915"/>
      <w:bookmarkStart w:id="33" w:name="_Toc33267002"/>
      <w:bookmarkStart w:id="34" w:name="_Toc33266951"/>
      <w:bookmarkStart w:id="35" w:name="_Toc33266628"/>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8"/>
      <w:bookmarkStart w:id="39" w:name="OLE_LINK26"/>
      <w:bookmarkStart w:id="40" w:name="OLE_LINK27"/>
      <w:bookmarkStart w:id="41" w:name="OLE_LINK29"/>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2363"/>
      <w:bookmarkStart w:id="45" w:name="_Toc13002"/>
      <w:bookmarkStart w:id="46" w:name="_Toc762"/>
      <w:bookmarkStart w:id="47" w:name="_Toc31869"/>
      <w:bookmarkStart w:id="48" w:name="_Toc21022"/>
      <w:bookmarkStart w:id="49" w:name="_Toc13479"/>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9"/>
      <w:bookmarkStart w:id="56" w:name="OLE_LINK18"/>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8" w:name="_Toc13562"/>
      <w:bookmarkStart w:id="59" w:name="_Toc30738"/>
      <w:bookmarkStart w:id="60" w:name="_Toc23870"/>
      <w:bookmarkStart w:id="61" w:name="_Toc7110"/>
      <w:bookmarkStart w:id="62" w:name="_Toc1884"/>
      <w:bookmarkStart w:id="63" w:name="_Toc3372"/>
      <w:bookmarkStart w:id="64" w:name="_Toc6346"/>
      <w:bookmarkStart w:id="65" w:name="_Toc32378"/>
      <w:bookmarkStart w:id="66" w:name="_Toc18805"/>
      <w:bookmarkStart w:id="67" w:name="_Toc13605"/>
      <w:bookmarkStart w:id="68" w:name="_Toc3565"/>
      <w:bookmarkStart w:id="69" w:name="_Toc11355"/>
      <w:bookmarkStart w:id="70" w:name="_Toc4194"/>
      <w:bookmarkStart w:id="71" w:name="_Toc19672"/>
      <w:bookmarkStart w:id="72" w:name="_Toc12552"/>
      <w:bookmarkStart w:id="73" w:name="_Toc4532"/>
      <w:bookmarkStart w:id="74" w:name="_Toc24913"/>
      <w:bookmarkStart w:id="75" w:name="_Toc16358"/>
      <w:bookmarkStart w:id="76" w:name="_Toc12563"/>
      <w:bookmarkStart w:id="77" w:name="_Toc13555"/>
      <w:bookmarkStart w:id="78" w:name="_Toc21497"/>
      <w:bookmarkStart w:id="79" w:name="_Toc20272"/>
      <w:bookmarkStart w:id="80" w:name="_Toc7511"/>
      <w:bookmarkStart w:id="81" w:name="_Toc8032"/>
      <w:bookmarkStart w:id="82" w:name="_Toc28236"/>
      <w:bookmarkStart w:id="83" w:name="_Toc14517"/>
      <w:bookmarkStart w:id="84" w:name="_Toc12714"/>
      <w:bookmarkStart w:id="85" w:name="_Toc24964"/>
      <w:bookmarkStart w:id="86" w:name="_Toc20467"/>
      <w:bookmarkStart w:id="87" w:name="_Toc8202"/>
      <w:bookmarkStart w:id="88" w:name="_Toc18182"/>
      <w:bookmarkStart w:id="89" w:name="_Toc133783966"/>
      <w:bookmarkStart w:id="90" w:name="_Toc18606"/>
      <w:bookmarkStart w:id="91" w:name="_Toc6957"/>
      <w:bookmarkStart w:id="92" w:name="_Toc13988"/>
      <w:bookmarkStart w:id="93" w:name="_Toc4483"/>
      <w:bookmarkStart w:id="94" w:name="_Toc22649"/>
      <w:bookmarkStart w:id="95" w:name="_Toc4029"/>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10"/>
        </w:numPr>
        <w:spacing w:line="360" w:lineRule="auto"/>
        <w:rPr>
          <w:rFonts w:hint="eastAsia" w:ascii="仿宋_GB2312" w:hAnsi="仿宋_GB2312" w:eastAsia="仿宋_GB2312" w:cs="仿宋_GB2312"/>
          <w:sz w:val="44"/>
          <w:highlight w:val="green"/>
        </w:rPr>
      </w:pPr>
      <w:bookmarkStart w:id="96" w:name="_Toc10008"/>
      <w:r>
        <w:rPr>
          <w:rFonts w:hint="eastAsia" w:ascii="仿宋_GB2312" w:hAnsi="仿宋_GB2312" w:eastAsia="仿宋_GB2312" w:cs="仿宋_GB2312"/>
          <w:sz w:val="44"/>
          <w:highlight w:val="green"/>
        </w:rPr>
        <w:t>技术标书</w:t>
      </w:r>
      <w:bookmarkEnd w:id="96"/>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171"/>
        <w:jc w:val="both"/>
        <w:rPr>
          <w:rFonts w:hint="eastAsia"/>
        </w:rPr>
      </w:pPr>
      <w:bookmarkStart w:id="97" w:name="_Toc47976607"/>
    </w:p>
    <w:p>
      <w:pPr>
        <w:pStyle w:val="171"/>
        <w:jc w:val="both"/>
        <w:rPr>
          <w:rFonts w:hint="eastAsia"/>
        </w:rPr>
      </w:pPr>
    </w:p>
    <w:p>
      <w:pPr>
        <w:pStyle w:val="171"/>
        <w:jc w:val="center"/>
        <w:rPr>
          <w:rFonts w:hint="eastAsia"/>
        </w:rPr>
      </w:pPr>
      <w:bookmarkStart w:id="98" w:name="_Toc1910"/>
    </w:p>
    <w:bookmarkEnd w:id="97"/>
    <w:bookmarkEnd w:id="98"/>
    <w:p>
      <w:pPr>
        <w:keepNext w:val="0"/>
        <w:keepLines w:val="0"/>
        <w:widowControl w:val="0"/>
        <w:suppressLineNumbers w:val="0"/>
        <w:spacing w:before="0" w:beforeAutospacing="0" w:after="0" w:afterAutospacing="0"/>
        <w:ind w:left="0" w:right="0"/>
        <w:jc w:val="center"/>
        <w:rPr>
          <w:rFonts w:hint="eastAsia"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特种车公司</w:t>
      </w:r>
    </w:p>
    <w:p>
      <w:pPr>
        <w:keepNext w:val="0"/>
        <w:keepLines w:val="0"/>
        <w:widowControl w:val="0"/>
        <w:suppressLineNumbers w:val="0"/>
        <w:spacing w:before="0" w:beforeAutospacing="0" w:after="0" w:afterAutospacing="0"/>
        <w:ind w:left="0" w:right="0"/>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lang w:val="en-US" w:eastAsia="zh-CN"/>
        </w:rPr>
        <w:t>新增</w:t>
      </w:r>
      <w:r>
        <w:rPr>
          <w:rFonts w:hint="eastAsia" w:ascii="Calibri" w:hAnsi="宋体" w:cs="Times New Roman"/>
          <w:b/>
          <w:bCs/>
          <w:color w:val="auto"/>
          <w:spacing w:val="-8"/>
          <w:sz w:val="48"/>
          <w:szCs w:val="44"/>
          <w:lang w:val="en-US" w:eastAsia="zh-CN"/>
        </w:rPr>
        <w:t>拧紧</w:t>
      </w:r>
      <w:r>
        <w:rPr>
          <w:rFonts w:hint="eastAsia" w:ascii="Calibri" w:hAnsi="宋体" w:eastAsia="宋体" w:cs="Times New Roman"/>
          <w:b/>
          <w:bCs/>
          <w:color w:val="auto"/>
          <w:spacing w:val="-8"/>
          <w:sz w:val="48"/>
          <w:szCs w:val="44"/>
          <w:lang w:val="en-US" w:eastAsia="zh-CN"/>
        </w:rPr>
        <w:t>设备</w:t>
      </w:r>
      <w:r>
        <w:rPr>
          <w:rFonts w:hint="eastAsia" w:ascii="Calibri" w:hAnsi="宋体" w:eastAsia="宋体" w:cs="Times New Roman"/>
          <w:b/>
          <w:bCs/>
          <w:color w:val="auto"/>
          <w:spacing w:val="-8"/>
          <w:sz w:val="48"/>
          <w:szCs w:val="44"/>
        </w:rPr>
        <w:t>项目</w:t>
      </w:r>
    </w:p>
    <w:p>
      <w:pPr>
        <w:pStyle w:val="22"/>
        <w:framePr w:wrap="around" w:vAnchor="margin" w:hAnchor="text" w:y="1"/>
        <w:rPr>
          <w:color w:val="auto"/>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技</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术</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书</w:t>
      </w:r>
    </w:p>
    <w:p>
      <w:pPr>
        <w:pStyle w:val="22"/>
        <w:framePr w:wrap="around" w:vAnchor="margin" w:hAnchor="text" w:y="1"/>
        <w:rPr>
          <w:color w:val="auto"/>
        </w:rPr>
      </w:pPr>
    </w:p>
    <w:p>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w:t>
      </w:r>
    </w:p>
    <w:p>
      <w:pPr>
        <w:jc w:val="center"/>
        <w:rPr>
          <w:rFonts w:hint="eastAsia" w:ascii="宋体" w:hAnsi="宋体" w:eastAsia="宋体" w:cs="Times New Roman"/>
          <w:color w:val="auto"/>
          <w:sz w:val="28"/>
          <w:szCs w:val="28"/>
        </w:rPr>
      </w:pPr>
    </w:p>
    <w:p>
      <w:pPr>
        <w:jc w:val="center"/>
        <w:rPr>
          <w:rFonts w:hint="eastAsia" w:ascii="宋体" w:hAnsi="宋体" w:eastAsia="宋体" w:cs="Times New Roman"/>
          <w:color w:val="auto"/>
          <w:sz w:val="28"/>
          <w:szCs w:val="28"/>
        </w:rPr>
      </w:pP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spacing w:line="480" w:lineRule="exact"/>
        <w:rPr>
          <w:rFonts w:ascii="黑体" w:hAnsi="宋体" w:eastAsia="黑体"/>
          <w:color w:val="auto"/>
        </w:rPr>
        <w:sectPr>
          <w:headerReference r:id="rId10" w:type="default"/>
          <w:footerReference r:id="rId11" w:type="default"/>
          <w:pgSz w:w="11906" w:h="16838"/>
          <w:pgMar w:top="1701" w:right="1418" w:bottom="1134" w:left="1701" w:header="1021" w:footer="680" w:gutter="0"/>
          <w:pgNumType w:start="1"/>
          <w:cols w:space="720" w:num="1"/>
          <w:docGrid w:type="lines" w:linePitch="312" w:charSpace="0"/>
        </w:sectPr>
      </w:pPr>
    </w:p>
    <w:p>
      <w:pPr>
        <w:pStyle w:val="2"/>
        <w:spacing w:before="120" w:after="120" w:line="480" w:lineRule="exact"/>
        <w:jc w:val="center"/>
        <w:rPr>
          <w:rFonts w:hint="eastAsia" w:ascii="黑体" w:eastAsia="黑体"/>
          <w:b w:val="0"/>
          <w:color w:val="auto"/>
          <w:sz w:val="24"/>
          <w:szCs w:val="24"/>
        </w:rPr>
      </w:pPr>
      <w:bookmarkStart w:id="99" w:name="_Toc2567"/>
      <w:bookmarkStart w:id="100" w:name="_Toc2894"/>
      <w:bookmarkStart w:id="101" w:name="_Toc1271"/>
      <w:bookmarkStart w:id="102" w:name="_Toc28854"/>
      <w:bookmarkStart w:id="103" w:name="_Toc137705865"/>
      <w:r>
        <w:rPr>
          <w:rFonts w:hint="eastAsia" w:ascii="黑体" w:eastAsia="黑体"/>
          <w:b w:val="0"/>
          <w:color w:val="auto"/>
          <w:sz w:val="24"/>
          <w:szCs w:val="24"/>
        </w:rPr>
        <w:t>第一章  采购货物概况</w:t>
      </w:r>
      <w:bookmarkEnd w:id="99"/>
      <w:bookmarkEnd w:id="100"/>
      <w:bookmarkEnd w:id="101"/>
      <w:bookmarkEnd w:id="102"/>
      <w:bookmarkEnd w:id="103"/>
    </w:p>
    <w:p>
      <w:pPr>
        <w:spacing w:line="480" w:lineRule="exact"/>
        <w:rPr>
          <w:rFonts w:hint="eastAsia" w:ascii="黑体" w:hAnsi="宋体" w:eastAsia="黑体"/>
          <w:color w:val="auto"/>
        </w:rPr>
      </w:pPr>
    </w:p>
    <w:p>
      <w:pPr>
        <w:pStyle w:val="4"/>
        <w:spacing w:before="120" w:after="120" w:line="480" w:lineRule="exact"/>
        <w:jc w:val="center"/>
        <w:rPr>
          <w:rFonts w:hint="eastAsia"/>
          <w:b w:val="0"/>
          <w:color w:val="auto"/>
          <w:sz w:val="24"/>
          <w:szCs w:val="24"/>
        </w:rPr>
      </w:pPr>
      <w:bookmarkStart w:id="104" w:name="_Toc13953"/>
      <w:bookmarkStart w:id="105" w:name="_Toc9247"/>
      <w:bookmarkStart w:id="106" w:name="_Toc137705866"/>
      <w:bookmarkStart w:id="107" w:name="_Toc13530"/>
      <w:bookmarkStart w:id="108" w:name="_Toc24900"/>
      <w:r>
        <w:rPr>
          <w:rFonts w:hint="eastAsia"/>
          <w:b w:val="0"/>
          <w:color w:val="auto"/>
          <w:sz w:val="24"/>
          <w:szCs w:val="24"/>
        </w:rPr>
        <w:t>第一节  使用环境</w:t>
      </w:r>
      <w:bookmarkEnd w:id="104"/>
      <w:bookmarkEnd w:id="105"/>
      <w:bookmarkEnd w:id="106"/>
      <w:bookmarkEnd w:id="107"/>
      <w:bookmarkEnd w:id="108"/>
    </w:p>
    <w:p>
      <w:pPr>
        <w:spacing w:line="480" w:lineRule="exact"/>
        <w:ind w:firstLine="420" w:firstLineChars="200"/>
        <w:rPr>
          <w:rFonts w:hint="eastAsia" w:ascii="黑体" w:hAnsi="宋体" w:eastAsia="黑体"/>
          <w:color w:val="auto"/>
          <w:u w:val="single"/>
          <w:shd w:val="pct10" w:color="auto" w:fill="FFFFFF"/>
        </w:rPr>
      </w:pPr>
      <w:r>
        <w:rPr>
          <w:rFonts w:hint="eastAsia" w:ascii="黑体" w:hAnsi="宋体" w:eastAsia="黑体"/>
          <w:color w:val="auto"/>
        </w:rPr>
        <w:t>一、项目名称：</w:t>
      </w:r>
      <w:r>
        <w:rPr>
          <w:rFonts w:hint="eastAsia" w:ascii="黑体" w:hAnsi="宋体" w:eastAsia="黑体"/>
          <w:color w:val="auto"/>
          <w:u w:val="single"/>
          <w:shd w:val="pct10" w:color="auto" w:fill="FFFFFF"/>
        </w:rPr>
        <w:t xml:space="preserve"> </w:t>
      </w:r>
      <w:r>
        <w:rPr>
          <w:rFonts w:hint="eastAsia" w:ascii="宋体" w:hAnsi="宋体" w:eastAsia="宋体" w:cs="宋体"/>
          <w:color w:val="auto"/>
          <w:u w:val="single"/>
          <w:shd w:val="pct10" w:color="auto" w:fill="FFFFFF"/>
          <w:lang w:val="en-US" w:eastAsia="zh-CN"/>
        </w:rPr>
        <w:t>特种车公司新增</w:t>
      </w:r>
      <w:r>
        <w:rPr>
          <w:rFonts w:hint="eastAsia" w:ascii="宋体" w:hAnsi="宋体" w:cs="宋体"/>
          <w:color w:val="auto"/>
          <w:u w:val="single"/>
          <w:shd w:val="pct10" w:color="auto" w:fill="FFFFFF"/>
          <w:lang w:val="en-US" w:eastAsia="zh-CN"/>
        </w:rPr>
        <w:t>拧紧设备</w:t>
      </w:r>
      <w:r>
        <w:rPr>
          <w:rFonts w:hint="eastAsia" w:ascii="宋体" w:hAnsi="宋体"/>
          <w:color w:val="auto"/>
          <w:u w:val="single"/>
          <w:shd w:val="pct10" w:color="auto" w:fill="FFFFFF"/>
        </w:rPr>
        <w:t>项目</w:t>
      </w:r>
      <w:r>
        <w:rPr>
          <w:rFonts w:hint="eastAsia" w:ascii="黑体" w:hAnsi="宋体" w:eastAsia="黑体"/>
          <w:color w:val="auto"/>
          <w:u w:val="single"/>
          <w:shd w:val="pct10" w:color="auto" w:fill="FFFFFF"/>
        </w:rPr>
        <w:t xml:space="preserve">   </w:t>
      </w:r>
    </w:p>
    <w:p>
      <w:pPr>
        <w:spacing w:line="480" w:lineRule="exact"/>
        <w:ind w:firstLine="420" w:firstLineChars="200"/>
        <w:rPr>
          <w:rFonts w:hint="eastAsia" w:ascii="宋体" w:hAnsi="宋体"/>
          <w:color w:val="auto"/>
        </w:rPr>
      </w:pPr>
      <w:r>
        <w:rPr>
          <w:rFonts w:hint="eastAsia" w:ascii="黑体" w:hAnsi="宋体" w:eastAsia="黑体"/>
          <w:color w:val="auto"/>
        </w:rPr>
        <w:t>二、建设地点：</w:t>
      </w:r>
      <w:r>
        <w:rPr>
          <w:rFonts w:hint="eastAsia" w:ascii="宋体" w:hAnsi="宋体"/>
          <w:color w:val="auto"/>
          <w:u w:val="single"/>
          <w:shd w:val="pct10" w:color="auto" w:fill="FFFFFF"/>
        </w:rPr>
        <w:t xml:space="preserve"> 中国重汽集团</w:t>
      </w:r>
      <w:r>
        <w:rPr>
          <w:rFonts w:hint="eastAsia" w:ascii="宋体" w:hAnsi="宋体"/>
          <w:color w:val="auto"/>
          <w:highlight w:val="none"/>
          <w:u w:val="single"/>
          <w:shd w:val="pct10" w:color="auto" w:fill="FFFFFF"/>
        </w:rPr>
        <w:t>济南</w:t>
      </w:r>
      <w:r>
        <w:rPr>
          <w:rFonts w:hint="eastAsia" w:ascii="宋体" w:hAnsi="宋体"/>
          <w:color w:val="auto"/>
          <w:highlight w:val="none"/>
          <w:u w:val="single"/>
          <w:shd w:val="pct10" w:color="auto" w:fill="FFFFFF"/>
          <w:lang w:val="en-US" w:eastAsia="zh-CN"/>
        </w:rPr>
        <w:t>特种车</w:t>
      </w:r>
      <w:r>
        <w:rPr>
          <w:rFonts w:hint="eastAsia" w:ascii="宋体" w:hAnsi="宋体"/>
          <w:color w:val="auto"/>
          <w:highlight w:val="none"/>
          <w:u w:val="single"/>
          <w:shd w:val="pct10" w:color="auto" w:fill="FFFFFF"/>
        </w:rPr>
        <w:t>有限公司</w:t>
      </w:r>
      <w:r>
        <w:rPr>
          <w:rFonts w:hint="eastAsia" w:ascii="宋体" w:hAnsi="宋体"/>
          <w:color w:val="auto"/>
          <w:highlight w:val="none"/>
          <w:u w:val="single"/>
          <w:shd w:val="pct10" w:color="auto" w:fill="FFFFFF"/>
          <w:lang w:val="en-US" w:eastAsia="zh-CN"/>
        </w:rPr>
        <w:t>总七车间</w:t>
      </w:r>
      <w:r>
        <w:rPr>
          <w:rFonts w:hint="eastAsia" w:ascii="宋体" w:hAnsi="宋体"/>
          <w:color w:val="auto"/>
          <w:u w:val="single"/>
          <w:shd w:val="pct10" w:color="auto" w:fill="FFFFFF"/>
        </w:rPr>
        <w:t xml:space="preserve">     </w:t>
      </w:r>
    </w:p>
    <w:p>
      <w:pPr>
        <w:spacing w:line="480" w:lineRule="exact"/>
        <w:ind w:firstLine="420" w:firstLineChars="200"/>
        <w:rPr>
          <w:rFonts w:hint="eastAsia" w:ascii="宋体" w:hAnsi="宋体"/>
          <w:color w:val="auto"/>
          <w:u w:val="single"/>
          <w:shd w:val="pct10" w:color="auto" w:fill="FFFFFF"/>
        </w:rPr>
      </w:pPr>
      <w:r>
        <w:rPr>
          <w:rFonts w:hint="eastAsia" w:ascii="黑体" w:hAnsi="宋体" w:eastAsia="黑体"/>
          <w:color w:val="auto"/>
        </w:rPr>
        <w:t>三、使用地点：</w:t>
      </w:r>
      <w:r>
        <w:rPr>
          <w:rFonts w:hint="eastAsia" w:ascii="宋体" w:hAnsi="宋体"/>
          <w:color w:val="auto"/>
          <w:u w:val="single"/>
          <w:shd w:val="pct10" w:color="auto" w:fill="FFFFFF"/>
        </w:rPr>
        <w:t xml:space="preserve"> 中国重汽集团</w:t>
      </w:r>
      <w:r>
        <w:rPr>
          <w:rFonts w:hint="eastAsia" w:ascii="宋体" w:hAnsi="宋体"/>
          <w:color w:val="auto"/>
          <w:highlight w:val="none"/>
          <w:u w:val="single"/>
          <w:shd w:val="pct10" w:color="auto" w:fill="FFFFFF"/>
        </w:rPr>
        <w:t>济南</w:t>
      </w:r>
      <w:r>
        <w:rPr>
          <w:rFonts w:hint="eastAsia" w:ascii="宋体" w:hAnsi="宋体"/>
          <w:color w:val="auto"/>
          <w:highlight w:val="none"/>
          <w:u w:val="single"/>
          <w:shd w:val="pct10" w:color="auto" w:fill="FFFFFF"/>
          <w:lang w:val="en-US" w:eastAsia="zh-CN"/>
        </w:rPr>
        <w:t>特种车</w:t>
      </w:r>
      <w:r>
        <w:rPr>
          <w:rFonts w:hint="eastAsia" w:ascii="宋体" w:hAnsi="宋体"/>
          <w:color w:val="auto"/>
          <w:highlight w:val="none"/>
          <w:u w:val="single"/>
          <w:shd w:val="pct10" w:color="auto" w:fill="FFFFFF"/>
        </w:rPr>
        <w:t>有限公司</w:t>
      </w:r>
      <w:r>
        <w:rPr>
          <w:rFonts w:hint="eastAsia" w:ascii="宋体" w:hAnsi="宋体"/>
          <w:color w:val="auto"/>
          <w:highlight w:val="none"/>
          <w:u w:val="single"/>
          <w:shd w:val="pct10" w:color="auto" w:fill="FFFFFF"/>
          <w:lang w:val="en-US" w:eastAsia="zh-CN"/>
        </w:rPr>
        <w:t>总七车间</w:t>
      </w:r>
      <w:r>
        <w:rPr>
          <w:rFonts w:hint="eastAsia" w:ascii="宋体" w:hAnsi="宋体"/>
          <w:color w:val="auto"/>
          <w:u w:val="single"/>
          <w:shd w:val="pct10" w:color="auto" w:fill="FFFFFF"/>
        </w:rPr>
        <w:t xml:space="preserve">  </w:t>
      </w:r>
    </w:p>
    <w:p>
      <w:pPr>
        <w:spacing w:line="480" w:lineRule="exact"/>
        <w:ind w:firstLine="420" w:firstLineChars="200"/>
        <w:rPr>
          <w:rFonts w:hint="eastAsia" w:ascii="宋体" w:hAnsi="宋体"/>
          <w:color w:val="auto"/>
        </w:rPr>
      </w:pPr>
      <w:r>
        <w:rPr>
          <w:rFonts w:hint="eastAsia" w:ascii="黑体" w:hAnsi="宋体" w:eastAsia="黑体"/>
          <w:color w:val="auto"/>
        </w:rPr>
        <w:t>四、工作制度：</w:t>
      </w:r>
      <w:r>
        <w:rPr>
          <w:rFonts w:hint="eastAsia" w:ascii="宋体" w:hAnsi="宋体"/>
          <w:color w:val="auto"/>
        </w:rPr>
        <w:t>全年工作</w:t>
      </w:r>
      <w:r>
        <w:rPr>
          <w:rFonts w:hint="eastAsia" w:ascii="宋体" w:hAnsi="宋体"/>
          <w:color w:val="auto"/>
          <w:lang w:val="en-US" w:eastAsia="zh-CN"/>
        </w:rPr>
        <w:t>300</w:t>
      </w:r>
      <w:r>
        <w:rPr>
          <w:rFonts w:hint="eastAsia" w:ascii="宋体" w:hAnsi="宋体"/>
          <w:color w:val="auto"/>
        </w:rPr>
        <w:t>天、</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1</w:t>
      </w:r>
      <w:r>
        <w:rPr>
          <w:rFonts w:hint="eastAsia" w:ascii="宋体" w:hAnsi="宋体"/>
          <w:color w:val="auto"/>
          <w:u w:val="single"/>
          <w:shd w:val="pct10" w:color="auto" w:fill="FFFFFF"/>
        </w:rPr>
        <w:t xml:space="preserve">  </w:t>
      </w:r>
      <w:r>
        <w:rPr>
          <w:rFonts w:hint="eastAsia" w:ascii="宋体" w:hAnsi="宋体"/>
          <w:color w:val="auto"/>
        </w:rPr>
        <w:t>班制、设备年时基数</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3</w:t>
      </w:r>
      <w:r>
        <w:rPr>
          <w:rFonts w:hint="eastAsia" w:ascii="宋体" w:hAnsi="宋体"/>
          <w:color w:val="auto"/>
          <w:u w:val="single"/>
          <w:shd w:val="pct10" w:color="auto" w:fill="FFFFFF"/>
        </w:rPr>
        <w:t xml:space="preserve">000 </w:t>
      </w:r>
      <w:r>
        <w:rPr>
          <w:rFonts w:hint="eastAsia" w:ascii="宋体" w:hAnsi="宋体"/>
          <w:color w:val="auto"/>
        </w:rPr>
        <w:t>小时</w:t>
      </w:r>
    </w:p>
    <w:p>
      <w:pPr>
        <w:spacing w:line="480" w:lineRule="exact"/>
        <w:ind w:firstLine="420" w:firstLineChars="200"/>
        <w:rPr>
          <w:rFonts w:hint="eastAsia" w:ascii="黑体" w:hAnsi="宋体" w:eastAsia="黑体"/>
          <w:color w:val="auto"/>
        </w:rPr>
      </w:pPr>
      <w:r>
        <w:rPr>
          <w:rFonts w:hint="eastAsia" w:ascii="黑体" w:hAnsi="宋体" w:eastAsia="黑体"/>
          <w:color w:val="auto"/>
        </w:rPr>
        <w:t>五、使用地点区域自然环境：</w:t>
      </w:r>
    </w:p>
    <w:p>
      <w:pPr>
        <w:spacing w:line="480" w:lineRule="exact"/>
        <w:ind w:firstLine="420" w:firstLineChars="200"/>
        <w:rPr>
          <w:rFonts w:hint="eastAsia" w:ascii="宋体" w:hAnsi="宋体"/>
          <w:color w:val="auto"/>
        </w:rPr>
      </w:pPr>
      <w:r>
        <w:rPr>
          <w:rFonts w:hint="eastAsia" w:ascii="宋体" w:hAnsi="宋体"/>
          <w:bCs/>
          <w:color w:val="auto"/>
        </w:rPr>
        <w:t>1、海拨高度：1000</w:t>
      </w:r>
      <w:r>
        <w:rPr>
          <w:rFonts w:ascii="宋体" w:hAnsi="宋体"/>
          <w:bCs/>
          <w:color w:val="auto"/>
        </w:rPr>
        <w:t>m</w:t>
      </w:r>
      <w:r>
        <w:rPr>
          <w:rFonts w:hint="eastAsia" w:ascii="宋体" w:hAnsi="宋体"/>
          <w:bCs/>
          <w:color w:val="auto"/>
        </w:rPr>
        <w:t>以下</w:t>
      </w:r>
    </w:p>
    <w:p>
      <w:pPr>
        <w:spacing w:line="480" w:lineRule="exact"/>
        <w:ind w:left="2047" w:leftChars="200" w:hanging="1627" w:hangingChars="775"/>
        <w:rPr>
          <w:rFonts w:hint="eastAsia" w:ascii="宋体" w:hAnsi="宋体"/>
          <w:color w:val="auto"/>
        </w:rPr>
      </w:pPr>
      <w:r>
        <w:rPr>
          <w:rFonts w:hint="eastAsia" w:ascii="宋体" w:hAnsi="宋体"/>
          <w:color w:val="auto"/>
        </w:rPr>
        <w:t>2、环境温度：室外极端最低温度-19.7℃、极端最高温度42℃，昼夜最大温</w:t>
      </w:r>
      <w:r>
        <w:rPr>
          <w:rFonts w:hint="eastAsia" w:ascii="宋体" w:hAnsi="宋体"/>
          <w:bCs/>
          <w:color w:val="auto"/>
        </w:rPr>
        <w:t>差25℃；室内温度5～40℃。</w:t>
      </w:r>
    </w:p>
    <w:p>
      <w:pPr>
        <w:spacing w:line="480" w:lineRule="exact"/>
        <w:ind w:firstLine="420" w:firstLineChars="200"/>
        <w:rPr>
          <w:rFonts w:hint="eastAsia" w:ascii="宋体" w:hAnsi="宋体"/>
          <w:color w:val="auto"/>
        </w:rPr>
      </w:pPr>
      <w:r>
        <w:rPr>
          <w:rFonts w:hint="eastAsia" w:ascii="宋体" w:hAnsi="宋体"/>
          <w:color w:val="auto"/>
        </w:rPr>
        <w:t>3、相对湿度：年平均59%，</w:t>
      </w:r>
      <w:r>
        <w:rPr>
          <w:rFonts w:hint="eastAsia" w:ascii="宋体" w:hAnsi="宋体"/>
          <w:bCs/>
          <w:color w:val="auto"/>
        </w:rPr>
        <w:t>最大95%、最小15%。</w:t>
      </w:r>
    </w:p>
    <w:p>
      <w:pPr>
        <w:spacing w:line="480" w:lineRule="exact"/>
        <w:ind w:firstLine="420" w:firstLineChars="200"/>
        <w:rPr>
          <w:rFonts w:hint="eastAsia" w:ascii="宋体" w:hAnsi="宋体"/>
          <w:color w:val="auto"/>
        </w:rPr>
      </w:pPr>
      <w:r>
        <w:rPr>
          <w:rFonts w:hint="eastAsia" w:ascii="宋体" w:hAnsi="宋体"/>
          <w:color w:val="auto"/>
        </w:rPr>
        <w:t>4、降雨量：日最大降雨量300mm、时最大降雨量100mm。</w:t>
      </w:r>
    </w:p>
    <w:p>
      <w:pPr>
        <w:spacing w:line="480" w:lineRule="exact"/>
        <w:ind w:firstLine="420" w:firstLineChars="200"/>
        <w:rPr>
          <w:rFonts w:hint="eastAsia" w:ascii="宋体" w:hAnsi="宋体"/>
          <w:color w:val="auto"/>
        </w:rPr>
      </w:pPr>
      <w:r>
        <w:rPr>
          <w:rFonts w:hint="eastAsia" w:ascii="宋体" w:hAnsi="宋体"/>
          <w:color w:val="auto"/>
        </w:rPr>
        <w:t>5、最大风速：33.3m/s。</w:t>
      </w:r>
    </w:p>
    <w:p>
      <w:pPr>
        <w:spacing w:line="480" w:lineRule="exact"/>
        <w:ind w:firstLine="420" w:firstLineChars="200"/>
        <w:rPr>
          <w:rFonts w:hint="eastAsia" w:ascii="宋体" w:hAnsi="宋体"/>
          <w:color w:val="auto"/>
        </w:rPr>
      </w:pPr>
      <w:r>
        <w:rPr>
          <w:rFonts w:hint="eastAsia" w:ascii="宋体" w:hAnsi="宋体"/>
          <w:color w:val="auto"/>
        </w:rPr>
        <w:t>6、最大积雪厚度：200mm。</w:t>
      </w:r>
    </w:p>
    <w:p>
      <w:pPr>
        <w:spacing w:line="480" w:lineRule="exact"/>
        <w:ind w:firstLine="420" w:firstLineChars="200"/>
        <w:rPr>
          <w:rFonts w:hint="eastAsia" w:ascii="宋体" w:hAnsi="宋体"/>
          <w:color w:val="auto"/>
        </w:rPr>
      </w:pPr>
      <w:r>
        <w:rPr>
          <w:rFonts w:hint="eastAsia" w:ascii="宋体" w:hAnsi="宋体"/>
          <w:color w:val="auto"/>
        </w:rPr>
        <w:t>7、最大冻土深度：450mm。</w:t>
      </w:r>
    </w:p>
    <w:p>
      <w:pPr>
        <w:spacing w:line="480" w:lineRule="exact"/>
        <w:ind w:firstLine="420" w:firstLineChars="200"/>
        <w:rPr>
          <w:rFonts w:hint="eastAsia" w:ascii="宋体" w:hAnsi="宋体"/>
          <w:color w:val="auto"/>
        </w:rPr>
      </w:pPr>
      <w:r>
        <w:rPr>
          <w:rFonts w:hint="eastAsia" w:ascii="宋体" w:hAnsi="宋体"/>
          <w:color w:val="auto"/>
        </w:rPr>
        <w:t>8、地震设防裂度：七度。</w:t>
      </w:r>
    </w:p>
    <w:p>
      <w:pPr>
        <w:spacing w:line="480" w:lineRule="exact"/>
        <w:ind w:firstLine="420" w:firstLineChars="200"/>
        <w:rPr>
          <w:rFonts w:hint="eastAsia" w:ascii="宋体" w:hAnsi="宋体"/>
          <w:color w:val="auto"/>
        </w:rPr>
      </w:pPr>
      <w:r>
        <w:rPr>
          <w:rFonts w:hint="eastAsia" w:ascii="黑体" w:hAnsi="宋体" w:eastAsia="黑体"/>
          <w:color w:val="auto"/>
        </w:rPr>
        <w:t>六、能源环境：</w:t>
      </w:r>
    </w:p>
    <w:p>
      <w:pPr>
        <w:spacing w:line="480" w:lineRule="exact"/>
        <w:ind w:firstLine="420" w:firstLineChars="200"/>
        <w:rPr>
          <w:rFonts w:hint="eastAsia" w:ascii="宋体" w:hAnsi="宋体"/>
          <w:color w:val="auto"/>
        </w:rPr>
      </w:pPr>
      <w:r>
        <w:rPr>
          <w:rFonts w:hint="eastAsia" w:ascii="宋体" w:hAnsi="宋体"/>
          <w:color w:val="auto"/>
        </w:rPr>
        <w:t>1、电力：中国制式，供电电压</w:t>
      </w:r>
      <w:r>
        <w:rPr>
          <w:rFonts w:ascii="宋体" w:hAnsi="宋体"/>
          <w:color w:val="auto"/>
        </w:rPr>
        <w:t>380V</w:t>
      </w:r>
      <w:r>
        <w:rPr>
          <w:rFonts w:hint="eastAsia" w:ascii="宋体" w:hAnsi="宋体"/>
          <w:color w:val="auto"/>
        </w:rPr>
        <w:t>±</w:t>
      </w:r>
      <w:r>
        <w:rPr>
          <w:rFonts w:ascii="宋体" w:hAnsi="宋体"/>
          <w:color w:val="auto"/>
        </w:rPr>
        <w:t>1</w:t>
      </w:r>
      <w:r>
        <w:rPr>
          <w:rFonts w:hint="eastAsia" w:ascii="宋体" w:hAnsi="宋体"/>
          <w:color w:val="auto"/>
        </w:rPr>
        <w:t>5</w:t>
      </w:r>
      <w:r>
        <w:rPr>
          <w:rFonts w:ascii="宋体" w:hAnsi="宋体"/>
          <w:color w:val="auto"/>
        </w:rPr>
        <w:t>%</w:t>
      </w:r>
      <w:r>
        <w:rPr>
          <w:rFonts w:hint="eastAsia" w:ascii="宋体" w:hAnsi="宋体"/>
          <w:color w:val="auto"/>
        </w:rPr>
        <w:t>/220V±</w:t>
      </w:r>
      <w:r>
        <w:rPr>
          <w:rFonts w:ascii="宋体" w:hAnsi="宋体"/>
          <w:color w:val="auto"/>
        </w:rPr>
        <w:t>1</w:t>
      </w:r>
      <w:r>
        <w:rPr>
          <w:rFonts w:hint="eastAsia" w:ascii="宋体" w:hAnsi="宋体"/>
          <w:color w:val="auto"/>
        </w:rPr>
        <w:t>5</w:t>
      </w:r>
      <w:r>
        <w:rPr>
          <w:rFonts w:ascii="宋体" w:hAnsi="宋体"/>
          <w:color w:val="auto"/>
        </w:rPr>
        <w:t>%</w:t>
      </w:r>
      <w:r>
        <w:rPr>
          <w:rFonts w:hint="eastAsia" w:ascii="宋体" w:hAnsi="宋体"/>
          <w:color w:val="auto"/>
        </w:rPr>
        <w:t>，供电频率</w:t>
      </w:r>
      <w:r>
        <w:rPr>
          <w:rFonts w:ascii="宋体" w:hAnsi="宋体"/>
          <w:color w:val="auto"/>
        </w:rPr>
        <w:t>50Hz</w:t>
      </w:r>
      <w:r>
        <w:rPr>
          <w:rFonts w:hint="eastAsia" w:ascii="宋体" w:hAnsi="宋体"/>
          <w:color w:val="auto"/>
        </w:rPr>
        <w:t>±</w:t>
      </w:r>
      <w:r>
        <w:rPr>
          <w:rFonts w:ascii="宋体" w:hAnsi="宋体"/>
          <w:color w:val="auto"/>
        </w:rPr>
        <w:t>2%</w:t>
      </w:r>
      <w:r>
        <w:rPr>
          <w:rFonts w:hint="eastAsia" w:ascii="宋体" w:hAnsi="宋体"/>
          <w:color w:val="auto"/>
        </w:rPr>
        <w:t>。</w:t>
      </w:r>
    </w:p>
    <w:p>
      <w:pPr>
        <w:spacing w:line="480" w:lineRule="exact"/>
        <w:ind w:firstLine="420" w:firstLineChars="200"/>
        <w:rPr>
          <w:rFonts w:hint="eastAsia" w:ascii="宋体" w:hAnsi="宋体"/>
          <w:color w:val="auto"/>
        </w:rPr>
      </w:pPr>
      <w:r>
        <w:rPr>
          <w:rFonts w:hint="eastAsia" w:ascii="宋体" w:hAnsi="宋体"/>
          <w:color w:val="auto"/>
        </w:rPr>
        <w:t>2、压缩空气：自备空压机自产压缩空气，</w:t>
      </w:r>
      <w:r>
        <w:rPr>
          <w:rFonts w:ascii="宋体" w:hAnsi="宋体"/>
          <w:color w:val="auto"/>
        </w:rPr>
        <w:t>0.</w:t>
      </w:r>
      <w:r>
        <w:rPr>
          <w:rFonts w:hint="eastAsia" w:ascii="宋体" w:hAnsi="宋体"/>
          <w:color w:val="auto"/>
          <w:lang w:val="en-US" w:eastAsia="zh-CN"/>
        </w:rPr>
        <w:t>5</w:t>
      </w:r>
      <w:r>
        <w:rPr>
          <w:rFonts w:hint="eastAsia" w:ascii="宋体" w:hAnsi="宋体"/>
          <w:color w:val="auto"/>
        </w:rPr>
        <w:t>～0.</w:t>
      </w:r>
      <w:r>
        <w:rPr>
          <w:rFonts w:hint="eastAsia" w:ascii="宋体" w:hAnsi="宋体"/>
          <w:color w:val="auto"/>
          <w:lang w:val="en-US" w:eastAsia="zh-CN"/>
        </w:rPr>
        <w:t>8</w:t>
      </w:r>
      <w:r>
        <w:rPr>
          <w:rFonts w:ascii="宋体" w:hAnsi="宋体"/>
          <w:color w:val="auto"/>
        </w:rPr>
        <w:t>M</w:t>
      </w:r>
      <w:r>
        <w:rPr>
          <w:rFonts w:hint="eastAsia" w:ascii="宋体" w:hAnsi="宋体"/>
          <w:color w:val="auto"/>
        </w:rPr>
        <w:t>P</w:t>
      </w:r>
      <w:r>
        <w:rPr>
          <w:rFonts w:ascii="宋体" w:hAnsi="宋体"/>
          <w:color w:val="auto"/>
        </w:rPr>
        <w:t>a</w:t>
      </w:r>
      <w:r>
        <w:rPr>
          <w:rFonts w:hint="eastAsia" w:ascii="宋体" w:hAnsi="宋体"/>
          <w:color w:val="auto"/>
        </w:rPr>
        <w:t>。</w:t>
      </w:r>
    </w:p>
    <w:p>
      <w:pPr>
        <w:spacing w:line="480" w:lineRule="exact"/>
        <w:ind w:firstLine="420" w:firstLineChars="200"/>
        <w:rPr>
          <w:rFonts w:hint="eastAsia" w:ascii="宋体" w:hAnsi="宋体"/>
          <w:color w:val="auto"/>
        </w:rPr>
      </w:pPr>
      <w:r>
        <w:rPr>
          <w:rFonts w:hint="eastAsia" w:ascii="宋体" w:hAnsi="宋体"/>
          <w:color w:val="auto"/>
        </w:rPr>
        <w:t>3、给水：</w:t>
      </w:r>
      <w:r>
        <w:rPr>
          <w:rFonts w:hint="eastAsia" w:ascii="宋体" w:hAnsi="宋体"/>
          <w:color w:val="auto"/>
          <w:lang w:val="en-US" w:eastAsia="zh-CN"/>
        </w:rPr>
        <w:t>自备井</w:t>
      </w:r>
      <w:r>
        <w:rPr>
          <w:rFonts w:hint="eastAsia" w:ascii="宋体" w:hAnsi="宋体"/>
          <w:color w:val="auto"/>
        </w:rPr>
        <w:t>水，0.2-0.4MPa</w:t>
      </w:r>
    </w:p>
    <w:p>
      <w:pPr>
        <w:spacing w:line="480" w:lineRule="exact"/>
        <w:ind w:firstLine="420" w:firstLineChars="200"/>
        <w:rPr>
          <w:rFonts w:hint="eastAsia" w:ascii="宋体" w:hAnsi="宋体"/>
          <w:color w:val="auto"/>
        </w:rPr>
      </w:pPr>
      <w:r>
        <w:rPr>
          <w:rFonts w:hint="eastAsia" w:ascii="宋体" w:hAnsi="宋体"/>
          <w:color w:val="auto"/>
        </w:rPr>
        <w:t>4、工位照度：不低于500Lx。</w:t>
      </w:r>
    </w:p>
    <w:p>
      <w:pPr>
        <w:spacing w:line="480" w:lineRule="exact"/>
        <w:ind w:firstLine="420" w:firstLineChars="200"/>
        <w:rPr>
          <w:rFonts w:hint="eastAsia" w:ascii="宋体" w:hAnsi="宋体"/>
          <w:color w:val="auto"/>
        </w:rPr>
      </w:pPr>
    </w:p>
    <w:p>
      <w:pPr>
        <w:spacing w:line="480" w:lineRule="exact"/>
        <w:ind w:firstLine="420" w:firstLineChars="200"/>
        <w:rPr>
          <w:rFonts w:hint="eastAsia" w:ascii="宋体" w:hAnsi="宋体"/>
          <w:color w:val="auto"/>
        </w:rPr>
      </w:pPr>
    </w:p>
    <w:p>
      <w:pPr>
        <w:spacing w:line="480" w:lineRule="exact"/>
        <w:ind w:firstLine="420" w:firstLineChars="200"/>
        <w:rPr>
          <w:rFonts w:hint="eastAsia" w:ascii="宋体" w:hAnsi="宋体"/>
          <w:color w:val="auto"/>
        </w:rPr>
      </w:pPr>
    </w:p>
    <w:p>
      <w:pPr>
        <w:spacing w:line="480" w:lineRule="exact"/>
        <w:rPr>
          <w:rFonts w:hint="eastAsia" w:ascii="宋体" w:hAnsi="宋体"/>
          <w:color w:val="auto"/>
        </w:rPr>
      </w:pPr>
    </w:p>
    <w:p>
      <w:pPr>
        <w:pStyle w:val="4"/>
        <w:spacing w:before="120" w:after="120" w:line="480" w:lineRule="exact"/>
        <w:jc w:val="center"/>
        <w:rPr>
          <w:rFonts w:hint="eastAsia"/>
          <w:b w:val="0"/>
          <w:color w:val="auto"/>
          <w:sz w:val="24"/>
          <w:szCs w:val="24"/>
        </w:rPr>
      </w:pPr>
      <w:bookmarkStart w:id="109" w:name="_Toc19068"/>
      <w:bookmarkStart w:id="110" w:name="_Toc9838"/>
      <w:bookmarkStart w:id="111" w:name="_Toc13018"/>
      <w:bookmarkStart w:id="112" w:name="_Toc27088"/>
      <w:bookmarkStart w:id="113" w:name="_Toc137705867"/>
      <w:r>
        <w:rPr>
          <w:rFonts w:hint="eastAsia"/>
          <w:b w:val="0"/>
          <w:color w:val="auto"/>
          <w:sz w:val="24"/>
          <w:szCs w:val="24"/>
        </w:rPr>
        <w:t>第二节  采购货物概况</w:t>
      </w:r>
      <w:bookmarkEnd w:id="109"/>
      <w:bookmarkEnd w:id="110"/>
      <w:bookmarkEnd w:id="111"/>
      <w:bookmarkEnd w:id="112"/>
      <w:bookmarkEnd w:id="113"/>
    </w:p>
    <w:p>
      <w:pPr>
        <w:spacing w:line="480" w:lineRule="exact"/>
        <w:ind w:firstLine="420" w:firstLineChars="200"/>
        <w:jc w:val="left"/>
        <w:rPr>
          <w:rFonts w:hint="eastAsia" w:ascii="宋体" w:hAnsi="宋体"/>
          <w:color w:val="auto"/>
        </w:rPr>
      </w:pPr>
      <w:r>
        <w:rPr>
          <w:rFonts w:hint="eastAsia" w:ascii="黑体" w:hAnsi="宋体" w:eastAsia="黑体"/>
          <w:color w:val="auto"/>
        </w:rPr>
        <w:t>一、设备名称：</w:t>
      </w:r>
      <w:r>
        <w:rPr>
          <w:rFonts w:hint="eastAsia" w:ascii="宋体" w:hAnsi="宋体" w:cs="宋体"/>
          <w:color w:val="auto"/>
          <w:u w:val="single"/>
          <w:shd w:val="pct10" w:color="auto" w:fill="FFFFFF"/>
          <w:lang w:val="en-US" w:eastAsia="zh-CN"/>
        </w:rPr>
        <w:t>方向机拧紧机、板簧销拧紧机</w:t>
      </w:r>
      <w:r>
        <w:rPr>
          <w:rFonts w:hint="eastAsia" w:ascii="宋体" w:hAnsi="宋体"/>
          <w:color w:val="auto"/>
        </w:rPr>
        <w:t>（详见下表）</w:t>
      </w:r>
    </w:p>
    <w:p>
      <w:pPr>
        <w:spacing w:line="480" w:lineRule="exact"/>
        <w:ind w:firstLine="420" w:firstLineChars="200"/>
        <w:rPr>
          <w:rFonts w:hint="eastAsia" w:ascii="宋体" w:hAnsi="宋体"/>
          <w:color w:val="auto"/>
        </w:rPr>
      </w:pPr>
      <w:r>
        <w:rPr>
          <w:rFonts w:hint="eastAsia" w:ascii="黑体" w:hAnsi="宋体" w:eastAsia="黑体"/>
          <w:color w:val="auto"/>
        </w:rPr>
        <w:t>二、设备数量：</w:t>
      </w:r>
      <w:r>
        <w:rPr>
          <w:rFonts w:hint="eastAsia" w:ascii="宋体" w:hAnsi="宋体"/>
          <w:color w:val="auto"/>
          <w:u w:val="single"/>
          <w:shd w:val="pct10" w:color="auto" w:fill="FFFFFF"/>
        </w:rPr>
        <w:t xml:space="preserve"> 1套  </w:t>
      </w:r>
      <w:r>
        <w:rPr>
          <w:rFonts w:hint="eastAsia" w:ascii="宋体" w:hAnsi="宋体"/>
          <w:color w:val="auto"/>
        </w:rPr>
        <w:t>（详见下表）</w:t>
      </w:r>
    </w:p>
    <w:p>
      <w:pPr>
        <w:spacing w:line="560" w:lineRule="exact"/>
        <w:ind w:firstLine="420" w:firstLineChars="200"/>
        <w:rPr>
          <w:rFonts w:hint="eastAsia"/>
          <w:color w:val="auto"/>
        </w:rPr>
      </w:pPr>
      <w:r>
        <w:rPr>
          <w:rFonts w:hint="eastAsia" w:ascii="黑体" w:hAnsi="宋体" w:eastAsia="黑体"/>
          <w:color w:val="auto"/>
        </w:rPr>
        <w:t>三、分投分中：</w:t>
      </w:r>
      <w:r>
        <w:rPr>
          <w:rFonts w:hint="eastAsia" w:ascii="宋体" w:hAnsi="宋体"/>
          <w:color w:val="auto"/>
        </w:rPr>
        <w:t>不允许。</w:t>
      </w:r>
    </w:p>
    <w:p>
      <w:pPr>
        <w:widowControl/>
        <w:jc w:val="center"/>
        <w:rPr>
          <w:rFonts w:hint="eastAsia" w:ascii="宋体" w:hAnsi="宋体"/>
          <w:color w:val="auto"/>
        </w:rPr>
      </w:pPr>
      <w:r>
        <w:rPr>
          <w:rFonts w:hint="eastAsia" w:ascii="宋体" w:hAnsi="宋体"/>
          <w:color w:val="auto"/>
        </w:rPr>
        <w:t>采购货物主要构成一览表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617"/>
        <w:gridCol w:w="1128"/>
        <w:gridCol w:w="1128"/>
        <w:gridCol w:w="18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626" w:type="pct"/>
            <w:vAlign w:val="center"/>
          </w:tcPr>
          <w:p>
            <w:pPr>
              <w:jc w:val="center"/>
              <w:rPr>
                <w:rFonts w:ascii="宋体" w:hAnsi="宋体"/>
                <w:szCs w:val="21"/>
              </w:rPr>
            </w:pPr>
            <w:r>
              <w:rPr>
                <w:rFonts w:hint="eastAsia" w:ascii="宋体" w:hAnsi="宋体" w:cs="宋体"/>
                <w:szCs w:val="21"/>
              </w:rPr>
              <w:t>序号</w:t>
            </w:r>
          </w:p>
        </w:tc>
        <w:tc>
          <w:tcPr>
            <w:tcW w:w="1453" w:type="pct"/>
            <w:vAlign w:val="center"/>
          </w:tcPr>
          <w:p>
            <w:pPr>
              <w:jc w:val="center"/>
              <w:rPr>
                <w:rFonts w:ascii="宋体" w:hAnsi="宋体"/>
                <w:szCs w:val="21"/>
              </w:rPr>
            </w:pPr>
            <w:r>
              <w:rPr>
                <w:rFonts w:hint="eastAsia" w:ascii="宋体" w:hAnsi="宋体" w:cs="宋体"/>
                <w:szCs w:val="21"/>
              </w:rPr>
              <w:t>设备名称</w:t>
            </w:r>
          </w:p>
        </w:tc>
        <w:tc>
          <w:tcPr>
            <w:tcW w:w="626" w:type="pct"/>
            <w:vAlign w:val="center"/>
          </w:tcPr>
          <w:p>
            <w:pPr>
              <w:jc w:val="center"/>
              <w:rPr>
                <w:rFonts w:ascii="宋体" w:hAnsi="宋体"/>
                <w:szCs w:val="21"/>
              </w:rPr>
            </w:pPr>
            <w:r>
              <w:rPr>
                <w:rFonts w:hint="eastAsia" w:ascii="宋体" w:hAnsi="宋体" w:cs="宋体"/>
                <w:szCs w:val="21"/>
              </w:rPr>
              <w:t>数量</w:t>
            </w:r>
          </w:p>
        </w:tc>
        <w:tc>
          <w:tcPr>
            <w:tcW w:w="626" w:type="pct"/>
            <w:vAlign w:val="center"/>
          </w:tcPr>
          <w:p>
            <w:pPr>
              <w:jc w:val="center"/>
              <w:rPr>
                <w:rFonts w:ascii="宋体" w:hAnsi="宋体"/>
                <w:szCs w:val="21"/>
              </w:rPr>
            </w:pPr>
            <w:r>
              <w:rPr>
                <w:rFonts w:hint="eastAsia" w:ascii="宋体" w:hAnsi="宋体"/>
                <w:szCs w:val="21"/>
              </w:rPr>
              <w:t>单位</w:t>
            </w:r>
          </w:p>
        </w:tc>
        <w:tc>
          <w:tcPr>
            <w:tcW w:w="1039" w:type="pct"/>
            <w:vAlign w:val="center"/>
          </w:tcPr>
          <w:p>
            <w:pPr>
              <w:jc w:val="center"/>
              <w:rPr>
                <w:rFonts w:ascii="宋体" w:hAnsi="宋体"/>
                <w:szCs w:val="21"/>
              </w:rPr>
            </w:pPr>
            <w:r>
              <w:rPr>
                <w:rFonts w:hint="eastAsia" w:ascii="宋体" w:hAnsi="宋体" w:cs="宋体"/>
                <w:szCs w:val="21"/>
              </w:rPr>
              <w:t>供货方式</w:t>
            </w:r>
          </w:p>
        </w:tc>
        <w:tc>
          <w:tcPr>
            <w:tcW w:w="626" w:type="pct"/>
            <w:vAlign w:val="center"/>
          </w:tcPr>
          <w:p>
            <w:pPr>
              <w:jc w:val="both"/>
              <w:rPr>
                <w:rFonts w:hint="default" w:ascii="宋体" w:hAnsi="宋体" w:eastAsia="宋体" w:cs="宋体"/>
                <w:szCs w:val="21"/>
                <w:lang w:val="en-US" w:eastAsia="zh-CN"/>
              </w:rPr>
            </w:pPr>
            <w:r>
              <w:rPr>
                <w:rFonts w:hint="eastAsia" w:ascii="宋体" w:hAnsi="宋体" w:cs="宋体"/>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626" w:type="pct"/>
            <w:vAlign w:val="center"/>
          </w:tcPr>
          <w:p>
            <w:pPr>
              <w:jc w:val="center"/>
              <w:rPr>
                <w:rFonts w:ascii="宋体" w:hAnsi="宋体" w:cs="宋体"/>
                <w:szCs w:val="21"/>
              </w:rPr>
            </w:pPr>
            <w:r>
              <w:rPr>
                <w:rFonts w:hint="eastAsia" w:ascii="宋体" w:hAnsi="宋体" w:cs="宋体"/>
                <w:szCs w:val="21"/>
              </w:rPr>
              <w:t>1</w:t>
            </w:r>
          </w:p>
        </w:tc>
        <w:tc>
          <w:tcPr>
            <w:tcW w:w="1453" w:type="pct"/>
            <w:vAlign w:val="center"/>
          </w:tcPr>
          <w:p>
            <w:pPr>
              <w:jc w:val="center"/>
              <w:rPr>
                <w:rFonts w:hint="eastAsia" w:ascii="宋体" w:hAnsi="宋体" w:cs="宋体"/>
                <w:szCs w:val="21"/>
              </w:rPr>
            </w:pPr>
            <w:r>
              <w:rPr>
                <w:rFonts w:hint="eastAsia" w:ascii="宋体" w:hAnsi="宋体" w:cs="宋体"/>
                <w:szCs w:val="21"/>
                <w:lang w:val="en-US" w:eastAsia="zh-CN"/>
              </w:rPr>
              <w:t>方向机拧紧机</w:t>
            </w:r>
          </w:p>
        </w:tc>
        <w:tc>
          <w:tcPr>
            <w:tcW w:w="626" w:type="pct"/>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1</w:t>
            </w:r>
          </w:p>
        </w:tc>
        <w:tc>
          <w:tcPr>
            <w:tcW w:w="626" w:type="pct"/>
            <w:vMerge w:val="restart"/>
            <w:vAlign w:val="center"/>
          </w:tcPr>
          <w:p>
            <w:pPr>
              <w:jc w:val="center"/>
              <w:rPr>
                <w:rFonts w:ascii="宋体" w:hAnsi="宋体" w:cs="宋体"/>
                <w:szCs w:val="21"/>
              </w:rPr>
            </w:pPr>
            <w:r>
              <w:rPr>
                <w:rFonts w:hint="eastAsia" w:ascii="宋体" w:hAnsi="宋体" w:cs="宋体"/>
                <w:szCs w:val="21"/>
              </w:rPr>
              <w:t>套</w:t>
            </w:r>
          </w:p>
        </w:tc>
        <w:tc>
          <w:tcPr>
            <w:tcW w:w="1039" w:type="pct"/>
            <w:vMerge w:val="restart"/>
            <w:vAlign w:val="center"/>
          </w:tcPr>
          <w:p>
            <w:pPr>
              <w:jc w:val="center"/>
              <w:rPr>
                <w:rFonts w:ascii="宋体" w:hAnsi="宋体" w:cs="宋体"/>
                <w:szCs w:val="21"/>
              </w:rPr>
            </w:pPr>
            <w:r>
              <w:rPr>
                <w:rFonts w:hint="eastAsia"/>
                <w:szCs w:val="21"/>
              </w:rPr>
              <w:t>交钥匙</w:t>
            </w:r>
          </w:p>
        </w:tc>
        <w:tc>
          <w:tcPr>
            <w:tcW w:w="626" w:type="pct"/>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626" w:type="pct"/>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1453" w:type="pct"/>
            <w:shd w:val="clear" w:color="auto" w:fill="auto"/>
            <w:vAlign w:val="center"/>
          </w:tcPr>
          <w:p>
            <w:pPr>
              <w:jc w:val="center"/>
              <w:rPr>
                <w:rFonts w:hint="eastAsia" w:ascii="宋体" w:hAnsi="宋体" w:cs="宋体"/>
                <w:szCs w:val="21"/>
                <w:lang w:val="en-US" w:eastAsia="zh-CN"/>
              </w:rPr>
            </w:pPr>
            <w:r>
              <w:rPr>
                <w:rFonts w:hint="eastAsia" w:ascii="宋体" w:hAnsi="宋体" w:cs="宋体"/>
                <w:szCs w:val="21"/>
                <w:lang w:val="en-US" w:eastAsia="zh-CN"/>
              </w:rPr>
              <w:t>板簧销拧紧机</w:t>
            </w:r>
          </w:p>
        </w:tc>
        <w:tc>
          <w:tcPr>
            <w:tcW w:w="626" w:type="pct"/>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626" w:type="pct"/>
            <w:vMerge w:val="continue"/>
            <w:vAlign w:val="center"/>
          </w:tcPr>
          <w:p>
            <w:pPr>
              <w:jc w:val="center"/>
              <w:rPr>
                <w:rFonts w:ascii="宋体" w:hAnsi="宋体" w:cs="宋体"/>
                <w:szCs w:val="21"/>
              </w:rPr>
            </w:pPr>
          </w:p>
        </w:tc>
        <w:tc>
          <w:tcPr>
            <w:tcW w:w="1039" w:type="pct"/>
            <w:vMerge w:val="continue"/>
            <w:vAlign w:val="center"/>
          </w:tcPr>
          <w:p>
            <w:pPr>
              <w:jc w:val="center"/>
              <w:rPr>
                <w:szCs w:val="21"/>
              </w:rPr>
            </w:pPr>
          </w:p>
        </w:tc>
        <w:tc>
          <w:tcPr>
            <w:tcW w:w="626" w:type="pct"/>
            <w:shd w:val="clear" w:color="auto" w:fill="auto"/>
            <w:vAlign w:val="center"/>
          </w:tcPr>
          <w:p>
            <w:pPr>
              <w:spacing w:beforeLines="0" w:afterLines="0"/>
              <w:jc w:val="both"/>
              <w:rPr>
                <w:rFonts w:hint="eastAsia" w:ascii="宋体" w:hAnsi="宋体" w:eastAsia="宋体" w:cs="宋体"/>
                <w:color w:val="000000"/>
                <w:kern w:val="2"/>
                <w:sz w:val="21"/>
                <w:szCs w:val="21"/>
                <w:lang w:val="en-US" w:eastAsia="zh-CN" w:bidi="ar-SA"/>
              </w:rPr>
            </w:pPr>
          </w:p>
        </w:tc>
      </w:tr>
    </w:tbl>
    <w:p>
      <w:pPr>
        <w:spacing w:line="480" w:lineRule="exact"/>
        <w:ind w:firstLine="420" w:firstLineChars="200"/>
        <w:rPr>
          <w:color w:val="auto"/>
          <w:sz w:val="21"/>
          <w:szCs w:val="21"/>
        </w:rPr>
      </w:pPr>
      <w:r>
        <w:rPr>
          <w:color w:val="auto"/>
          <w:sz w:val="21"/>
          <w:szCs w:val="21"/>
        </w:rPr>
        <w:t>备注：</w:t>
      </w:r>
      <w:bookmarkStart w:id="114" w:name="_Toc137705868"/>
    </w:p>
    <w:p>
      <w:pPr>
        <w:spacing w:line="480" w:lineRule="exact"/>
        <w:ind w:firstLine="420" w:firstLineChars="200"/>
        <w:rPr>
          <w:color w:val="auto"/>
          <w:sz w:val="21"/>
          <w:szCs w:val="21"/>
        </w:rPr>
      </w:pPr>
      <w:r>
        <w:rPr>
          <w:rFonts w:hint="eastAsia"/>
          <w:color w:val="auto"/>
          <w:sz w:val="21"/>
          <w:szCs w:val="21"/>
        </w:rPr>
        <w:t>1</w:t>
      </w:r>
      <w:r>
        <w:rPr>
          <w:color w:val="auto"/>
          <w:sz w:val="21"/>
          <w:szCs w:val="21"/>
        </w:rPr>
        <w:t>.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pPr>
        <w:spacing w:line="480" w:lineRule="exact"/>
        <w:ind w:firstLine="420" w:firstLineChars="200"/>
        <w:rPr>
          <w:color w:val="auto"/>
          <w:sz w:val="21"/>
          <w:szCs w:val="21"/>
        </w:rPr>
      </w:pPr>
      <w:r>
        <w:rPr>
          <w:rFonts w:hint="eastAsia"/>
          <w:color w:val="auto"/>
          <w:sz w:val="21"/>
          <w:szCs w:val="21"/>
        </w:rPr>
        <w:t>2</w:t>
      </w:r>
      <w:r>
        <w:rPr>
          <w:color w:val="auto"/>
          <w:sz w:val="21"/>
          <w:szCs w:val="21"/>
        </w:rPr>
        <w:t>.本表“供货方式”指：交钥匙方式——包括设计、制造、运输、安装、调试和验收直到交付使用以及培训等。</w:t>
      </w:r>
    </w:p>
    <w:p>
      <w:pPr>
        <w:spacing w:line="480" w:lineRule="exact"/>
        <w:ind w:firstLine="420" w:firstLineChars="200"/>
        <w:rPr>
          <w:rFonts w:hint="eastAsia"/>
          <w:color w:val="auto"/>
          <w:sz w:val="21"/>
          <w:szCs w:val="21"/>
        </w:rPr>
      </w:pPr>
      <w:r>
        <w:rPr>
          <w:rFonts w:hint="eastAsia"/>
          <w:color w:val="auto"/>
          <w:sz w:val="21"/>
          <w:szCs w:val="21"/>
        </w:rPr>
        <w:t>3.以上内容仅对设备的基本功能进行了描述和建议，表中所列内容仅供参考，投标方投标前需对生产现场工艺环境进行充分调研与了解，确保投标方案满足工艺、产品、节拍、功能等要求，投标方对投标方案负责。</w:t>
      </w:r>
    </w:p>
    <w:p>
      <w:pPr>
        <w:overflowPunct w:val="0"/>
        <w:spacing w:line="360" w:lineRule="auto"/>
        <w:ind w:firstLine="420" w:firstLineChars="200"/>
        <w:rPr>
          <w:rFonts w:ascii="宋体" w:hAnsi="宋体" w:cs="宋体"/>
          <w:b/>
          <w:color w:val="auto"/>
        </w:rPr>
      </w:pPr>
      <w:r>
        <w:rPr>
          <w:rFonts w:hint="eastAsia" w:ascii="宋体" w:hAnsi="宋体" w:cs="宋体"/>
          <w:b/>
          <w:color w:val="auto"/>
        </w:rPr>
        <w:t>四、采购货物特别说明</w:t>
      </w:r>
    </w:p>
    <w:p>
      <w:pPr>
        <w:overflowPunct w:val="0"/>
        <w:spacing w:line="360" w:lineRule="auto"/>
        <w:ind w:firstLine="420" w:firstLineChars="200"/>
        <w:rPr>
          <w:rFonts w:hint="eastAsia"/>
          <w:color w:val="auto"/>
          <w:sz w:val="21"/>
          <w:szCs w:val="21"/>
        </w:rPr>
      </w:pPr>
      <w:r>
        <w:rPr>
          <w:rFonts w:hint="eastAsia" w:ascii="宋体" w:hAnsi="宋体" w:cs="宋体"/>
          <w:color w:val="auto"/>
        </w:rPr>
        <w:t>招标人所列货物的名称和规格型号，如为某一供应商所特有，则该名称和规格型号可作参考，但要求投标人所提供的货物必须满足本技术标书实质性要求</w:t>
      </w:r>
      <w:r>
        <w:rPr>
          <w:rFonts w:hint="eastAsia" w:ascii="宋体" w:hAnsi="宋体"/>
          <w:color w:val="auto"/>
          <w:szCs w:val="20"/>
        </w:rPr>
        <w:t>。</w:t>
      </w:r>
    </w:p>
    <w:p>
      <w:pPr>
        <w:spacing w:line="480" w:lineRule="exact"/>
        <w:ind w:firstLine="420" w:firstLineChars="200"/>
        <w:rPr>
          <w:rFonts w:hint="eastAsia"/>
          <w:color w:val="auto"/>
          <w:sz w:val="21"/>
          <w:szCs w:val="21"/>
        </w:rPr>
      </w:pPr>
    </w:p>
    <w:p>
      <w:pPr>
        <w:spacing w:line="480" w:lineRule="exact"/>
        <w:ind w:firstLine="420" w:firstLineChars="200"/>
        <w:rPr>
          <w:rFonts w:hint="eastAsia"/>
          <w:color w:val="auto"/>
          <w:sz w:val="21"/>
          <w:szCs w:val="21"/>
        </w:rPr>
      </w:pPr>
    </w:p>
    <w:p>
      <w:pPr>
        <w:spacing w:line="480" w:lineRule="exact"/>
        <w:ind w:firstLine="420" w:firstLineChars="200"/>
        <w:rPr>
          <w:rFonts w:hint="eastAsia"/>
          <w:color w:val="auto"/>
          <w:sz w:val="21"/>
          <w:szCs w:val="21"/>
        </w:rPr>
      </w:pPr>
    </w:p>
    <w:p>
      <w:pPr>
        <w:spacing w:line="480" w:lineRule="exact"/>
        <w:rPr>
          <w:rFonts w:hint="eastAsia"/>
          <w:color w:val="auto"/>
          <w:sz w:val="21"/>
          <w:szCs w:val="21"/>
        </w:rPr>
        <w:sectPr>
          <w:footerReference r:id="rId12" w:type="default"/>
          <w:pgSz w:w="11906" w:h="16838"/>
          <w:pgMar w:top="1701" w:right="1418" w:bottom="1134" w:left="1701" w:header="1021" w:footer="680" w:gutter="0"/>
          <w:pgNumType w:start="1"/>
          <w:cols w:space="720" w:num="1"/>
          <w:docGrid w:type="lines" w:linePitch="312" w:charSpace="0"/>
        </w:sectPr>
      </w:pPr>
    </w:p>
    <w:p>
      <w:pPr>
        <w:pStyle w:val="2"/>
        <w:spacing w:before="120" w:after="120"/>
        <w:jc w:val="center"/>
        <w:rPr>
          <w:rFonts w:hint="eastAsia" w:ascii="黑体" w:eastAsia="黑体"/>
          <w:color w:val="auto"/>
          <w:sz w:val="24"/>
          <w:szCs w:val="24"/>
        </w:rPr>
      </w:pPr>
      <w:bookmarkStart w:id="115" w:name="_Toc32262"/>
      <w:bookmarkStart w:id="116" w:name="_Toc17328"/>
      <w:r>
        <w:rPr>
          <w:rFonts w:hint="eastAsia" w:ascii="黑体" w:eastAsia="黑体"/>
          <w:color w:val="auto"/>
          <w:sz w:val="24"/>
          <w:szCs w:val="24"/>
        </w:rPr>
        <w:t>第二章  技术要求</w:t>
      </w:r>
      <w:bookmarkEnd w:id="114"/>
      <w:bookmarkEnd w:id="115"/>
      <w:bookmarkEnd w:id="116"/>
    </w:p>
    <w:p>
      <w:pPr>
        <w:spacing w:line="480" w:lineRule="exact"/>
        <w:ind w:firstLine="420" w:firstLineChars="200"/>
        <w:rPr>
          <w:rFonts w:hint="eastAsia" w:ascii="黑体" w:hAnsi="宋体" w:eastAsia="黑体"/>
          <w:color w:val="auto"/>
        </w:rPr>
      </w:pPr>
      <w:r>
        <w:rPr>
          <w:rFonts w:hint="eastAsia" w:ascii="黑体" w:hAnsi="宋体" w:eastAsia="黑体"/>
          <w:color w:val="auto"/>
        </w:rPr>
        <w:t>一、基本要求</w:t>
      </w:r>
    </w:p>
    <w:p>
      <w:pPr>
        <w:spacing w:line="480" w:lineRule="exact"/>
        <w:ind w:firstLine="420" w:firstLineChars="200"/>
        <w:rPr>
          <w:rFonts w:hint="eastAsia" w:ascii="宋体" w:hAnsi="宋体"/>
          <w:color w:val="auto"/>
        </w:rPr>
      </w:pPr>
      <w:r>
        <w:rPr>
          <w:rFonts w:hint="eastAsia" w:ascii="宋体" w:hAnsi="宋体"/>
          <w:color w:val="auto"/>
        </w:rPr>
        <w:t>1、投标方所供的设备，必须符合中国最新版的法律、法规和相关标准、规范的要求，符合项目所在地政府有关特殊要求。</w:t>
      </w:r>
    </w:p>
    <w:p>
      <w:pPr>
        <w:spacing w:line="480" w:lineRule="exact"/>
        <w:ind w:firstLine="420" w:firstLineChars="200"/>
        <w:rPr>
          <w:rFonts w:hint="eastAsia" w:ascii="宋体" w:hAnsi="宋体"/>
          <w:color w:val="auto"/>
        </w:rPr>
      </w:pPr>
      <w:r>
        <w:rPr>
          <w:rFonts w:hint="eastAsia" w:ascii="宋体" w:hAnsi="宋体"/>
          <w:color w:val="auto"/>
        </w:rPr>
        <w:t>2、投标方所供设备涉及的专利权技术以及知识产权保护的其它技术等，应保证招标方不因此受到任何侵权指控以及实际损失。</w:t>
      </w:r>
    </w:p>
    <w:p>
      <w:pPr>
        <w:spacing w:line="480" w:lineRule="exact"/>
        <w:ind w:firstLine="420" w:firstLineChars="200"/>
        <w:rPr>
          <w:rFonts w:hint="eastAsia" w:ascii="宋体" w:hAnsi="宋体"/>
          <w:color w:val="auto"/>
        </w:rPr>
      </w:pPr>
      <w:r>
        <w:rPr>
          <w:rFonts w:hint="eastAsia" w:ascii="宋体" w:hAnsi="宋体"/>
          <w:color w:val="auto"/>
        </w:rPr>
        <w:t>3、投标方应保证所供设备的先进性、可靠性、经济性和实用性，并为全新设备。</w:t>
      </w:r>
    </w:p>
    <w:p>
      <w:pPr>
        <w:spacing w:line="480" w:lineRule="exact"/>
        <w:ind w:firstLine="420" w:firstLineChars="200"/>
        <w:rPr>
          <w:rFonts w:hint="eastAsia" w:ascii="宋体" w:hAnsi="宋体"/>
          <w:color w:val="auto"/>
        </w:rPr>
      </w:pPr>
      <w:r>
        <w:rPr>
          <w:rFonts w:hint="eastAsia" w:ascii="宋体" w:hAnsi="宋体"/>
          <w:color w:val="auto"/>
        </w:rPr>
        <w:t>4、投标方应满足招标方提出的各项技术要求，必要时应当免费提供技术承诺或担保。</w:t>
      </w:r>
    </w:p>
    <w:p>
      <w:pPr>
        <w:spacing w:line="480" w:lineRule="exact"/>
        <w:ind w:firstLine="420" w:firstLineChars="200"/>
        <w:rPr>
          <w:rFonts w:hint="eastAsia" w:ascii="宋体" w:hAnsi="宋体"/>
          <w:color w:val="auto"/>
        </w:rPr>
      </w:pPr>
      <w:r>
        <w:rPr>
          <w:rFonts w:hint="eastAsia" w:ascii="宋体" w:hAnsi="宋体"/>
          <w:color w:val="auto"/>
        </w:rPr>
        <w:t>5、投标方应保证所供设备为中国公布的非淘汰设备，并为中国指定或规定的主管部门认可的环保型和节能型设备。</w:t>
      </w:r>
    </w:p>
    <w:p>
      <w:pPr>
        <w:spacing w:line="480" w:lineRule="exact"/>
        <w:ind w:firstLine="420" w:firstLineChars="200"/>
        <w:rPr>
          <w:rFonts w:hint="eastAsia" w:ascii="宋体" w:hAnsi="宋体"/>
          <w:color w:val="auto"/>
        </w:rPr>
      </w:pPr>
      <w:r>
        <w:rPr>
          <w:rFonts w:hint="eastAsia" w:ascii="宋体" w:hAnsi="宋体"/>
          <w:color w:val="auto"/>
        </w:rPr>
        <w:t>6、投标方应保证所供设备的完整性和成套性，能保证设备的正常运行、使用。</w:t>
      </w:r>
    </w:p>
    <w:p>
      <w:pPr>
        <w:spacing w:line="480" w:lineRule="exact"/>
        <w:ind w:firstLine="420" w:firstLineChars="200"/>
        <w:rPr>
          <w:rFonts w:hint="eastAsia" w:ascii="宋体" w:hAnsi="宋体"/>
          <w:color w:val="auto"/>
        </w:rPr>
      </w:pPr>
      <w:r>
        <w:rPr>
          <w:rFonts w:hint="eastAsia" w:ascii="宋体" w:hAnsi="宋体"/>
          <w:color w:val="auto"/>
        </w:rPr>
        <w:t>7、投标方应对招标方采购的设备所涉及的技术、产能等信息负有保密义务，招标方拥有追究投标方泄密责任的权利；招标方如有需要，投标方应无条件签署保密协议。</w:t>
      </w:r>
    </w:p>
    <w:p>
      <w:pPr>
        <w:spacing w:line="480" w:lineRule="exact"/>
        <w:ind w:firstLine="420" w:firstLineChars="200"/>
        <w:rPr>
          <w:rFonts w:hint="eastAsia" w:ascii="宋体" w:hAnsi="宋体"/>
          <w:color w:val="auto"/>
        </w:rPr>
      </w:pPr>
      <w:r>
        <w:rPr>
          <w:rFonts w:hint="eastAsia" w:ascii="宋体" w:hAnsi="宋体"/>
          <w:color w:val="auto"/>
        </w:rPr>
        <w:t>8、投标方需提供近三年内项目业绩证明。</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黑体" w:hAnsi="宋体" w:eastAsia="黑体"/>
          <w:color w:val="auto"/>
        </w:rPr>
      </w:pPr>
      <w:r>
        <w:rPr>
          <w:rFonts w:hint="eastAsia" w:ascii="黑体" w:hAnsi="宋体" w:eastAsia="黑体"/>
          <w:color w:val="auto"/>
        </w:rPr>
        <w:t>二、执行标准</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olor w:val="auto"/>
        </w:rPr>
      </w:pPr>
      <w:r>
        <w:rPr>
          <w:rFonts w:hint="eastAsia" w:ascii="宋体" w:hAnsi="宋体"/>
          <w:color w:val="auto"/>
        </w:rPr>
        <w:t>1、招标方此处所列标准仅为涉及的主要标准，而且不保证其为最新版执行标准；投标方应当在投标文件以中认真予以填写、补充和修改完善。</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olor w:val="auto"/>
        </w:rPr>
      </w:pPr>
      <w:r>
        <w:rPr>
          <w:rFonts w:hint="eastAsia" w:ascii="宋体" w:hAnsi="宋体"/>
          <w:color w:val="auto"/>
        </w:rPr>
        <w:t>2、投标方需要执行的标准，应当所供设备通过招标方将来组织的最终验收之日开始执行的最新标准。</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hAnsi="宋体"/>
          <w:color w:val="auto"/>
        </w:rPr>
      </w:pPr>
      <w:r>
        <w:rPr>
          <w:rFonts w:hint="eastAsia" w:ascii="宋体" w:hAnsi="宋体"/>
          <w:color w:val="auto"/>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ascii="宋体" w:hAnsi="宋体" w:cs="宋体"/>
          <w:color w:val="auto"/>
        </w:rPr>
      </w:pPr>
      <w:r>
        <w:rPr>
          <w:rFonts w:hint="eastAsia" w:ascii="宋体" w:hAnsi="宋体" w:cs="宋体"/>
          <w:color w:val="auto"/>
        </w:rPr>
        <w:t>4、投标人所供货物涉及的专利权技术以及知识产权保护的其他技术等，应保证招标人不因此受到任何侵权指控以及实际损失。</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ascii="宋体" w:hAnsi="宋体" w:cs="宋体"/>
          <w:color w:val="auto"/>
        </w:rPr>
      </w:pPr>
      <w:r>
        <w:rPr>
          <w:rFonts w:hint="eastAsia" w:ascii="宋体" w:hAnsi="宋体" w:cs="宋体"/>
          <w:color w:val="auto"/>
        </w:rPr>
        <w:t>5、投标人应满足招标人提出的各项技术要求，必要时应当免费提供技术承诺或担保。</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color w:val="auto"/>
        </w:rPr>
      </w:pPr>
      <w:r>
        <w:rPr>
          <w:rFonts w:hint="eastAsia" w:ascii="宋体" w:hAnsi="宋体" w:cs="宋体"/>
          <w:color w:val="auto"/>
        </w:rPr>
        <w:t>6、投标人应对招标人采购的货物所涉及的技术、产能等信息负有保密义务，招标人拥有追究投标人泄密责任的权利；招标人如有需要，投标人应无条件签署保密协议。</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hAnsi="宋体"/>
          <w:color w:val="auto"/>
        </w:rPr>
      </w:pPr>
      <w:r>
        <w:rPr>
          <w:rFonts w:hint="eastAsia" w:ascii="宋体" w:hAnsi="宋体"/>
          <w:color w:val="auto"/>
        </w:rPr>
        <w:t>7、如果有采用国际标准的货物，其执行标准由投标方提供、招标方确认。</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color w:val="auto"/>
        </w:rPr>
      </w:pPr>
      <w:r>
        <w:rPr>
          <w:rFonts w:hint="eastAsia" w:ascii="宋体"/>
          <w:color w:val="auto"/>
        </w:rPr>
        <w:t>8、涉及的主要标准</w:t>
      </w:r>
      <w:r>
        <w:rPr>
          <w:rFonts w:hint="eastAsia" w:ascii="宋体"/>
          <w:color w:val="auto"/>
          <w:lang w:eastAsia="zh-CN"/>
        </w:rPr>
        <w:t>（</w:t>
      </w:r>
      <w:r>
        <w:rPr>
          <w:rFonts w:hint="eastAsia" w:ascii="宋体" w:hAnsi="宋体"/>
          <w:color w:val="auto"/>
          <w:highlight w:val="none"/>
          <w:lang w:val="en-US" w:eastAsia="zh-CN"/>
        </w:rPr>
        <w:t>有最新版按照最新版要求执行</w:t>
      </w:r>
      <w:r>
        <w:rPr>
          <w:rFonts w:hint="eastAsia" w:ascii="宋体"/>
          <w:color w:val="auto"/>
          <w:lang w:eastAsia="zh-CN"/>
        </w:rPr>
        <w:t>）</w:t>
      </w:r>
      <w:r>
        <w:rPr>
          <w:rFonts w:hint="eastAsia" w:ascii="宋体"/>
          <w:color w:val="auto"/>
        </w:rPr>
        <w:t>：</w:t>
      </w:r>
    </w:p>
    <w:tbl>
      <w:tblPr>
        <w:tblStyle w:val="41"/>
        <w:tblW w:w="46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76"/>
        <w:gridCol w:w="5377"/>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13" w:type="pct"/>
            <w:vAlign w:val="center"/>
          </w:tcPr>
          <w:p>
            <w:pPr>
              <w:overflowPunct w:val="0"/>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3149" w:type="pct"/>
            <w:vAlign w:val="center"/>
          </w:tcPr>
          <w:p>
            <w:pPr>
              <w:overflowPunct w:val="0"/>
              <w:autoSpaceDE w:val="0"/>
              <w:autoSpaceDN w:val="0"/>
              <w:jc w:val="center"/>
              <w:rPr>
                <w:rFonts w:hint="eastAsia" w:ascii="宋体" w:hAnsi="宋体" w:eastAsia="宋体" w:cs="宋体"/>
                <w:b/>
                <w:bCs/>
                <w:sz w:val="18"/>
                <w:szCs w:val="18"/>
              </w:rPr>
            </w:pPr>
            <w:r>
              <w:rPr>
                <w:rFonts w:hint="eastAsia" w:ascii="宋体" w:hAnsi="宋体" w:eastAsia="宋体" w:cs="宋体"/>
                <w:b/>
                <w:bCs/>
                <w:sz w:val="18"/>
                <w:szCs w:val="18"/>
              </w:rPr>
              <w:t>标准名称</w:t>
            </w:r>
          </w:p>
        </w:tc>
        <w:tc>
          <w:tcPr>
            <w:tcW w:w="1336" w:type="pct"/>
            <w:vAlign w:val="center"/>
          </w:tcPr>
          <w:p>
            <w:pPr>
              <w:overflowPunct w:val="0"/>
              <w:jc w:val="center"/>
              <w:rPr>
                <w:rFonts w:hint="eastAsia" w:ascii="宋体" w:hAnsi="宋体" w:eastAsia="宋体" w:cs="宋体"/>
                <w:b/>
                <w:bCs/>
                <w:sz w:val="18"/>
                <w:szCs w:val="18"/>
              </w:rPr>
            </w:pPr>
            <w:r>
              <w:rPr>
                <w:rFonts w:hint="eastAsia" w:ascii="宋体" w:hAnsi="宋体" w:eastAsia="宋体" w:cs="宋体"/>
                <w:b/>
                <w:bCs/>
                <w:sz w:val="18"/>
                <w:szCs w:val="18"/>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w:t>
            </w:r>
          </w:p>
        </w:tc>
        <w:tc>
          <w:tcPr>
            <w:tcW w:w="3149"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电气装置安装工程电缆线路施工及验收规范</w:t>
            </w:r>
          </w:p>
        </w:tc>
        <w:tc>
          <w:tcPr>
            <w:tcW w:w="1336"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GB50168-2018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2</w:t>
            </w:r>
          </w:p>
        </w:tc>
        <w:tc>
          <w:tcPr>
            <w:tcW w:w="3149"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中国重型汽车有限公司企业标准《设备设施颜色标识》</w:t>
            </w:r>
          </w:p>
        </w:tc>
        <w:tc>
          <w:tcPr>
            <w:tcW w:w="1336"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Q/ZZ30070-2021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3</w:t>
            </w:r>
          </w:p>
        </w:tc>
        <w:tc>
          <w:tcPr>
            <w:tcW w:w="3149"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机械安全 防止上下肢触及危险区的安全距离</w:t>
            </w:r>
          </w:p>
        </w:tc>
        <w:tc>
          <w:tcPr>
            <w:tcW w:w="1336"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GB23821-2009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4</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工业企业噪声控制设计规范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GB/T 50087-2013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5</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工作场所物理因素测量</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GBZ/T 189.1-2019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6</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通信电源设备安装工程设计规范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YD/T 5040-2020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7</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电气装置安装工程电力变压器、互感器施工及验收规范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 50148-2010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8</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可编程序控制器国际标准</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IEC 61131-3:2020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9</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机械设备安装工程施工及验收规范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 50231-2017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10</w:t>
            </w:r>
          </w:p>
        </w:tc>
        <w:tc>
          <w:tcPr>
            <w:tcW w:w="3149"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电工成套装置中的导线颜色</w:t>
            </w:r>
          </w:p>
        </w:tc>
        <w:tc>
          <w:tcPr>
            <w:tcW w:w="1336"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GB/T 2681-2013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11</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电工成套装置中的指示灯和按钮的颜色</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GB/T 2682-2013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12</w:t>
            </w:r>
          </w:p>
        </w:tc>
        <w:tc>
          <w:tcPr>
            <w:tcW w:w="3149" w:type="pct"/>
            <w:vAlign w:val="center"/>
          </w:tcPr>
          <w:p>
            <w:pPr>
              <w:widowControl/>
              <w:autoSpaceDE w:val="0"/>
              <w:autoSpaceDN w:val="0"/>
              <w:adjustRightInd w:val="0"/>
              <w:spacing w:before="27"/>
              <w:ind w:right="36" w:rightChars="17"/>
              <w:jc w:val="center"/>
              <w:rPr>
                <w:rFonts w:hint="eastAsia" w:ascii="宋体" w:hAnsi="宋体" w:eastAsia="宋体" w:cs="宋体"/>
                <w:color w:val="000000"/>
                <w:sz w:val="18"/>
                <w:szCs w:val="18"/>
              </w:rPr>
            </w:pPr>
            <w:r>
              <w:rPr>
                <w:rFonts w:hint="eastAsia" w:ascii="宋体" w:hAnsi="宋体" w:eastAsia="宋体" w:cs="宋体"/>
                <w:sz w:val="18"/>
                <w:szCs w:val="18"/>
              </w:rPr>
              <w:t>机械设备防护罩安全标准</w:t>
            </w:r>
          </w:p>
        </w:tc>
        <w:tc>
          <w:tcPr>
            <w:tcW w:w="1336" w:type="pct"/>
            <w:vAlign w:val="center"/>
          </w:tcPr>
          <w:p>
            <w:pPr>
              <w:overflowPunct w:val="0"/>
              <w:jc w:val="center"/>
              <w:rPr>
                <w:rFonts w:hint="eastAsia" w:ascii="宋体" w:hAnsi="宋体" w:eastAsia="宋体" w:cs="宋体"/>
                <w:color w:val="000000"/>
                <w:sz w:val="18"/>
                <w:szCs w:val="18"/>
              </w:rPr>
            </w:pPr>
            <w:r>
              <w:rPr>
                <w:rFonts w:hint="eastAsia" w:ascii="宋体" w:hAnsi="宋体" w:eastAsia="宋体" w:cs="宋体"/>
                <w:sz w:val="18"/>
                <w:szCs w:val="18"/>
              </w:rPr>
              <w:t>GB8196-2003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13</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拧紧工具选型及释放规范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Q/ZZ 30183-2024</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宋体" w:eastAsia="黑体"/>
          <w:b/>
          <w:bCs/>
          <w:color w:val="auto"/>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rPr>
      </w:pPr>
      <w:r>
        <w:rPr>
          <w:rFonts w:hint="eastAsia" w:ascii="黑体" w:hAnsi="宋体" w:eastAsia="黑体"/>
          <w:b/>
          <w:bCs/>
          <w:color w:val="auto"/>
          <w:lang w:val="en-US" w:eastAsia="zh-CN"/>
        </w:rPr>
        <w:t>三、</w:t>
      </w:r>
      <w:r>
        <w:rPr>
          <w:rFonts w:hint="eastAsia" w:ascii="黑体" w:hAnsi="宋体" w:eastAsia="黑体"/>
          <w:b/>
          <w:bCs/>
          <w:color w:val="auto"/>
        </w:rPr>
        <w:t>技术规范和技术要求</w:t>
      </w:r>
    </w:p>
    <w:p>
      <w:pPr>
        <w:pStyle w:val="22"/>
        <w:numPr>
          <w:ilvl w:val="0"/>
          <w:numId w:val="0"/>
        </w:numPr>
        <w:spacing w:before="120" w:beforeLines="50" w:after="120" w:afterLines="50" w:line="360" w:lineRule="auto"/>
        <w:outlineLvl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rPr>
        <w:t>设备基本</w:t>
      </w:r>
      <w:r>
        <w:rPr>
          <w:rFonts w:hint="eastAsia" w:ascii="宋体" w:hAnsi="宋体" w:eastAsia="宋体" w:cs="宋体"/>
          <w:b w:val="0"/>
          <w:bCs/>
          <w:sz w:val="21"/>
          <w:szCs w:val="21"/>
          <w:lang w:val="en-US" w:eastAsia="zh-CN"/>
        </w:rPr>
        <w:t>信息</w:t>
      </w:r>
    </w:p>
    <w:p>
      <w:pPr>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1方向机分装</w:t>
      </w:r>
      <w:r>
        <w:rPr>
          <w:rFonts w:hint="eastAsia" w:ascii="宋体" w:hAnsi="宋体" w:eastAsia="宋体" w:cs="宋体"/>
          <w:b w:val="0"/>
          <w:bCs/>
          <w:sz w:val="21"/>
          <w:szCs w:val="21"/>
        </w:rPr>
        <w:t>拧紧</w:t>
      </w:r>
      <w:r>
        <w:rPr>
          <w:rFonts w:hint="eastAsia" w:ascii="宋体" w:hAnsi="宋体" w:cs="宋体"/>
          <w:b w:val="0"/>
          <w:bCs/>
          <w:sz w:val="21"/>
          <w:szCs w:val="21"/>
          <w:lang w:val="en-US" w:eastAsia="zh-CN"/>
        </w:rPr>
        <w:t>机</w:t>
      </w:r>
    </w:p>
    <w:tbl>
      <w:tblPr>
        <w:tblStyle w:val="41"/>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603"/>
        <w:gridCol w:w="2268"/>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Align w:val="center"/>
          </w:tcPr>
          <w:p>
            <w:pPr>
              <w:overflowPunct w:val="0"/>
              <w:jc w:val="center"/>
              <w:rPr>
                <w:rFonts w:hint="eastAsia" w:ascii="宋体" w:hAnsi="宋体" w:cs="宋体"/>
                <w:b/>
                <w:sz w:val="21"/>
                <w:szCs w:val="21"/>
              </w:rPr>
            </w:pPr>
            <w:r>
              <w:rPr>
                <w:rFonts w:hint="eastAsia" w:ascii="宋体" w:hAnsi="宋体" w:eastAsia="宋体" w:cs="宋体"/>
                <w:b/>
                <w:sz w:val="21"/>
                <w:szCs w:val="21"/>
              </w:rPr>
              <w:t>工具名称×数量</w:t>
            </w:r>
          </w:p>
        </w:tc>
        <w:tc>
          <w:tcPr>
            <w:tcW w:w="1603" w:type="dxa"/>
            <w:vAlign w:val="center"/>
          </w:tcPr>
          <w:p>
            <w:pPr>
              <w:overflowPunct w:val="0"/>
              <w:jc w:val="center"/>
              <w:rPr>
                <w:rFonts w:hint="eastAsia" w:ascii="宋体" w:hAnsi="宋体" w:cs="宋体"/>
                <w:b/>
                <w:sz w:val="21"/>
                <w:szCs w:val="21"/>
              </w:rPr>
            </w:pPr>
            <w:r>
              <w:rPr>
                <w:rFonts w:hint="eastAsia" w:ascii="宋体" w:hAnsi="宋体" w:cs="宋体"/>
                <w:b/>
                <w:sz w:val="21"/>
                <w:szCs w:val="21"/>
              </w:rPr>
              <w:t>力矩要求/Nm</w:t>
            </w:r>
          </w:p>
        </w:tc>
        <w:tc>
          <w:tcPr>
            <w:tcW w:w="2268" w:type="dxa"/>
            <w:vAlign w:val="center"/>
          </w:tcPr>
          <w:p>
            <w:pPr>
              <w:overflowPunct w:val="0"/>
              <w:jc w:val="center"/>
              <w:rPr>
                <w:rFonts w:hint="eastAsia" w:ascii="宋体" w:hAnsi="宋体" w:eastAsia="宋体" w:cs="宋体"/>
                <w:b/>
                <w:sz w:val="21"/>
                <w:szCs w:val="21"/>
              </w:rPr>
            </w:pPr>
            <w:r>
              <w:rPr>
                <w:rFonts w:hint="eastAsia" w:ascii="宋体" w:hAnsi="宋体" w:cs="宋体"/>
                <w:b/>
                <w:sz w:val="21"/>
                <w:szCs w:val="21"/>
              </w:rPr>
              <w:t>工具附件参考配置</w:t>
            </w:r>
          </w:p>
        </w:tc>
        <w:tc>
          <w:tcPr>
            <w:tcW w:w="1758" w:type="dxa"/>
            <w:vAlign w:val="center"/>
          </w:tcPr>
          <w:p>
            <w:pPr>
              <w:overflowPunct w:val="0"/>
              <w:jc w:val="center"/>
              <w:rPr>
                <w:rFonts w:hint="eastAsia" w:ascii="宋体" w:hAnsi="宋体" w:eastAsia="宋体" w:cs="宋体"/>
                <w:b/>
                <w:sz w:val="21"/>
                <w:szCs w:val="21"/>
              </w:rPr>
            </w:pPr>
            <w:r>
              <w:rPr>
                <w:rFonts w:hint="eastAsia" w:ascii="宋体" w:hAnsi="宋体" w:cs="宋体"/>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restart"/>
            <w:vAlign w:val="center"/>
          </w:tcPr>
          <w:p>
            <w:pPr>
              <w:overflowPunct w:val="0"/>
              <w:jc w:val="center"/>
              <w:rPr>
                <w:rFonts w:hint="eastAsia" w:ascii="宋体" w:hAnsi="宋体" w:eastAsia="宋体" w:cs="宋体"/>
                <w:bCs/>
                <w:sz w:val="21"/>
                <w:szCs w:val="21"/>
                <w:lang w:val="en-US" w:eastAsia="zh-CN"/>
              </w:rPr>
            </w:pPr>
            <w:r>
              <w:rPr>
                <w:rFonts w:hint="eastAsia" w:ascii="宋体" w:hAnsi="宋体" w:cs="宋体"/>
                <w:bCs/>
                <w:sz w:val="21"/>
                <w:szCs w:val="21"/>
              </w:rPr>
              <w:t>单轴拧紧机</w:t>
            </w:r>
            <w:r>
              <w:rPr>
                <w:rFonts w:hint="eastAsia" w:ascii="宋体" w:hAnsi="宋体" w:eastAsia="宋体" w:cs="宋体"/>
                <w:bCs/>
                <w:sz w:val="21"/>
                <w:szCs w:val="21"/>
              </w:rPr>
              <w:t>×</w:t>
            </w:r>
            <w:r>
              <w:rPr>
                <w:rFonts w:hint="eastAsia" w:ascii="宋体" w:hAnsi="宋体" w:eastAsia="宋体" w:cs="宋体"/>
                <w:bCs/>
                <w:sz w:val="21"/>
                <w:szCs w:val="21"/>
                <w:lang w:val="en-US" w:eastAsia="zh-CN"/>
              </w:rPr>
              <w:t>1</w:t>
            </w:r>
          </w:p>
        </w:tc>
        <w:tc>
          <w:tcPr>
            <w:tcW w:w="1603" w:type="dxa"/>
            <w:vMerge w:val="restart"/>
            <w:vAlign w:val="center"/>
          </w:tcPr>
          <w:p>
            <w:pPr>
              <w:jc w:val="center"/>
              <w:rPr>
                <w:rFonts w:hint="eastAsia" w:ascii="宋体" w:hAnsi="宋体" w:cs="宋体"/>
                <w:kern w:val="0"/>
                <w:sz w:val="21"/>
                <w:szCs w:val="21"/>
              </w:rPr>
            </w:pPr>
            <w:r>
              <w:rPr>
                <w:rFonts w:hint="eastAsia" w:ascii="宋体" w:hAnsi="宋体" w:cs="宋体"/>
                <w:kern w:val="0"/>
                <w:sz w:val="21"/>
                <w:szCs w:val="21"/>
              </w:rPr>
              <w:t>花键（ZF）：M=700±70Nm；花键（国产）：M=550±55Nm</w:t>
            </w:r>
          </w:p>
          <w:p>
            <w:pPr>
              <w:jc w:val="center"/>
              <w:rPr>
                <w:rFonts w:hint="eastAsia" w:ascii="宋体" w:hAnsi="宋体" w:cs="宋体"/>
                <w:bCs/>
                <w:sz w:val="21"/>
                <w:szCs w:val="21"/>
                <w:highlight w:val="yellow"/>
              </w:rPr>
            </w:pPr>
            <w:r>
              <w:rPr>
                <w:rFonts w:ascii="宋体" w:hAnsi="宋体"/>
                <w:sz w:val="21"/>
                <w:szCs w:val="21"/>
              </w:rPr>
              <w:t>M</w:t>
            </w:r>
            <w:r>
              <w:rPr>
                <w:rFonts w:hint="eastAsia" w:ascii="宋体" w:hAnsi="宋体"/>
                <w:sz w:val="21"/>
                <w:szCs w:val="21"/>
              </w:rPr>
              <w:t>2</w:t>
            </w:r>
            <w:r>
              <w:rPr>
                <w:rFonts w:ascii="宋体" w:hAnsi="宋体"/>
                <w:sz w:val="21"/>
                <w:szCs w:val="21"/>
              </w:rPr>
              <w:t>0=5</w:t>
            </w:r>
            <w:r>
              <w:rPr>
                <w:rFonts w:hint="eastAsia" w:ascii="宋体" w:hAnsi="宋体"/>
                <w:sz w:val="21"/>
                <w:szCs w:val="21"/>
              </w:rPr>
              <w:t>2</w:t>
            </w:r>
            <w:r>
              <w:rPr>
                <w:rFonts w:ascii="宋体" w:hAnsi="宋体"/>
                <w:sz w:val="21"/>
                <w:szCs w:val="21"/>
              </w:rPr>
              <w:t>0±</w:t>
            </w:r>
            <w:r>
              <w:rPr>
                <w:rFonts w:hint="eastAsia" w:ascii="宋体" w:hAnsi="宋体"/>
                <w:sz w:val="21"/>
                <w:szCs w:val="21"/>
              </w:rPr>
              <w:t>52</w:t>
            </w:r>
            <w:r>
              <w:rPr>
                <w:rFonts w:ascii="宋体" w:hAnsi="宋体"/>
                <w:sz w:val="21"/>
                <w:szCs w:val="21"/>
              </w:rPr>
              <w:t>Nm</w:t>
            </w: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控制器</w:t>
            </w:r>
          </w:p>
        </w:tc>
        <w:tc>
          <w:tcPr>
            <w:tcW w:w="1758" w:type="dxa"/>
            <w:vAlign w:val="center"/>
          </w:tcPr>
          <w:p>
            <w:pPr>
              <w:overflowPunct w:val="0"/>
              <w:jc w:val="center"/>
              <w:rPr>
                <w:rFonts w:hint="eastAsia" w:ascii="宋体" w:hAnsi="宋体" w:eastAsia="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电缆</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机械臂</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控制器支架</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定制套筒</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扫码枪</w:t>
            </w:r>
          </w:p>
        </w:tc>
        <w:tc>
          <w:tcPr>
            <w:tcW w:w="1758" w:type="dxa"/>
            <w:vAlign w:val="center"/>
          </w:tcPr>
          <w:p>
            <w:pPr>
              <w:overflowPunct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r>
              <w:rPr>
                <w:rFonts w:hint="eastAsia" w:ascii="宋体" w:hAnsi="宋体" w:cs="宋体"/>
                <w:bCs/>
                <w:sz w:val="21"/>
                <w:szCs w:val="21"/>
                <w:lang w:val="en-US" w:eastAsia="zh-CN"/>
              </w:rPr>
              <w:t>反力工装</w:t>
            </w:r>
          </w:p>
        </w:tc>
        <w:tc>
          <w:tcPr>
            <w:tcW w:w="1603"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p>
        </w:tc>
        <w:tc>
          <w:tcPr>
            <w:tcW w:w="2268" w:type="dxa"/>
            <w:vAlign w:val="center"/>
          </w:tcPr>
          <w:p>
            <w:pPr>
              <w:overflowPunct w:val="0"/>
              <w:jc w:val="center"/>
              <w:rPr>
                <w:rFonts w:hint="default" w:ascii="宋体" w:hAnsi="宋体" w:cs="宋体"/>
                <w:bCs/>
                <w:sz w:val="21"/>
                <w:szCs w:val="21"/>
                <w:lang w:val="en-US" w:eastAsia="zh-CN"/>
              </w:rPr>
            </w:pPr>
            <w:r>
              <w:rPr>
                <w:rFonts w:hint="eastAsia" w:ascii="宋体" w:hAnsi="宋体" w:cs="宋体"/>
                <w:bCs/>
                <w:sz w:val="21"/>
                <w:szCs w:val="21"/>
                <w:lang w:val="en-US" w:eastAsia="zh-CN"/>
              </w:rPr>
              <w:t>非标定制</w:t>
            </w:r>
          </w:p>
        </w:tc>
        <w:tc>
          <w:tcPr>
            <w:tcW w:w="1758" w:type="dxa"/>
            <w:vAlign w:val="center"/>
          </w:tcPr>
          <w:p>
            <w:pPr>
              <w:overflowPunct w:val="0"/>
              <w:jc w:val="center"/>
              <w:rPr>
                <w:rFonts w:hint="eastAsia" w:ascii="宋体" w:hAnsi="宋体" w:cs="宋体"/>
                <w:bCs/>
                <w:sz w:val="21"/>
                <w:szCs w:val="21"/>
                <w:lang w:val="en-US" w:eastAsia="zh-CN"/>
              </w:rPr>
            </w:pPr>
            <w:r>
              <w:rPr>
                <w:rFonts w:hint="eastAsia" w:ascii="宋体" w:hAnsi="宋体" w:cs="宋体"/>
                <w:bCs/>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Align w:val="center"/>
          </w:tcPr>
          <w:p>
            <w:pPr>
              <w:overflowPunct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拧紧机吊装工具</w:t>
            </w:r>
          </w:p>
        </w:tc>
        <w:tc>
          <w:tcPr>
            <w:tcW w:w="1603" w:type="dxa"/>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非标定制</w:t>
            </w:r>
          </w:p>
        </w:tc>
        <w:tc>
          <w:tcPr>
            <w:tcW w:w="1758" w:type="dxa"/>
            <w:vAlign w:val="center"/>
          </w:tcPr>
          <w:p>
            <w:pPr>
              <w:overflowPunct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1套</w:t>
            </w:r>
          </w:p>
        </w:tc>
      </w:tr>
    </w:tbl>
    <w:p>
      <w:pPr>
        <w:spacing w:before="120" w:beforeLines="50" w:after="120" w:afterLines="50"/>
        <w:jc w:val="center"/>
        <w:rPr>
          <w:rFonts w:hint="eastAsia" w:eastAsia="宋体"/>
          <w:sz w:val="21"/>
          <w:szCs w:val="21"/>
          <w:lang w:eastAsia="zh-CN"/>
        </w:rPr>
      </w:pPr>
      <w:r>
        <w:rPr>
          <w:rFonts w:hint="eastAsia" w:eastAsia="宋体"/>
          <w:sz w:val="21"/>
          <w:szCs w:val="21"/>
          <w:lang w:eastAsia="zh-CN"/>
        </w:rPr>
        <w:drawing>
          <wp:inline distT="0" distB="0" distL="114300" distR="114300">
            <wp:extent cx="2762885" cy="1618615"/>
            <wp:effectExtent l="0" t="0" r="6985" b="5715"/>
            <wp:docPr id="9" name="图片 9" descr="322c371da995520add4c304b94a57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2c371da995520add4c304b94a57da0"/>
                    <pic:cNvPicPr>
                      <a:picLocks noChangeAspect="1"/>
                    </pic:cNvPicPr>
                  </pic:nvPicPr>
                  <pic:blipFill>
                    <a:blip r:embed="rId40"/>
                    <a:srcRect r="12788" b="31892"/>
                    <a:stretch>
                      <a:fillRect/>
                    </a:stretch>
                  </pic:blipFill>
                  <pic:spPr>
                    <a:xfrm rot="5400000">
                      <a:off x="0" y="0"/>
                      <a:ext cx="2762885" cy="1618615"/>
                    </a:xfrm>
                    <a:prstGeom prst="rect">
                      <a:avLst/>
                    </a:prstGeom>
                  </pic:spPr>
                </pic:pic>
              </a:graphicData>
            </a:graphic>
          </wp:inline>
        </w:drawing>
      </w:r>
    </w:p>
    <w:p>
      <w:pPr>
        <w:spacing w:before="120" w:beforeLines="50" w:after="120" w:afterLines="50"/>
        <w:jc w:val="center"/>
        <w:rPr>
          <w:rFonts w:hint="eastAsia" w:asciiTheme="minorEastAsia" w:hAnsiTheme="minorEastAsia" w:eastAsiaTheme="minorEastAsia"/>
          <w:b w:val="0"/>
          <w:bCs/>
          <w:sz w:val="21"/>
          <w:szCs w:val="21"/>
          <w:lang w:val="en-US" w:eastAsia="zh-CN"/>
        </w:rPr>
      </w:pPr>
      <w:r>
        <w:rPr>
          <w:rFonts w:hint="eastAsia" w:hAnsi="宋体" w:cs="宋体"/>
          <w:bCs/>
          <w:sz w:val="21"/>
          <w:szCs w:val="21"/>
        </w:rPr>
        <w:t>参考拧紧方案</w:t>
      </w:r>
    </w:p>
    <w:p>
      <w:pPr>
        <w:spacing w:line="360" w:lineRule="auto"/>
        <w:rPr>
          <w:rFonts w:hint="default" w:ascii="宋体" w:hAnsi="宋体" w:eastAsia="宋体" w:cs="宋体"/>
          <w:b w:val="0"/>
          <w:bCs/>
          <w:sz w:val="21"/>
          <w:szCs w:val="21"/>
          <w:lang w:val="en-US" w:eastAsia="zh-CN"/>
        </w:rPr>
      </w:pPr>
      <w:r>
        <w:rPr>
          <w:rFonts w:hint="eastAsia" w:asciiTheme="minorEastAsia" w:hAnsiTheme="minorEastAsia" w:eastAsiaTheme="minorEastAsia"/>
          <w:b w:val="0"/>
          <w:bCs/>
          <w:sz w:val="21"/>
          <w:szCs w:val="21"/>
          <w:lang w:val="en-US" w:eastAsia="zh-CN"/>
        </w:rPr>
        <w:t>1</w:t>
      </w:r>
      <w:r>
        <w:rPr>
          <w:rFonts w:hint="eastAsia" w:asciiTheme="minorEastAsia" w:hAnsiTheme="minorEastAsia" w:eastAsiaTheme="minorEastAsia"/>
          <w:b w:val="0"/>
          <w:bCs/>
          <w:sz w:val="21"/>
          <w:szCs w:val="21"/>
        </w:rPr>
        <w:t>.</w:t>
      </w:r>
      <w:r>
        <w:rPr>
          <w:rFonts w:hint="eastAsia" w:asciiTheme="minorEastAsia" w:hAnsiTheme="minorEastAsia" w:eastAsiaTheme="minorEastAsia"/>
          <w:b w:val="0"/>
          <w:bCs/>
          <w:sz w:val="21"/>
          <w:szCs w:val="21"/>
          <w:lang w:val="en-US" w:eastAsia="zh-CN"/>
        </w:rPr>
        <w:t>2</w:t>
      </w:r>
      <w:r>
        <w:rPr>
          <w:rFonts w:hint="eastAsia" w:ascii="宋体" w:hAnsi="宋体" w:eastAsia="宋体" w:cs="宋体"/>
          <w:b w:val="0"/>
          <w:bCs/>
          <w:sz w:val="21"/>
          <w:szCs w:val="21"/>
          <w:lang w:val="en-US" w:eastAsia="zh-CN"/>
        </w:rPr>
        <w:t>板簧销拧紧</w:t>
      </w:r>
    </w:p>
    <w:tbl>
      <w:tblPr>
        <w:tblStyle w:val="41"/>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603"/>
        <w:gridCol w:w="2268"/>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Align w:val="center"/>
          </w:tcPr>
          <w:p>
            <w:pPr>
              <w:overflowPunct w:val="0"/>
              <w:jc w:val="center"/>
              <w:rPr>
                <w:rFonts w:hint="eastAsia" w:ascii="宋体" w:hAnsi="宋体" w:cs="宋体"/>
                <w:b/>
                <w:sz w:val="21"/>
                <w:szCs w:val="21"/>
              </w:rPr>
            </w:pPr>
            <w:r>
              <w:rPr>
                <w:rFonts w:hint="eastAsia" w:ascii="宋体" w:hAnsi="宋体" w:eastAsia="宋体" w:cs="宋体"/>
                <w:b/>
                <w:sz w:val="21"/>
                <w:szCs w:val="21"/>
              </w:rPr>
              <w:t>工具名称×数量</w:t>
            </w:r>
          </w:p>
        </w:tc>
        <w:tc>
          <w:tcPr>
            <w:tcW w:w="1603" w:type="dxa"/>
            <w:vAlign w:val="center"/>
          </w:tcPr>
          <w:p>
            <w:pPr>
              <w:overflowPunct w:val="0"/>
              <w:jc w:val="center"/>
              <w:rPr>
                <w:rFonts w:hint="eastAsia" w:ascii="宋体" w:hAnsi="宋体" w:cs="宋体"/>
                <w:b/>
                <w:sz w:val="21"/>
                <w:szCs w:val="21"/>
              </w:rPr>
            </w:pPr>
            <w:r>
              <w:rPr>
                <w:rFonts w:hint="eastAsia" w:ascii="宋体" w:hAnsi="宋体" w:cs="宋体"/>
                <w:b/>
                <w:sz w:val="21"/>
                <w:szCs w:val="21"/>
              </w:rPr>
              <w:t>力矩要求/Nm</w:t>
            </w:r>
          </w:p>
        </w:tc>
        <w:tc>
          <w:tcPr>
            <w:tcW w:w="2268" w:type="dxa"/>
            <w:vAlign w:val="center"/>
          </w:tcPr>
          <w:p>
            <w:pPr>
              <w:overflowPunct w:val="0"/>
              <w:jc w:val="center"/>
              <w:rPr>
                <w:rFonts w:hint="eastAsia" w:ascii="宋体" w:hAnsi="宋体" w:eastAsia="宋体" w:cs="宋体"/>
                <w:b/>
                <w:sz w:val="21"/>
                <w:szCs w:val="21"/>
              </w:rPr>
            </w:pPr>
            <w:r>
              <w:rPr>
                <w:rFonts w:hint="eastAsia" w:ascii="宋体" w:hAnsi="宋体" w:cs="宋体"/>
                <w:b/>
                <w:sz w:val="21"/>
                <w:szCs w:val="21"/>
              </w:rPr>
              <w:t>工具附件参考配置</w:t>
            </w:r>
          </w:p>
        </w:tc>
        <w:tc>
          <w:tcPr>
            <w:tcW w:w="1758" w:type="dxa"/>
            <w:vAlign w:val="center"/>
          </w:tcPr>
          <w:p>
            <w:pPr>
              <w:overflowPunct w:val="0"/>
              <w:jc w:val="center"/>
              <w:rPr>
                <w:rFonts w:hint="eastAsia" w:ascii="宋体" w:hAnsi="宋体" w:eastAsia="宋体" w:cs="宋体"/>
                <w:b/>
                <w:sz w:val="21"/>
                <w:szCs w:val="21"/>
              </w:rPr>
            </w:pPr>
            <w:r>
              <w:rPr>
                <w:rFonts w:hint="eastAsia" w:ascii="宋体" w:hAnsi="宋体" w:cs="宋体"/>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restart"/>
            <w:vAlign w:val="center"/>
          </w:tcPr>
          <w:p>
            <w:pPr>
              <w:overflowPunct w:val="0"/>
              <w:jc w:val="center"/>
              <w:rPr>
                <w:rFonts w:hint="eastAsia" w:ascii="宋体" w:hAnsi="宋体" w:eastAsia="宋体" w:cs="宋体"/>
                <w:bCs/>
                <w:sz w:val="21"/>
                <w:szCs w:val="21"/>
                <w:lang w:val="en-US" w:eastAsia="zh-CN"/>
              </w:rPr>
            </w:pPr>
            <w:r>
              <w:rPr>
                <w:rFonts w:hint="eastAsia" w:ascii="宋体" w:hAnsi="宋体" w:cs="宋体"/>
                <w:bCs/>
                <w:sz w:val="21"/>
                <w:szCs w:val="21"/>
              </w:rPr>
              <w:t>单轴拧紧机</w:t>
            </w:r>
            <w:r>
              <w:rPr>
                <w:rFonts w:hint="eastAsia" w:ascii="宋体" w:hAnsi="宋体" w:eastAsia="宋体" w:cs="宋体"/>
                <w:bCs/>
                <w:sz w:val="21"/>
                <w:szCs w:val="21"/>
              </w:rPr>
              <w:t>×</w:t>
            </w:r>
            <w:r>
              <w:rPr>
                <w:rFonts w:hint="eastAsia" w:ascii="宋体" w:hAnsi="宋体" w:cs="宋体"/>
                <w:bCs/>
                <w:sz w:val="21"/>
                <w:szCs w:val="21"/>
                <w:lang w:val="en-US" w:eastAsia="zh-CN"/>
              </w:rPr>
              <w:t>2</w:t>
            </w:r>
          </w:p>
        </w:tc>
        <w:tc>
          <w:tcPr>
            <w:tcW w:w="1603" w:type="dxa"/>
            <w:vMerge w:val="restart"/>
            <w:vAlign w:val="center"/>
          </w:tcPr>
          <w:p>
            <w:pPr>
              <w:overflowPunct w:val="0"/>
              <w:jc w:val="center"/>
              <w:rPr>
                <w:rFonts w:hint="eastAsia" w:ascii="宋体" w:hAnsi="宋体" w:cs="宋体"/>
                <w:bCs/>
                <w:sz w:val="21"/>
                <w:szCs w:val="21"/>
                <w:highlight w:val="yellow"/>
              </w:rPr>
            </w:pPr>
            <w:r>
              <w:rPr>
                <w:rFonts w:hint="eastAsia" w:ascii="宋体" w:hAnsi="宋体" w:cs="宋体"/>
                <w:kern w:val="0"/>
                <w:sz w:val="21"/>
                <w:szCs w:val="21"/>
              </w:rPr>
              <w:t>M=</w:t>
            </w:r>
            <w:r>
              <w:rPr>
                <w:rFonts w:hint="eastAsia" w:ascii="宋体" w:hAnsi="宋体" w:cs="宋体"/>
                <w:kern w:val="0"/>
                <w:sz w:val="21"/>
                <w:szCs w:val="21"/>
                <w:lang w:val="en-US" w:eastAsia="zh-CN"/>
              </w:rPr>
              <w:t>960</w:t>
            </w:r>
            <w:r>
              <w:rPr>
                <w:rFonts w:hint="eastAsia" w:ascii="宋体" w:hAnsi="宋体" w:cs="宋体"/>
                <w:kern w:val="0"/>
                <w:sz w:val="21"/>
                <w:szCs w:val="21"/>
              </w:rPr>
              <w:t>±</w:t>
            </w:r>
            <w:r>
              <w:rPr>
                <w:rFonts w:hint="eastAsia" w:ascii="宋体" w:hAnsi="宋体" w:cs="宋体"/>
                <w:kern w:val="0"/>
                <w:sz w:val="21"/>
                <w:szCs w:val="21"/>
                <w:lang w:val="en-US" w:eastAsia="zh-CN"/>
              </w:rPr>
              <w:t>96</w:t>
            </w:r>
            <w:r>
              <w:rPr>
                <w:rFonts w:hint="eastAsia" w:ascii="宋体" w:hAnsi="宋体" w:cs="宋体"/>
                <w:kern w:val="0"/>
                <w:sz w:val="21"/>
                <w:szCs w:val="21"/>
              </w:rPr>
              <w:t>Nm</w:t>
            </w: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控制器</w:t>
            </w:r>
          </w:p>
        </w:tc>
        <w:tc>
          <w:tcPr>
            <w:tcW w:w="1758" w:type="dxa"/>
            <w:vAlign w:val="center"/>
          </w:tcPr>
          <w:p>
            <w:pPr>
              <w:overflowPunct w:val="0"/>
              <w:jc w:val="center"/>
              <w:rPr>
                <w:rFonts w:hint="eastAsia" w:ascii="宋体" w:hAnsi="宋体" w:eastAsia="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电缆</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机械臂</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控制器支架</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定制套筒</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12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扫码枪</w:t>
            </w:r>
          </w:p>
        </w:tc>
        <w:tc>
          <w:tcPr>
            <w:tcW w:w="175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r>
              <w:rPr>
                <w:rFonts w:hint="eastAsia" w:ascii="宋体" w:hAnsi="宋体" w:cs="宋体"/>
                <w:bCs/>
                <w:sz w:val="21"/>
                <w:szCs w:val="21"/>
                <w:lang w:val="en-US" w:eastAsia="zh-CN"/>
              </w:rPr>
              <w:t>反力工装</w:t>
            </w:r>
          </w:p>
        </w:tc>
        <w:tc>
          <w:tcPr>
            <w:tcW w:w="1603"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p>
        </w:tc>
        <w:tc>
          <w:tcPr>
            <w:tcW w:w="226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非标定制</w:t>
            </w:r>
          </w:p>
        </w:tc>
        <w:tc>
          <w:tcPr>
            <w:tcW w:w="1758" w:type="dxa"/>
            <w:shd w:val="clear" w:color="auto" w:fill="auto"/>
            <w:vAlign w:val="center"/>
          </w:tcPr>
          <w:p>
            <w:pPr>
              <w:overflowPunct w:val="0"/>
              <w:jc w:val="center"/>
              <w:rPr>
                <w:rFonts w:hint="eastAsia" w:ascii="宋体" w:hAnsi="宋体" w:cs="宋体"/>
                <w:bCs/>
                <w:sz w:val="21"/>
                <w:szCs w:val="21"/>
                <w:lang w:val="en-US" w:eastAsia="zh-CN"/>
              </w:rPr>
            </w:pPr>
            <w:r>
              <w:rPr>
                <w:rFonts w:hint="eastAsia" w:ascii="宋体" w:hAnsi="宋体" w:cs="宋体"/>
                <w:bCs/>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shd w:val="clear" w:color="auto" w:fill="auto"/>
            <w:vAlign w:val="center"/>
          </w:tcPr>
          <w:p>
            <w:pPr>
              <w:overflowPunct w:val="0"/>
              <w:jc w:val="center"/>
              <w:rPr>
                <w:rFonts w:hint="default" w:ascii="宋体" w:hAnsi="宋体" w:cs="宋体"/>
                <w:bCs/>
                <w:sz w:val="21"/>
                <w:szCs w:val="21"/>
                <w:lang w:val="en-US" w:eastAsia="zh-CN"/>
              </w:rPr>
            </w:pPr>
            <w:r>
              <w:rPr>
                <w:rFonts w:hint="eastAsia" w:ascii="宋体" w:hAnsi="宋体" w:cs="宋体"/>
                <w:bCs/>
                <w:sz w:val="21"/>
                <w:szCs w:val="21"/>
                <w:lang w:val="en-US" w:eastAsia="zh-CN"/>
              </w:rPr>
              <w:t>装配线两侧吊装工具</w:t>
            </w:r>
          </w:p>
        </w:tc>
        <w:tc>
          <w:tcPr>
            <w:tcW w:w="1603"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p>
        </w:tc>
        <w:tc>
          <w:tcPr>
            <w:tcW w:w="226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非标定制</w:t>
            </w:r>
          </w:p>
        </w:tc>
        <w:tc>
          <w:tcPr>
            <w:tcW w:w="175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2套</w:t>
            </w:r>
          </w:p>
        </w:tc>
      </w:tr>
    </w:tbl>
    <w:p>
      <w:pPr>
        <w:pStyle w:val="22"/>
        <w:numPr>
          <w:ilvl w:val="0"/>
          <w:numId w:val="0"/>
        </w:numPr>
        <w:spacing w:before="120" w:beforeLines="50" w:after="120" w:afterLines="50" w:line="360" w:lineRule="auto"/>
        <w:jc w:val="center"/>
        <w:outlineLvl w:val="0"/>
      </w:pPr>
      <w:r>
        <w:drawing>
          <wp:inline distT="0" distB="0" distL="114300" distR="114300">
            <wp:extent cx="1750060" cy="1548130"/>
            <wp:effectExtent l="0" t="0" r="2540" b="1270"/>
            <wp:docPr id="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pic:cNvPicPr>
                      <a:picLocks noChangeAspect="1"/>
                    </pic:cNvPicPr>
                  </pic:nvPicPr>
                  <pic:blipFill>
                    <a:blip r:embed="rId41"/>
                    <a:stretch>
                      <a:fillRect/>
                    </a:stretch>
                  </pic:blipFill>
                  <pic:spPr>
                    <a:xfrm>
                      <a:off x="0" y="0"/>
                      <a:ext cx="1750060" cy="1548130"/>
                    </a:xfrm>
                    <a:prstGeom prst="rect">
                      <a:avLst/>
                    </a:prstGeom>
                    <a:noFill/>
                    <a:ln>
                      <a:noFill/>
                    </a:ln>
                  </pic:spPr>
                </pic:pic>
              </a:graphicData>
            </a:graphic>
          </wp:inline>
        </w:drawing>
      </w:r>
    </w:p>
    <w:p>
      <w:pPr>
        <w:spacing w:before="120" w:beforeLines="50" w:after="120" w:afterLines="50"/>
        <w:jc w:val="center"/>
        <w:rPr>
          <w:rFonts w:hint="eastAsia"/>
        </w:rPr>
      </w:pPr>
      <w:r>
        <w:rPr>
          <w:rFonts w:hint="eastAsia" w:hAnsi="宋体" w:cs="宋体"/>
          <w:bCs/>
          <w:sz w:val="21"/>
          <w:szCs w:val="21"/>
        </w:rPr>
        <w:t>参考拧紧方案</w:t>
      </w:r>
    </w:p>
    <w:p>
      <w:pPr>
        <w:pStyle w:val="22"/>
        <w:numPr>
          <w:ilvl w:val="0"/>
          <w:numId w:val="11"/>
        </w:numPr>
        <w:spacing w:before="120" w:beforeLines="50" w:after="120" w:afterLines="50" w:line="360" w:lineRule="auto"/>
        <w:outlineLvl w:val="0"/>
        <w:rPr>
          <w:rFonts w:hint="eastAsia" w:hAnsi="宋体" w:eastAsia="宋体" w:cs="宋体"/>
          <w:sz w:val="21"/>
          <w:szCs w:val="21"/>
        </w:rPr>
      </w:pPr>
      <w:r>
        <w:rPr>
          <w:rFonts w:hint="eastAsia" w:hAnsi="宋体" w:eastAsia="宋体" w:cs="宋体"/>
          <w:sz w:val="21"/>
          <w:szCs w:val="21"/>
        </w:rPr>
        <w:t>设备通用</w:t>
      </w:r>
      <w:r>
        <w:rPr>
          <w:rFonts w:hint="eastAsia" w:hAnsi="宋体" w:cs="宋体"/>
          <w:sz w:val="21"/>
          <w:szCs w:val="21"/>
          <w:lang w:val="en-US" w:eastAsia="zh-CN"/>
        </w:rPr>
        <w:t>技术</w:t>
      </w:r>
      <w:r>
        <w:rPr>
          <w:rFonts w:hint="eastAsia" w:hAnsi="宋体" w:eastAsia="宋体" w:cs="宋体"/>
          <w:sz w:val="21"/>
          <w:szCs w:val="21"/>
        </w:rPr>
        <w:t>要求</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 工具设计制造及使用应符合ISO 5393标准；</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2.2 所有零部件和各种仪表的计量单位全部采用国际单位标准（SI）标准；</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2.3 卖方所提供的产品必须为知名品牌，必须是全新的、同类产品中最先进的可靠的产品；</w:t>
      </w:r>
    </w:p>
    <w:p>
      <w:pPr>
        <w:pStyle w:val="22"/>
        <w:spacing w:line="360" w:lineRule="auto"/>
        <w:ind w:firstLine="420" w:firstLineChars="200"/>
        <w:rPr>
          <w:rFonts w:hint="eastAsia" w:hAnsi="宋体" w:eastAsia="宋体" w:cs="宋体"/>
          <w:sz w:val="21"/>
          <w:szCs w:val="21"/>
          <w:lang w:eastAsia="zh-CN"/>
        </w:rPr>
      </w:pPr>
      <w:r>
        <w:rPr>
          <w:rFonts w:hint="eastAsia" w:hAnsi="宋体" w:eastAsia="宋体" w:cs="宋体"/>
          <w:sz w:val="21"/>
          <w:szCs w:val="21"/>
        </w:rPr>
        <w:t>2.4 设备工具的选择必须考虑作业姿势、使用空间、紧固速度等因素，必须满足工艺</w:t>
      </w:r>
      <w:r>
        <w:rPr>
          <w:rFonts w:hint="eastAsia" w:hAnsi="宋体" w:cs="宋体"/>
          <w:sz w:val="21"/>
          <w:szCs w:val="21"/>
          <w:lang w:eastAsia="zh-CN"/>
        </w:rPr>
        <w:t>；</w:t>
      </w:r>
    </w:p>
    <w:p>
      <w:pPr>
        <w:spacing w:line="360" w:lineRule="auto"/>
        <w:ind w:firstLine="420" w:firstLineChars="200"/>
        <w:rPr>
          <w:rFonts w:hint="eastAsia" w:hAnsi="宋体" w:eastAsia="宋体" w:cs="宋体"/>
          <w:sz w:val="21"/>
          <w:szCs w:val="21"/>
        </w:rPr>
      </w:pPr>
      <w:r>
        <w:rPr>
          <w:rFonts w:hint="eastAsia" w:hAnsi="宋体" w:eastAsia="宋体" w:cs="宋体"/>
          <w:sz w:val="21"/>
          <w:szCs w:val="21"/>
        </w:rPr>
        <w:t>2.5 扭矩设定值及生产节拍</w:t>
      </w:r>
      <w:r>
        <w:rPr>
          <w:rFonts w:hint="eastAsia" w:hAnsi="宋体" w:cs="宋体"/>
          <w:sz w:val="21"/>
          <w:szCs w:val="21"/>
          <w:lang w:eastAsia="zh-CN"/>
        </w:rPr>
        <w:t>（</w:t>
      </w:r>
      <w:r>
        <w:rPr>
          <w:rFonts w:hint="eastAsia" w:hAnsi="宋体" w:cs="宋体"/>
          <w:sz w:val="21"/>
          <w:szCs w:val="21"/>
          <w:lang w:val="en-US" w:eastAsia="zh-CN"/>
        </w:rPr>
        <w:t>4.5min</w:t>
      </w:r>
      <w:r>
        <w:rPr>
          <w:rFonts w:hint="eastAsia" w:hAnsi="宋体" w:cs="宋体"/>
          <w:sz w:val="21"/>
          <w:szCs w:val="21"/>
          <w:lang w:eastAsia="zh-CN"/>
        </w:rPr>
        <w:t>）</w:t>
      </w:r>
      <w:r>
        <w:rPr>
          <w:rFonts w:hint="eastAsia" w:hAnsi="宋体" w:eastAsia="宋体" w:cs="宋体"/>
          <w:sz w:val="21"/>
          <w:szCs w:val="21"/>
        </w:rPr>
        <w:t>，拧紧精度不低于</w:t>
      </w:r>
      <w:r>
        <w:rPr>
          <w:rFonts w:hint="eastAsia" w:hAnsi="宋体" w:cs="宋体"/>
          <w:sz w:val="21"/>
          <w:szCs w:val="21"/>
          <w:lang w:eastAsia="zh-CN"/>
        </w:rPr>
        <w:t>±3%，角度精度±2°；</w:t>
      </w:r>
    </w:p>
    <w:p>
      <w:pPr>
        <w:pStyle w:val="22"/>
        <w:spacing w:line="360" w:lineRule="auto"/>
        <w:ind w:firstLine="420" w:firstLineChars="200"/>
        <w:rPr>
          <w:rFonts w:hint="eastAsia" w:hAnsi="宋体" w:eastAsia="宋体" w:cs="宋体"/>
          <w:sz w:val="21"/>
          <w:szCs w:val="21"/>
          <w:lang w:eastAsia="zh-CN"/>
        </w:rPr>
      </w:pPr>
      <w:r>
        <w:rPr>
          <w:rFonts w:hint="eastAsia" w:hAnsi="宋体" w:eastAsia="宋体" w:cs="宋体"/>
          <w:sz w:val="21"/>
          <w:szCs w:val="21"/>
        </w:rPr>
        <w:t>2.6 所选设备的扭矩范围对应买方要求的目标扭矩应有30%及以上的储备量</w:t>
      </w:r>
      <w:r>
        <w:rPr>
          <w:rFonts w:hint="eastAsia" w:hAnsi="宋体" w:cs="宋体"/>
          <w:sz w:val="21"/>
          <w:szCs w:val="21"/>
          <w:lang w:eastAsia="zh-CN"/>
        </w:rPr>
        <w:t>；</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2.7 扭矩最大值≥目标扭矩×1.3，特殊情况需说明；</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2.8 正常使用50万次（拧紧次数）以内免维护，工具寿命不低于500万次（拧紧次数）；</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2.9 工具稳定性必须达到：CMK≥1.67；</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2.10 驱动方榫应采用标准规格的驱动方榫，如3/8’、1/2’、1’等驱动头，驱动头具备高强度、耐磨损，保证与套筒、连杆等附件连接可靠、准确；</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2.11 所有设备运行平稳，工作噪声等级≤65db；</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2.12 所有设备在枪体40℃下，持续正常工作，无停机等故障；</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2.13 所有设备需配备防坠装置；</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2.14 所选设备具备模块化快速维修结构，便于维护及维修；</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2.15 所选设备具备远程诊断功能，可监控设备运行情况；</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2.16 卖方配合买方开展所涉及装配工序的工艺开发工作，包括每道工序提供不少于2套专用套筒；</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2.17 所选设备配备相应的悬挂装置，确保操作灵活、方便；</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2.18 所选设备操作界面及附属软件、说明书等为中文；</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2.19 所选设备扭矩控制采用扭矩传感器控制，不得使用电流控制；</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2.2</w:t>
      </w:r>
      <w:r>
        <w:rPr>
          <w:rFonts w:hint="eastAsia" w:hAnsi="宋体" w:cs="宋体"/>
          <w:sz w:val="21"/>
          <w:szCs w:val="21"/>
          <w:lang w:val="en-US" w:eastAsia="zh-CN"/>
        </w:rPr>
        <w:t>0</w:t>
      </w:r>
      <w:r>
        <w:rPr>
          <w:rFonts w:hint="eastAsia" w:hAnsi="宋体" w:eastAsia="宋体" w:cs="宋体"/>
          <w:sz w:val="21"/>
          <w:szCs w:val="21"/>
        </w:rPr>
        <w:t xml:space="preserve"> 卖方应按买方要求为工具配备扫码枪及支架，具体见采购货物明细；</w:t>
      </w:r>
    </w:p>
    <w:p>
      <w:pPr>
        <w:keepNext w:val="0"/>
        <w:keepLines w:val="0"/>
        <w:pageBreakBefore w:val="0"/>
        <w:widowControl w:val="0"/>
        <w:kinsoku/>
        <w:wordWrap/>
        <w:overflowPunct/>
        <w:topLinePunct w:val="0"/>
        <w:autoSpaceDE/>
        <w:autoSpaceDN/>
        <w:bidi w:val="0"/>
        <w:adjustRightInd/>
        <w:snapToGrid/>
        <w:spacing w:before="120" w:beforeLines="50" w:after="120" w:afterLines="50"/>
        <w:ind w:firstLine="420" w:firstLineChars="200"/>
        <w:jc w:val="both"/>
        <w:textAlignment w:val="auto"/>
        <w:rPr>
          <w:rFonts w:hint="eastAsia" w:hAnsi="宋体" w:eastAsia="宋体" w:cs="宋体"/>
          <w:sz w:val="21"/>
          <w:szCs w:val="21"/>
        </w:rPr>
      </w:pPr>
      <w:r>
        <w:rPr>
          <w:rFonts w:hint="eastAsia" w:ascii="宋体" w:hAnsi="宋体" w:eastAsia="宋体" w:cs="宋体"/>
          <w:kern w:val="2"/>
          <w:sz w:val="21"/>
          <w:szCs w:val="21"/>
          <w:lang w:val="en-US" w:eastAsia="zh-CN" w:bidi="ar-SA"/>
        </w:rPr>
        <w:t>2.21 投标人应</w:t>
      </w:r>
      <w:r>
        <w:rPr>
          <w:rFonts w:hint="eastAsia" w:hAnsi="宋体" w:eastAsia="宋体" w:cs="宋体"/>
          <w:sz w:val="21"/>
          <w:szCs w:val="21"/>
        </w:rPr>
        <w:t>提供设备的第三方检定校准报告，检定费用应由投标人自行承担。</w:t>
      </w:r>
    </w:p>
    <w:p>
      <w:pPr>
        <w:pStyle w:val="22"/>
        <w:numPr>
          <w:ilvl w:val="0"/>
          <w:numId w:val="11"/>
        </w:numPr>
        <w:spacing w:before="120" w:beforeLines="50" w:after="120" w:afterLines="50" w:line="360" w:lineRule="auto"/>
        <w:outlineLvl w:val="0"/>
        <w:rPr>
          <w:rFonts w:hint="eastAsia" w:hAnsi="宋体" w:eastAsia="宋体" w:cs="宋体"/>
          <w:sz w:val="21"/>
          <w:szCs w:val="21"/>
        </w:rPr>
      </w:pPr>
      <w:r>
        <w:rPr>
          <w:rFonts w:hint="eastAsia" w:hAnsi="宋体" w:eastAsia="宋体" w:cs="宋体"/>
          <w:sz w:val="21"/>
          <w:szCs w:val="21"/>
        </w:rPr>
        <w:t>拧紧</w:t>
      </w:r>
      <w:r>
        <w:rPr>
          <w:rFonts w:hint="eastAsia" w:hAnsi="宋体" w:cs="宋体"/>
          <w:sz w:val="21"/>
          <w:szCs w:val="21"/>
          <w:lang w:val="en-US" w:eastAsia="zh-CN"/>
        </w:rPr>
        <w:t>枪</w:t>
      </w:r>
      <w:r>
        <w:rPr>
          <w:rFonts w:hint="eastAsia" w:hAnsi="宋体" w:eastAsia="宋体" w:cs="宋体"/>
          <w:sz w:val="21"/>
          <w:szCs w:val="21"/>
        </w:rPr>
        <w:t>设备组件要求</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拧紧</w:t>
      </w:r>
      <w:r>
        <w:rPr>
          <w:rFonts w:hint="eastAsia" w:hAnsi="宋体" w:cs="宋体"/>
          <w:sz w:val="21"/>
          <w:szCs w:val="21"/>
          <w:lang w:val="en-US" w:eastAsia="zh-CN"/>
        </w:rPr>
        <w:t>枪</w:t>
      </w:r>
      <w:r>
        <w:rPr>
          <w:rFonts w:hint="eastAsia" w:hAnsi="宋体" w:eastAsia="宋体" w:cs="宋体"/>
          <w:sz w:val="21"/>
          <w:szCs w:val="21"/>
        </w:rPr>
        <w:t>设备由拧紧工具、控制电缆、控制器等组成，控制器配备以太网接口、扫描枪接口、良好的闭环控制系统，可实现扭矩控制和角度控制等。每次拧紧过程结束后，拧紧值是否合格，控制器上都有相应的指示灯和数据显示，同时拧紧工具上也具有指示灯显示。</w:t>
      </w:r>
    </w:p>
    <w:p>
      <w:pPr>
        <w:pStyle w:val="22"/>
        <w:spacing w:line="360" w:lineRule="auto"/>
        <w:rPr>
          <w:rFonts w:hint="eastAsia" w:hAnsi="宋体" w:eastAsia="宋体" w:cs="宋体"/>
          <w:sz w:val="21"/>
          <w:szCs w:val="21"/>
        </w:rPr>
      </w:pPr>
      <w:r>
        <w:rPr>
          <w:rFonts w:hint="eastAsia" w:hAnsi="宋体" w:eastAsia="宋体" w:cs="宋体"/>
          <w:sz w:val="21"/>
          <w:szCs w:val="21"/>
        </w:rPr>
        <w:t>3.1拧紧</w:t>
      </w:r>
      <w:r>
        <w:rPr>
          <w:rFonts w:hint="eastAsia" w:hAnsi="宋体" w:cs="宋体"/>
          <w:sz w:val="21"/>
          <w:szCs w:val="21"/>
          <w:lang w:val="en-US" w:eastAsia="zh-CN"/>
        </w:rPr>
        <w:t>枪</w:t>
      </w:r>
      <w:r>
        <w:rPr>
          <w:rFonts w:hint="eastAsia" w:hAnsi="宋体" w:eastAsia="宋体" w:cs="宋体"/>
          <w:sz w:val="21"/>
          <w:szCs w:val="21"/>
        </w:rPr>
        <w:t>：</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扭矩可调，自动编程模式，记录多种拧紧程序；</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力矩控制方式包括：控制扭矩/监测转角；控制转角/监测扭矩等；</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具备报警信息和自诊断功能；</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具备拧紧数据存储（含日期时间）功能；</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可正转、反转，通过编辑拧紧程序方便地更改；</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具有过电流、电压自动保护功能，并具有欠压自动保护功能；</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带串口；</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不合格管理；</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配置快速备份单元，备份电枪内的所有程序及结果可以通过USB接口输出；</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工具支持热插拔；</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单次拧紧不合格，拧紧机会报警提示；</w:t>
      </w:r>
    </w:p>
    <w:p>
      <w:pPr>
        <w:pStyle w:val="22"/>
        <w:numPr>
          <w:ilvl w:val="0"/>
          <w:numId w:val="12"/>
        </w:numPr>
        <w:spacing w:line="360" w:lineRule="auto"/>
        <w:rPr>
          <w:rFonts w:hint="eastAsia" w:hAnsi="宋体" w:eastAsia="宋体" w:cs="宋体"/>
          <w:sz w:val="21"/>
          <w:szCs w:val="21"/>
          <w:highlight w:val="none"/>
        </w:rPr>
      </w:pPr>
      <w:r>
        <w:rPr>
          <w:rFonts w:hint="eastAsia" w:hAnsi="宋体" w:eastAsia="宋体" w:cs="宋体"/>
          <w:sz w:val="21"/>
          <w:szCs w:val="21"/>
          <w:highlight w:val="none"/>
        </w:rPr>
        <w:t>具备扩展套筒选择器的功能，具有良好的互换性，具有良好的防错防漏功能；</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增加控制把手、辅助把手，以方便操作，原则上可不使用原设备的控制开关。</w:t>
      </w:r>
    </w:p>
    <w:p>
      <w:pPr>
        <w:pStyle w:val="22"/>
        <w:spacing w:line="360" w:lineRule="auto"/>
        <w:rPr>
          <w:rFonts w:hint="eastAsia" w:hAnsi="宋体" w:eastAsia="宋体" w:cs="宋体"/>
          <w:sz w:val="21"/>
          <w:szCs w:val="21"/>
        </w:rPr>
      </w:pPr>
      <w:r>
        <w:rPr>
          <w:rFonts w:hint="eastAsia" w:hAnsi="宋体" w:eastAsia="宋体" w:cs="宋体"/>
          <w:sz w:val="21"/>
          <w:szCs w:val="21"/>
        </w:rPr>
        <w:t>3.2 拧紧控制器</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每台拧紧工具配有控制器，具备人性化的操作界面；</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显示屏（可外接）具备显示拧紧曲线、操作提示等功能；</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控制箱采用标准放置架固定，原则上不得与设备工装随动；</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控制器有独立的运行软件系统，面板上设有宽大的显示屏和按钮，控制器的所有功能设置可以通过连接笔记本电脑，通过工具软件轻松完成设置；</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显示屏上能显示每次拧紧结束后的拧紧扭力大小及正确/错误报告、拧紧角度大小及正确/错误报告、拧紧日期及时间；</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控制箱面板上能够设置程序、扭矩和角度；</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可自动识别连接工具种类，调用相应储存数据，包括轴、弯头、枪式及无线工具；</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具有扭矩控制、扭矩控制/转角监测、转角控制、转角控制/扭矩监测、电流监控、时间监测，多步拧紧等功能，拧紧程序可根据需要选择不同的控制及监控方式；</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具有多种拧紧程序，拧紧程序的数量不少于10组，具有参数的选择功能，以满足不同机型的不同扭矩要求；</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具有操作者及管理者密码设定及保护功能；</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控制器应具有强大的存储能力和快速备份能力，可以对拧紧过程中所有的参数进行存储，参数包括但不限于以下内容：条码、日期、时间、扭矩、拧紧角度、是否合格（OK/NOK），控制器本身</w:t>
      </w:r>
      <w:r>
        <w:rPr>
          <w:rFonts w:hint="eastAsia" w:hAnsi="宋体" w:eastAsia="宋体" w:cs="宋体"/>
          <w:sz w:val="21"/>
          <w:szCs w:val="21"/>
          <w:highlight w:val="none"/>
        </w:rPr>
        <w:t>可存储不小于5000组拧紧数据</w:t>
      </w:r>
      <w:r>
        <w:rPr>
          <w:rFonts w:hint="eastAsia" w:hAnsi="宋体" w:eastAsia="宋体" w:cs="宋体"/>
          <w:sz w:val="21"/>
          <w:szCs w:val="21"/>
        </w:rPr>
        <w:t>，如果控制器故障，设备维护人员能够立刻将所有数据包括拧紧程序直接备份到新的控制器上，以最大限度减少停线损失；</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控制器与拧紧轴或无线电枪原则上保持1对1配置（不做强制要求），并预留与生产线接口、USB接口等，具有接入无线条码枪结构；</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可存储拧紧过程的合格/不合格拧紧曲线，可根据需要自由设定坐标，如扭矩/时间、扭矩/角度、角度/时间等，控制器要求连接到拧紧系统服务器，可以实现结果、曲线实时上传，把每一个结果、曲线都存储于服务器；</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多种扭矩电枪要求配备套筒选择器进行扭矩切换，同时控制器操作面板具备扭矩切换功能；</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控制器应具备网络连接功能，拧紧结果可通过多种形式导出；</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控制器本体具有优良的散热系统及良好的防水功能且应方便安装及维修；</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支持MES系统，可获取车辆信息，与所扫描条码比对，一致则可拧紧，并向MES反馈最终结果，不一致则报警提示，并记录错误信息。</w:t>
      </w:r>
    </w:p>
    <w:p>
      <w:pPr>
        <w:pStyle w:val="22"/>
        <w:spacing w:line="360" w:lineRule="auto"/>
        <w:rPr>
          <w:rFonts w:hint="eastAsia" w:hAnsi="宋体" w:eastAsia="宋体" w:cs="宋体"/>
          <w:sz w:val="21"/>
          <w:szCs w:val="21"/>
        </w:rPr>
      </w:pPr>
      <w:r>
        <w:rPr>
          <w:rFonts w:hint="eastAsia" w:hAnsi="宋体" w:eastAsia="宋体" w:cs="宋体"/>
          <w:sz w:val="21"/>
          <w:szCs w:val="21"/>
        </w:rPr>
        <w:t>3.</w:t>
      </w:r>
      <w:r>
        <w:rPr>
          <w:rFonts w:hint="eastAsia" w:hAnsi="宋体" w:cs="宋体"/>
          <w:sz w:val="21"/>
          <w:szCs w:val="21"/>
          <w:lang w:val="en-US" w:eastAsia="zh-CN"/>
        </w:rPr>
        <w:t>3</w:t>
      </w:r>
      <w:r>
        <w:rPr>
          <w:rFonts w:hint="eastAsia" w:hAnsi="宋体" w:eastAsia="宋体" w:cs="宋体"/>
          <w:sz w:val="21"/>
          <w:szCs w:val="21"/>
        </w:rPr>
        <w:t xml:space="preserve">拧紧电缆 </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控制电缆线长度满足随线生产的要求，长度≥15米，具体由供应商根据工具配置细化设计；</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电缆为数字通讯，电缆有边缘保护和防漏电护套，电缆为进口品牌；</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具有电缆自锁功能，可以防止电缆意外松脱而造成的部件维护等损失；</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与拧紧轴相对应的电缆，每根电缆都应有清晰的编号；</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电缆吊挂使用原厂附件。</w: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b/>
          <w:sz w:val="21"/>
          <w:szCs w:val="21"/>
          <w:lang w:val="en-US" w:eastAsia="zh-CN"/>
        </w:rPr>
        <w:t>4、</w:t>
      </w:r>
      <w:r>
        <w:rPr>
          <w:rFonts w:hint="eastAsia" w:asciiTheme="minorEastAsia" w:hAnsiTheme="minorEastAsia" w:eastAsiaTheme="minorEastAsia"/>
          <w:b/>
          <w:sz w:val="21"/>
          <w:szCs w:val="21"/>
        </w:rPr>
        <w:t>电控总体要求:</w:t>
      </w:r>
      <w:r>
        <w:rPr>
          <w:rFonts w:hint="eastAsia" w:asciiTheme="minorEastAsia" w:hAnsiTheme="minorEastAsia" w:eastAsiaTheme="minorEastAsia"/>
          <w:sz w:val="21"/>
          <w:szCs w:val="21"/>
        </w:rPr>
        <w:t xml:space="preserve"> </w:t>
      </w:r>
    </w:p>
    <w:p>
      <w:pPr>
        <w:spacing w:line="360" w:lineRule="auto"/>
        <w:ind w:firstLine="420" w:firstLineChars="200"/>
        <w:rPr>
          <w:rFonts w:ascii="宋体" w:hAnsi="宋体"/>
          <w:sz w:val="21"/>
          <w:szCs w:val="21"/>
        </w:rPr>
      </w:pPr>
      <w:r>
        <w:rPr>
          <w:rFonts w:hint="eastAsia" w:ascii="宋体" w:hAnsi="宋体"/>
          <w:sz w:val="21"/>
          <w:szCs w:val="21"/>
          <w:lang w:val="en-US" w:eastAsia="zh-CN"/>
        </w:rPr>
        <w:t>4</w:t>
      </w:r>
      <w:r>
        <w:rPr>
          <w:rFonts w:ascii="宋体" w:hAnsi="宋体"/>
          <w:sz w:val="21"/>
          <w:szCs w:val="21"/>
        </w:rPr>
        <w:t>.</w:t>
      </w:r>
      <w:r>
        <w:rPr>
          <w:rFonts w:hint="eastAsia" w:ascii="宋体" w:hAnsi="宋体"/>
          <w:sz w:val="21"/>
          <w:szCs w:val="21"/>
        </w:rPr>
        <w:t>1设备操作界面要求中英文界面可切换。</w:t>
      </w:r>
    </w:p>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.2电控柜订做时，要充分考虑其美观性，电线编号须齐全，同时柜内配线按国际色标规定执行，各类导线能以颜色区分。</w:t>
      </w:r>
    </w:p>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.3所有的电控柜外饰为烤漆或喷塑，外型、颜色一致，美观大方。柜门上设置放置计算机的操作台，柜内设置照明及空调。照明灯为节能灯，采用门开关控制。</w:t>
      </w:r>
    </w:p>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.4低压电气产品建议施耐德、欧姆龙同等知名公司产品，总线</w:t>
      </w:r>
      <w:r>
        <w:rPr>
          <w:rFonts w:asciiTheme="minorEastAsia" w:hAnsiTheme="minorEastAsia" w:eastAsiaTheme="minorEastAsia"/>
          <w:sz w:val="21"/>
          <w:szCs w:val="21"/>
        </w:rPr>
        <w:t>I/O</w:t>
      </w:r>
      <w:r>
        <w:rPr>
          <w:rFonts w:hint="eastAsia" w:asciiTheme="minorEastAsia" w:hAnsiTheme="minorEastAsia" w:eastAsiaTheme="minorEastAsia"/>
          <w:sz w:val="21"/>
          <w:szCs w:val="21"/>
        </w:rPr>
        <w:t>采用国际知名品牌的产品。</w:t>
      </w:r>
    </w:p>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.5现场的电缆、电线等均采用封闭式电缆桥架走线保护，出桥架部分均穿钢管保护，出钢管至负荷端或信号端的电缆电线均穿金属软管保护，现场电缆管线为全封闭安全结构形式。</w: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b/>
          <w:sz w:val="21"/>
          <w:szCs w:val="21"/>
          <w:lang w:val="en-US" w:eastAsia="zh-CN"/>
        </w:rPr>
        <w:t>5</w:t>
      </w:r>
      <w:r>
        <w:rPr>
          <w:rFonts w:hint="eastAsia" w:asciiTheme="minorEastAsia" w:hAnsiTheme="minorEastAsia" w:eastAsiaTheme="minorEastAsia"/>
          <w:b/>
          <w:sz w:val="21"/>
          <w:szCs w:val="21"/>
          <w:lang w:eastAsia="zh-CN"/>
        </w:rPr>
        <w:t>、</w:t>
      </w:r>
      <w:r>
        <w:rPr>
          <w:rFonts w:hint="eastAsia" w:asciiTheme="minorEastAsia" w:hAnsiTheme="minorEastAsia" w:eastAsiaTheme="minorEastAsia"/>
          <w:b/>
          <w:sz w:val="21"/>
          <w:szCs w:val="21"/>
        </w:rPr>
        <w:t>其他</w:t>
      </w:r>
      <w:r>
        <w:rPr>
          <w:rFonts w:hint="eastAsia" w:asciiTheme="minorEastAsia" w:hAnsiTheme="minorEastAsia" w:eastAsiaTheme="minorEastAsia"/>
          <w:sz w:val="21"/>
          <w:szCs w:val="21"/>
        </w:rPr>
        <w:t xml:space="preserve"> </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ascii="宋体" w:hAnsi="宋体"/>
          <w:sz w:val="21"/>
          <w:szCs w:val="21"/>
        </w:rPr>
        <w:t>.1</w:t>
      </w:r>
      <w:r>
        <w:rPr>
          <w:rFonts w:hint="eastAsia" w:ascii="宋体" w:hAnsi="宋体"/>
          <w:sz w:val="21"/>
          <w:szCs w:val="21"/>
        </w:rPr>
        <w:t>设备设计由投标方负责，应根据招标方提供有关资料，满足招标方要求。会签图纸经招标方会签后方可加工制作。</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ascii="宋体" w:hAnsi="宋体"/>
          <w:sz w:val="21"/>
          <w:szCs w:val="21"/>
        </w:rPr>
        <w:t>.2</w:t>
      </w:r>
      <w:r>
        <w:rPr>
          <w:rFonts w:hint="eastAsia" w:ascii="宋体" w:hAnsi="宋体"/>
          <w:sz w:val="21"/>
          <w:szCs w:val="21"/>
        </w:rPr>
        <w:t>尺寸可参照产品外供图。</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ascii="宋体" w:hAnsi="宋体"/>
          <w:sz w:val="21"/>
          <w:szCs w:val="21"/>
        </w:rPr>
        <w:t>.3</w:t>
      </w:r>
      <w:r>
        <w:rPr>
          <w:rFonts w:hint="eastAsia" w:ascii="宋体" w:hAnsi="宋体"/>
          <w:sz w:val="21"/>
          <w:szCs w:val="21"/>
        </w:rPr>
        <w:t>电机减速机应选择SEW同等国际知名品牌的产品，具体型号需在标书中明确，要求电机使用国家节能机电设备（产品）目录内产品；轴承应选择哈尔滨轴承集团或国内同等品质的免维护轴承同等品牌产品。</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4</w:t>
      </w:r>
      <w:r>
        <w:rPr>
          <w:rFonts w:hint="eastAsia" w:ascii="宋体" w:hAnsi="宋体"/>
          <w:sz w:val="21"/>
          <w:szCs w:val="21"/>
        </w:rPr>
        <w:t>电动机等部件的能效等级不低于国家现行标准二级能效。进口产品的能效不应低于原产国现行能效标准二级能效。如：对应欧洲标准电动机的能效等级不低于IE3。</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5</w:t>
      </w:r>
      <w:r>
        <w:rPr>
          <w:rFonts w:hint="eastAsia" w:ascii="宋体" w:hAnsi="宋体"/>
          <w:sz w:val="21"/>
          <w:szCs w:val="21"/>
        </w:rPr>
        <w:t>气动元件选用SMC、Festo同等知名品牌，投标方需提供设备压缩空气入口处气动三联件。</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6</w:t>
      </w:r>
      <w:r>
        <w:rPr>
          <w:rFonts w:hint="eastAsia" w:ascii="宋体" w:hAnsi="宋体"/>
          <w:sz w:val="21"/>
          <w:szCs w:val="21"/>
        </w:rPr>
        <w:t>生产线的传感器、感应开关、按钮开关、限位开关、使用turck、P+F等国际知名品牌,具体选用品牌需在标书中明确。</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ascii="宋体" w:hAnsi="宋体"/>
          <w:sz w:val="21"/>
          <w:szCs w:val="21"/>
        </w:rPr>
        <w:t>.7</w:t>
      </w:r>
      <w:r>
        <w:rPr>
          <w:rFonts w:hint="eastAsia" w:ascii="宋体" w:hAnsi="宋体"/>
          <w:sz w:val="21"/>
          <w:szCs w:val="21"/>
        </w:rPr>
        <w:t>设备操作面板、按钮、显示屏、操作说明文字以及其他在操作中标注的文字应采用中英法文对照。</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8</w:t>
      </w:r>
      <w:r>
        <w:rPr>
          <w:rFonts w:hint="eastAsia" w:ascii="宋体" w:hAnsi="宋体"/>
          <w:sz w:val="21"/>
          <w:szCs w:val="21"/>
        </w:rPr>
        <w:t>设备及配件的说明书、维护手册等应提供中英法文版本。</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9</w:t>
      </w:r>
      <w:r>
        <w:rPr>
          <w:rFonts w:hint="eastAsia" w:ascii="宋体" w:hAnsi="宋体"/>
          <w:sz w:val="21"/>
          <w:szCs w:val="21"/>
        </w:rPr>
        <w:t>设备颜色选用由招标方指定。</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.10轨道选用英格索兰、伊卜斯等国际知名品牌。</w:t>
      </w:r>
    </w:p>
    <w:p>
      <w:pPr>
        <w:spacing w:line="360" w:lineRule="auto"/>
        <w:ind w:firstLine="420" w:firstLineChars="200"/>
        <w:rPr>
          <w:rFonts w:asciiTheme="minorEastAsia" w:hAnsiTheme="minorEastAsia" w:eastAsiaTheme="minorEastAsia"/>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.11工程界面见下表</w:t>
      </w:r>
      <w:r>
        <w:rPr>
          <w:rFonts w:hint="eastAsia" w:asciiTheme="minorEastAsia" w:hAnsiTheme="minorEastAsia" w:eastAsiaTheme="minorEastAsia"/>
          <w:sz w:val="21"/>
          <w:szCs w:val="21"/>
        </w:rPr>
        <w:t>：</w:t>
      </w:r>
    </w:p>
    <w:p>
      <w:pPr>
        <w:spacing w:line="360" w:lineRule="auto"/>
        <w:ind w:firstLine="425"/>
        <w:jc w:val="center"/>
        <w:rPr>
          <w:rFonts w:cs="仿宋_GB2312" w:asciiTheme="minorEastAsia" w:hAnsiTheme="minorEastAsia" w:eastAsiaTheme="minorEastAsia"/>
          <w:b/>
          <w:bCs/>
          <w:szCs w:val="24"/>
          <w:lang w:val="en-GB"/>
        </w:rPr>
      </w:pPr>
      <w:r>
        <w:rPr>
          <w:rFonts w:hint="eastAsia" w:cs="仿宋_GB2312" w:asciiTheme="minorEastAsia" w:hAnsiTheme="minorEastAsia" w:eastAsiaTheme="minorEastAsia"/>
          <w:b/>
          <w:bCs/>
          <w:szCs w:val="24"/>
          <w:lang w:val="en-GB"/>
        </w:rPr>
        <w:t>工程界面</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7"/>
        <w:gridCol w:w="2808"/>
        <w:gridCol w:w="705"/>
        <w:gridCol w:w="803"/>
        <w:gridCol w:w="3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927"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序号</w:t>
            </w:r>
          </w:p>
        </w:tc>
        <w:tc>
          <w:tcPr>
            <w:tcW w:w="2808"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工作内容</w:t>
            </w:r>
          </w:p>
        </w:tc>
        <w:tc>
          <w:tcPr>
            <w:tcW w:w="705"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招标方</w:t>
            </w:r>
          </w:p>
        </w:tc>
        <w:tc>
          <w:tcPr>
            <w:tcW w:w="803"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投标方</w:t>
            </w:r>
          </w:p>
        </w:tc>
        <w:tc>
          <w:tcPr>
            <w:tcW w:w="3837"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280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电气</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非标设备电控柜上端一次侧供电(招标方供至主控制柜空开为止)</w:t>
            </w:r>
            <w:r>
              <w:rPr>
                <w:rFonts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Merge w:val="continue"/>
            <w:vAlign w:val="center"/>
          </w:tcPr>
          <w:p>
            <w:pPr>
              <w:jc w:val="center"/>
              <w:rPr>
                <w:rFonts w:asciiTheme="minorEastAsia" w:hAnsiTheme="minorEastAsia" w:eastAsiaTheme="minorEastAsia"/>
                <w:szCs w:val="21"/>
              </w:rPr>
            </w:pPr>
          </w:p>
        </w:tc>
        <w:tc>
          <w:tcPr>
            <w:tcW w:w="2808" w:type="dxa"/>
            <w:vMerge w:val="continue"/>
            <w:vAlign w:val="center"/>
          </w:tcPr>
          <w:p>
            <w:pPr>
              <w:jc w:val="center"/>
              <w:rPr>
                <w:rFonts w:asciiTheme="minorEastAsia" w:hAnsiTheme="minorEastAsia" w:eastAsiaTheme="minorEastAsia"/>
                <w:szCs w:val="21"/>
              </w:rPr>
            </w:pP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各非标设备电控柜至设备用电点之间的电气配线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280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工业水</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公用动力管道送至生产线主用水点附近，预留阀门（用水点由投标方提资）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27" w:type="dxa"/>
            <w:vMerge w:val="continue"/>
            <w:vAlign w:val="center"/>
          </w:tcPr>
          <w:p>
            <w:pPr>
              <w:jc w:val="center"/>
              <w:rPr>
                <w:rFonts w:asciiTheme="minorEastAsia" w:hAnsiTheme="minorEastAsia" w:eastAsiaTheme="minorEastAsia"/>
                <w:szCs w:val="21"/>
              </w:rPr>
            </w:pPr>
          </w:p>
        </w:tc>
        <w:tc>
          <w:tcPr>
            <w:tcW w:w="2808" w:type="dxa"/>
            <w:vMerge w:val="continue"/>
            <w:vAlign w:val="center"/>
          </w:tcPr>
          <w:p>
            <w:pPr>
              <w:jc w:val="center"/>
              <w:rPr>
                <w:rFonts w:asciiTheme="minorEastAsia" w:hAnsiTheme="minorEastAsia" w:eastAsiaTheme="minorEastAsia"/>
                <w:szCs w:val="21"/>
              </w:rPr>
            </w:pP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由主用水点至各分使用点之间用水管路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80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压缩空气</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公用动力管道送至生产线主用气点附近，预留阀门（用气点由投标方提资）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7" w:type="dxa"/>
            <w:vMerge w:val="continue"/>
            <w:vAlign w:val="center"/>
          </w:tcPr>
          <w:p>
            <w:pPr>
              <w:jc w:val="center"/>
              <w:rPr>
                <w:rFonts w:asciiTheme="minorEastAsia" w:hAnsiTheme="minorEastAsia" w:eastAsiaTheme="minorEastAsia"/>
                <w:szCs w:val="21"/>
              </w:rPr>
            </w:pPr>
          </w:p>
        </w:tc>
        <w:tc>
          <w:tcPr>
            <w:tcW w:w="2808" w:type="dxa"/>
            <w:vMerge w:val="continue"/>
            <w:vAlign w:val="center"/>
          </w:tcPr>
          <w:p>
            <w:pPr>
              <w:jc w:val="center"/>
              <w:rPr>
                <w:rFonts w:asciiTheme="minorEastAsia" w:hAnsiTheme="minorEastAsia" w:eastAsiaTheme="minorEastAsia"/>
                <w:szCs w:val="21"/>
              </w:rPr>
            </w:pP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由主用气点至各分使用点之间用气管路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消防工程</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车间及设备消防安装、调试、办理验收等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280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照明工程</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设备、室体、工位照明设施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Merge w:val="continue"/>
            <w:vAlign w:val="center"/>
          </w:tcPr>
          <w:p>
            <w:pPr>
              <w:jc w:val="center"/>
              <w:rPr>
                <w:rFonts w:asciiTheme="minorEastAsia" w:hAnsiTheme="minorEastAsia" w:eastAsiaTheme="minorEastAsia"/>
                <w:szCs w:val="21"/>
              </w:rPr>
            </w:pPr>
          </w:p>
        </w:tc>
        <w:tc>
          <w:tcPr>
            <w:tcW w:w="2808" w:type="dxa"/>
            <w:vMerge w:val="continue"/>
            <w:vAlign w:val="center"/>
          </w:tcPr>
          <w:p>
            <w:pPr>
              <w:jc w:val="center"/>
              <w:rPr>
                <w:rFonts w:asciiTheme="minorEastAsia" w:hAnsiTheme="minorEastAsia" w:eastAsiaTheme="minorEastAsia"/>
                <w:szCs w:val="21"/>
              </w:rPr>
            </w:pP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车间内部厂房照明工程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图纸设计</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招标方负责图纸的校核工作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7</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施工现场临时用动力管线（含所有水、电、气、分电箱等），现场施工临时照明。</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所有用电要求规范接地。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8</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未安装设备临时堆放场地</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9</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施工现场临时消防器材</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施工现场临时防护设施</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含所工程周边的各种安全防护临时设施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11</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施工用检测仪器、仪表</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12</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特构验收</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招标方施工，双方共同验收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13</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施工放线基准确定</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招标方和施工方共同确定施工放线基准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14</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设备施工放线</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招标方监督/检查施工放线作业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15</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设备外观颜色的确定</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招标方需提前提供色卡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16</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设备表面涂底漆、面漆</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17</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设备铭牌制作、安装</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含管道、阀门、安全指示牌的内容、材质、颜色、格式、尺寸等等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18</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施工环境、存放环境清理，加工余料、生产垃圾清运</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19</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工程移交用户前设备内外清洁</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20</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施工服装及劳保用品</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仅含投标方施工人员所需用品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21</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设备所需润滑油、脂</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一次加注由投标方负责，设备试生产后由招标方负责，投标方负责提供润滑油的标号等资料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22</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材料报告</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投标方提供原产地证明材料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23</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外购件合格证</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含维修手册、配套光盘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24</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设备调试仪器</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仅为本次项目使用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25</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设备制造、预组装</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26</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设备预验收</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27</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设备运输、包装、防护、卸货、转运</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设备安装过程中的转运、卸货、防护由投标方负责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28</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设备现场保管</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29</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设备安装、调试</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招标方提供辅助人员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30</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工程进度保证</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31</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人员培训</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32</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竣工资料的整理及移交</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含各种程序软件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33</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售后服务</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34</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生产陪伴</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35</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设备终验收</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bl>
    <w:p>
      <w:pPr>
        <w:spacing w:line="360" w:lineRule="auto"/>
        <w:ind w:firstLine="480" w:firstLineChars="200"/>
        <w:rPr>
          <w:rFonts w:hint="eastAsia" w:asciiTheme="minorEastAsia" w:hAnsiTheme="minorEastAsia" w:eastAsiaTheme="minorEastAsia"/>
          <w:sz w:val="24"/>
          <w:szCs w:val="24"/>
          <w:lang w:val="en-US" w:eastAsia="zh-CN"/>
        </w:rPr>
      </w:pPr>
      <w:r>
        <w:rPr>
          <w:rFonts w:hint="eastAsia"/>
          <w:sz w:val="24"/>
          <w:szCs w:val="24"/>
          <w:lang w:val="en-US" w:eastAsia="zh-CN"/>
        </w:rPr>
        <w:t>乙</w:t>
      </w:r>
      <w:r>
        <w:rPr>
          <w:rFonts w:hint="eastAsia" w:ascii="Times New Roman" w:hAnsi="Times New Roman"/>
          <w:sz w:val="24"/>
          <w:szCs w:val="24"/>
        </w:rPr>
        <w:t>方负责，应根据招标方提供有关资料，满足招标方要求。方案图纸经招标方会签后施工。</w:t>
      </w:r>
    </w:p>
    <w:p>
      <w:pPr>
        <w:pStyle w:val="2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6、</w:t>
      </w:r>
      <w:r>
        <w:rPr>
          <w:rFonts w:hint="eastAsia" w:asciiTheme="minorEastAsia" w:hAnsiTheme="minorEastAsia" w:eastAsiaTheme="minorEastAsia" w:cstheme="minorEastAsia"/>
          <w:b/>
          <w:bCs/>
          <w:color w:val="auto"/>
          <w:sz w:val="21"/>
          <w:szCs w:val="21"/>
        </w:rPr>
        <w:t>维护保养要求</w:t>
      </w:r>
    </w:p>
    <w:p>
      <w:pPr>
        <w:pStyle w:val="22"/>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验收前对设备免费保养和备件更换。</w:t>
      </w:r>
    </w:p>
    <w:p>
      <w:pPr>
        <w:pStyle w:val="22"/>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质保期内，维修所用的备件包含在本次投资的合同范围内，我方（中国重汽）不用另行采购备件</w:t>
      </w:r>
      <w:r>
        <w:rPr>
          <w:rFonts w:hint="eastAsia" w:asciiTheme="minorEastAsia" w:hAnsiTheme="minorEastAsia" w:eastAsiaTheme="minorEastAsia" w:cstheme="minorEastAsia"/>
          <w:b w:val="0"/>
          <w:bCs w:val="0"/>
          <w:color w:val="auto"/>
          <w:sz w:val="21"/>
          <w:szCs w:val="21"/>
          <w:lang w:eastAsia="zh-CN"/>
        </w:rPr>
        <w:t>。</w:t>
      </w:r>
    </w:p>
    <w:p>
      <w:pPr>
        <w:pStyle w:val="2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7、</w:t>
      </w:r>
      <w:r>
        <w:rPr>
          <w:rFonts w:hint="eastAsia" w:asciiTheme="minorEastAsia" w:hAnsiTheme="minorEastAsia" w:eastAsiaTheme="minorEastAsia" w:cstheme="minorEastAsia"/>
          <w:b/>
          <w:bCs/>
          <w:color w:val="auto"/>
          <w:sz w:val="21"/>
          <w:szCs w:val="21"/>
        </w:rPr>
        <w:t>程序图纸要求</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供方必须提供所有设备程序的源代码，包括但不限于PLC程序、HMI程序、视觉程序、伺服等。</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供方所提供的程序不得设置任何密码、保护等限制手段，PLC不得设置修改下载权限，功能块不得设置密码保护。</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HMI界面等需要密码保护的程序，供方必须提供所有级别的用户名、密码。</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供方需在设备入场前提供设备程序源码，HMI界面各级用户名和密码，并保证与现场程序一致。</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供方需在终验收前提供最新的设备程序源码、三维模型、机械图纸和电气图纸，图纸要求为可编辑原格式（EPLAN、CAD格式等）及PDF版本，且与实际一致。</w:t>
      </w:r>
    </w:p>
    <w:p>
      <w:pPr>
        <w:pStyle w:val="2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8、</w:t>
      </w:r>
      <w:r>
        <w:rPr>
          <w:rFonts w:hint="eastAsia" w:asciiTheme="minorEastAsia" w:hAnsiTheme="minorEastAsia" w:eastAsiaTheme="minorEastAsia" w:cstheme="minorEastAsia"/>
          <w:b/>
          <w:bCs/>
          <w:color w:val="auto"/>
          <w:sz w:val="21"/>
          <w:szCs w:val="21"/>
        </w:rPr>
        <w:t>接口协议要求</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供方免费开放所有通讯接口，包括但不限于以太网、RS232、RS485、PROFIBUS、PROFINET等常见接口，以及设备特有的专用接口；</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供方免费提供数据交互功能，交互数据包括但不限于实时数据、历史数据、报警信息等；</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供方在设备入场前提供接口的技术文档和参数说明，包括但不限于接口协议、通讯速率、数据格式等；</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设备使用周期内，供方免费派遣技术人员与甲方调试团队共同进行设备通讯接口的调试工作；</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设备颜色等需与现场保持一致，满足现场生产一致性；</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设备安装调试包含网线和电路铺设。</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四、安全要求</w:t>
      </w:r>
    </w:p>
    <w:p>
      <w:pPr>
        <w:pStyle w:val="131"/>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安全可靠：合理配备安全防护措施、实时监测、系统报警；</w:t>
      </w:r>
    </w:p>
    <w:p>
      <w:pPr>
        <w:pStyle w:val="131"/>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安全防护、环境保护、节能要求应满足ISO及国家相关标准；</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五、供货要求</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供货范围包括货物正常运行所必需的全套连线设备、材料等。如货物端连接法兰外端面之内的、电气系统接口压线板（插座等）之内的设备、材料、连接螺栓、垫片等；</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 供货范围包括货物正常运行、使用所需要的过桥、护栏、防护网、盖板等辅助设施；</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 质保期终止之日起一年内重复出现的质保期之内出现的故障，仍属于质保范围而且应当免费；</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六、售中售后服务</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1. 应负责在买方设备使用现场，进行5工作日免费的技术指导和培训。</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2. 应免费提供培训资料2份。</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3. 若卖方提供的设备涉及到外购外协货物、而且该货物的技术质量等较为关键时，卖方应能保证得到配套厂家的技术支持，并免费为买方提供技术服务。</w:t>
      </w:r>
    </w:p>
    <w:p>
      <w:pPr>
        <w:adjustRightInd w:val="0"/>
        <w:snapToGrid w:val="0"/>
        <w:spacing w:line="460" w:lineRule="exact"/>
        <w:ind w:firstLine="420" w:firstLineChars="200"/>
        <w:rPr>
          <w:rFonts w:hint="eastAsia" w:ascii="Cambria Math" w:hAnsi="Cambria Math"/>
          <w:color w:val="auto"/>
        </w:rPr>
      </w:pPr>
      <w:r>
        <w:rPr>
          <w:rFonts w:hint="eastAsia" w:ascii="Cambria Math" w:hAnsi="Cambria Math"/>
          <w:color w:val="auto"/>
        </w:rPr>
        <w:t>4.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七、备件</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1</w:t>
      </w:r>
      <w:r>
        <w:rPr>
          <w:rFonts w:ascii="Cambria Math" w:hAnsi="Cambria Math"/>
          <w:color w:val="auto"/>
        </w:rPr>
        <w:t>.</w:t>
      </w:r>
      <w:r>
        <w:rPr>
          <w:rFonts w:hint="eastAsia" w:ascii="Cambria Math" w:hAnsi="Cambria Math"/>
          <w:color w:val="auto"/>
        </w:rPr>
        <w:t>备件内容包括但不限于：</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电器元件、气路附件及其它易损件。</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2</w:t>
      </w:r>
      <w:r>
        <w:rPr>
          <w:rFonts w:ascii="Cambria Math" w:hAnsi="Cambria Math"/>
          <w:color w:val="auto"/>
        </w:rPr>
        <w:t>.</w:t>
      </w:r>
      <w:r>
        <w:rPr>
          <w:rFonts w:hint="eastAsia" w:ascii="Cambria Math" w:hAnsi="Cambria Math"/>
          <w:color w:val="auto"/>
        </w:rPr>
        <w:t>在完成设备技术会签后，由买方确定具体备件清单及要求到货时间、卖方按清单提供。</w:t>
      </w:r>
    </w:p>
    <w:p>
      <w:pPr>
        <w:adjustRightInd w:val="0"/>
        <w:snapToGrid w:val="0"/>
        <w:spacing w:line="460" w:lineRule="exact"/>
        <w:ind w:firstLine="420" w:firstLineChars="200"/>
        <w:rPr>
          <w:rFonts w:hint="eastAsia" w:ascii="Cambria Math" w:hAnsi="Cambria Math"/>
          <w:color w:val="auto"/>
        </w:rPr>
      </w:pPr>
      <w:r>
        <w:rPr>
          <w:rFonts w:hint="eastAsia" w:ascii="Cambria Math" w:hAnsi="Cambria Math"/>
          <w:color w:val="auto"/>
        </w:rPr>
        <w:t>3</w:t>
      </w:r>
      <w:r>
        <w:rPr>
          <w:rFonts w:ascii="Cambria Math" w:hAnsi="Cambria Math"/>
          <w:color w:val="auto"/>
        </w:rPr>
        <w:t>.</w:t>
      </w:r>
      <w:r>
        <w:rPr>
          <w:rFonts w:hint="eastAsia" w:ascii="Cambria Math" w:hAnsi="Cambria Math"/>
          <w:color w:val="auto"/>
        </w:rPr>
        <w:t>卖方对备件价格核算时，应按照市场价格8</w:t>
      </w:r>
      <w:r>
        <w:rPr>
          <w:rFonts w:ascii="Cambria Math" w:hAnsi="Cambria Math"/>
          <w:color w:val="auto"/>
        </w:rPr>
        <w:t>5%</w:t>
      </w:r>
      <w:r>
        <w:rPr>
          <w:rFonts w:hint="eastAsia" w:ascii="Cambria Math" w:hAnsi="Cambria Math"/>
          <w:color w:val="auto"/>
        </w:rPr>
        <w:t>以下（含8</w:t>
      </w:r>
      <w:r>
        <w:rPr>
          <w:rFonts w:ascii="Cambria Math" w:hAnsi="Cambria Math"/>
          <w:color w:val="auto"/>
        </w:rPr>
        <w:t>5%</w:t>
      </w:r>
      <w:r>
        <w:rPr>
          <w:rFonts w:hint="eastAsia" w:ascii="Cambria Math" w:hAnsi="Cambria Math"/>
          <w:color w:val="auto"/>
        </w:rPr>
        <w:t>）对买方进行核算。</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八、其他</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1</w:t>
      </w:r>
      <w:r>
        <w:rPr>
          <w:rFonts w:hint="eastAsia" w:ascii="Cambria Math" w:hAnsi="Cambria Math"/>
          <w:color w:val="auto"/>
        </w:rPr>
        <w:t>. 投标人承诺对参与该项目所获得的与招标人产品相关的所有信息都予以保密，并承担与此相关的所有法律责任；</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2.</w:t>
      </w:r>
      <w:r>
        <w:rPr>
          <w:rFonts w:hint="eastAsia" w:ascii="Cambria Math" w:hAnsi="Cambria Math"/>
          <w:color w:val="auto"/>
        </w:rPr>
        <w:t xml:space="preserve"> 终验收合格后，质保期</w:t>
      </w:r>
      <w:r>
        <w:rPr>
          <w:rFonts w:hint="eastAsia" w:ascii="Cambria Math" w:hAnsi="Cambria Math"/>
          <w:color w:val="auto"/>
          <w:lang w:val="en-US" w:eastAsia="zh-CN"/>
        </w:rPr>
        <w:t>2</w:t>
      </w:r>
      <w:r>
        <w:rPr>
          <w:rFonts w:hint="eastAsia" w:ascii="Cambria Math" w:hAnsi="Cambria Math"/>
          <w:color w:val="auto"/>
        </w:rPr>
        <w:t>年。在正常运行的情况下，系统出现故障，在接到通知后</w:t>
      </w:r>
      <w:r>
        <w:rPr>
          <w:rFonts w:ascii="Cambria Math" w:hAnsi="Cambria Math"/>
          <w:color w:val="auto"/>
        </w:rPr>
        <w:t>4小时以内予以答复，并在24小时以内派出服务人员，无偿维修；在质保期满后，投标方在接到通知后4小时以内予以答复，并在24小时以内派出服务人员；</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3.</w:t>
      </w:r>
      <w:r>
        <w:rPr>
          <w:rFonts w:hint="eastAsia" w:ascii="Cambria Math" w:hAnsi="Cambria Math"/>
          <w:color w:val="auto"/>
        </w:rPr>
        <w:t xml:space="preserve"> 其余未尽事宜，投标人应与招标人指派的答疑人员充分沟通，理解认可并接受相关技术规范及服务要求；</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4.</w:t>
      </w:r>
      <w:r>
        <w:rPr>
          <w:rFonts w:hint="eastAsia" w:ascii="Cambria Math" w:hAnsi="Cambria Math"/>
          <w:color w:val="auto"/>
        </w:rPr>
        <w:t xml:space="preserve"> 中标人需安排专人负责本招标项目的联络、检测计划布置、检测现场指导工作，该负责人对于以上问题的响应时间不得超过</w:t>
      </w:r>
      <w:r>
        <w:rPr>
          <w:rFonts w:ascii="Cambria Math" w:hAnsi="Cambria Math"/>
          <w:color w:val="auto"/>
        </w:rPr>
        <w:t>2小时；</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5.</w:t>
      </w:r>
      <w:r>
        <w:rPr>
          <w:rFonts w:hint="eastAsia" w:ascii="Cambria Math" w:hAnsi="Cambria Math"/>
          <w:color w:val="auto"/>
        </w:rPr>
        <w:t xml:space="preserve"> 投标人需自备交通工具、各种设备及食宿等必需品；</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6.</w:t>
      </w:r>
      <w:r>
        <w:rPr>
          <w:rFonts w:hint="eastAsia" w:ascii="Cambria Math" w:hAnsi="Cambria Math"/>
          <w:color w:val="auto"/>
        </w:rPr>
        <w:t xml:space="preserve"> 中标方需对招标人提供的数据及企业资料进行保密，并不得向第三方扩散，因泄密对招标人造成的损失由中标方承担相应全部责任；</w:t>
      </w:r>
    </w:p>
    <w:p>
      <w:pPr>
        <w:pStyle w:val="13"/>
        <w:rPr>
          <w:rFonts w:hint="eastAsia"/>
          <w:color w:val="auto"/>
        </w:rPr>
      </w:pPr>
      <w:r>
        <w:rPr>
          <w:rFonts w:hint="eastAsia" w:hAnsi="宋体" w:cs="宋体"/>
          <w:color w:val="auto"/>
          <w:sz w:val="24"/>
        </w:rPr>
        <w:br w:type="page"/>
      </w:r>
    </w:p>
    <w:p>
      <w:pPr>
        <w:pStyle w:val="2"/>
        <w:spacing w:before="120" w:after="120" w:line="480" w:lineRule="exact"/>
        <w:jc w:val="center"/>
        <w:rPr>
          <w:rFonts w:hint="eastAsia" w:ascii="黑体" w:eastAsia="黑体"/>
          <w:b w:val="0"/>
          <w:color w:val="auto"/>
          <w:sz w:val="24"/>
          <w:szCs w:val="24"/>
        </w:rPr>
      </w:pPr>
      <w:bookmarkStart w:id="117" w:name="_Toc5879"/>
      <w:bookmarkStart w:id="118" w:name="_Toc10810"/>
      <w:bookmarkStart w:id="119" w:name="_Toc137705869"/>
      <w:bookmarkStart w:id="120" w:name="_Toc9668"/>
      <w:bookmarkStart w:id="121" w:name="_Toc10963"/>
      <w:r>
        <w:rPr>
          <w:rFonts w:hint="eastAsia" w:ascii="黑体" w:eastAsia="黑体"/>
          <w:b w:val="0"/>
          <w:color w:val="auto"/>
          <w:sz w:val="24"/>
          <w:szCs w:val="24"/>
        </w:rPr>
        <w:t>第三章  供货范围及供货方式</w:t>
      </w:r>
      <w:bookmarkEnd w:id="117"/>
      <w:bookmarkEnd w:id="118"/>
      <w:bookmarkEnd w:id="119"/>
      <w:bookmarkEnd w:id="120"/>
      <w:bookmarkEnd w:id="121"/>
    </w:p>
    <w:p>
      <w:pPr>
        <w:pStyle w:val="4"/>
        <w:spacing w:before="120" w:after="120" w:line="480" w:lineRule="exact"/>
        <w:jc w:val="center"/>
        <w:rPr>
          <w:rFonts w:hint="eastAsia"/>
          <w:b w:val="0"/>
          <w:color w:val="auto"/>
          <w:sz w:val="24"/>
          <w:szCs w:val="24"/>
        </w:rPr>
      </w:pPr>
      <w:bookmarkStart w:id="122" w:name="_Toc137705870"/>
      <w:bookmarkStart w:id="123" w:name="_Toc10065"/>
      <w:bookmarkStart w:id="124" w:name="_Toc22761"/>
      <w:bookmarkStart w:id="125" w:name="_Toc19615"/>
      <w:bookmarkStart w:id="126" w:name="_Toc15892"/>
      <w:r>
        <w:rPr>
          <w:rFonts w:hint="eastAsia"/>
          <w:b w:val="0"/>
          <w:color w:val="auto"/>
          <w:sz w:val="24"/>
          <w:szCs w:val="24"/>
        </w:rPr>
        <w:t>第一节  供货范围</w:t>
      </w:r>
      <w:bookmarkEnd w:id="122"/>
      <w:bookmarkEnd w:id="123"/>
      <w:bookmarkEnd w:id="124"/>
      <w:bookmarkEnd w:id="125"/>
      <w:bookmarkEnd w:id="126"/>
    </w:p>
    <w:p>
      <w:pPr>
        <w:spacing w:line="480" w:lineRule="exact"/>
        <w:ind w:firstLine="420" w:firstLineChars="200"/>
        <w:rPr>
          <w:rFonts w:hint="eastAsia" w:ascii="黑体" w:hAnsi="宋体" w:eastAsia="黑体"/>
          <w:color w:val="auto"/>
        </w:rPr>
      </w:pPr>
      <w:r>
        <w:rPr>
          <w:rFonts w:hint="eastAsia" w:ascii="黑体" w:hAnsi="宋体" w:eastAsia="黑体"/>
          <w:color w:val="auto"/>
        </w:rPr>
        <w:t>一、主要货物一般供货范围界定</w:t>
      </w:r>
    </w:p>
    <w:p>
      <w:pPr>
        <w:spacing w:line="480" w:lineRule="exact"/>
        <w:ind w:firstLine="420" w:firstLineChars="200"/>
        <w:rPr>
          <w:rFonts w:hint="eastAsia" w:ascii="宋体" w:hAnsi="宋体"/>
          <w:color w:val="auto"/>
        </w:rPr>
      </w:pPr>
      <w:r>
        <w:rPr>
          <w:rFonts w:hint="eastAsia" w:ascii="宋体" w:hAnsi="宋体"/>
          <w:color w:val="auto"/>
        </w:rPr>
        <w:t>1、供货范围包括本技术标书“采购货物概况” 所列及所要求的设备。</w:t>
      </w:r>
    </w:p>
    <w:p>
      <w:pPr>
        <w:spacing w:line="480" w:lineRule="exact"/>
        <w:ind w:firstLine="420" w:firstLineChars="200"/>
        <w:rPr>
          <w:rFonts w:hint="eastAsia" w:ascii="宋体" w:hAnsi="宋体"/>
          <w:color w:val="auto"/>
        </w:rPr>
      </w:pPr>
      <w:r>
        <w:rPr>
          <w:rFonts w:hint="eastAsia" w:ascii="宋体" w:hAnsi="宋体"/>
          <w:color w:val="auto"/>
        </w:rPr>
        <w:t>2、供货范围包括为保证设备正常安装、调试和验收完成及以前所必需的整套配件、附件及材料、油料、控制软件及程序或指令等。</w:t>
      </w:r>
    </w:p>
    <w:p>
      <w:pPr>
        <w:spacing w:line="480" w:lineRule="exact"/>
        <w:ind w:firstLine="420" w:firstLineChars="200"/>
        <w:rPr>
          <w:rFonts w:hint="eastAsia" w:ascii="宋体" w:hAnsi="宋体"/>
          <w:color w:val="auto"/>
        </w:rPr>
      </w:pPr>
      <w:r>
        <w:rPr>
          <w:rFonts w:hint="eastAsia" w:ascii="宋体" w:hAnsi="宋体"/>
          <w:color w:val="auto"/>
        </w:rPr>
        <w:t>如果终验收完成后，投标方有需要收回的配件、附件、材料、油料等，应当在投标文件的技术偏离条款中，予以详细说明；否则视同包括在供货范围之内。</w:t>
      </w:r>
    </w:p>
    <w:p>
      <w:pPr>
        <w:spacing w:line="480" w:lineRule="exact"/>
        <w:ind w:firstLine="420" w:firstLineChars="200"/>
        <w:rPr>
          <w:rFonts w:hint="eastAsia" w:ascii="宋体" w:hAnsi="宋体"/>
          <w:color w:val="auto"/>
        </w:rPr>
      </w:pPr>
      <w:r>
        <w:rPr>
          <w:rFonts w:hint="eastAsia" w:ascii="宋体" w:hAnsi="宋体"/>
          <w:color w:val="auto"/>
        </w:rPr>
        <w:t>3、供货范围包括货物维护维修所必需的专用工具。</w:t>
      </w:r>
    </w:p>
    <w:p>
      <w:pPr>
        <w:spacing w:line="480" w:lineRule="exact"/>
        <w:ind w:firstLine="420" w:firstLineChars="200"/>
        <w:rPr>
          <w:rFonts w:hint="eastAsia" w:ascii="宋体" w:hAnsi="宋体"/>
          <w:color w:val="auto"/>
        </w:rPr>
      </w:pPr>
      <w:r>
        <w:rPr>
          <w:rFonts w:hint="eastAsia" w:ascii="宋体" w:hAnsi="宋体"/>
          <w:color w:val="auto"/>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80" w:lineRule="exact"/>
        <w:ind w:firstLine="420" w:firstLineChars="200"/>
        <w:rPr>
          <w:rFonts w:hint="eastAsia" w:ascii="宋体" w:hAnsi="宋体"/>
          <w:color w:val="auto"/>
        </w:rPr>
      </w:pPr>
      <w:r>
        <w:rPr>
          <w:rFonts w:hint="eastAsia" w:ascii="宋体" w:hAnsi="宋体"/>
          <w:color w:val="auto"/>
        </w:rPr>
        <w:t>如投标方难以提供或无优势提供以及属于选用配置的，则应当在投标文件的技术偏离条款中，予以详细说明并注明投标报价未包含该部分的货值。</w:t>
      </w:r>
    </w:p>
    <w:p>
      <w:pPr>
        <w:spacing w:line="480" w:lineRule="exact"/>
        <w:ind w:firstLine="420" w:firstLineChars="200"/>
        <w:rPr>
          <w:rFonts w:hint="eastAsia" w:ascii="宋体" w:hAnsi="宋体"/>
          <w:color w:val="auto"/>
        </w:rPr>
      </w:pPr>
      <w:r>
        <w:rPr>
          <w:rFonts w:hint="eastAsia" w:ascii="宋体" w:hAnsi="宋体"/>
          <w:color w:val="auto"/>
        </w:rPr>
        <w:t>5、供货范围包括为保证设备自身正常运行所必需的、满足使用地点环境条件的通风、冷却、降温等必需设施。</w:t>
      </w:r>
    </w:p>
    <w:p>
      <w:pPr>
        <w:spacing w:line="480" w:lineRule="exact"/>
        <w:ind w:firstLine="420" w:firstLineChars="200"/>
        <w:rPr>
          <w:rFonts w:hint="eastAsia" w:ascii="宋体" w:hAnsi="宋体"/>
          <w:color w:val="auto"/>
        </w:rPr>
      </w:pPr>
      <w:r>
        <w:rPr>
          <w:rFonts w:hint="eastAsia" w:ascii="宋体" w:hAnsi="宋体"/>
          <w:color w:val="auto"/>
        </w:rPr>
        <w:t>6、以“交钥匙”方式采购的设备，在满足技术标书本节上述要求之外，供货范围还包括如下界定（货物）：</w:t>
      </w:r>
    </w:p>
    <w:p>
      <w:pPr>
        <w:spacing w:line="480" w:lineRule="exact"/>
        <w:ind w:firstLine="420" w:firstLineChars="200"/>
        <w:rPr>
          <w:rFonts w:hint="eastAsia" w:ascii="宋体" w:hAnsi="宋体"/>
          <w:color w:val="auto"/>
        </w:rPr>
      </w:pPr>
      <w:r>
        <w:rPr>
          <w:rFonts w:hint="eastAsia" w:ascii="宋体" w:hAnsi="宋体"/>
          <w:color w:val="auto"/>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pPr>
        <w:spacing w:line="480" w:lineRule="exact"/>
        <w:ind w:firstLine="420" w:firstLineChars="200"/>
        <w:rPr>
          <w:rFonts w:hint="eastAsia" w:ascii="宋体" w:hAnsi="宋体"/>
          <w:color w:val="auto"/>
        </w:rPr>
      </w:pPr>
      <w:r>
        <w:rPr>
          <w:rFonts w:hint="eastAsia" w:ascii="宋体" w:hAnsi="宋体"/>
          <w:color w:val="auto"/>
        </w:rPr>
        <w:t>6.2  供货范围包括设备正常运行所必需的全套连线设备、材料等。如货物端联接法兰外端面之内的、电气系统接口压线板（插座等）之内的设备、材料、联接螺栓、垫片等。</w:t>
      </w:r>
    </w:p>
    <w:p>
      <w:pPr>
        <w:spacing w:line="480" w:lineRule="exact"/>
        <w:ind w:firstLine="420" w:firstLineChars="200"/>
        <w:rPr>
          <w:rFonts w:hint="eastAsia" w:ascii="宋体" w:hAnsi="宋体"/>
          <w:color w:val="auto"/>
        </w:rPr>
      </w:pPr>
      <w:r>
        <w:rPr>
          <w:rFonts w:hint="eastAsia" w:ascii="宋体" w:hAnsi="宋体"/>
          <w:color w:val="auto"/>
        </w:rPr>
        <w:t>6.3  供货范围包括设备正常运行、使用所需要的过桥、护栏、防护网、盖板等辅助设施。</w:t>
      </w:r>
    </w:p>
    <w:p>
      <w:pPr>
        <w:spacing w:line="480" w:lineRule="exact"/>
        <w:ind w:firstLine="420" w:firstLineChars="200"/>
        <w:rPr>
          <w:rFonts w:hint="eastAsia" w:ascii="宋体" w:hAnsi="宋体"/>
          <w:color w:val="auto"/>
        </w:rPr>
      </w:pPr>
      <w:r>
        <w:rPr>
          <w:rFonts w:hint="eastAsia" w:ascii="宋体" w:hAnsi="宋体"/>
          <w:color w:val="auto"/>
        </w:rPr>
        <w:t>6.4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pPr>
        <w:spacing w:line="480" w:lineRule="exact"/>
        <w:ind w:firstLine="420" w:firstLineChars="200"/>
        <w:rPr>
          <w:rFonts w:hint="eastAsia" w:ascii="黑体" w:hAnsi="宋体" w:eastAsia="黑体"/>
          <w:color w:val="auto"/>
        </w:rPr>
      </w:pPr>
      <w:r>
        <w:rPr>
          <w:rFonts w:hint="eastAsia" w:ascii="黑体" w:hAnsi="宋体" w:eastAsia="黑体"/>
          <w:color w:val="auto"/>
        </w:rPr>
        <w:t>二、备品备件、易损件和专用耗材供货范围</w:t>
      </w:r>
    </w:p>
    <w:p>
      <w:pPr>
        <w:spacing w:line="480" w:lineRule="exact"/>
        <w:ind w:firstLine="420" w:firstLineChars="200"/>
        <w:rPr>
          <w:rFonts w:hint="eastAsia" w:ascii="宋体" w:hAnsi="宋体"/>
          <w:color w:val="auto"/>
        </w:rPr>
      </w:pPr>
      <w:r>
        <w:rPr>
          <w:rFonts w:hint="eastAsia" w:ascii="宋体" w:hAnsi="宋体"/>
          <w:color w:val="auto"/>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r>
        <w:rPr>
          <w:rFonts w:hint="eastAsia" w:hAnsi="宋体" w:cs="宋体"/>
          <w:color w:val="auto"/>
        </w:rPr>
        <w:t>（应有明细）</w:t>
      </w:r>
      <w:r>
        <w:rPr>
          <w:rFonts w:hint="eastAsia" w:ascii="宋体" w:hAnsi="宋体"/>
          <w:color w:val="auto"/>
        </w:rPr>
        <w:t>。</w:t>
      </w:r>
    </w:p>
    <w:p>
      <w:pPr>
        <w:spacing w:line="480" w:lineRule="exact"/>
        <w:ind w:firstLine="420" w:firstLineChars="200"/>
        <w:rPr>
          <w:rFonts w:ascii="宋体" w:hAnsi="宋体"/>
          <w:color w:val="auto"/>
        </w:rPr>
      </w:pPr>
      <w:r>
        <w:rPr>
          <w:rFonts w:hint="eastAsia" w:ascii="宋体" w:hAnsi="宋体"/>
          <w:color w:val="auto"/>
        </w:rPr>
        <w:t>2、供货范围包括易损件和专用耗材的制造图纸及其技术要求等资料。</w:t>
      </w:r>
    </w:p>
    <w:p>
      <w:pPr>
        <w:spacing w:line="480" w:lineRule="exact"/>
        <w:ind w:firstLine="420" w:firstLineChars="200"/>
        <w:rPr>
          <w:rFonts w:hint="eastAsia" w:ascii="宋体" w:hAnsi="宋体"/>
          <w:color w:val="auto"/>
        </w:rPr>
      </w:pPr>
      <w:r>
        <w:rPr>
          <w:rFonts w:hint="eastAsia" w:ascii="宋体" w:hAnsi="宋体"/>
          <w:color w:val="auto"/>
        </w:rPr>
        <w:t>3、投标报价需包含投标额5</w:t>
      </w:r>
      <w:r>
        <w:rPr>
          <w:rFonts w:ascii="宋体" w:hAnsi="宋体"/>
          <w:color w:val="auto"/>
        </w:rPr>
        <w:t>%</w:t>
      </w:r>
      <w:r>
        <w:rPr>
          <w:rFonts w:hint="eastAsia" w:ascii="宋体" w:hAnsi="宋体"/>
          <w:color w:val="auto"/>
        </w:rPr>
        <w:t>的备件及易损件。</w:t>
      </w:r>
    </w:p>
    <w:p>
      <w:pPr>
        <w:spacing w:line="480" w:lineRule="exact"/>
        <w:ind w:firstLine="420" w:firstLineChars="200"/>
        <w:rPr>
          <w:rFonts w:hint="eastAsia" w:ascii="黑体" w:hAnsi="宋体" w:eastAsia="黑体"/>
          <w:color w:val="auto"/>
        </w:rPr>
      </w:pPr>
      <w:r>
        <w:rPr>
          <w:rFonts w:hint="eastAsia" w:ascii="黑体" w:hAnsi="宋体" w:eastAsia="黑体"/>
          <w:color w:val="auto"/>
        </w:rPr>
        <w:t>三、技术资料供货范围</w:t>
      </w:r>
    </w:p>
    <w:p>
      <w:pPr>
        <w:spacing w:line="480" w:lineRule="exact"/>
        <w:ind w:firstLine="420" w:firstLineChars="200"/>
        <w:rPr>
          <w:rFonts w:hint="eastAsia" w:ascii="宋体" w:hAnsi="宋体"/>
          <w:color w:val="auto"/>
        </w:rPr>
      </w:pPr>
      <w:r>
        <w:rPr>
          <w:rFonts w:hint="eastAsia" w:ascii="宋体" w:hAnsi="宋体"/>
          <w:color w:val="auto"/>
        </w:rPr>
        <w:t>技术资料供货范围包括：</w:t>
      </w:r>
    </w:p>
    <w:p>
      <w:pPr>
        <w:spacing w:line="480" w:lineRule="exact"/>
        <w:ind w:firstLine="420" w:firstLineChars="200"/>
        <w:rPr>
          <w:rFonts w:hint="eastAsia" w:ascii="宋体" w:hAnsi="宋体"/>
          <w:bCs/>
          <w:color w:val="auto"/>
        </w:rPr>
      </w:pPr>
      <w:r>
        <w:rPr>
          <w:rFonts w:hint="eastAsia" w:ascii="宋体" w:hAnsi="宋体"/>
          <w:color w:val="auto"/>
        </w:rPr>
        <w:t>1、在</w:t>
      </w:r>
      <w:r>
        <w:rPr>
          <w:rFonts w:hint="eastAsia" w:hAnsi="宋体" w:cs="宋体"/>
          <w:color w:val="auto"/>
        </w:rPr>
        <w:t>中标通知发出之</w:t>
      </w:r>
      <w:r>
        <w:rPr>
          <w:rFonts w:hint="eastAsia" w:ascii="宋体" w:hAnsi="宋体"/>
          <w:bCs/>
          <w:color w:val="auto"/>
        </w:rPr>
        <w:t>后</w:t>
      </w:r>
      <w:r>
        <w:rPr>
          <w:rFonts w:hint="eastAsia" w:ascii="宋体" w:hAnsi="宋体"/>
          <w:bCs/>
          <w:color w:val="auto"/>
          <w:u w:val="single"/>
          <w:shd w:val="pct10" w:color="auto" w:fill="FFFFFF"/>
        </w:rPr>
        <w:t xml:space="preserve">   15   </w:t>
      </w:r>
      <w:r>
        <w:rPr>
          <w:rFonts w:hint="eastAsia" w:ascii="宋体" w:hAnsi="宋体"/>
          <w:bCs/>
          <w:color w:val="auto"/>
        </w:rPr>
        <w:t>个日历日内，提供设备基础及相关的设计、制作所需的纸质及电子版资料；电子版文件应当能够使用常用版本软件可以阅读甚至使用，进口货物、设备应有中外文对照。</w:t>
      </w:r>
    </w:p>
    <w:p>
      <w:pPr>
        <w:spacing w:line="480" w:lineRule="exact"/>
        <w:ind w:firstLine="420" w:firstLineChars="200"/>
        <w:rPr>
          <w:rFonts w:hint="eastAsia" w:ascii="宋体" w:hAnsi="宋体"/>
          <w:color w:val="auto"/>
        </w:rPr>
      </w:pPr>
      <w:r>
        <w:rPr>
          <w:rFonts w:hint="eastAsia" w:ascii="宋体" w:hAnsi="宋体"/>
          <w:color w:val="auto"/>
        </w:rPr>
        <w:t>2、在预验收前，</w:t>
      </w:r>
      <w:r>
        <w:rPr>
          <w:rFonts w:hint="eastAsia" w:ascii="宋体" w:hAnsi="宋体"/>
          <w:bCs/>
          <w:color w:val="auto"/>
        </w:rPr>
        <w:t>提供设备各部分的功能描述文件、图片、影像等资料（进口、设备应有中外文对照）。</w:t>
      </w:r>
    </w:p>
    <w:p>
      <w:pPr>
        <w:spacing w:line="480" w:lineRule="exact"/>
        <w:ind w:firstLine="420" w:firstLineChars="200"/>
        <w:rPr>
          <w:rFonts w:hint="eastAsia" w:ascii="宋体" w:hAnsi="宋体"/>
          <w:color w:val="auto"/>
        </w:rPr>
      </w:pPr>
      <w:r>
        <w:rPr>
          <w:rFonts w:hint="eastAsia" w:ascii="宋体" w:hAnsi="宋体"/>
          <w:color w:val="auto"/>
        </w:rPr>
        <w:t>3、在终验收前，提供为保证设备后续正常运行所需的工装、吊（挂）具明细及其图纸、具体技术要求等资料（如果供货范围包含该部分实物）。</w:t>
      </w:r>
    </w:p>
    <w:p>
      <w:pPr>
        <w:spacing w:line="480" w:lineRule="exact"/>
        <w:ind w:firstLine="420" w:firstLineChars="200"/>
        <w:rPr>
          <w:rFonts w:hint="eastAsia" w:ascii="宋体" w:hAnsi="宋体"/>
          <w:color w:val="auto"/>
        </w:rPr>
      </w:pPr>
      <w:r>
        <w:rPr>
          <w:rFonts w:hint="eastAsia" w:ascii="宋体" w:hAnsi="宋体"/>
          <w:color w:val="auto"/>
        </w:rPr>
        <w:t>4、在终验收前，提供确定的维修所需要且招标方可以自行采购的外购件、外协件、电气元件及主要原材料的供货厂家明细表。</w:t>
      </w:r>
    </w:p>
    <w:p>
      <w:pPr>
        <w:spacing w:line="480" w:lineRule="exact"/>
        <w:ind w:firstLine="420" w:firstLineChars="200"/>
        <w:rPr>
          <w:rFonts w:hint="eastAsia" w:ascii="宋体" w:hAnsi="宋体"/>
          <w:color w:val="auto"/>
        </w:rPr>
      </w:pPr>
      <w:r>
        <w:rPr>
          <w:rFonts w:hint="eastAsia" w:ascii="宋体" w:hAnsi="宋体"/>
          <w:color w:val="auto"/>
        </w:rPr>
        <w:t>5、在终验收后的第一笔货款支付日之前，提供包括设备的备品备件、易损件和专用耗材的图纸及技术参数、技术要求等资料。</w:t>
      </w:r>
    </w:p>
    <w:p>
      <w:pPr>
        <w:spacing w:line="480" w:lineRule="exact"/>
        <w:ind w:firstLine="420" w:firstLineChars="200"/>
        <w:rPr>
          <w:rFonts w:hint="eastAsia" w:ascii="宋体" w:hAnsi="宋体"/>
          <w:color w:val="auto"/>
        </w:rPr>
      </w:pPr>
      <w:r>
        <w:rPr>
          <w:rFonts w:hint="eastAsia" w:ascii="宋体" w:hAnsi="宋体"/>
          <w:color w:val="auto"/>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80" w:lineRule="exact"/>
        <w:ind w:firstLine="420" w:firstLineChars="200"/>
        <w:rPr>
          <w:rFonts w:hint="eastAsia" w:ascii="宋体" w:hAnsi="宋体"/>
          <w:color w:val="auto"/>
        </w:rPr>
      </w:pPr>
      <w:r>
        <w:rPr>
          <w:rFonts w:hint="eastAsia" w:ascii="宋体" w:hAnsi="宋体"/>
          <w:color w:val="auto"/>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pPr>
        <w:spacing w:line="480" w:lineRule="exact"/>
        <w:ind w:firstLine="420" w:firstLineChars="200"/>
        <w:rPr>
          <w:rFonts w:hint="eastAsia" w:ascii="宋体" w:hAnsi="宋体"/>
          <w:color w:val="auto"/>
        </w:rPr>
      </w:pPr>
      <w:r>
        <w:rPr>
          <w:rFonts w:hint="eastAsia" w:ascii="宋体" w:hAnsi="宋体"/>
          <w:color w:val="auto"/>
        </w:rPr>
        <w:t>8、本条款所列的技术资料、图片、影像等，投标方应各提供4套，其中2套为电子版光（U）盘；每份技术文件应装有目录清单。</w:t>
      </w:r>
    </w:p>
    <w:p>
      <w:pPr>
        <w:spacing w:line="480" w:lineRule="exact"/>
        <w:ind w:firstLine="420" w:firstLineChars="200"/>
        <w:rPr>
          <w:rFonts w:hint="eastAsia" w:ascii="宋体" w:hAnsi="宋体"/>
          <w:color w:val="auto"/>
        </w:rPr>
      </w:pPr>
      <w:r>
        <w:rPr>
          <w:rFonts w:hint="eastAsia" w:ascii="宋体" w:hAnsi="宋体"/>
          <w:color w:val="auto"/>
        </w:rPr>
        <w:t>9、本条款所列要求，如招标方认为投标方提供的资料不能满足要求时，有权要求投标方免费补充或增加。</w:t>
      </w:r>
    </w:p>
    <w:p>
      <w:pPr>
        <w:pStyle w:val="4"/>
        <w:spacing w:before="120" w:after="120" w:line="480" w:lineRule="exact"/>
        <w:jc w:val="center"/>
        <w:rPr>
          <w:rFonts w:hint="eastAsia"/>
          <w:b w:val="0"/>
          <w:color w:val="auto"/>
          <w:sz w:val="24"/>
          <w:szCs w:val="24"/>
        </w:rPr>
      </w:pPr>
      <w:bookmarkStart w:id="127" w:name="_Toc137705871"/>
      <w:bookmarkStart w:id="128" w:name="_Toc26064"/>
      <w:bookmarkStart w:id="129" w:name="_Toc9858"/>
      <w:bookmarkStart w:id="130" w:name="_Toc8159"/>
      <w:bookmarkStart w:id="131" w:name="_Toc13936"/>
      <w:r>
        <w:rPr>
          <w:rFonts w:hint="eastAsia"/>
          <w:b w:val="0"/>
          <w:color w:val="auto"/>
          <w:sz w:val="24"/>
          <w:szCs w:val="24"/>
        </w:rPr>
        <w:t>第二节  供货方式</w:t>
      </w:r>
      <w:bookmarkEnd w:id="127"/>
      <w:bookmarkEnd w:id="128"/>
      <w:bookmarkEnd w:id="129"/>
      <w:bookmarkEnd w:id="130"/>
      <w:bookmarkEnd w:id="131"/>
    </w:p>
    <w:p>
      <w:pPr>
        <w:spacing w:line="480" w:lineRule="exact"/>
        <w:ind w:firstLine="420" w:firstLineChars="200"/>
        <w:rPr>
          <w:rFonts w:hint="eastAsia" w:ascii="宋体" w:hAnsi="宋体"/>
          <w:color w:val="auto"/>
        </w:rPr>
      </w:pPr>
      <w:r>
        <w:rPr>
          <w:rFonts w:hint="eastAsia" w:ascii="黑体" w:hAnsi="宋体" w:eastAsia="黑体"/>
          <w:color w:val="auto"/>
        </w:rPr>
        <w:t>一、供货地点：</w:t>
      </w:r>
      <w:r>
        <w:rPr>
          <w:rFonts w:hint="eastAsia" w:ascii="宋体" w:hAnsi="宋体" w:eastAsia="宋体" w:cs="宋体"/>
          <w:color w:val="auto"/>
          <w:lang w:val="en-US" w:eastAsia="zh-CN"/>
        </w:rPr>
        <w:t>中国重汽集团济南特种车有限公司</w:t>
      </w:r>
      <w:r>
        <w:rPr>
          <w:rFonts w:hint="eastAsia" w:ascii="宋体" w:hAnsi="宋体" w:cs="宋体"/>
          <w:color w:val="auto"/>
          <w:lang w:val="en-US" w:eastAsia="zh-CN"/>
        </w:rPr>
        <w:t>总七车间</w:t>
      </w:r>
      <w:r>
        <w:rPr>
          <w:rFonts w:hint="eastAsia" w:ascii="宋体" w:hAnsi="宋体" w:eastAsia="宋体" w:cs="宋体"/>
          <w:color w:val="auto"/>
        </w:rPr>
        <w:t>。</w:t>
      </w:r>
    </w:p>
    <w:p>
      <w:pPr>
        <w:spacing w:line="480" w:lineRule="exact"/>
        <w:ind w:firstLine="420" w:firstLineChars="200"/>
        <w:jc w:val="left"/>
        <w:rPr>
          <w:rFonts w:hint="eastAsia" w:ascii="黑体" w:hAnsi="宋体" w:eastAsia="黑体"/>
          <w:color w:val="auto"/>
        </w:rPr>
      </w:pPr>
      <w:r>
        <w:rPr>
          <w:rFonts w:hint="eastAsia" w:ascii="黑体" w:hAnsi="宋体" w:eastAsia="黑体"/>
          <w:color w:val="auto"/>
        </w:rPr>
        <w:t>二、供货时间</w:t>
      </w:r>
    </w:p>
    <w:p>
      <w:pPr>
        <w:spacing w:line="480" w:lineRule="exact"/>
        <w:ind w:firstLine="420" w:firstLineChars="200"/>
        <w:jc w:val="left"/>
        <w:rPr>
          <w:rFonts w:hint="eastAsia" w:ascii="宋体" w:hAnsi="宋体"/>
          <w:color w:val="auto"/>
        </w:rPr>
      </w:pPr>
      <w:r>
        <w:rPr>
          <w:rFonts w:hint="eastAsia" w:ascii="宋体" w:hAnsi="宋体"/>
          <w:color w:val="auto"/>
        </w:rPr>
        <w:t>1、以交钥匙方式供货的，按照以下时间要求（安装调试工期超过10个日历日的，投标方应当随标书提供详细的工期计划）：</w:t>
      </w:r>
    </w:p>
    <w:p>
      <w:pPr>
        <w:spacing w:line="480" w:lineRule="exact"/>
        <w:ind w:firstLine="420" w:firstLineChars="200"/>
        <w:jc w:val="left"/>
        <w:rPr>
          <w:rFonts w:hint="eastAsia" w:ascii="宋体" w:hAnsi="宋体"/>
          <w:color w:val="auto"/>
        </w:rPr>
      </w:pPr>
      <w:r>
        <w:rPr>
          <w:rFonts w:hint="eastAsia" w:ascii="宋体" w:hAnsi="宋体"/>
          <w:color w:val="auto"/>
        </w:rPr>
        <w:t>1.1  自</w:t>
      </w:r>
      <w:r>
        <w:rPr>
          <w:rFonts w:hint="eastAsia" w:hAnsi="宋体" w:cs="宋体"/>
          <w:color w:val="auto"/>
        </w:rPr>
        <w:t>中标通知发出之日</w:t>
      </w:r>
      <w:r>
        <w:rPr>
          <w:rFonts w:hint="eastAsia" w:ascii="宋体" w:hAnsi="宋体"/>
          <w:color w:val="auto"/>
        </w:rPr>
        <w:t>起，</w:t>
      </w:r>
      <w:r>
        <w:rPr>
          <w:rFonts w:hint="eastAsia" w:ascii="宋体" w:hAnsi="宋体"/>
          <w:color w:val="auto"/>
          <w:u w:val="single"/>
          <w:shd w:val="pct10" w:color="auto" w:fill="FFFFFF"/>
          <w:lang w:val="en-US" w:eastAsia="zh-CN"/>
        </w:rPr>
        <w:t>90</w:t>
      </w:r>
      <w:r>
        <w:rPr>
          <w:rFonts w:hint="eastAsia" w:ascii="宋体" w:hAnsi="宋体"/>
          <w:color w:val="auto"/>
        </w:rPr>
        <w:t>个日历日之内交货至供货地点。</w:t>
      </w:r>
    </w:p>
    <w:p>
      <w:pPr>
        <w:spacing w:line="480" w:lineRule="exact"/>
        <w:ind w:firstLine="420" w:firstLineChars="200"/>
        <w:jc w:val="left"/>
        <w:rPr>
          <w:rFonts w:hint="eastAsia" w:ascii="宋体" w:hAnsi="宋体"/>
          <w:color w:val="auto"/>
        </w:rPr>
      </w:pPr>
      <w:r>
        <w:rPr>
          <w:rFonts w:hint="eastAsia" w:ascii="宋体" w:hAnsi="宋体"/>
          <w:color w:val="auto"/>
        </w:rPr>
        <w:t>1.2  接续</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20</w:t>
      </w:r>
      <w:r>
        <w:rPr>
          <w:rFonts w:hint="eastAsia" w:ascii="宋体" w:hAnsi="宋体"/>
          <w:color w:val="auto"/>
          <w:u w:val="single"/>
          <w:shd w:val="pct10" w:color="auto" w:fill="FFFFFF"/>
        </w:rPr>
        <w:t xml:space="preserve"> </w:t>
      </w:r>
      <w:r>
        <w:rPr>
          <w:rFonts w:hint="eastAsia" w:ascii="宋体" w:hAnsi="宋体"/>
          <w:color w:val="auto"/>
        </w:rPr>
        <w:t>个日历日之内安装调试完毕。</w:t>
      </w:r>
    </w:p>
    <w:p>
      <w:pPr>
        <w:spacing w:line="480" w:lineRule="exact"/>
        <w:ind w:firstLine="420" w:firstLineChars="200"/>
        <w:jc w:val="left"/>
        <w:rPr>
          <w:rFonts w:hint="eastAsia" w:ascii="黑体" w:hAnsi="宋体" w:eastAsia="黑体"/>
          <w:color w:val="auto"/>
        </w:rPr>
      </w:pPr>
      <w:r>
        <w:rPr>
          <w:rFonts w:hint="eastAsia" w:ascii="黑体" w:hAnsi="宋体" w:eastAsia="黑体"/>
          <w:color w:val="auto"/>
        </w:rPr>
        <w:t>三、质保期及质保要求</w:t>
      </w:r>
    </w:p>
    <w:p>
      <w:pPr>
        <w:spacing w:line="480" w:lineRule="exact"/>
        <w:ind w:firstLine="420" w:firstLineChars="200"/>
        <w:jc w:val="left"/>
        <w:rPr>
          <w:rFonts w:hint="eastAsia" w:ascii="宋体" w:hAnsi="宋体"/>
          <w:color w:val="auto"/>
        </w:rPr>
      </w:pPr>
      <w:r>
        <w:rPr>
          <w:rFonts w:hint="eastAsia" w:ascii="宋体" w:hAnsi="宋体"/>
          <w:color w:val="auto"/>
        </w:rPr>
        <w:t>1、全部供货范围内的设备、材料、零配件和工器具等，除合同特别约定外，其质保期均自终验收签字生效之日起</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12</w:t>
      </w:r>
      <w:r>
        <w:rPr>
          <w:rFonts w:hint="eastAsia" w:ascii="宋体" w:hAnsi="宋体"/>
          <w:color w:val="auto"/>
          <w:u w:val="single"/>
          <w:shd w:val="pct10" w:color="auto" w:fill="FFFFFF"/>
        </w:rPr>
        <w:t xml:space="preserve">  </w:t>
      </w:r>
      <w:r>
        <w:rPr>
          <w:rFonts w:hint="eastAsia" w:ascii="宋体" w:hAnsi="宋体"/>
          <w:color w:val="auto"/>
        </w:rPr>
        <w:t>个月。</w:t>
      </w:r>
    </w:p>
    <w:p>
      <w:pPr>
        <w:spacing w:line="480" w:lineRule="exact"/>
        <w:ind w:firstLine="420" w:firstLineChars="200"/>
        <w:jc w:val="left"/>
        <w:rPr>
          <w:rFonts w:hint="eastAsia" w:ascii="宋体" w:hAnsi="宋体"/>
          <w:color w:val="auto"/>
        </w:rPr>
      </w:pPr>
      <w:r>
        <w:rPr>
          <w:rFonts w:hint="eastAsia" w:ascii="宋体" w:hAnsi="宋体"/>
          <w:color w:val="auto"/>
        </w:rPr>
        <w:t>投标货物或涉及的关键总成和零件，如果有更长时间质保期，允许更改并说明，此将有利于投标方。</w:t>
      </w:r>
    </w:p>
    <w:p>
      <w:pPr>
        <w:spacing w:line="480" w:lineRule="exact"/>
        <w:ind w:firstLine="420" w:firstLineChars="200"/>
        <w:jc w:val="left"/>
        <w:rPr>
          <w:rFonts w:hint="eastAsia" w:ascii="宋体" w:hAnsi="宋体"/>
          <w:color w:val="auto"/>
        </w:rPr>
      </w:pPr>
      <w:r>
        <w:rPr>
          <w:rFonts w:hint="eastAsia" w:ascii="宋体" w:hAnsi="宋体"/>
          <w:color w:val="auto"/>
        </w:rPr>
        <w:t>设计使用寿命短于质保期的易损件除外，但属于易损件的，应当有明确说明。</w:t>
      </w:r>
    </w:p>
    <w:p>
      <w:pPr>
        <w:spacing w:line="480" w:lineRule="exact"/>
        <w:ind w:firstLine="420" w:firstLineChars="200"/>
        <w:jc w:val="left"/>
        <w:rPr>
          <w:rFonts w:hint="eastAsia" w:ascii="宋体" w:hAnsi="宋体"/>
          <w:color w:val="auto"/>
        </w:rPr>
      </w:pPr>
      <w:r>
        <w:rPr>
          <w:rFonts w:hint="eastAsia" w:ascii="宋体" w:hAnsi="宋体"/>
          <w:color w:val="auto"/>
        </w:rPr>
        <w:t>2、质保期之内，如果设备出现设备、总成、关键零部件或者多处一般零部件的更换或维修行为，则质保期自更换或维修行为结束、设备重新正常运行使用之日起重新计算。</w:t>
      </w:r>
    </w:p>
    <w:p>
      <w:pPr>
        <w:spacing w:line="480" w:lineRule="exact"/>
        <w:ind w:firstLine="420" w:firstLineChars="200"/>
        <w:jc w:val="left"/>
        <w:rPr>
          <w:rFonts w:hint="eastAsia" w:ascii="宋体" w:hAnsi="宋体"/>
          <w:color w:val="auto"/>
        </w:rPr>
      </w:pPr>
      <w:r>
        <w:rPr>
          <w:rFonts w:hint="eastAsia" w:ascii="宋体" w:hAnsi="宋体"/>
          <w:color w:val="auto"/>
        </w:rPr>
        <w:t>3、质保期内免费提供零部件和及时有效的服务。质保期内因货物本身缺陷造成的各种故障，投标方应负责免费维修和服务。</w:t>
      </w:r>
    </w:p>
    <w:p>
      <w:pPr>
        <w:spacing w:line="480" w:lineRule="exact"/>
        <w:ind w:firstLine="420" w:firstLineChars="200"/>
        <w:jc w:val="left"/>
        <w:rPr>
          <w:rFonts w:hint="eastAsia" w:ascii="宋体" w:hAnsi="宋体"/>
          <w:color w:val="auto"/>
        </w:rPr>
      </w:pPr>
      <w:r>
        <w:rPr>
          <w:rFonts w:hint="eastAsia" w:ascii="宋体" w:hAnsi="宋体"/>
          <w:color w:val="auto"/>
        </w:rPr>
        <w:t>4、质保期终止之日起1</w:t>
      </w:r>
      <w:r>
        <w:rPr>
          <w:rFonts w:hint="eastAsia" w:ascii="宋体" w:hAnsi="宋体"/>
          <w:color w:val="auto"/>
          <w:lang w:val="en-US" w:eastAsia="zh-CN"/>
        </w:rPr>
        <w:t>2</w:t>
      </w:r>
      <w:r>
        <w:rPr>
          <w:rFonts w:hint="eastAsia" w:ascii="宋体" w:hAnsi="宋体"/>
          <w:color w:val="auto"/>
        </w:rPr>
        <w:t>个月内重复出现的质保期之内出现的故障，仍属质保范围而且应当免费。</w:t>
      </w:r>
    </w:p>
    <w:p>
      <w:pPr>
        <w:spacing w:line="480" w:lineRule="exact"/>
        <w:ind w:firstLine="420" w:firstLineChars="200"/>
        <w:rPr>
          <w:rFonts w:hint="eastAsia" w:ascii="黑体" w:hAnsi="宋体" w:eastAsia="黑体"/>
          <w:color w:val="auto"/>
        </w:rPr>
      </w:pPr>
      <w:r>
        <w:rPr>
          <w:rFonts w:hint="eastAsia" w:ascii="黑体" w:hAnsi="宋体" w:eastAsia="黑体"/>
          <w:color w:val="auto"/>
        </w:rPr>
        <w:t>四、包装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1、所提供设备的包装，应遵照国家标准和有关包装、包皮的技术条件，或按照最好的商业惯例进行包装。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3、所提供设备的包装，应能防止其一般性被窃或受外力破坏；一般不得采用有大缝隙的板条包装。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4、应对包装件做必要的加固和固定，以防止运输可能造成的损坏。</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5、每个包装件应有装箱单，并至少标明名称、型号规格、数量、净重和毛重、投标方（或供货商）名称和制造日期等相关内容。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6、每个包装箱应有明显标志，并具有中文书写的合同号、装运标志、发货和到货地点名称、发货人和收货人名称、设备名称和项目号、箱号和外型尺寸等内容。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7、应按照不同的装运要求在包装箱上标明“小心轻放”、“箭头向上”、“防潮”、“防磁”、“不准平放”等标志，以及其它适用的国标通用标志。</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8、包装箱应连续编号，不应出现重复编号。</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9、在不受到外界破坏情况下，包装应保证自交货日起一年内货物（或设备）完好无损。</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五、运输</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1、应负责将设备运到目的地，并必须做到设备在任何运输过程中不受损坏和遗失。</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2、同批设备应统一包装、编号运输。</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3、一般情况下，经由铁路、公路运输的包装件尺寸和重量不应超过国家所规定的尺寸限制。特殊情况应予以说明。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4、在每批设备发出后，应立即通知招标方；通知中应指明：合同号、货运单号、件数、重量和设备发出日期等相关内容。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5、设备运抵交货地点后，应负责货物（或设备）的卸货、搬运、保管等事宜；或按照合同约定。</w:t>
      </w: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32" w:name="_Toc2931"/>
      <w:bookmarkStart w:id="133" w:name="_Toc137705872"/>
      <w:bookmarkStart w:id="134" w:name="_Toc30960"/>
      <w:bookmarkStart w:id="135" w:name="_Toc9796"/>
      <w:bookmarkStart w:id="136" w:name="_Toc28593"/>
      <w:r>
        <w:rPr>
          <w:rFonts w:hint="eastAsia" w:ascii="黑体" w:eastAsia="黑体"/>
          <w:b w:val="0"/>
          <w:bCs w:val="0"/>
          <w:color w:val="auto"/>
          <w:sz w:val="24"/>
          <w:szCs w:val="24"/>
        </w:rPr>
        <w:t>第四章  售中售后服务</w:t>
      </w:r>
      <w:bookmarkEnd w:id="132"/>
      <w:bookmarkEnd w:id="133"/>
      <w:bookmarkEnd w:id="134"/>
      <w:bookmarkEnd w:id="135"/>
      <w:bookmarkEnd w:id="136"/>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一、技术及培训服务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1、应负责对招标方</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2</w:t>
      </w:r>
      <w:r>
        <w:rPr>
          <w:rFonts w:hint="eastAsia" w:ascii="宋体" w:hAnsi="宋体"/>
          <w:color w:val="auto"/>
          <w:u w:val="single"/>
          <w:shd w:val="pct10" w:color="auto" w:fill="FFFFFF"/>
        </w:rPr>
        <w:t xml:space="preserve">  </w:t>
      </w:r>
      <w:r>
        <w:rPr>
          <w:rFonts w:hint="eastAsia" w:ascii="宋体" w:hAnsi="宋体"/>
          <w:color w:val="auto"/>
        </w:rPr>
        <w:t>名及以上技术、维修和操作人员提供不少于</w:t>
      </w:r>
      <w:r>
        <w:rPr>
          <w:rFonts w:hint="eastAsia" w:ascii="宋体" w:hAnsi="宋体"/>
          <w:color w:val="auto"/>
          <w:u w:val="single"/>
          <w:shd w:val="pct10" w:color="auto" w:fill="FFFFFF"/>
        </w:rPr>
        <w:t xml:space="preserve">   2  </w:t>
      </w:r>
      <w:r>
        <w:rPr>
          <w:rFonts w:hint="eastAsia" w:ascii="宋体" w:hAnsi="宋体"/>
          <w:color w:val="auto"/>
        </w:rPr>
        <w:t>个日历日的免费的、招标方生产制造现场的理论、技术和操作、维修等方面的技术指导和培训,提供免费的2人在机器人工厂的标准培训，培训内容包括</w:t>
      </w:r>
      <w:r>
        <w:rPr>
          <w:rFonts w:hint="eastAsia"/>
          <w:color w:val="auto"/>
          <w:lang w:val="zh-CN"/>
        </w:rPr>
        <w:t>机器人编程及简单维护培训、电气培训。</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2、应负责在招标方设备使用现场，进行1～2次免费的技术指导和培训，并接受招标方有关人员的技术咨询。</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3、应免费提供一定数量的培训资料。</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4、应按要求免费积极协助和提供招标方以及招标方所委托的工程设计单位有关人员所需要的、与设备有关的工程设计资料、技术咨询等。</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5、若投标方提供的设备涉及到外购外协货物、而且该货物的技术质量等较为关键时，投标方应能保证得到配套厂家的技术支持，并免费为招标方提供技术服务。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二、安装调试及验收服务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2、若投标方提供的设备涉及到外购外协货物、而且该货物的技术质量等较为关键时，应保证能得到供应商的技术支持，并免费为招标方提供安装使用现场的指导与培训。</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5、投标方应当向招标方提供货物试验、验收的有关标准、规范和方法，同时提供货物涉及并使用的软件合法性证明。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6、服务缺陷视同货物缺陷和履约延期。</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三、售后服务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1、投标方提供的设备涉及的所有售后服务均由投标方负责。如果发生问题并且收到通知，投标方应当在2小时内予以答复。</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2、如发现所提供的设备存在问题，需要投标方解决或配合解决时：在质保期之内，应在接到通知后</w:t>
      </w:r>
      <w:r>
        <w:rPr>
          <w:rFonts w:hint="eastAsia" w:ascii="宋体" w:hAnsi="宋体"/>
          <w:color w:val="auto"/>
          <w:u w:val="single"/>
          <w:shd w:val="pct10" w:color="auto" w:fill="FFFFFF"/>
        </w:rPr>
        <w:t xml:space="preserve">  24    </w:t>
      </w:r>
      <w:r>
        <w:rPr>
          <w:rFonts w:hint="eastAsia" w:ascii="宋体" w:hAnsi="宋体"/>
          <w:color w:val="auto"/>
        </w:rPr>
        <w:t>小时内派有关人员到达现场；在质保期之外，应在接到通知后</w:t>
      </w:r>
      <w:r>
        <w:rPr>
          <w:rFonts w:hint="eastAsia" w:ascii="宋体" w:hAnsi="宋体"/>
          <w:color w:val="auto"/>
          <w:u w:val="single"/>
          <w:shd w:val="pct10" w:color="auto" w:fill="FFFFFF"/>
        </w:rPr>
        <w:t xml:space="preserve">  24   </w:t>
      </w:r>
      <w:r>
        <w:rPr>
          <w:rFonts w:hint="eastAsia" w:ascii="宋体" w:hAnsi="宋体"/>
          <w:color w:val="auto"/>
        </w:rPr>
        <w:t>小时内派有关人员到达现场。</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3、投标方派往招标方使用现场的人员，应具有较高的业务素质；现场解决问题时，不得无故拖延或推迟，应为招标方提供最佳的服务。</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四、其它服务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1、若投标方所提供设备有需要进口的，投标方一般应自行、自费办理；必要时，买卖双方共同办理。</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2、除招标文件、投标文件、答疑文件、技术协议、合同等约定之外，投标方应免费负责必要的或强制性的设备的检验、试验、化验等直接费用。</w:t>
      </w:r>
    </w:p>
    <w:p>
      <w:pPr>
        <w:spacing w:line="520" w:lineRule="exact"/>
        <w:ind w:firstLine="420" w:firstLineChars="200"/>
        <w:rPr>
          <w:rFonts w:hint="eastAsia"/>
          <w:color w:val="auto"/>
        </w:rPr>
      </w:pPr>
      <w:r>
        <w:rPr>
          <w:rFonts w:hint="eastAsia" w:ascii="宋体" w:hAnsi="宋体"/>
          <w:color w:val="auto"/>
        </w:rPr>
        <w:t>3、本章节条款所列“免费”，并非指定不可收费，而是指招标文件、投标文件、</w:t>
      </w:r>
      <w:r>
        <w:rPr>
          <w:rFonts w:hint="eastAsia"/>
          <w:color w:val="auto"/>
        </w:rPr>
        <w:t>答疑文件、技术交流文件、技术协议书和合同等范围之外，投标方不可另行收取的费用。</w:t>
      </w:r>
    </w:p>
    <w:p>
      <w:pPr>
        <w:spacing w:line="480" w:lineRule="exact"/>
        <w:ind w:firstLine="420" w:firstLineChars="200"/>
        <w:rPr>
          <w:rFonts w:hint="eastAsia" w:ascii="宋体" w:hAnsi="宋体"/>
          <w:color w:val="auto"/>
        </w:rPr>
      </w:pP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37" w:name="_Toc21539"/>
      <w:bookmarkStart w:id="138" w:name="_Toc23200"/>
      <w:bookmarkStart w:id="139" w:name="_Toc19419"/>
      <w:bookmarkStart w:id="140" w:name="_Toc137705873"/>
      <w:bookmarkStart w:id="141" w:name="_Toc9060"/>
      <w:r>
        <w:rPr>
          <w:rFonts w:hint="eastAsia" w:ascii="黑体" w:eastAsia="黑体"/>
          <w:b w:val="0"/>
          <w:color w:val="auto"/>
          <w:sz w:val="24"/>
          <w:szCs w:val="24"/>
        </w:rPr>
        <w:t>第五章  预验收和终验收</w:t>
      </w:r>
      <w:bookmarkEnd w:id="137"/>
      <w:bookmarkEnd w:id="138"/>
      <w:bookmarkEnd w:id="139"/>
      <w:bookmarkEnd w:id="140"/>
      <w:bookmarkEnd w:id="141"/>
    </w:p>
    <w:p>
      <w:pPr>
        <w:spacing w:line="480" w:lineRule="exact"/>
        <w:ind w:firstLine="420" w:firstLineChars="200"/>
        <w:rPr>
          <w:rFonts w:hint="eastAsia" w:ascii="黑体" w:hAnsi="宋体" w:eastAsia="黑体"/>
          <w:color w:val="auto"/>
        </w:rPr>
      </w:pPr>
      <w:r>
        <w:rPr>
          <w:rFonts w:hint="eastAsia" w:ascii="黑体" w:hAnsi="宋体" w:eastAsia="黑体"/>
          <w:color w:val="auto"/>
        </w:rPr>
        <w:t>一、验收的一般约定</w:t>
      </w:r>
    </w:p>
    <w:p>
      <w:pPr>
        <w:spacing w:line="480" w:lineRule="exact"/>
        <w:ind w:firstLine="420" w:firstLineChars="200"/>
        <w:rPr>
          <w:rFonts w:hint="eastAsia" w:ascii="宋体" w:hAnsi="宋体"/>
          <w:color w:val="auto"/>
        </w:rPr>
      </w:pPr>
      <w:r>
        <w:rPr>
          <w:rFonts w:hint="eastAsia" w:ascii="宋体" w:hAnsi="宋体"/>
          <w:color w:val="auto"/>
        </w:rPr>
        <w:t>1、验收标准一般以技术协议书和合同规定验收。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2、如果验收过程中，发现招标文件、投标文件、答疑文件、技术交流文件等与技术协议书、合同存在差异，原则上以涉及条款中对招标方最有利条款为验收依据。</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二、检验</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1、国产货物的检验由买卖双方按照合同要求或在制造现场进行。</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2、进口货物的检验，投标方需要按照下述要求进行：</w:t>
      </w:r>
    </w:p>
    <w:p>
      <w:pPr>
        <w:adjustRightInd w:val="0"/>
        <w:snapToGrid w:val="0"/>
        <w:spacing w:line="460" w:lineRule="exact"/>
        <w:ind w:firstLine="420" w:firstLineChars="200"/>
        <w:rPr>
          <w:rFonts w:ascii="宋体" w:hAnsi="宋体"/>
          <w:color w:val="auto"/>
        </w:rPr>
      </w:pPr>
      <w:r>
        <w:rPr>
          <w:rFonts w:hint="eastAsia" w:ascii="宋体" w:hAnsi="宋体"/>
          <w:color w:val="auto"/>
        </w:rPr>
        <w:t>2.1  进口货物发货前，应对货物的质量、型号、规格、性能和数量/重量作精密、全面的检验，并出具证明书，证明所供货物符合合同规定。</w:t>
      </w:r>
    </w:p>
    <w:p>
      <w:pPr>
        <w:adjustRightInd w:val="0"/>
        <w:snapToGrid w:val="0"/>
        <w:spacing w:line="460" w:lineRule="exact"/>
        <w:ind w:firstLine="420" w:firstLineChars="200"/>
        <w:rPr>
          <w:rFonts w:ascii="宋体" w:hAnsi="宋体"/>
          <w:color w:val="auto"/>
        </w:rPr>
      </w:pPr>
      <w:r>
        <w:rPr>
          <w:rFonts w:hint="eastAsia" w:ascii="宋体" w:hAnsi="宋体"/>
          <w:color w:val="auto"/>
        </w:rPr>
        <w:t>2.2  应依据合同规定的要求，提供买卖双方达成一致的货物的验收标准和装箱单，作为招标方检验的依据。</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color w:val="auto"/>
        </w:rPr>
        <w:t>0</w:t>
      </w:r>
      <w:r>
        <w:rPr>
          <w:rFonts w:hint="eastAsia" w:ascii="宋体" w:hAnsi="宋体"/>
          <w:color w:val="auto"/>
        </w:rPr>
        <w:t>个日历日内，根据中国商品检验检疫局出具的证明书向投标方提出索赔，因索赔所发生的一切费用</w:t>
      </w:r>
      <w:r>
        <w:rPr>
          <w:rFonts w:ascii="宋体" w:hAnsi="宋体"/>
          <w:color w:val="auto"/>
        </w:rPr>
        <w:t>(</w:t>
      </w:r>
      <w:r>
        <w:rPr>
          <w:rFonts w:hint="eastAsia" w:ascii="宋体" w:hAnsi="宋体"/>
          <w:color w:val="auto"/>
        </w:rPr>
        <w:t>包括检验检疫费等</w:t>
      </w:r>
      <w:r>
        <w:rPr>
          <w:rFonts w:ascii="宋体" w:hAnsi="宋体"/>
          <w:color w:val="auto"/>
        </w:rPr>
        <w:t>)</w:t>
      </w:r>
      <w:r>
        <w:rPr>
          <w:rFonts w:hint="eastAsia" w:ascii="宋体" w:hAnsi="宋体"/>
          <w:color w:val="auto"/>
        </w:rPr>
        <w:t>均由投标方承担。</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三、验收基本条件</w:t>
      </w:r>
    </w:p>
    <w:p>
      <w:pPr>
        <w:adjustRightInd w:val="0"/>
        <w:snapToGrid w:val="0"/>
        <w:spacing w:line="460" w:lineRule="exact"/>
        <w:ind w:firstLine="420" w:firstLineChars="200"/>
        <w:rPr>
          <w:rFonts w:hint="eastAsia" w:ascii="宋体" w:hAnsi="宋体"/>
          <w:color w:val="auto"/>
        </w:rPr>
      </w:pPr>
      <w:r>
        <w:rPr>
          <w:rFonts w:hint="eastAsia"/>
          <w:color w:val="auto"/>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color w:val="auto"/>
        </w:rPr>
        <w:t>时重新检验，最终只以终验收为准。</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买卖双方按照合同约定执行了合同，同时设备完成了试运行并经检验合格，则具备验收条件。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1、预验收一般条件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1.1  投标方已经按照“供货范围”要求提供了预验收资料，并且资料齐全、完整和有效。</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1.2  设备应完整且所有的零部件应该安装牢固，外观无损伤，所有的焊缝饱满、无残渣等缺陷。</w:t>
      </w:r>
    </w:p>
    <w:p>
      <w:pPr>
        <w:adjustRightInd w:val="0"/>
        <w:snapToGrid w:val="0"/>
        <w:spacing w:line="460" w:lineRule="exact"/>
        <w:ind w:firstLine="420" w:firstLineChars="200"/>
        <w:rPr>
          <w:rFonts w:ascii="宋体" w:hAnsi="宋体"/>
          <w:color w:val="auto"/>
        </w:rPr>
      </w:pPr>
      <w:r>
        <w:rPr>
          <w:rFonts w:hint="eastAsia" w:ascii="宋体" w:hAnsi="宋体"/>
          <w:color w:val="auto"/>
        </w:rPr>
        <w:t>1.3  一般情况下，所有的管路和线缆等，接头应完全正确、可靠地联接；应排列有序（正确、牢固、整齐），有必要的防护，无皱褶、收缩和裂缝等不良现象。</w:t>
      </w:r>
    </w:p>
    <w:p>
      <w:pPr>
        <w:adjustRightInd w:val="0"/>
        <w:snapToGrid w:val="0"/>
        <w:spacing w:line="460" w:lineRule="exact"/>
        <w:ind w:firstLine="420" w:firstLineChars="200"/>
        <w:rPr>
          <w:rFonts w:ascii="宋体" w:hAnsi="宋体"/>
          <w:color w:val="auto"/>
        </w:rPr>
      </w:pPr>
      <w:r>
        <w:rPr>
          <w:rFonts w:hint="eastAsia" w:ascii="宋体" w:hAnsi="宋体"/>
          <w:color w:val="auto"/>
        </w:rPr>
        <w:t>1.4  设备的润滑系统工作正常、可靠，润滑点易于到达。</w:t>
      </w:r>
    </w:p>
    <w:p>
      <w:pPr>
        <w:adjustRightInd w:val="0"/>
        <w:snapToGrid w:val="0"/>
        <w:spacing w:line="460" w:lineRule="exact"/>
        <w:ind w:firstLine="420" w:firstLineChars="200"/>
        <w:rPr>
          <w:rFonts w:ascii="宋体" w:hAnsi="宋体"/>
          <w:color w:val="auto"/>
        </w:rPr>
      </w:pPr>
      <w:r>
        <w:rPr>
          <w:rFonts w:hint="eastAsia" w:ascii="宋体" w:hAnsi="宋体"/>
          <w:color w:val="auto"/>
        </w:rPr>
        <w:t>1.5  使用的压力容器、电气等应具备合格证（如果有压力容器）。</w:t>
      </w:r>
    </w:p>
    <w:p>
      <w:pPr>
        <w:adjustRightInd w:val="0"/>
        <w:snapToGrid w:val="0"/>
        <w:spacing w:line="460" w:lineRule="exact"/>
        <w:ind w:firstLine="420" w:firstLineChars="200"/>
        <w:rPr>
          <w:rFonts w:ascii="宋体" w:hAnsi="宋体"/>
          <w:color w:val="auto"/>
        </w:rPr>
      </w:pPr>
      <w:r>
        <w:rPr>
          <w:rFonts w:hint="eastAsia" w:ascii="宋体" w:hAnsi="宋体"/>
          <w:color w:val="auto"/>
        </w:rPr>
        <w:t>1.6 设备的油漆质量应饱满、有光泽，无掉漆、无色差、无“桔皮”等不良现象（特殊标志除外）。</w:t>
      </w:r>
    </w:p>
    <w:p>
      <w:pPr>
        <w:adjustRightInd w:val="0"/>
        <w:snapToGrid w:val="0"/>
        <w:spacing w:line="460" w:lineRule="exact"/>
        <w:ind w:firstLine="420" w:firstLineChars="200"/>
        <w:rPr>
          <w:rFonts w:ascii="宋体" w:hAnsi="宋体"/>
          <w:color w:val="auto"/>
        </w:rPr>
      </w:pPr>
      <w:r>
        <w:rPr>
          <w:rFonts w:hint="eastAsia" w:ascii="宋体" w:hAnsi="宋体"/>
          <w:color w:val="auto"/>
        </w:rPr>
        <w:t>1.7 设备标牌完整、清晰、明确。</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1.8  地线联接和地极符合国际（</w:t>
      </w:r>
      <w:r>
        <w:rPr>
          <w:rFonts w:ascii="宋体" w:hAnsi="宋体"/>
          <w:color w:val="auto"/>
        </w:rPr>
        <w:t>ISO</w:t>
      </w:r>
      <w:r>
        <w:rPr>
          <w:rFonts w:hint="eastAsia" w:ascii="宋体" w:hAnsi="宋体"/>
          <w:color w:val="auto"/>
        </w:rPr>
        <w:t>/</w:t>
      </w:r>
      <w:r>
        <w:rPr>
          <w:rFonts w:ascii="宋体" w:hAnsi="宋体"/>
          <w:color w:val="auto"/>
        </w:rPr>
        <w:t>IEC</w:t>
      </w:r>
      <w:r>
        <w:rPr>
          <w:rFonts w:hint="eastAsia" w:ascii="宋体" w:hAnsi="宋体"/>
          <w:color w:val="auto"/>
        </w:rPr>
        <w:t>）标准规范。</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1.9  设备的安全要求符合中国最新的相关法律、法规、标准和规范以及合同要求。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2、终验收一般条件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2.1  经过预验收而且没有出现新的质量问题，或者满足预验收条款。</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2.2  设备安装调试完毕，并至少经过了验收要求的负荷试运行。</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2.3  设备正常运行时，噪声等环境影响因素满足国家和当地环保主管部门规定，安全措施落实、有效。</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2.4  计量仪器、仪表配套合理，采用中国的法定计量单位，计量准确、灵敏可靠。保证设计指标和仪器说明书的参数的实现。</w:t>
      </w:r>
    </w:p>
    <w:p>
      <w:pPr>
        <w:adjustRightInd w:val="0"/>
        <w:snapToGrid w:val="0"/>
        <w:spacing w:line="460" w:lineRule="exact"/>
        <w:ind w:firstLine="420" w:firstLineChars="200"/>
        <w:rPr>
          <w:rFonts w:ascii="宋体" w:hAnsi="宋体"/>
          <w:color w:val="auto"/>
        </w:rPr>
      </w:pPr>
      <w:r>
        <w:rPr>
          <w:rFonts w:hint="eastAsia" w:ascii="宋体" w:hAnsi="宋体"/>
          <w:color w:val="auto"/>
        </w:rPr>
        <w:t>2.5  试运行期间或之后无维修、调整等行为（特殊情况除外）。</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2.6 设备质量、技术性能等，达到签定的技术协议书和合同规定的终验收标准。</w:t>
      </w:r>
    </w:p>
    <w:p>
      <w:pPr>
        <w:spacing w:line="480" w:lineRule="exact"/>
        <w:ind w:firstLine="420" w:firstLineChars="200"/>
        <w:rPr>
          <w:rFonts w:hint="eastAsia" w:ascii="宋体" w:hAnsi="宋体"/>
          <w:color w:val="auto"/>
        </w:rPr>
      </w:pPr>
      <w:r>
        <w:rPr>
          <w:rFonts w:hint="eastAsia" w:ascii="宋体" w:hAnsi="宋体"/>
          <w:color w:val="auto"/>
        </w:rPr>
        <w:t>3、终验收基本要求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3.1  允许情况下，一般先连续空运转</w:t>
      </w:r>
      <w:r>
        <w:rPr>
          <w:rFonts w:hint="eastAsia" w:ascii="宋体" w:hAnsi="宋体"/>
          <w:color w:val="auto"/>
          <w:u w:val="single"/>
          <w:shd w:val="pct10" w:color="auto" w:fill="FFFFFF"/>
        </w:rPr>
        <w:t xml:space="preserve">  24    </w:t>
      </w:r>
      <w:r>
        <w:rPr>
          <w:rFonts w:hint="eastAsia" w:ascii="宋体" w:hAnsi="宋体"/>
          <w:color w:val="auto"/>
        </w:rPr>
        <w:t>小时，然后再进行负荷运行（无需进行空载运行的除外）。</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3.2  负荷运行时，应连续运行</w:t>
      </w:r>
      <w:r>
        <w:rPr>
          <w:rFonts w:hint="eastAsia" w:ascii="宋体" w:hAnsi="宋体"/>
          <w:color w:val="auto"/>
          <w:u w:val="single"/>
          <w:shd w:val="pct10" w:color="auto" w:fill="FFFFFF"/>
        </w:rPr>
        <w:t xml:space="preserve">   7   </w:t>
      </w:r>
      <w:r>
        <w:rPr>
          <w:rFonts w:hint="eastAsia" w:ascii="宋体" w:hAnsi="宋体"/>
          <w:color w:val="auto"/>
        </w:rPr>
        <w:t>天，每天连续运行</w:t>
      </w:r>
      <w:r>
        <w:rPr>
          <w:rFonts w:hint="eastAsia" w:ascii="宋体" w:hAnsi="宋体"/>
          <w:color w:val="auto"/>
          <w:u w:val="single"/>
          <w:shd w:val="pct10" w:color="auto" w:fill="FFFFFF"/>
        </w:rPr>
        <w:t xml:space="preserve">   1</w:t>
      </w:r>
      <w:r>
        <w:rPr>
          <w:rFonts w:hint="eastAsia" w:ascii="宋体" w:hAnsi="宋体"/>
          <w:color w:val="auto"/>
          <w:u w:val="single"/>
          <w:shd w:val="pct10" w:color="auto" w:fill="FFFFFF"/>
          <w:lang w:val="en-US" w:eastAsia="zh-CN"/>
        </w:rPr>
        <w:t>0</w:t>
      </w:r>
      <w:r>
        <w:rPr>
          <w:rFonts w:hint="eastAsia" w:ascii="宋体" w:hAnsi="宋体"/>
          <w:color w:val="auto"/>
          <w:u w:val="single"/>
          <w:shd w:val="pct10" w:color="auto" w:fill="FFFFFF"/>
        </w:rPr>
        <w:t xml:space="preserve">  </w:t>
      </w:r>
      <w:r>
        <w:rPr>
          <w:rFonts w:hint="eastAsia" w:ascii="宋体" w:hAnsi="宋体"/>
          <w:color w:val="auto"/>
        </w:rPr>
        <w:t>小时。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  出现下列问题之一，视作验收失败：</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3.3.1  在整个验收过程中发生关键零部件损坏或重大故障；</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3.3.2  一般性故障超过</w:t>
      </w:r>
      <w:r>
        <w:rPr>
          <w:rFonts w:hint="eastAsia" w:ascii="宋体" w:hAnsi="宋体"/>
          <w:color w:val="auto"/>
          <w:u w:val="single"/>
          <w:shd w:val="pct10" w:color="auto" w:fill="FFFFFF"/>
        </w:rPr>
        <w:t xml:space="preserve">   3    </w:t>
      </w:r>
      <w:r>
        <w:rPr>
          <w:rFonts w:hint="eastAsia" w:ascii="宋体" w:hAnsi="宋体"/>
          <w:color w:val="auto"/>
        </w:rPr>
        <w:t>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3.3.3  所有出现的维修调整，每次时间均不超过</w:t>
      </w:r>
      <w:r>
        <w:rPr>
          <w:rFonts w:hint="eastAsia" w:ascii="宋体" w:hAnsi="宋体"/>
          <w:color w:val="auto"/>
          <w:u w:val="single"/>
          <w:shd w:val="pct10" w:color="auto" w:fill="FFFFFF"/>
        </w:rPr>
        <w:t xml:space="preserve">   30    </w:t>
      </w:r>
      <w:r>
        <w:rPr>
          <w:rFonts w:hint="eastAsia" w:ascii="宋体" w:hAnsi="宋体"/>
          <w:color w:val="auto"/>
        </w:rPr>
        <w:t>分钟；所有维修调整时间的总和不超过总运行时间的</w:t>
      </w:r>
      <w:r>
        <w:rPr>
          <w:rFonts w:hint="eastAsia" w:ascii="宋体" w:hAnsi="宋体"/>
          <w:color w:val="auto"/>
          <w:u w:val="single"/>
          <w:shd w:val="pct10" w:color="auto" w:fill="FFFFFF"/>
        </w:rPr>
        <w:t xml:space="preserve">   2    </w:t>
      </w:r>
      <w:r>
        <w:rPr>
          <w:rFonts w:hint="eastAsia" w:ascii="宋体" w:hAnsi="宋体"/>
          <w:color w:val="auto"/>
        </w:rPr>
        <w:t>%；</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3.3.4  更换的零部件货值不超过总货值的</w:t>
      </w:r>
      <w:r>
        <w:rPr>
          <w:rFonts w:hint="eastAsia" w:ascii="宋体" w:hAnsi="宋体"/>
          <w:color w:val="auto"/>
          <w:u w:val="single"/>
          <w:shd w:val="pct10" w:color="auto" w:fill="FFFFFF"/>
        </w:rPr>
        <w:t xml:space="preserve">   2  </w:t>
      </w:r>
      <w:r>
        <w:rPr>
          <w:rFonts w:hint="eastAsia" w:ascii="宋体" w:hAnsi="宋体"/>
          <w:color w:val="auto"/>
        </w:rPr>
        <w:t>%；</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3.4  累计负载运行实际性能达到合同规定；</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3.5  终验收内容包括以下内容：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3.5.1终验收在招标方车间进行，验收内容包括但不限于设备资料、培训、设备配置、生产节拍、工期、重复定位精度。</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3.5.2 投标方在终验收时需提交一份预验收时发现的缺陷和设备故障确认完成整改的汇总表，列入终验收报告。</w:t>
      </w:r>
    </w:p>
    <w:p>
      <w:pPr>
        <w:tabs>
          <w:tab w:val="left" w:pos="1260"/>
        </w:tabs>
        <w:adjustRightInd w:val="0"/>
        <w:snapToGrid w:val="0"/>
        <w:spacing w:line="460" w:lineRule="exact"/>
        <w:ind w:firstLine="420" w:firstLineChars="200"/>
        <w:rPr>
          <w:rFonts w:hint="eastAsia" w:ascii="宋体" w:hAnsi="宋体"/>
          <w:color w:val="auto"/>
        </w:rPr>
      </w:pPr>
      <w:r>
        <w:rPr>
          <w:rFonts w:hint="eastAsia" w:ascii="宋体" w:hAnsi="宋体"/>
          <w:color w:val="auto"/>
        </w:rPr>
        <w:t>3.5.3存在影响节拍、装配质量、安全的缺陷，投标方应及时整改，整改合格后验收和移交。当由于招标方原因影响终验收进度时，则移交日期相应顺延。</w:t>
      </w:r>
    </w:p>
    <w:p>
      <w:pPr>
        <w:adjustRightInd w:val="0"/>
        <w:snapToGrid w:val="0"/>
        <w:spacing w:line="460" w:lineRule="exact"/>
        <w:ind w:firstLine="420" w:firstLineChars="200"/>
        <w:rPr>
          <w:rFonts w:ascii="宋体" w:hAnsi="宋体"/>
          <w:color w:val="auto"/>
        </w:rPr>
      </w:pPr>
      <w:r>
        <w:rPr>
          <w:rFonts w:hint="eastAsia" w:ascii="宋体" w:hAnsi="宋体"/>
          <w:color w:val="auto"/>
        </w:rPr>
        <w:t>3.6  终验收原则上要求一次完成。若一次验收不成功，最多允许两次；如果出现第三次验收失败，重新作价或退货；</w:t>
      </w:r>
    </w:p>
    <w:p>
      <w:pPr>
        <w:adjustRightInd w:val="0"/>
        <w:snapToGrid w:val="0"/>
        <w:spacing w:line="460" w:lineRule="exact"/>
        <w:ind w:firstLine="420" w:firstLineChars="200"/>
        <w:rPr>
          <w:rFonts w:ascii="宋体" w:hAnsi="宋体"/>
          <w:color w:val="auto"/>
        </w:rPr>
      </w:pPr>
      <w:r>
        <w:rPr>
          <w:rFonts w:hint="eastAsia" w:ascii="宋体" w:hAnsi="宋体"/>
          <w:color w:val="auto"/>
        </w:rPr>
        <w:t>3.7  终验收通过后买卖双方共同签署终验收报告，并移交、核对全部供货范围内物品。</w:t>
      </w:r>
    </w:p>
    <w:p>
      <w:pPr>
        <w:spacing w:line="480" w:lineRule="exact"/>
        <w:ind w:firstLine="420" w:firstLineChars="200"/>
        <w:rPr>
          <w:rFonts w:hint="eastAsia" w:ascii="宋体" w:hAnsi="宋体"/>
          <w:color w:val="auto"/>
        </w:rPr>
      </w:pP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42" w:name="_Toc28978"/>
      <w:bookmarkStart w:id="143" w:name="_Toc137705874"/>
      <w:bookmarkStart w:id="144" w:name="_Toc22000"/>
      <w:bookmarkStart w:id="145" w:name="_Toc12996"/>
      <w:bookmarkStart w:id="146" w:name="_Toc25335"/>
      <w:r>
        <w:rPr>
          <w:rFonts w:hint="eastAsia" w:ascii="黑体" w:eastAsia="黑体"/>
          <w:b w:val="0"/>
          <w:color w:val="auto"/>
          <w:sz w:val="24"/>
          <w:szCs w:val="24"/>
        </w:rPr>
        <w:t>第六章  投标技术文件一般要求</w:t>
      </w:r>
      <w:bookmarkEnd w:id="142"/>
      <w:bookmarkEnd w:id="143"/>
      <w:bookmarkEnd w:id="144"/>
      <w:bookmarkEnd w:id="145"/>
      <w:bookmarkEnd w:id="146"/>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一、技术文件一般内容要求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1、投标方应认真阅读招标文件和本技术标书，并按要求编写投标技术文件。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2、投标技术文件至少应对投标设备的功能用途、技术性能、质量标准、技术参数等作出详细说明。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3、投标技术文件至少应根据投标设备的关键设备、总成、零部件或系统作出优越性说明。</w:t>
      </w:r>
    </w:p>
    <w:p>
      <w:pPr>
        <w:spacing w:line="480" w:lineRule="exact"/>
        <w:ind w:firstLine="420" w:firstLineChars="200"/>
        <w:rPr>
          <w:rFonts w:hint="eastAsia" w:ascii="宋体" w:hAnsi="宋体"/>
          <w:color w:val="auto"/>
        </w:rPr>
      </w:pPr>
      <w:r>
        <w:rPr>
          <w:rFonts w:hint="eastAsia" w:ascii="宋体" w:hAnsi="宋体"/>
          <w:color w:val="auto"/>
        </w:rPr>
        <w:t>4、投标技术文件至少应按照招标文件要求（或投标方建议）列明备品备件、易损件和专用耗材明细。</w:t>
      </w:r>
    </w:p>
    <w:p>
      <w:pPr>
        <w:spacing w:line="480" w:lineRule="exact"/>
        <w:ind w:firstLine="420" w:firstLineChars="200"/>
        <w:rPr>
          <w:rFonts w:hint="eastAsia" w:ascii="宋体" w:hAnsi="宋体"/>
          <w:color w:val="auto"/>
        </w:rPr>
      </w:pPr>
      <w:r>
        <w:rPr>
          <w:rFonts w:hint="eastAsia" w:ascii="宋体" w:hAnsi="宋体"/>
          <w:color w:val="auto"/>
        </w:rPr>
        <w:t>5、投标方应当而且必须分别说明所列备品备件、易损件和专用耗材的使用寿命（以有效工作小时数说明）。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6、投标的设备，应当根据其配置和备品备件、易损件、专用耗材情况，尽可能详细且分类填入下表：</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6.1  投标设备配置一览表：</w:t>
      </w:r>
    </w:p>
    <w:p>
      <w:pPr>
        <w:adjustRightInd w:val="0"/>
        <w:snapToGrid w:val="0"/>
        <w:spacing w:line="460" w:lineRule="exact"/>
        <w:ind w:firstLine="1890" w:firstLineChars="900"/>
        <w:rPr>
          <w:rFonts w:hint="eastAsia" w:ascii="宋体" w:hAnsi="宋体"/>
          <w:color w:val="auto"/>
        </w:rPr>
      </w:pPr>
      <w:r>
        <w:rPr>
          <w:rFonts w:hint="eastAsia" w:ascii="宋体" w:hAnsi="宋体"/>
          <w:color w:val="auto"/>
        </w:rPr>
        <w:t xml:space="preserve">投标货物配置一览表          </w:t>
      </w:r>
      <w:r>
        <w:rPr>
          <w:rFonts w:hint="eastAsia" w:ascii="宋体" w:hAnsi="宋体"/>
          <w:color w:val="auto"/>
          <w:sz w:val="21"/>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序号</w:t>
            </w:r>
          </w:p>
        </w:tc>
        <w:tc>
          <w:tcPr>
            <w:tcW w:w="1924"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名称</w:t>
            </w:r>
          </w:p>
        </w:tc>
        <w:tc>
          <w:tcPr>
            <w:tcW w:w="123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型号规格</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单位</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数量</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单价</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总价</w:t>
            </w:r>
          </w:p>
        </w:tc>
        <w:tc>
          <w:tcPr>
            <w:tcW w:w="2235"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bl>
    <w:p>
      <w:pPr>
        <w:adjustRightInd w:val="0"/>
        <w:snapToGrid w:val="0"/>
        <w:spacing w:line="460" w:lineRule="exact"/>
        <w:ind w:firstLine="420" w:firstLineChars="200"/>
        <w:rPr>
          <w:rFonts w:hint="eastAsia" w:ascii="宋体" w:hAnsi="宋体"/>
          <w:color w:val="auto"/>
        </w:rPr>
      </w:pPr>
      <w:r>
        <w:rPr>
          <w:rFonts w:hint="eastAsia" w:ascii="宋体" w:hAnsi="宋体"/>
          <w:color w:val="auto"/>
        </w:rPr>
        <w:t>6.2  备品备件、易损件和专用耗材明细表：</w:t>
      </w:r>
    </w:p>
    <w:p>
      <w:pPr>
        <w:adjustRightInd w:val="0"/>
        <w:snapToGrid w:val="0"/>
        <w:spacing w:line="460" w:lineRule="exact"/>
        <w:ind w:firstLine="1890" w:firstLineChars="900"/>
        <w:rPr>
          <w:rFonts w:hint="eastAsia" w:ascii="宋体" w:hAnsi="宋体"/>
          <w:color w:val="auto"/>
        </w:rPr>
      </w:pPr>
      <w:r>
        <w:rPr>
          <w:rFonts w:hint="eastAsia" w:ascii="宋体" w:hAnsi="宋体"/>
          <w:color w:val="auto"/>
        </w:rPr>
        <w:t xml:space="preserve">备品备件、易损件和专用耗材明细表             </w:t>
      </w:r>
      <w:r>
        <w:rPr>
          <w:rFonts w:hint="eastAsia" w:ascii="宋体" w:hAnsi="宋体"/>
          <w:color w:val="auto"/>
          <w:sz w:val="21"/>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序号</w:t>
            </w:r>
          </w:p>
        </w:tc>
        <w:tc>
          <w:tcPr>
            <w:tcW w:w="1924"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名称</w:t>
            </w:r>
          </w:p>
        </w:tc>
        <w:tc>
          <w:tcPr>
            <w:tcW w:w="123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型号规格</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单位</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数量</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单价</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总价</w:t>
            </w:r>
          </w:p>
        </w:tc>
        <w:tc>
          <w:tcPr>
            <w:tcW w:w="2235"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bl>
    <w:p>
      <w:pPr>
        <w:adjustRightInd w:val="0"/>
        <w:snapToGrid w:val="0"/>
        <w:spacing w:line="360" w:lineRule="exact"/>
        <w:ind w:firstLine="420" w:firstLineChars="200"/>
        <w:rPr>
          <w:rFonts w:hint="eastAsia" w:ascii="宋体" w:hAnsi="宋体"/>
          <w:color w:val="auto"/>
          <w:sz w:val="21"/>
        </w:rPr>
      </w:pPr>
    </w:p>
    <w:p>
      <w:pPr>
        <w:spacing w:line="480" w:lineRule="exact"/>
        <w:ind w:firstLine="420" w:firstLineChars="200"/>
        <w:rPr>
          <w:rFonts w:hint="eastAsia" w:ascii="宋体" w:hAnsi="宋体"/>
          <w:color w:val="auto"/>
        </w:rPr>
      </w:pPr>
      <w:r>
        <w:rPr>
          <w:rFonts w:hint="eastAsia" w:ascii="宋体" w:hAnsi="宋体"/>
          <w:color w:val="auto"/>
        </w:rPr>
        <w:t>6.3  “一览表”和“明细表”仅作为投标方编制投标技术文件的一般格式。其中序号编写应当便于招标方了解分类或分项货物之间的所属关系，如1、1.1、1.2。</w:t>
      </w:r>
    </w:p>
    <w:p>
      <w:pPr>
        <w:spacing w:line="480" w:lineRule="exact"/>
        <w:ind w:firstLine="420" w:firstLineChars="200"/>
        <w:rPr>
          <w:rFonts w:hint="eastAsia" w:ascii="宋体" w:hAnsi="宋体"/>
          <w:color w:val="auto"/>
        </w:rPr>
      </w:pPr>
      <w:r>
        <w:rPr>
          <w:rFonts w:hint="eastAsia" w:ascii="宋体" w:hAnsi="宋体"/>
          <w:color w:val="auto"/>
        </w:rPr>
        <w:t>6.4  应当尽可能将设备的配置列全、列细，这将有助于投标方胜出。</w:t>
      </w:r>
    </w:p>
    <w:p>
      <w:pPr>
        <w:spacing w:line="480" w:lineRule="exact"/>
        <w:ind w:firstLine="420" w:firstLineChars="200"/>
        <w:rPr>
          <w:rFonts w:hint="eastAsia" w:ascii="宋体" w:hAnsi="宋体"/>
          <w:color w:val="auto"/>
        </w:rPr>
      </w:pPr>
      <w:r>
        <w:rPr>
          <w:rFonts w:hint="eastAsia" w:ascii="宋体" w:hAnsi="宋体"/>
          <w:color w:val="auto"/>
        </w:rPr>
        <w:t>6.5  单价与总价之间、总价与分类小计价之间、分类小计价与合计价之间数据应当齐全而且准确。</w:t>
      </w:r>
    </w:p>
    <w:p>
      <w:pPr>
        <w:spacing w:line="480" w:lineRule="exact"/>
        <w:ind w:firstLine="420" w:firstLineChars="200"/>
        <w:rPr>
          <w:rFonts w:hint="eastAsia" w:ascii="宋体" w:hAnsi="宋体"/>
          <w:color w:val="auto"/>
        </w:rPr>
      </w:pPr>
      <w:r>
        <w:rPr>
          <w:rFonts w:hint="eastAsia" w:ascii="宋体" w:hAnsi="宋体"/>
          <w:color w:val="auto"/>
        </w:rPr>
        <w:t>6.6  本条款表格中的制造商，应当为全称或公认的简称。</w:t>
      </w:r>
    </w:p>
    <w:p>
      <w:pPr>
        <w:spacing w:line="480" w:lineRule="exact"/>
        <w:ind w:firstLine="420" w:firstLineChars="200"/>
        <w:rPr>
          <w:rFonts w:hint="eastAsia" w:ascii="黑体" w:hAnsi="宋体" w:eastAsia="黑体"/>
          <w:color w:val="auto"/>
        </w:rPr>
      </w:pPr>
      <w:r>
        <w:rPr>
          <w:rFonts w:hint="eastAsia" w:ascii="黑体" w:hAnsi="宋体" w:eastAsia="黑体"/>
          <w:color w:val="auto"/>
        </w:rPr>
        <w:t>二、技术文件中设备报价格式要求</w:t>
      </w:r>
    </w:p>
    <w:p>
      <w:pPr>
        <w:spacing w:line="480" w:lineRule="exact"/>
        <w:ind w:firstLine="420" w:firstLineChars="200"/>
        <w:rPr>
          <w:rFonts w:hint="eastAsia" w:ascii="宋体" w:hAnsi="宋体"/>
          <w:color w:val="auto"/>
        </w:rPr>
      </w:pPr>
      <w:r>
        <w:rPr>
          <w:rFonts w:hint="eastAsia" w:ascii="宋体" w:hAnsi="宋体"/>
          <w:color w:val="auto"/>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pPr>
        <w:spacing w:line="480" w:lineRule="exact"/>
        <w:ind w:firstLine="420" w:firstLineChars="200"/>
        <w:rPr>
          <w:rFonts w:hint="eastAsia" w:ascii="宋体" w:hAnsi="宋体"/>
          <w:color w:val="auto"/>
        </w:rPr>
      </w:pPr>
      <w:r>
        <w:rPr>
          <w:rFonts w:hint="eastAsia" w:ascii="宋体" w:hAnsi="宋体"/>
          <w:color w:val="auto"/>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80" w:lineRule="exact"/>
        <w:ind w:firstLine="420" w:firstLineChars="200"/>
        <w:rPr>
          <w:rFonts w:hint="eastAsia" w:ascii="宋体" w:hAnsi="宋体"/>
          <w:color w:val="auto"/>
        </w:rPr>
      </w:pPr>
      <w:r>
        <w:rPr>
          <w:rFonts w:hint="eastAsia" w:ascii="宋体" w:hAnsi="宋体"/>
          <w:color w:val="auto"/>
        </w:rPr>
        <w:t>3、如果投标总报价与其它价格出现错误或不一致，将有可能导致废标。</w:t>
      </w:r>
    </w:p>
    <w:p>
      <w:pPr>
        <w:spacing w:line="480" w:lineRule="exact"/>
        <w:ind w:firstLine="420" w:firstLineChars="200"/>
        <w:rPr>
          <w:rFonts w:hint="eastAsia" w:ascii="宋体" w:hAnsi="宋体"/>
          <w:color w:val="auto"/>
        </w:rPr>
      </w:pPr>
      <w:r>
        <w:rPr>
          <w:rFonts w:hint="eastAsia" w:ascii="宋体" w:hAnsi="宋体"/>
          <w:color w:val="auto"/>
        </w:rPr>
        <w:t>4、投标总报价为自合同签定生效至合同无异议执行完毕涉及的招标方需要支付的全部费用。如投标方认为本招标及投标设备涉及专门的设计，应当列明设计费。</w:t>
      </w:r>
    </w:p>
    <w:p>
      <w:pPr>
        <w:spacing w:line="480" w:lineRule="exact"/>
        <w:ind w:firstLine="420" w:firstLineChars="200"/>
        <w:rPr>
          <w:rFonts w:hint="eastAsia" w:ascii="宋体" w:hAnsi="宋体"/>
          <w:color w:val="auto"/>
        </w:rPr>
      </w:pPr>
      <w:r>
        <w:rPr>
          <w:rFonts w:hint="eastAsia" w:ascii="宋体" w:hAnsi="宋体"/>
          <w:color w:val="auto"/>
        </w:rPr>
        <w:t>5、备品备件、易损件和专用耗材，招标方将可能与投标方按照投标价格另行签署供货合同。</w:t>
      </w:r>
    </w:p>
    <w:p>
      <w:pPr>
        <w:spacing w:line="480" w:lineRule="exact"/>
        <w:ind w:firstLine="420" w:firstLineChars="200"/>
        <w:rPr>
          <w:rFonts w:hint="eastAsia" w:ascii="宋体" w:hAnsi="宋体"/>
          <w:color w:val="auto"/>
        </w:rPr>
      </w:pPr>
      <w:r>
        <w:rPr>
          <w:rFonts w:hint="eastAsia" w:ascii="宋体" w:hAnsi="宋体"/>
          <w:color w:val="auto"/>
        </w:rPr>
        <w:t>6、要求投标总报价、分项报价、明细报价之间应当具有相互间对应关系以及填报分项和明细报价，仅为便于评标而不妨碍投标人以最合适的形式签署合同。</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三、验收标准及内容要求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除招标文件明确的验收标准或内容之外，投标方应当在投标文件中提供预验收（必要时）和终验收的标准以及规程；在合同签定之前，经投标方和招标方双方洽谈确认并签署，以作为验收标准执行。</w:t>
      </w: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47" w:name="_Toc15099"/>
      <w:bookmarkStart w:id="148" w:name="_Toc6037"/>
      <w:bookmarkStart w:id="149" w:name="_Toc5388"/>
      <w:bookmarkStart w:id="150" w:name="_Toc31849"/>
      <w:bookmarkStart w:id="151" w:name="_Toc137705875"/>
      <w:r>
        <w:rPr>
          <w:rFonts w:hint="eastAsia" w:ascii="黑体" w:eastAsia="黑体"/>
          <w:b w:val="0"/>
          <w:color w:val="auto"/>
          <w:sz w:val="24"/>
          <w:szCs w:val="24"/>
        </w:rPr>
        <w:t>第七章  其它要求及说明</w:t>
      </w:r>
      <w:bookmarkEnd w:id="147"/>
      <w:bookmarkEnd w:id="148"/>
      <w:bookmarkEnd w:id="149"/>
      <w:bookmarkEnd w:id="150"/>
      <w:bookmarkEnd w:id="151"/>
    </w:p>
    <w:p>
      <w:pPr>
        <w:spacing w:line="480" w:lineRule="exact"/>
        <w:ind w:firstLine="420" w:firstLineChars="200"/>
        <w:rPr>
          <w:rFonts w:hint="eastAsia" w:ascii="黑体" w:hAnsi="宋体" w:eastAsia="黑体"/>
          <w:color w:val="auto"/>
        </w:rPr>
      </w:pPr>
      <w:r>
        <w:rPr>
          <w:rFonts w:hint="eastAsia" w:ascii="黑体" w:hAnsi="宋体" w:eastAsia="黑体"/>
          <w:color w:val="auto"/>
        </w:rPr>
        <w:t>一、要求</w:t>
      </w:r>
    </w:p>
    <w:p>
      <w:pPr>
        <w:pStyle w:val="25"/>
        <w:rPr>
          <w:rFonts w:hint="eastAsia"/>
          <w:color w:val="auto"/>
        </w:rPr>
      </w:pPr>
      <w:r>
        <w:rPr>
          <w:rFonts w:hint="eastAsia"/>
          <w:color w:val="auto"/>
        </w:rPr>
        <w:t>为保证本技术标书所列采购设备的质量以及先进性、可靠性、经济性和实用性，要求投标方在投标文件中，至少应具备以下资格证明文件或资料：</w:t>
      </w:r>
    </w:p>
    <w:p>
      <w:pPr>
        <w:spacing w:line="520" w:lineRule="exact"/>
        <w:ind w:firstLine="417" w:firstLineChars="199"/>
        <w:rPr>
          <w:rFonts w:hint="eastAsia" w:ascii="宋体" w:hAnsi="宋体"/>
          <w:color w:val="auto"/>
        </w:rPr>
      </w:pPr>
      <w:r>
        <w:rPr>
          <w:rFonts w:hint="eastAsia" w:ascii="宋体" w:hAnsi="宋体"/>
          <w:color w:val="auto"/>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520" w:lineRule="exact"/>
        <w:ind w:firstLine="417" w:firstLineChars="199"/>
        <w:rPr>
          <w:rFonts w:hint="eastAsia"/>
          <w:color w:val="auto"/>
        </w:rPr>
      </w:pPr>
      <w:r>
        <w:rPr>
          <w:rFonts w:hint="eastAsia" w:ascii="宋体" w:hAnsi="宋体"/>
          <w:color w:val="auto"/>
        </w:rPr>
        <w:t>2、投标方应当是通过有关资格认证的法人。应当在投标文件中提供有效期内的资格认证证</w:t>
      </w:r>
      <w:r>
        <w:rPr>
          <w:rFonts w:hint="eastAsia"/>
          <w:color w:val="auto"/>
        </w:rPr>
        <w:t>书，如：ISO9001、VDA6.1、QS9000等。</w:t>
      </w:r>
    </w:p>
    <w:p>
      <w:pPr>
        <w:spacing w:line="520" w:lineRule="exact"/>
        <w:ind w:firstLine="417" w:firstLineChars="199"/>
        <w:rPr>
          <w:rFonts w:hint="eastAsia" w:ascii="宋体" w:hAnsi="宋体"/>
          <w:color w:val="auto"/>
        </w:rPr>
      </w:pPr>
      <w:r>
        <w:rPr>
          <w:rFonts w:hint="eastAsia" w:ascii="宋体" w:hAnsi="宋体"/>
          <w:color w:val="auto"/>
        </w:rPr>
        <w:t>3、国产设备应附有采购设备涉及的由“中国质量认证中心”颁发的《中国国家强制性产品认证证书》（CCC证书）。</w:t>
      </w:r>
    </w:p>
    <w:p>
      <w:pPr>
        <w:spacing w:line="520" w:lineRule="exact"/>
        <w:ind w:firstLine="417" w:firstLineChars="199"/>
        <w:rPr>
          <w:rFonts w:hint="eastAsia" w:ascii="宋体" w:hAnsi="宋体"/>
          <w:color w:val="auto"/>
        </w:rPr>
      </w:pPr>
      <w:r>
        <w:rPr>
          <w:rFonts w:hint="eastAsia" w:ascii="宋体" w:hAnsi="宋体"/>
          <w:color w:val="auto"/>
        </w:rPr>
        <w:t>4、应附有其它与投标单位、采购货物有关的荣誉证书或资料。</w:t>
      </w:r>
    </w:p>
    <w:p>
      <w:pPr>
        <w:spacing w:line="520" w:lineRule="exact"/>
        <w:ind w:firstLine="417" w:firstLineChars="199"/>
        <w:rPr>
          <w:rFonts w:hint="eastAsia" w:ascii="宋体" w:hAnsi="宋体"/>
          <w:color w:val="auto"/>
        </w:rPr>
      </w:pPr>
      <w:r>
        <w:rPr>
          <w:rFonts w:hint="eastAsia" w:ascii="宋体" w:hAnsi="宋体"/>
          <w:color w:val="auto"/>
        </w:rPr>
        <w:t>5、必须附有投标货物涉及产品要求的、国家或行业管理规定要求的、或者投标方认为能够体现其投标货物合法性及先进性的最高级别的证明材料（投标货物不涉及的除外）：</w:t>
      </w:r>
    </w:p>
    <w:p>
      <w:pPr>
        <w:spacing w:line="520" w:lineRule="exact"/>
        <w:ind w:firstLine="417" w:firstLineChars="199"/>
        <w:rPr>
          <w:rFonts w:hint="eastAsia" w:ascii="宋体" w:hAnsi="宋体"/>
          <w:color w:val="auto"/>
        </w:rPr>
      </w:pPr>
      <w:r>
        <w:rPr>
          <w:rFonts w:hint="eastAsia" w:ascii="宋体" w:hAnsi="宋体"/>
          <w:color w:val="auto"/>
        </w:rPr>
        <w:t>5.1  国家相关机构颁发的有效期之内所必需的《生产许可证》。</w:t>
      </w:r>
    </w:p>
    <w:p>
      <w:pPr>
        <w:spacing w:line="520" w:lineRule="exact"/>
        <w:ind w:firstLine="417" w:firstLineChars="199"/>
        <w:rPr>
          <w:rFonts w:hint="eastAsia" w:ascii="宋体" w:hAnsi="宋体"/>
          <w:color w:val="auto"/>
        </w:rPr>
      </w:pPr>
      <w:r>
        <w:rPr>
          <w:rFonts w:hint="eastAsia" w:ascii="宋体" w:hAnsi="宋体"/>
          <w:color w:val="auto"/>
        </w:rPr>
        <w:t>5.2  产品（或技术）鉴定报告/证书、专利证书或专利许可证书、新技术成果证书等。</w:t>
      </w:r>
    </w:p>
    <w:p>
      <w:pPr>
        <w:spacing w:line="520" w:lineRule="exact"/>
        <w:ind w:firstLine="417" w:firstLineChars="199"/>
        <w:rPr>
          <w:rFonts w:hint="eastAsia" w:ascii="宋体" w:hAnsi="宋体"/>
          <w:color w:val="auto"/>
        </w:rPr>
      </w:pPr>
      <w:r>
        <w:rPr>
          <w:rFonts w:hint="eastAsia" w:ascii="宋体" w:hAnsi="宋体"/>
          <w:color w:val="auto"/>
        </w:rPr>
        <w:t>5.3  产品相关检验、试验报告，如：型式试验检验报告、安全试验检验报告、电弧效应试验报告、噪声检测报告等</w:t>
      </w:r>
    </w:p>
    <w:p>
      <w:pPr>
        <w:spacing w:line="520" w:lineRule="exact"/>
        <w:ind w:firstLine="417" w:firstLineChars="199"/>
        <w:rPr>
          <w:rFonts w:hint="eastAsia" w:ascii="宋体" w:hAnsi="宋体"/>
          <w:color w:val="auto"/>
        </w:rPr>
      </w:pPr>
      <w:r>
        <w:rPr>
          <w:rFonts w:hint="eastAsia" w:ascii="宋体" w:hAnsi="宋体"/>
          <w:color w:val="auto"/>
        </w:rPr>
        <w:t>5.4  其它能够证明所供设备的质量水平、技术水平、安全性水平、节能性水平、环保性水平等相关的其它证明文件或资料、报告等。</w:t>
      </w:r>
    </w:p>
    <w:p>
      <w:pPr>
        <w:spacing w:line="520" w:lineRule="exact"/>
        <w:ind w:firstLine="417" w:firstLineChars="199"/>
        <w:rPr>
          <w:rFonts w:hint="eastAsia" w:ascii="宋体" w:hAnsi="宋体"/>
          <w:color w:val="auto"/>
        </w:rPr>
      </w:pPr>
      <w:r>
        <w:rPr>
          <w:rFonts w:hint="eastAsia" w:ascii="宋体" w:hAnsi="宋体"/>
          <w:color w:val="auto"/>
        </w:rPr>
        <w:t>5.5  该类报告或证明材料对于投标方胜出乃至中标极为重要！</w:t>
      </w:r>
    </w:p>
    <w:p>
      <w:pPr>
        <w:spacing w:line="520" w:lineRule="exact"/>
        <w:ind w:firstLine="417" w:firstLineChars="199"/>
        <w:rPr>
          <w:rFonts w:hint="eastAsia" w:ascii="宋体" w:hAnsi="宋体"/>
          <w:color w:val="auto"/>
        </w:rPr>
      </w:pPr>
      <w:r>
        <w:rPr>
          <w:rFonts w:hint="eastAsia" w:ascii="宋体" w:hAnsi="宋体"/>
          <w:color w:val="auto"/>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pPr>
        <w:spacing w:line="520" w:lineRule="exact"/>
        <w:ind w:firstLine="417" w:firstLineChars="199"/>
        <w:rPr>
          <w:rFonts w:hint="eastAsia" w:ascii="黑体" w:hAnsi="宋体" w:eastAsia="黑体"/>
          <w:color w:val="auto"/>
        </w:rPr>
      </w:pPr>
      <w:r>
        <w:rPr>
          <w:rFonts w:hint="eastAsia" w:ascii="黑体" w:hAnsi="宋体" w:eastAsia="黑体"/>
          <w:color w:val="auto"/>
        </w:rPr>
        <w:t>二、说明</w:t>
      </w:r>
    </w:p>
    <w:p>
      <w:pPr>
        <w:spacing w:line="480" w:lineRule="exact"/>
        <w:ind w:firstLine="420" w:firstLineChars="200"/>
        <w:rPr>
          <w:rFonts w:hint="eastAsia" w:ascii="宋体" w:hAnsi="宋体"/>
          <w:color w:val="auto"/>
        </w:rPr>
      </w:pPr>
      <w:r>
        <w:rPr>
          <w:rFonts w:hint="eastAsia" w:ascii="宋体" w:hAnsi="宋体"/>
          <w:color w:val="auto"/>
        </w:rPr>
        <w:t>1、投标方可以根据自身的技术、经验等优势以及对招标文件和本技术标书的理解，写明对招标方所采购设备的优化方案或建议意见。投标方的这些努力，招标方表示感谢，并将有助于投标方优先胜出。</w:t>
      </w:r>
    </w:p>
    <w:p>
      <w:pPr>
        <w:spacing w:line="480" w:lineRule="exact"/>
        <w:ind w:firstLine="420" w:firstLineChars="200"/>
        <w:rPr>
          <w:rFonts w:hint="eastAsia" w:ascii="宋体" w:hAnsi="宋体"/>
          <w:color w:val="auto"/>
        </w:rPr>
      </w:pPr>
      <w:r>
        <w:rPr>
          <w:rFonts w:hint="eastAsia" w:ascii="宋体" w:hAnsi="宋体"/>
          <w:color w:val="auto"/>
        </w:rPr>
        <w:t>2、即使有建议意见或建议方案，仍应依据招标文件和本技术标书要求，编写符合要求的投标文件。建议方案或建议意见，应以单独篇章或文件，予以说明。</w:t>
      </w:r>
    </w:p>
    <w:p>
      <w:pPr>
        <w:spacing w:line="480" w:lineRule="exact"/>
        <w:ind w:firstLine="420" w:firstLineChars="200"/>
        <w:rPr>
          <w:rFonts w:hint="eastAsia" w:ascii="宋体" w:hAnsi="宋体"/>
          <w:color w:val="auto"/>
        </w:rPr>
      </w:pPr>
      <w:r>
        <w:rPr>
          <w:rFonts w:hint="eastAsia" w:ascii="宋体" w:hAnsi="宋体"/>
          <w:color w:val="auto"/>
        </w:rPr>
        <w:t>3、请投标方仔细阅读“采购货物概况”章节内说明，针对允许分投分中的设备，招标方有权利选择其中优秀设备或服务，作为投标方合同供货范围中的指定选用设备或服务（替代投标方分投而未中标部分）。</w:t>
      </w:r>
    </w:p>
    <w:p>
      <w:pPr>
        <w:spacing w:line="480" w:lineRule="exact"/>
        <w:ind w:firstLine="420" w:firstLineChars="200"/>
        <w:rPr>
          <w:rFonts w:hint="eastAsia" w:ascii="宋体" w:hAnsi="宋体"/>
          <w:color w:val="auto"/>
        </w:rPr>
      </w:pPr>
      <w:r>
        <w:rPr>
          <w:rFonts w:hint="eastAsia" w:ascii="宋体" w:hAnsi="宋体"/>
          <w:color w:val="auto"/>
        </w:rPr>
        <w:t>4、招标文件、投标文件、答疑文件、技术交流文件、技术协议书等，在采购过程全部为有效文件，如有差异，以对招标方最有利的条款为准。</w:t>
      </w:r>
    </w:p>
    <w:p>
      <w:pPr>
        <w:spacing w:line="480" w:lineRule="exact"/>
        <w:ind w:firstLine="420" w:firstLineChars="200"/>
        <w:rPr>
          <w:rFonts w:hint="eastAsia" w:ascii="宋体" w:hAnsi="宋体"/>
          <w:color w:val="auto"/>
        </w:rPr>
      </w:pPr>
      <w:r>
        <w:rPr>
          <w:rFonts w:hint="eastAsia" w:ascii="宋体" w:hAnsi="宋体"/>
          <w:color w:val="auto"/>
        </w:rPr>
        <w:t>5、为避免歧异，本技术标书涉及招投标环节的条款，均将潜在的卖方称为投标方、将买方称为招标方；定标后合同签署环节以及后续的合同执行环节条款，招标方称为买方、投标方中的中标方称为卖方。</w:t>
      </w:r>
    </w:p>
    <w:p>
      <w:pPr>
        <w:spacing w:line="480" w:lineRule="exact"/>
        <w:rPr>
          <w:rFonts w:hint="eastAsia" w:ascii="宋体" w:hAnsi="宋体"/>
          <w:color w:val="auto"/>
        </w:rPr>
      </w:pPr>
    </w:p>
    <w:p>
      <w:pPr>
        <w:spacing w:line="480" w:lineRule="exact"/>
        <w:ind w:firstLine="420" w:firstLineChars="200"/>
        <w:rPr>
          <w:rFonts w:hint="default" w:ascii="宋体" w:hAnsi="宋体" w:eastAsia="宋体"/>
          <w:color w:val="auto"/>
          <w:lang w:val="en-US" w:eastAsia="zh-CN"/>
        </w:rPr>
      </w:pPr>
      <w:r>
        <w:rPr>
          <w:rFonts w:hint="eastAsia" w:ascii="宋体" w:hAnsi="宋体"/>
          <w:b/>
          <w:color w:val="auto"/>
        </w:rPr>
        <w:t xml:space="preserve">技术部分答疑人： </w:t>
      </w:r>
      <w:r>
        <w:rPr>
          <w:rFonts w:hint="eastAsia" w:ascii="宋体" w:hAnsi="宋体"/>
          <w:b/>
          <w:color w:val="auto"/>
          <w:lang w:val="en-US" w:eastAsia="zh-CN"/>
        </w:rPr>
        <w:t>孙立君：19588970535    何文亮</w:t>
      </w:r>
      <w:r>
        <w:rPr>
          <w:rFonts w:hint="eastAsia" w:ascii="宋体" w:hAnsi="宋体"/>
          <w:b/>
          <w:color w:val="auto"/>
        </w:rPr>
        <w:t xml:space="preserve"> </w:t>
      </w:r>
      <w:r>
        <w:rPr>
          <w:rFonts w:hint="eastAsia" w:ascii="宋体" w:hAnsi="宋体"/>
          <w:b/>
          <w:color w:val="auto"/>
          <w:lang w:val="en-US" w:eastAsia="zh-CN"/>
        </w:rPr>
        <w:t>15066696050</w:t>
      </w:r>
    </w:p>
    <w:p>
      <w:pPr>
        <w:rPr>
          <w:color w:val="auto"/>
        </w:rPr>
      </w:pPr>
    </w:p>
    <w:p>
      <w:pPr>
        <w:rPr>
          <w:color w:val="auto"/>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pStyle w:val="172"/>
        <w:rPr>
          <w:rFonts w:hint="default" w:hAnsi="宋体"/>
          <w:sz w:val="24"/>
          <w:lang w:val="en-US"/>
        </w:rPr>
      </w:pPr>
    </w:p>
    <w:p>
      <w:pPr>
        <w:rPr>
          <w:rFonts w:hint="eastAsia" w:ascii="仿宋_GB2312" w:hAnsi="仿宋_GB2312" w:eastAsia="仿宋_GB2312" w:cs="仿宋_GB2312"/>
          <w:sz w:val="44"/>
          <w:highlight w:val="green"/>
        </w:rPr>
        <w:sectPr>
          <w:pgSz w:w="11907" w:h="16840"/>
          <w:pgMar w:top="1304" w:right="1418" w:bottom="1304" w:left="1418" w:header="724" w:footer="851" w:gutter="0"/>
          <w:cols w:space="720" w:num="1"/>
          <w:docGrid w:linePitch="290" w:charSpace="-3931"/>
        </w:sectPr>
      </w:pPr>
    </w:p>
    <w:p>
      <w:pPr>
        <w:rPr>
          <w:rFonts w:hint="eastAsia" w:ascii="仿宋_GB2312" w:hAnsi="仿宋_GB2312" w:eastAsia="仿宋_GB2312" w:cs="仿宋_GB2312"/>
          <w:sz w:val="44"/>
          <w:highlight w:val="green"/>
        </w:rPr>
      </w:pPr>
    </w:p>
    <w:p>
      <w:pPr>
        <w:pStyle w:val="22"/>
      </w:pPr>
    </w:p>
    <w:p>
      <w:r>
        <w:br w:type="page"/>
      </w:r>
    </w:p>
    <w:p>
      <w:pPr>
        <w:pStyle w:val="22"/>
      </w:pPr>
    </w:p>
    <w:p>
      <w:pPr>
        <w:spacing w:line="360" w:lineRule="auto"/>
        <w:jc w:val="center"/>
        <w:outlineLvl w:val="0"/>
        <w:rPr>
          <w:rFonts w:ascii="宋体" w:hAnsi="Calibri" w:eastAsia="宋体" w:cs="Times New Roman"/>
          <w:b/>
          <w:sz w:val="36"/>
          <w:szCs w:val="36"/>
        </w:rPr>
      </w:pPr>
      <w:bookmarkStart w:id="152"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52"/>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53" w:name="_Toc20872"/>
      <w:bookmarkStart w:id="154" w:name="_Toc8509"/>
      <w:bookmarkStart w:id="155"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3"/>
      <w:bookmarkEnd w:id="154"/>
      <w:bookmarkEnd w:id="155"/>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cs="宋体"/>
                <w:szCs w:val="21"/>
                <w:lang w:val="en-US" w:eastAsia="zh-CN"/>
              </w:rPr>
              <w:t>方向机拧紧机</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cs="宋体"/>
                <w:szCs w:val="21"/>
                <w:lang w:val="en-US" w:eastAsia="zh-CN"/>
              </w:rPr>
              <w:t>板簧销拧紧机</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cs="宋体"/>
                <w:szCs w:val="21"/>
                <w:lang w:val="en-US" w:eastAsia="zh-CN"/>
              </w:rPr>
              <w:t>方向机拧紧机</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cs="宋体"/>
                <w:szCs w:val="21"/>
                <w:lang w:val="en-US" w:eastAsia="zh-CN"/>
              </w:rPr>
              <w:t>板簧销拧紧机</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5"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6"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附件14技术标评分标准</w:t>
      </w:r>
    </w:p>
    <w:p>
      <w:pPr>
        <w:snapToGrid w:val="0"/>
        <w:spacing w:line="240" w:lineRule="atLeast"/>
        <w:jc w:val="center"/>
        <w:rPr>
          <w:rFonts w:hint="eastAsia" w:ascii="仿宋_GB2312" w:hAnsi="仿宋_GB2312" w:cs="仿宋_GB2312"/>
          <w:b/>
          <w:bCs w:val="0"/>
          <w:lang w:val="en-US" w:eastAsia="zh-CN"/>
        </w:rPr>
      </w:pPr>
      <w:r>
        <w:rPr>
          <w:rFonts w:hint="eastAsia" w:ascii="仿宋_GB2312" w:hAnsi="仿宋_GB2312" w:eastAsia="仿宋_GB2312" w:cs="仿宋_GB2312"/>
          <w:spacing w:val="32"/>
          <w:szCs w:val="28"/>
        </w:rPr>
        <w:t>技术标评审表(100分)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487"/>
        <w:gridCol w:w="987"/>
        <w:gridCol w:w="3577"/>
        <w:gridCol w:w="1284"/>
        <w:gridCol w:w="6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评价类型</w:t>
            </w:r>
          </w:p>
        </w:tc>
        <w:tc>
          <w:tcPr>
            <w:tcW w:w="476"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评审内容</w:t>
            </w:r>
          </w:p>
        </w:tc>
        <w:tc>
          <w:tcPr>
            <w:tcW w:w="316"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序号</w:t>
            </w:r>
          </w:p>
        </w:tc>
        <w:tc>
          <w:tcPr>
            <w:tcW w:w="1145"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内容</w:t>
            </w:r>
          </w:p>
        </w:tc>
        <w:tc>
          <w:tcPr>
            <w:tcW w:w="411"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标准分</w:t>
            </w:r>
          </w:p>
        </w:tc>
        <w:tc>
          <w:tcPr>
            <w:tcW w:w="2226"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技术100分</w:t>
            </w:r>
          </w:p>
        </w:tc>
        <w:tc>
          <w:tcPr>
            <w:tcW w:w="47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业绩</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1</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设备制造商同类型项目业绩</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jc w:val="left"/>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 的评价，按照优、良、一般进行赋分，优 得6分，良得4分，一般得2分(时间以签订日期为准)。投标人在2022年1月1日以来在中国与本标同类规格产品的业绩，以合同复印件加盖公章为准(须有客户联系方式及联系人以供招标人核实确认)。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restar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产品技术</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2</w:t>
            </w:r>
          </w:p>
        </w:tc>
        <w:tc>
          <w:tcPr>
            <w:tcW w:w="1145" w:type="pct"/>
            <w:vAlign w:val="center"/>
          </w:tcPr>
          <w:p>
            <w:pPr>
              <w:adjustRightInd w:val="0"/>
              <w:snapToGrid w:val="0"/>
              <w:jc w:val="left"/>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设备制造商装备制造能力、生产设备、加工工艺、完善程度</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jc w:val="left"/>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3</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产品方案技术</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先进、各系统</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完善、性能可</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靠，设备主要</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核心部件，具</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备自身技术</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优势</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50</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以下各项由评标委员会成员独立进行客观、公正的评价打分。</w:t>
            </w:r>
          </w:p>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①定制系统方案已到达招标要求，设备主要核心部件，具备自身技术优势，打分0-16分。</w:t>
            </w:r>
          </w:p>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②系统配置齐全，其精度、参数、技术水平、可靠性等优势明显，打分0-16分。</w:t>
            </w:r>
          </w:p>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③操作灵活方便，系统开放程度高，打分0-10分。</w:t>
            </w:r>
          </w:p>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④综合评价，打分0-8分。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答疑</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4</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现场答疑</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8</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投标人代表对方案、技术优势的讲解，以及就该项目难点回答评标专家现场提问，打分0-8分。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技术偏离</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5</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技术偏离</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12</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restar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售后服务</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技术培训方案：对采购方人员的技术培训方案安排科学、合理、可行</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7</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投标人在中国 有常驻的专业 技术力量的维 保机构并具有 实施本项目维 保的专业技术 人员：</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由评标委员会成员独立进行客观、公正的评价，按照优、良、一般进行赋分，优得6分，良得4分， 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8</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售后服务及时 周到，有相应的服务承诺和具体的保证措施</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 得6分，良得4分，一般得2分。</w:t>
            </w:r>
          </w:p>
        </w:tc>
      </w:tr>
    </w:tbl>
    <w:p>
      <w:pPr>
        <w:outlineLvl w:val="2"/>
        <w:rPr>
          <w:rFonts w:hint="eastAsia" w:ascii="Times New Roman" w:hAnsi="Times New Roman" w:eastAsia="宋体" w:cs="Times New Roman"/>
          <w:b/>
          <w:bCs/>
          <w:color w:val="000000"/>
          <w:sz w:val="24"/>
          <w:szCs w:val="24"/>
          <w:highlight w:val="yellow"/>
        </w:rPr>
      </w:pP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6"/>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7"/>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9"/>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4"/>
                    <a:stretch>
                      <a:fillRect/>
                    </a:stretch>
                  </pic:blipFill>
                  <pic:spPr>
                    <a:xfrm>
                      <a:off x="0" y="0"/>
                      <a:ext cx="5760085" cy="1956600"/>
                    </a:xfrm>
                    <a:prstGeom prst="rect">
                      <a:avLst/>
                    </a:prstGeom>
                  </pic:spPr>
                </pic:pic>
              </a:graphicData>
            </a:graphic>
          </wp:inline>
        </w:drawing>
      </w: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5"/>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6"/>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7"/>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8"/>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华文仿宋">
    <w:altName w:val="仿宋"/>
    <w:panose1 w:val="02010600040101010101"/>
    <w:charset w:val="86"/>
    <w:family w:val="auto"/>
    <w:pitch w:val="default"/>
    <w:sig w:usb0="00000000" w:usb1="0000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7"/>
                            <w:jc w:val="right"/>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rFonts w:hint="eastAsia"/>
                              <w:kern w:val="0"/>
                              <w:szCs w:val="21"/>
                            </w:rPr>
                            <w:t xml:space="preserve"> 页 共 28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pPr>
                      <w:pStyle w:val="27"/>
                      <w:jc w:val="right"/>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rFonts w:hint="eastAsia"/>
                        <w:kern w:val="0"/>
                        <w:szCs w:val="21"/>
                      </w:rPr>
                      <w:t xml:space="preserve"> 页 共 28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B3318"/>
    <w:multiLevelType w:val="singleLevel"/>
    <w:tmpl w:val="820B3318"/>
    <w:lvl w:ilvl="0" w:tentative="0">
      <w:start w:val="1"/>
      <w:numFmt w:val="decimalEnclosedCircleChinese"/>
      <w:suff w:val="nothing"/>
      <w:lvlText w:val="%1　"/>
      <w:lvlJc w:val="left"/>
      <w:pPr>
        <w:ind w:left="0" w:firstLine="400"/>
      </w:pPr>
      <w:rPr>
        <w:rFonts w:hint="eastAsia"/>
      </w:rPr>
    </w:lvl>
  </w:abstractNum>
  <w:abstractNum w:abstractNumId="1">
    <w:nsid w:val="870C7C46"/>
    <w:multiLevelType w:val="singleLevel"/>
    <w:tmpl w:val="870C7C46"/>
    <w:lvl w:ilvl="0" w:tentative="0">
      <w:start w:val="1"/>
      <w:numFmt w:val="decimal"/>
      <w:lvlText w:val="(%1)"/>
      <w:lvlJc w:val="left"/>
      <w:pPr>
        <w:ind w:left="425" w:hanging="425"/>
      </w:pPr>
      <w:rPr>
        <w:rFonts w:hint="default"/>
      </w:rPr>
    </w:lvl>
  </w:abstractNum>
  <w:abstractNum w:abstractNumId="2">
    <w:nsid w:val="9FBC266E"/>
    <w:multiLevelType w:val="singleLevel"/>
    <w:tmpl w:val="9FBC266E"/>
    <w:lvl w:ilvl="0" w:tentative="0">
      <w:start w:val="2"/>
      <w:numFmt w:val="decimal"/>
      <w:suff w:val="nothing"/>
      <w:lvlText w:val="%1、"/>
      <w:lvlJc w:val="left"/>
    </w:lvl>
  </w:abstractNum>
  <w:abstractNum w:abstractNumId="3">
    <w:nsid w:val="AE0F70F3"/>
    <w:multiLevelType w:val="singleLevel"/>
    <w:tmpl w:val="AE0F70F3"/>
    <w:lvl w:ilvl="0" w:tentative="0">
      <w:start w:val="1"/>
      <w:numFmt w:val="decimal"/>
      <w:lvlText w:val="(%1)"/>
      <w:lvlJc w:val="left"/>
      <w:pPr>
        <w:ind w:left="425" w:hanging="425"/>
      </w:pPr>
      <w:rPr>
        <w:rFonts w:hint="default"/>
      </w:rPr>
    </w:lvl>
  </w:abstractNum>
  <w:abstractNum w:abstractNumId="4">
    <w:nsid w:val="B4A85688"/>
    <w:multiLevelType w:val="singleLevel"/>
    <w:tmpl w:val="B4A85688"/>
    <w:lvl w:ilvl="0" w:tentative="0">
      <w:start w:val="1"/>
      <w:numFmt w:val="decimalEnclosedCircleChinese"/>
      <w:suff w:val="nothing"/>
      <w:lvlText w:val="%1　"/>
      <w:lvlJc w:val="left"/>
      <w:pPr>
        <w:ind w:left="0" w:firstLine="400"/>
      </w:pPr>
      <w:rPr>
        <w:rFonts w:hint="eastAsia"/>
      </w:rPr>
    </w:lvl>
  </w:abstractNum>
  <w:abstractNum w:abstractNumId="5">
    <w:nsid w:val="D146FCA9"/>
    <w:multiLevelType w:val="singleLevel"/>
    <w:tmpl w:val="D146FCA9"/>
    <w:lvl w:ilvl="0" w:tentative="0">
      <w:start w:val="4"/>
      <w:numFmt w:val="chineseCounting"/>
      <w:suff w:val="space"/>
      <w:lvlText w:val="第%1部分"/>
      <w:lvlJc w:val="left"/>
      <w:rPr>
        <w:rFonts w:hint="eastAsia"/>
      </w:rPr>
    </w:lvl>
  </w:abstractNum>
  <w:abstractNum w:abstractNumId="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7">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106FFC6"/>
    <w:multiLevelType w:val="singleLevel"/>
    <w:tmpl w:val="3106FFC6"/>
    <w:lvl w:ilvl="0" w:tentative="0">
      <w:start w:val="1"/>
      <w:numFmt w:val="decimalEnclosedCircleChinese"/>
      <w:suff w:val="nothing"/>
      <w:lvlText w:val="%1　"/>
      <w:lvlJc w:val="left"/>
      <w:pPr>
        <w:ind w:left="0" w:firstLine="400"/>
      </w:pPr>
      <w:rPr>
        <w:rFonts w:hint="eastAsia"/>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4FD4438F"/>
    <w:multiLevelType w:val="multilevel"/>
    <w:tmpl w:val="4FD4438F"/>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5343AC02"/>
    <w:multiLevelType w:val="singleLevel"/>
    <w:tmpl w:val="5343AC02"/>
    <w:lvl w:ilvl="0" w:tentative="0">
      <w:start w:val="1"/>
      <w:numFmt w:val="decimal"/>
      <w:lvlText w:val="(%1)"/>
      <w:lvlJc w:val="left"/>
      <w:pPr>
        <w:ind w:left="425" w:hanging="425"/>
      </w:pPr>
      <w:rPr>
        <w:rFonts w:hint="default"/>
      </w:rPr>
    </w:lvl>
  </w:abstractNum>
  <w:abstractNum w:abstractNumId="14">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A612DE2"/>
    <w:multiLevelType w:val="singleLevel"/>
    <w:tmpl w:val="7A612DE2"/>
    <w:lvl w:ilvl="0" w:tentative="0">
      <w:start w:val="2"/>
      <w:numFmt w:val="decimal"/>
      <w:lvlText w:val="%1."/>
      <w:lvlJc w:val="left"/>
      <w:pPr>
        <w:tabs>
          <w:tab w:val="left" w:pos="312"/>
        </w:tabs>
      </w:pPr>
    </w:lvl>
  </w:abstractNum>
  <w:num w:numId="1">
    <w:abstractNumId w:val="14"/>
  </w:num>
  <w:num w:numId="2">
    <w:abstractNumId w:val="12"/>
  </w:num>
  <w:num w:numId="3">
    <w:abstractNumId w:val="15"/>
  </w:num>
  <w:num w:numId="4">
    <w:abstractNumId w:val="16"/>
  </w:num>
  <w:num w:numId="5">
    <w:abstractNumId w:val="8"/>
  </w:num>
  <w:num w:numId="6">
    <w:abstractNumId w:val="7"/>
  </w:num>
  <w:num w:numId="7">
    <w:abstractNumId w:val="11"/>
  </w:num>
  <w:num w:numId="8">
    <w:abstractNumId w:val="6"/>
  </w:num>
  <w:num w:numId="9">
    <w:abstractNumId w:val="9"/>
  </w:num>
  <w:num w:numId="10">
    <w:abstractNumId w:val="5"/>
  </w:num>
  <w:num w:numId="11">
    <w:abstractNumId w:val="2"/>
  </w:num>
  <w:num w:numId="12">
    <w:abstractNumId w:val="13"/>
  </w:num>
  <w:num w:numId="13">
    <w:abstractNumId w:val="3"/>
  </w:num>
  <w:num w:numId="14">
    <w:abstractNumId w:val="1"/>
  </w:num>
  <w:num w:numId="15">
    <w:abstractNumId w:val="10"/>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932810"/>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D36DEE"/>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6170D"/>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C6451E"/>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4021D8"/>
    <w:rsid w:val="4B8F44A9"/>
    <w:rsid w:val="4B9A1456"/>
    <w:rsid w:val="4BA32C82"/>
    <w:rsid w:val="4BAD1567"/>
    <w:rsid w:val="4BBD4EE7"/>
    <w:rsid w:val="4BD73978"/>
    <w:rsid w:val="4BE70627"/>
    <w:rsid w:val="4C0A5AE1"/>
    <w:rsid w:val="4C130AB8"/>
    <w:rsid w:val="4C391ADB"/>
    <w:rsid w:val="4C5A284D"/>
    <w:rsid w:val="4C63431C"/>
    <w:rsid w:val="4C6B6A59"/>
    <w:rsid w:val="4CA51B09"/>
    <w:rsid w:val="4CB571EA"/>
    <w:rsid w:val="4CB76767"/>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C2564"/>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A47068"/>
    <w:rsid w:val="78CD6DCC"/>
    <w:rsid w:val="78D07CAF"/>
    <w:rsid w:val="78DE12D7"/>
    <w:rsid w:val="78FC2038"/>
    <w:rsid w:val="78FC33D7"/>
    <w:rsid w:val="79183D69"/>
    <w:rsid w:val="79210683"/>
    <w:rsid w:val="79951709"/>
    <w:rsid w:val="799C3465"/>
    <w:rsid w:val="79B14EC4"/>
    <w:rsid w:val="79B77C58"/>
    <w:rsid w:val="79BE1ECC"/>
    <w:rsid w:val="79C066C2"/>
    <w:rsid w:val="79CE69C9"/>
    <w:rsid w:val="79D00993"/>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3"/>
    <w:qFormat/>
    <w:uiPriority w:val="0"/>
    <w:pPr>
      <w:ind w:firstLine="420"/>
    </w:pPr>
    <w:rPr>
      <w:rFonts w:ascii="Times New Roman" w:hAnsi="Times New Roman"/>
      <w:kern w:val="0"/>
      <w:sz w:val="20"/>
      <w:szCs w:val="20"/>
    </w:rPr>
  </w:style>
  <w:style w:type="paragraph" w:styleId="13">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3"/>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章节"/>
    <w:basedOn w:val="22"/>
    <w:qFormat/>
    <w:uiPriority w:val="0"/>
    <w:pPr>
      <w:spacing w:line="360" w:lineRule="auto"/>
      <w:jc w:val="center"/>
      <w:outlineLvl w:val="0"/>
    </w:pPr>
    <w:rPr>
      <w:rFonts w:ascii="黑体" w:eastAsia="黑体"/>
      <w:b/>
      <w:bCs/>
      <w:sz w:val="36"/>
      <w:szCs w:val="36"/>
    </w:rPr>
  </w:style>
  <w:style w:type="paragraph" w:customStyle="1" w:styleId="172">
    <w:name w:val="标书正文"/>
    <w:basedOn w:val="2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20.png"/><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er" Target="footer2.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jpeg"/><Relationship Id="rId4" Type="http://schemas.openxmlformats.org/officeDocument/2006/relationships/footer" Target="footer1.xml"/><Relationship Id="rId39" Type="http://schemas.openxmlformats.org/officeDocument/2006/relationships/theme" Target="theme/theme1.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header" Target="header9.xml"/><Relationship Id="rId35" Type="http://schemas.openxmlformats.org/officeDocument/2006/relationships/header" Target="header8.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header" Target="header7.xml"/><Relationship Id="rId31" Type="http://schemas.openxmlformats.org/officeDocument/2006/relationships/header" Target="header6.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88</Pages>
  <Words>9726</Words>
  <Characters>10320</Characters>
  <Lines>371</Lines>
  <Paragraphs>104</Paragraphs>
  <TotalTime>0</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2025-12-09T08:03:14Z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