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中国重汽集团章丘工业园区消防泵房维修项目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5"/>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中国重汽集团章丘工业园区消防泵房维修项目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79632530"/>
      <w:bookmarkEnd w:id="5"/>
      <w:bookmarkStart w:id="6" w:name="_Toc152045514"/>
      <w:bookmarkEnd w:id="6"/>
      <w:bookmarkStart w:id="7" w:name="_Toc144974482"/>
      <w:bookmarkEnd w:id="7"/>
      <w:bookmarkStart w:id="8" w:name="_Toc152042290"/>
      <w:bookmarkEnd w:id="8"/>
      <w:bookmarkStart w:id="9" w:name="_Toc285809451"/>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章丘工业园区消防泵房维修项目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FSCZB2025110255</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w:t>
      </w:r>
      <w:r>
        <w:rPr>
          <w:rFonts w:hint="eastAsia" w:asciiTheme="minorEastAsia" w:hAnsiTheme="minorEastAsia" w:eastAsiaTheme="minorEastAsia" w:cstheme="minorEastAsia"/>
          <w:sz w:val="24"/>
          <w:szCs w:val="24"/>
          <w:highlight w:val="green"/>
          <w:u w:val="single"/>
          <w:lang w:val="en-US" w:eastAsia="zh-CN"/>
        </w:rPr>
        <w:t>动力有限公司</w:t>
      </w:r>
      <w:r>
        <w:rPr>
          <w:rFonts w:hint="eastAsia" w:asciiTheme="minorEastAsia" w:hAnsiTheme="minorEastAsia" w:eastAsiaTheme="minorEastAsia" w:cstheme="minorEastAsia"/>
          <w:kern w:val="0"/>
          <w:sz w:val="24"/>
          <w:szCs w:val="24"/>
          <w:highlight w:val="green"/>
          <w:u w:val="single"/>
          <w:lang w:bidi="en-US"/>
        </w:rPr>
        <w:t>，济南市章丘区圣井唐王山路北潘王路西</w:t>
      </w:r>
      <w:r>
        <w:rPr>
          <w:rFonts w:hint="eastAsia" w:asciiTheme="minorEastAsia" w:hAnsiTheme="minorEastAsia" w:eastAsiaTheme="minorEastAsia" w:cstheme="minorEastAsia"/>
          <w:kern w:val="0"/>
          <w:sz w:val="24"/>
          <w:szCs w:val="24"/>
          <w:highlight w:val="green"/>
          <w:u w:val="single"/>
          <w:lang w:val="en-US" w:eastAsia="zh-CN" w:bidi="en-US"/>
        </w:rPr>
        <w:t>发动机厂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修复章丘工业园区水泵房存在问题，满足消防法律法规要求，恢复章丘工业园区消防水泵房功能，确保园区消防水泵房正常运行，紧急时刻为应急补救提供稳定有压水源。</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4A3D0EEB">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参加投标的单位，必须是在中华人民共和国合法注册，具有独立法人资格的公司，且成立五年以上（含五年，以注册日期开始计算，至开标之日不少于五年），具有有效的营业执照且注册资金1000万元；具有安全生产许可证；</w:t>
      </w:r>
    </w:p>
    <w:p w14:paraId="644DE876">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2、消防设施工程专项承包壹级；</w:t>
      </w:r>
    </w:p>
    <w:p w14:paraId="1BB6653F">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3、建筑工程施工总承包贰级或装饰装修专项承包贰级；</w:t>
      </w:r>
    </w:p>
    <w:p w14:paraId="1A8D7EB0">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4、建筑机电安装工程专业承包资质；</w:t>
      </w:r>
    </w:p>
    <w:p w14:paraId="75B75172">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5、机电总承包壹级资质；</w:t>
      </w:r>
    </w:p>
    <w:p w14:paraId="17B8F38F">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6、防水防腐保温工程专业承包贰级；</w:t>
      </w:r>
    </w:p>
    <w:p w14:paraId="700B31C0">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7、获得大华品牌的厂家授权，需对接集团消防平台；</w:t>
      </w:r>
    </w:p>
    <w:p w14:paraId="1C7DA842">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8、获得秦皇岛海湾品牌的厂家授权，需对接集团消防平台；</w:t>
      </w:r>
    </w:p>
    <w:p w14:paraId="0616F015">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9、施工劳务不分等级；</w:t>
      </w:r>
    </w:p>
    <w:p w14:paraId="6B178533">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10、具有良好的企业信誉和健全的财务会计制度，财务状况和市场行为良好。没有处于被有权机关吊销营业执照、吊销资质、停业整顿、取消投标资格以及财产被接管、冻结或进入破产程序等；</w:t>
      </w:r>
    </w:p>
    <w:p w14:paraId="211B4F0A">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11、投标人须提供近三年的公司财务报表（资产负债表、损益表、现金流量表）；</w:t>
      </w:r>
    </w:p>
    <w:p w14:paraId="2F9CD9F4">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12、有依法缴纳税收和社会保障金的良好纪录；</w:t>
      </w:r>
    </w:p>
    <w:p w14:paraId="462F18EF">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13、投标单位应具备并提供近三年相同或类似项目规模的维修业绩；</w:t>
      </w:r>
    </w:p>
    <w:p w14:paraId="1D14C249">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14、投标单位三年内无违法及重大违规记录；</w:t>
      </w:r>
    </w:p>
    <w:p w14:paraId="6DB1E3CE">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15、投标单位在国家市场监督管理总局的《国家企业信用信息公示系统》、信用中国等无相关行业行政处罚及失信记录等信息，无招标违规、谎报年度报告信息、提供虚假资质资料等行为或其他行政处罚记录；</w:t>
      </w:r>
    </w:p>
    <w:p w14:paraId="6B26D60C">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16、未被中国重型汽车集团有限公司列入黑名单（《黑名单》指投标人与招标人在以往或正在进行的合作中，存在招标人认为的违反合同约定或违反法律法规等的失信行为）；</w:t>
      </w:r>
    </w:p>
    <w:p w14:paraId="3D4A6183">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17、在中国重汽集团有限公司服务期间无提前终止合同违约或无因服务质量不到位提前终止合同的情况；</w:t>
      </w:r>
    </w:p>
    <w:p w14:paraId="256BFA63">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18、供方的直接或间接股东、法定代表人、董事、监事、高管非重汽员工及其亲属；</w:t>
      </w:r>
    </w:p>
    <w:p w14:paraId="27FF4C4D">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19、如有投标单位资料造假，一经发现，5年内不得参与集团内所有消防类项目投标资格；</w:t>
      </w:r>
    </w:p>
    <w:p w14:paraId="4532140D">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20、投标人须提供具有统一社会信用代码的新版营业执照副本复印件（加盖公章）；参与投标时需携带营业执照副本原件以及投标单位授权人身份证原件以供查验；</w:t>
      </w:r>
    </w:p>
    <w:p w14:paraId="0EEAC7E0">
      <w:pPr>
        <w:pStyle w:val="25"/>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21、本次投标，各投标单位不允许联合体投标，确定一家中标单位；</w:t>
      </w:r>
    </w:p>
    <w:p w14:paraId="1C293030">
      <w:pPr>
        <w:pStyle w:val="25"/>
        <w:spacing w:line="360" w:lineRule="auto"/>
        <w:ind w:firstLine="480" w:firstLineChars="200"/>
        <w:rPr>
          <w:rFonts w:hint="eastAsia"/>
          <w:b/>
          <w:bCs/>
          <w:highlight w:val="none"/>
        </w:rPr>
      </w:pPr>
      <w:r>
        <w:rPr>
          <w:rFonts w:hint="eastAsia" w:ascii="宋体" w:hAnsi="宋体" w:eastAsia="宋体" w:cs="宋体"/>
          <w:highlight w:val="none"/>
        </w:rPr>
        <w:t>22、相关法律法规对合格投标单位的其他要求。</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bookmarkStart w:id="20" w:name="_GoBack"/>
      <w:bookmarkEnd w:id="20"/>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报名截止时间：2025年11月25日17：00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公司简介；营业执照副本复印件；法人代表授权书原件（附件二）；投标单位需提供近三年审计报告；法人代表或授权代表有效身份证；（盖有法人单位公章的复印件，包括正反两面）；投标单位类似项目案例介绍，与本次项目相关或类似的合同扫描件（需与技术标提供的合同扫描件一致，作为技术标的打分标项）；投标单位三年内无违法及重大违规记录证明；投标认为需提供的其他资质证明；保证金缴纳证明；企业最近半年完税证明、信用证明材料（征信报告）；年度纳税信用评价信息（可从电子税务局查询截图，需加盖公章）；企业对外担保说明（写明贵单位对外有无对外担保和质押业务，需加盖公章）；</w:t>
      </w:r>
    </w:p>
    <w:p w14:paraId="16E39400">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（3）企业业绩：扫描版相关业绩合同；</w:t>
      </w:r>
    </w:p>
    <w:p w14:paraId="03331758">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（4）施工方案：详细的可行施工方案；</w:t>
      </w:r>
    </w:p>
    <w:p w14:paraId="59577AD2">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（5）其他：投标报名表、诺帝菲尔厂家、大华及相关品牌授权书、现场踏勘表。</w:t>
      </w:r>
    </w:p>
    <w:p w14:paraId="10E42FDC">
      <w:pPr>
        <w:pStyle w:val="21"/>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备注：提供上述资料均须加盖单位公章，以PDF的形式在规定时间内上传至重汽e采通内（未提供详细可行的施工方案不得进入商务标）。</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 huangjiahao@sinotruk.com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综合评标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得分最高者</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（1）公司简介；</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（2）营业执照副本复印件；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（3）法人代表授权书原件（附件二）；</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（4）投标单位需提供近三年审计报告；</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（5）法人代表或授权代表有效身份证；（盖有法人单位公章的复印件，包括正反两面）</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（5）投标单位类似项目案例介绍，与本次项目相关或类似的合同扫描件（需与技术标提供的合同扫描件一致，作为技术标的打分标项）；</w:t>
      </w:r>
    </w:p>
    <w:p w14:paraId="646CA5FB">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（6）投标单位三年内无违法及重大违规记录证明；</w:t>
      </w:r>
    </w:p>
    <w:p w14:paraId="18DC7F5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（7）投标认为需提供的其他资质证明；</w:t>
      </w:r>
    </w:p>
    <w:p w14:paraId="3B91A71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（8）保证金缴纳证明；</w:t>
      </w:r>
    </w:p>
    <w:p w14:paraId="75B89FB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（9）企业最近半年完税证明、信用证明材料（征信报告）；</w:t>
      </w:r>
    </w:p>
    <w:p w14:paraId="1A6BB28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（10）年度纳税信用评价信息（可从电子税务局查询截图，需加盖公章）；</w:t>
      </w:r>
    </w:p>
    <w:p w14:paraId="21B0F14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（11）企业对外担保说明（写明贵单位对外有无对外担保和质押业务，需加盖公章）。</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（1）主要技术状态说明；</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（2）项目维修方案；</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（3）项目报名表（附件四）；</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（4）技术规格、相关条款偏离表（附件六）；</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（5）综合说明；</w:t>
      </w:r>
    </w:p>
    <w:p w14:paraId="1FF62B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（6）服务承诺；</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（7）投标单位认为其他需要提供的材料。</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（1）投标函(附件一)；</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（2）开标一览表（附件七）；</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（3）投标报价明细表（附件三）；</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（4）服务承诺及优惠条件；</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（5）相关条款偏离表（附件六）；</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bCs/>
          <w:sz w:val="24"/>
          <w:szCs w:val="24"/>
          <w:highlight w:val="green"/>
          <w:lang w:val="en-US"/>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5"/>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5"/>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47C9794E">
      <w:pPr>
        <w:pStyle w:val="25"/>
        <w:spacing w:line="360" w:lineRule="auto"/>
        <w:ind w:firstLine="480" w:firstLineChars="200"/>
        <w:rPr>
          <w:rFonts w:hint="eastAsia"/>
          <w:highlight w:val="green"/>
          <w:u w:val="single"/>
        </w:rPr>
      </w:pPr>
      <w:r>
        <w:rPr>
          <w:rFonts w:hint="eastAsia" w:hAnsi="宋体"/>
          <w:highlight w:val="none"/>
        </w:rPr>
        <w:t>⑶付款</w:t>
      </w:r>
      <w:r>
        <w:rPr>
          <w:rFonts w:hint="eastAsia"/>
          <w:highlight w:val="none"/>
        </w:rPr>
        <w:t>结算方式：</w:t>
      </w:r>
      <w:r>
        <w:rPr>
          <w:rFonts w:hint="eastAsia"/>
          <w:highlight w:val="yellow"/>
          <w:u w:val="single"/>
        </w:rPr>
        <w:t>半年期商业汇票（包括银行承兑汇票和商业承兑汇票）</w:t>
      </w:r>
    </w:p>
    <w:p w14:paraId="3FD7B980">
      <w:pPr>
        <w:pStyle w:val="25"/>
        <w:spacing w:line="360" w:lineRule="auto"/>
        <w:ind w:firstLine="480" w:firstLineChars="200"/>
        <w:rPr>
          <w:rFonts w:hint="eastAsia" w:cs="Times New Roman"/>
          <w:highlight w:val="none"/>
        </w:rPr>
      </w:pPr>
      <w:r>
        <w:rPr>
          <w:rFonts w:hint="eastAsia" w:cs="Times New Roman"/>
          <w:highlight w:val="none"/>
        </w:rPr>
        <w:t>经第三方检测和甲方验收通过后，付至合同总额的90%。付款方式为承兑汇票，施工方开具100%增值税专用发票（税率9%），质保期满后业主无息结清。</w:t>
      </w:r>
    </w:p>
    <w:p w14:paraId="32CDA1E3">
      <w:pPr>
        <w:pStyle w:val="25"/>
        <w:numPr>
          <w:ilvl w:val="0"/>
          <w:numId w:val="6"/>
        </w:numPr>
        <w:spacing w:line="360" w:lineRule="auto"/>
        <w:ind w:firstLine="480" w:firstLineChars="200"/>
        <w:rPr>
          <w:rFonts w:hint="default" w:cs="Times New Roman"/>
          <w:highlight w:val="none"/>
          <w:lang w:val="en-US" w:eastAsia="zh-CN"/>
        </w:rPr>
      </w:pPr>
      <w:r>
        <w:rPr>
          <w:rFonts w:hint="eastAsia" w:hAnsi="宋体"/>
          <w:highlight w:val="none"/>
          <w:lang w:val="en-US" w:eastAsia="zh-CN"/>
        </w:rPr>
        <w:t>项目限价</w:t>
      </w:r>
      <w:r>
        <w:rPr>
          <w:rFonts w:hint="eastAsia" w:cs="Times New Roman"/>
          <w:highlight w:val="none"/>
          <w:lang w:val="en-US" w:eastAsia="zh-CN"/>
        </w:rPr>
        <w:t>：含税35.47万元，超过</w:t>
      </w:r>
      <w:r>
        <w:rPr>
          <w:rFonts w:hint="eastAsia" w:hAnsi="宋体"/>
          <w:highlight w:val="none"/>
          <w:lang w:val="en-US" w:eastAsia="zh-CN"/>
        </w:rPr>
        <w:t>投标限价无法投标。</w:t>
      </w:r>
    </w:p>
    <w:p w14:paraId="188B1AA6">
      <w:pPr>
        <w:pStyle w:val="25"/>
        <w:numPr>
          <w:ilvl w:val="0"/>
          <w:numId w:val="6"/>
        </w:numPr>
        <w:spacing w:line="360" w:lineRule="auto"/>
        <w:ind w:firstLine="480" w:firstLineChars="200"/>
        <w:rPr>
          <w:rFonts w:hint="default" w:cs="Times New Roman"/>
          <w:highlight w:val="none"/>
          <w:lang w:val="en-US" w:eastAsia="zh-CN"/>
        </w:rPr>
      </w:pPr>
      <w:r>
        <w:rPr>
          <w:rFonts w:hint="eastAsia" w:cs="Times New Roman"/>
          <w:highlight w:val="none"/>
          <w:lang w:val="en-US" w:eastAsia="zh-CN"/>
        </w:rPr>
        <w:t>合同签订期限为签订之日起至2026年6月30日</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5"/>
      <w:bookmarkStart w:id="12" w:name="OLE_LINK29"/>
      <w:bookmarkStart w:id="13" w:name="OLE_LINK26"/>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5B22D34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一、技术要求</w:t>
      </w:r>
    </w:p>
    <w:p w14:paraId="116E2FE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（一）基本要求</w:t>
      </w:r>
    </w:p>
    <w:p w14:paraId="6B5B44E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投标人须具有履行合同所必需的设备、财务、技术、服务等方面的资质和能力。</w:t>
      </w:r>
    </w:p>
    <w:p w14:paraId="52269A9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公司注册资本不少于</w:t>
      </w:r>
      <w:r>
        <w:rPr>
          <w:rFonts w:hint="eastAsia" w:ascii="仿宋_GB2312" w:hAnsi="仿宋_GB2312" w:eastAsia="仿宋_GB2312" w:cs="仿宋_GB2312"/>
          <w:b w:val="0"/>
          <w:bCs w:val="0"/>
          <w:sz w:val="28"/>
          <w:highlight w:val="none"/>
          <w:lang w:val="en-US" w:eastAsia="zh-CN"/>
        </w:rPr>
        <w:t>1000</w:t>
      </w:r>
      <w:r>
        <w:rPr>
          <w:rFonts w:hint="eastAsia" w:ascii="仿宋_GB2312" w:hAnsi="仿宋_GB2312" w:eastAsia="仿宋_GB2312" w:cs="仿宋_GB2312"/>
          <w:b w:val="0"/>
          <w:bCs w:val="0"/>
          <w:sz w:val="28"/>
          <w:highlight w:val="none"/>
        </w:rPr>
        <w:t>万（</w:t>
      </w:r>
      <w:r>
        <w:rPr>
          <w:rFonts w:hint="eastAsia" w:ascii="仿宋_GB2312" w:hAnsi="仿宋_GB2312" w:eastAsia="仿宋_GB2312" w:cs="仿宋_GB2312"/>
          <w:b w:val="0"/>
          <w:bCs w:val="0"/>
          <w:sz w:val="28"/>
        </w:rPr>
        <w:t>含）。</w:t>
      </w:r>
    </w:p>
    <w:p w14:paraId="6B7C6B0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要求项目经理常驻现场，负责日常工作安排及安全管理；项目安全员常驻现场，配合项目经理现场安全巡视，保证施工安全、工期和质量要求。</w:t>
      </w:r>
    </w:p>
    <w:p w14:paraId="2BC21D6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施工人员要求持证上岗，根据工种要求，必须配备焊工证，电工证，高空作业证，消防设施操作员证</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lang w:val="en-US" w:eastAsia="zh-CN"/>
        </w:rPr>
        <w:t>中级及高级</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w:t>
      </w:r>
    </w:p>
    <w:p w14:paraId="10B4A03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在社会上和重汽集团的其他招标过程中没有不良行为记录。</w:t>
      </w:r>
    </w:p>
    <w:p w14:paraId="1820D4A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w:t>
      </w:r>
      <w:r>
        <w:rPr>
          <w:rFonts w:hint="eastAsia" w:ascii="仿宋_GB2312" w:hAnsi="仿宋_GB2312" w:eastAsia="仿宋_GB2312" w:cs="仿宋_GB2312"/>
          <w:b w:val="0"/>
          <w:bCs w:val="0"/>
          <w:sz w:val="28"/>
          <w:lang w:eastAsia="zh-CN"/>
        </w:rPr>
        <w:t>、</w:t>
      </w:r>
      <w:r>
        <w:rPr>
          <w:rFonts w:hint="eastAsia" w:ascii="仿宋_GB2312" w:hAnsi="仿宋_GB2312" w:eastAsia="仿宋_GB2312" w:cs="仿宋_GB2312"/>
          <w:b w:val="0"/>
          <w:bCs w:val="0"/>
          <w:sz w:val="28"/>
        </w:rPr>
        <w:t>投标单位应具备并提供近三年消防类项目施工业绩不少于五份。</w:t>
      </w:r>
    </w:p>
    <w:p w14:paraId="16C1E647">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lang w:val="en-US" w:eastAsia="zh-CN"/>
        </w:rPr>
        <w:t>7、具有诺帝菲尔厂家及大华厂家出具的授权书或资格。</w:t>
      </w:r>
    </w:p>
    <w:p w14:paraId="428CA2B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（二）执行标准：</w:t>
      </w:r>
    </w:p>
    <w:p w14:paraId="20F8B6C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1、《建筑设计防火规范》GB 50016—2014</w:t>
      </w:r>
      <w:r>
        <w:rPr>
          <w:rFonts w:hint="eastAsia" w:ascii="仿宋_GB2312" w:hAnsi="仿宋_GB2312" w:eastAsia="仿宋_GB2312" w:cs="仿宋_GB2312"/>
          <w:b w:val="0"/>
          <w:bCs w:val="0"/>
          <w:sz w:val="28"/>
        </w:rPr>
        <w:tab/>
      </w:r>
    </w:p>
    <w:p w14:paraId="3E68524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2、《火灾自动报警系统施工及验收规范》GB50166- 2019</w:t>
      </w:r>
    </w:p>
    <w:p w14:paraId="0478254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3、《自动喷水灭火系统施工及验收规范》GB50261-2017</w:t>
      </w:r>
    </w:p>
    <w:p w14:paraId="16E7E79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4、《建筑自动消防设施及消防控制室规范化管理标准》</w:t>
      </w:r>
    </w:p>
    <w:p w14:paraId="061E14E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5、《建筑消防设施的维护管理》GB 25201-2010</w:t>
      </w:r>
    </w:p>
    <w:p w14:paraId="1806543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6、《建筑消防设施维修保养技术规程》DB37_T 4328-2021</w:t>
      </w:r>
    </w:p>
    <w:p w14:paraId="60780AB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w:t>
      </w:r>
      <w:r>
        <w:rPr>
          <w:rFonts w:hint="eastAsia" w:ascii="仿宋_GB2312" w:hAnsi="仿宋_GB2312" w:eastAsia="仿宋_GB2312" w:cs="仿宋_GB2312"/>
          <w:b w:val="0"/>
          <w:bCs w:val="0"/>
          <w:sz w:val="28"/>
          <w:lang w:val="en-US" w:eastAsia="zh-CN"/>
        </w:rPr>
        <w:t>三</w:t>
      </w:r>
      <w:r>
        <w:rPr>
          <w:rFonts w:hint="eastAsia" w:ascii="仿宋_GB2312" w:hAnsi="仿宋_GB2312" w:eastAsia="仿宋_GB2312" w:cs="仿宋_GB2312"/>
          <w:b w:val="0"/>
          <w:bCs w:val="0"/>
          <w:sz w:val="28"/>
        </w:rPr>
        <w:t xml:space="preserve">）具体要求： </w:t>
      </w:r>
    </w:p>
    <w:p w14:paraId="4FC05301">
      <w:pPr>
        <w:pStyle w:val="60"/>
        <w:spacing w:line="360" w:lineRule="auto"/>
        <w:ind w:firstLine="560"/>
        <w:rPr>
          <w:rFonts w:hint="eastAsia" w:ascii="仿宋_GB2312" w:hAnsi="仿宋_GB2312" w:eastAsia="仿宋_GB2312" w:cs="仿宋_GB2312"/>
          <w:b w:val="0"/>
          <w:bCs w:val="0"/>
          <w:sz w:val="28"/>
          <w:lang w:eastAsia="zh-CN"/>
        </w:rPr>
      </w:pPr>
      <w:r>
        <w:rPr>
          <w:rFonts w:hint="eastAsia" w:ascii="仿宋_GB2312" w:hAnsi="仿宋_GB2312" w:eastAsia="仿宋_GB2312" w:cs="仿宋_GB2312"/>
          <w:b w:val="0"/>
          <w:bCs w:val="0"/>
          <w:sz w:val="28"/>
        </w:rPr>
        <w:t>为保证各投标方、施工方明确我方招标及施工要求，现将有关事项告知如下</w:t>
      </w:r>
      <w:r>
        <w:rPr>
          <w:rFonts w:hint="eastAsia" w:ascii="仿宋_GB2312" w:hAnsi="仿宋_GB2312" w:eastAsia="仿宋_GB2312" w:cs="仿宋_GB2312"/>
          <w:b w:val="0"/>
          <w:bCs w:val="0"/>
          <w:sz w:val="28"/>
          <w:lang w:eastAsia="zh-CN"/>
        </w:rPr>
        <w:t>：</w:t>
      </w:r>
    </w:p>
    <w:p w14:paraId="23E3B17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1、材料进场前必须提供材料样品，封样，且需与标书一致，无特殊原因不得变更标书主材品牌、规格、型号等，如需变更，需双方协商一致，并签订现场主材变更单。</w:t>
      </w:r>
    </w:p>
    <w:p w14:paraId="2D7CC59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2、涉及隐蔽验收的项目，必须签署隐蔽验收表，合格后方可进行下一道工序，否则造成的返工、窝工，由施工方承担责任。</w:t>
      </w:r>
    </w:p>
    <w:p w14:paraId="2040D25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3、参与招标人员、施工人员应对公司招标所供给的相关信息和技术资料履行保密义务。</w:t>
      </w:r>
    </w:p>
    <w:p w14:paraId="2DAD016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4、按照施工方案、图纸施工，如与现场出现冲突时，需与建设方提前沟通，同意后并签订现场变更签证单，方可改动施工。</w:t>
      </w:r>
    </w:p>
    <w:p w14:paraId="58158CF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5、因考虑到厂房在生产过程中施工要进行危险作业，项目组成员必须配备安全员一名，负责施工现场安全的巡查，进行驻场服务。必须保障项目安全有序地进行施工，如公司发现未按照此项约定进行工作，公司有权终止合同，施工方投资的费用公司不予支付，施工时涉及危险作业必须办理审批，人员持证上岗，遵守公司危险作业流程。</w:t>
      </w:r>
    </w:p>
    <w:p w14:paraId="6554BF8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6、设计方案变更、施工工艺变更、施工项目变更等变更事项，需与公司沟通同意并签订现场变更单后，方可施工，未经允许而做变更施工，不予认可。</w:t>
      </w:r>
    </w:p>
    <w:p w14:paraId="6D4474F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7、施工单位须在全部验收完成后7个自然日内提交所有消防设备的流向表、检验报告、合格证等；</w:t>
      </w:r>
    </w:p>
    <w:p w14:paraId="7C39E0A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8、竣工验收须提交消防第三方检测合格报告、竣工图纸、竣工资料及消防部门消防竣工验收要求的所有资料。</w:t>
      </w:r>
    </w:p>
    <w:p w14:paraId="1830ED7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9、项目完工，竣工资料齐备，自检合格后，方可申请建设方验收，并提供消防竣工图纸。</w:t>
      </w:r>
    </w:p>
    <w:p w14:paraId="658E19D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10、本项目要求施工人员不少于</w:t>
      </w:r>
      <w:r>
        <w:rPr>
          <w:rFonts w:hint="eastAsia" w:ascii="仿宋_GB2312" w:hAnsi="仿宋_GB2312" w:eastAsia="仿宋_GB2312" w:cs="仿宋_GB2312"/>
          <w:b w:val="0"/>
          <w:bCs w:val="0"/>
          <w:sz w:val="28"/>
          <w:lang w:val="en-US" w:eastAsia="zh-CN"/>
        </w:rPr>
        <w:t>4</w:t>
      </w:r>
      <w:r>
        <w:rPr>
          <w:rFonts w:hint="eastAsia" w:ascii="仿宋_GB2312" w:hAnsi="仿宋_GB2312" w:eastAsia="仿宋_GB2312" w:cs="仿宋_GB2312"/>
          <w:b w:val="0"/>
          <w:bCs w:val="0"/>
          <w:sz w:val="28"/>
        </w:rPr>
        <w:t>人，遵循公司各项规章制度，配备一名项目经理及安全员。</w:t>
      </w:r>
    </w:p>
    <w:p w14:paraId="283FF38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11、项目完工后遇紧急情况时，乙方应在规定的应急响应时间内到达现场处理故障，超时未到的，乙方应承担损失责任及费用，并视情节轻重对乙方处以</w:t>
      </w:r>
      <w:r>
        <w:rPr>
          <w:rFonts w:hint="eastAsia" w:ascii="仿宋_GB2312" w:hAnsi="仿宋_GB2312" w:eastAsia="仿宋_GB2312" w:cs="仿宋_GB2312"/>
          <w:b w:val="0"/>
          <w:bCs w:val="0"/>
          <w:sz w:val="28"/>
          <w:lang w:val="en-US" w:eastAsia="zh-CN"/>
        </w:rPr>
        <w:t>考核</w:t>
      </w:r>
      <w:r>
        <w:rPr>
          <w:rFonts w:hint="eastAsia" w:ascii="仿宋_GB2312" w:hAnsi="仿宋_GB2312" w:eastAsia="仿宋_GB2312" w:cs="仿宋_GB2312"/>
          <w:b w:val="0"/>
          <w:bCs w:val="0"/>
          <w:sz w:val="28"/>
        </w:rPr>
        <w:t>，从质保金扣除。</w:t>
      </w:r>
    </w:p>
    <w:p w14:paraId="2C21E184">
      <w:pPr>
        <w:pStyle w:val="60"/>
        <w:spacing w:line="360" w:lineRule="auto"/>
        <w:ind w:firstLine="560"/>
        <w:rPr>
          <w:rFonts w:hint="eastAsia" w:ascii="仿宋_GB2312" w:hAnsi="仿宋_GB2312" w:eastAsia="仿宋_GB2312" w:cs="仿宋_GB2312"/>
          <w:b w:val="0"/>
          <w:bCs w:val="0"/>
          <w:sz w:val="28"/>
          <w:highlight w:val="none"/>
        </w:rPr>
      </w:pPr>
      <w:r>
        <w:rPr>
          <w:rFonts w:hint="eastAsia" w:ascii="仿宋_GB2312" w:hAnsi="仿宋_GB2312" w:eastAsia="仿宋_GB2312" w:cs="仿宋_GB2312"/>
          <w:b w:val="0"/>
          <w:bCs w:val="0"/>
          <w:sz w:val="28"/>
          <w:highlight w:val="none"/>
        </w:rPr>
        <w:t>12、需更换消防配件时，乙方应及时通知甲方购买配件，因乙方未及时维修、更换配件所造成损失的，乙方应承担损失责任及费用，并视情节轻重对乙方</w:t>
      </w:r>
      <w:r>
        <w:rPr>
          <w:rFonts w:hint="eastAsia" w:ascii="仿宋_GB2312" w:hAnsi="仿宋_GB2312" w:eastAsia="仿宋_GB2312" w:cs="仿宋_GB2312"/>
          <w:b w:val="0"/>
          <w:bCs w:val="0"/>
          <w:sz w:val="28"/>
          <w:highlight w:val="none"/>
          <w:lang w:val="en-US" w:eastAsia="zh-CN"/>
        </w:rPr>
        <w:t>进行考核</w:t>
      </w:r>
      <w:r>
        <w:rPr>
          <w:rFonts w:hint="eastAsia" w:ascii="仿宋_GB2312" w:hAnsi="仿宋_GB2312" w:eastAsia="仿宋_GB2312" w:cs="仿宋_GB2312"/>
          <w:b w:val="0"/>
          <w:bCs w:val="0"/>
          <w:sz w:val="28"/>
          <w:highlight w:val="none"/>
        </w:rPr>
        <w:t>，从质保金扣除。</w:t>
      </w:r>
    </w:p>
    <w:p w14:paraId="07A170B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（五）其他要求：</w:t>
      </w:r>
    </w:p>
    <w:p w14:paraId="14A91C8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1、</w:t>
      </w:r>
      <w:r>
        <w:rPr>
          <w:rFonts w:hint="eastAsia" w:ascii="仿宋_GB2312" w:hAnsi="仿宋_GB2312" w:eastAsia="仿宋_GB2312" w:cs="仿宋_GB2312"/>
          <w:b w:val="0"/>
          <w:bCs w:val="0"/>
          <w:sz w:val="28"/>
        </w:rPr>
        <w:t>厂区内严禁吸烟。未按照要求发现一次扣罚1000元。</w:t>
      </w:r>
    </w:p>
    <w:p w14:paraId="2C31270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2、</w:t>
      </w:r>
      <w:r>
        <w:rPr>
          <w:rFonts w:hint="eastAsia" w:ascii="仿宋_GB2312" w:hAnsi="仿宋_GB2312" w:eastAsia="仿宋_GB2312" w:cs="仿宋_GB2312"/>
          <w:b w:val="0"/>
          <w:bCs w:val="0"/>
          <w:sz w:val="28"/>
        </w:rPr>
        <w:t>驻场维保人员必须经过安全培训，三级教育考试合格，安全培训应针对现场实际特点，进行风险点分析，讲解防范措施，考试合格后方可办理入厂通行证。</w:t>
      </w:r>
    </w:p>
    <w:p w14:paraId="6543BA1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3、</w:t>
      </w:r>
      <w:r>
        <w:rPr>
          <w:rFonts w:hint="eastAsia" w:ascii="仿宋_GB2312" w:hAnsi="仿宋_GB2312" w:eastAsia="仿宋_GB2312" w:cs="仿宋_GB2312"/>
          <w:b w:val="0"/>
          <w:bCs w:val="0"/>
          <w:sz w:val="28"/>
        </w:rPr>
        <w:t>乙方使用的工具：电动工器具、升降车、起重工器具等所用设备，且必须经相关部门检验合格并贴合格证后方可使用。</w:t>
      </w:r>
    </w:p>
    <w:p w14:paraId="756E399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4、</w:t>
      </w:r>
      <w:r>
        <w:rPr>
          <w:rFonts w:hint="eastAsia" w:ascii="仿宋_GB2312" w:hAnsi="仿宋_GB2312" w:eastAsia="仿宋_GB2312" w:cs="仿宋_GB2312"/>
          <w:b w:val="0"/>
          <w:bCs w:val="0"/>
          <w:sz w:val="28"/>
        </w:rPr>
        <w:t>乙方人员应遵守国家法律法规、甲方各项规章制度及合同约定内容，若违反上述内容及造成损失的，乙方应承担责任及损失所产生的相关费用，并视情节轻重</w:t>
      </w:r>
      <w:r>
        <w:rPr>
          <w:rFonts w:hint="eastAsia" w:ascii="仿宋_GB2312" w:hAnsi="仿宋_GB2312" w:eastAsia="仿宋_GB2312" w:cs="仿宋_GB2312"/>
          <w:b w:val="0"/>
          <w:bCs w:val="0"/>
          <w:sz w:val="28"/>
          <w:lang w:val="en-US" w:eastAsia="zh-CN"/>
        </w:rPr>
        <w:t>扣除相应货款</w:t>
      </w:r>
      <w:r>
        <w:rPr>
          <w:rFonts w:hint="eastAsia" w:ascii="仿宋_GB2312" w:hAnsi="仿宋_GB2312" w:eastAsia="仿宋_GB2312" w:cs="仿宋_GB2312"/>
          <w:b w:val="0"/>
          <w:bCs w:val="0"/>
          <w:sz w:val="28"/>
        </w:rPr>
        <w:t>。</w:t>
      </w:r>
    </w:p>
    <w:p w14:paraId="23E6DB7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lang w:val="en-US" w:eastAsia="zh-CN"/>
        </w:rPr>
        <w:t>5、</w:t>
      </w:r>
      <w:r>
        <w:rPr>
          <w:rFonts w:hint="eastAsia" w:ascii="仿宋_GB2312" w:hAnsi="仿宋_GB2312" w:eastAsia="仿宋_GB2312" w:cs="仿宋_GB2312"/>
          <w:b w:val="0"/>
          <w:bCs w:val="0"/>
          <w:sz w:val="28"/>
        </w:rPr>
        <w:t>本项目为</w:t>
      </w:r>
      <w:r>
        <w:rPr>
          <w:rFonts w:hint="eastAsia" w:ascii="仿宋_GB2312" w:hAnsi="仿宋_GB2312" w:eastAsia="仿宋_GB2312" w:cs="仿宋_GB2312"/>
          <w:b w:val="0"/>
          <w:bCs w:val="0"/>
          <w:sz w:val="28"/>
          <w:lang w:val="en-US" w:eastAsia="zh-CN"/>
        </w:rPr>
        <w:t>60</w:t>
      </w:r>
      <w:r>
        <w:rPr>
          <w:rFonts w:hint="eastAsia" w:ascii="仿宋_GB2312" w:hAnsi="仿宋_GB2312" w:eastAsia="仿宋_GB2312" w:cs="仿宋_GB2312"/>
          <w:b w:val="0"/>
          <w:bCs w:val="0"/>
          <w:sz w:val="28"/>
        </w:rPr>
        <w:t>天内施工完毕，3天出具报告，每逾期1天，处以项目费用5%的罚款。</w:t>
      </w:r>
    </w:p>
    <w:p w14:paraId="34F0789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二、施工范围及要求（说明提供详细技术要求）</w:t>
      </w:r>
    </w:p>
    <w:p w14:paraId="3DEA219A">
      <w:pPr>
        <w:pStyle w:val="60"/>
        <w:spacing w:line="360" w:lineRule="auto"/>
        <w:ind w:firstLine="560"/>
        <w:rPr>
          <w:rFonts w:hint="default" w:ascii="仿宋_GB2312" w:hAnsi="仿宋_GB2312" w:eastAsia="仿宋_GB2312" w:cs="仿宋_GB2312"/>
          <w:b w:val="0"/>
          <w:bCs w:val="0"/>
          <w:sz w:val="28"/>
          <w:lang w:val="en-US" w:eastAsia="zh-CN"/>
        </w:rPr>
      </w:pPr>
      <w:r>
        <w:rPr>
          <w:rFonts w:hint="eastAsia" w:ascii="仿宋_GB2312" w:hAnsi="仿宋_GB2312" w:eastAsia="仿宋_GB2312" w:cs="仿宋_GB2312"/>
          <w:b w:val="0"/>
          <w:bCs w:val="0"/>
          <w:sz w:val="28"/>
        </w:rPr>
        <w:t>（一）施工地点：</w:t>
      </w:r>
      <w:r>
        <w:rPr>
          <w:rFonts w:hint="eastAsia" w:ascii="仿宋_GB2312" w:hAnsi="仿宋_GB2312" w:eastAsia="仿宋_GB2312" w:cs="仿宋_GB2312"/>
          <w:b w:val="0"/>
          <w:bCs w:val="0"/>
          <w:sz w:val="28"/>
          <w:lang w:val="en-US" w:eastAsia="zh-CN"/>
        </w:rPr>
        <w:t>中国重汽章丘工业园区</w:t>
      </w:r>
    </w:p>
    <w:p w14:paraId="61F7348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（二）施工时间：承揽方应自合同签订之日起，</w:t>
      </w:r>
      <w:r>
        <w:rPr>
          <w:rFonts w:hint="eastAsia" w:ascii="仿宋_GB2312" w:hAnsi="仿宋_GB2312" w:eastAsia="仿宋_GB2312" w:cs="仿宋_GB2312"/>
          <w:b w:val="0"/>
          <w:bCs w:val="0"/>
          <w:sz w:val="28"/>
          <w:lang w:val="en-US" w:eastAsia="zh-CN"/>
        </w:rPr>
        <w:t>60</w:t>
      </w:r>
      <w:r>
        <w:rPr>
          <w:rFonts w:hint="eastAsia" w:ascii="仿宋_GB2312" w:hAnsi="仿宋_GB2312" w:eastAsia="仿宋_GB2312" w:cs="仿宋_GB2312"/>
          <w:b w:val="0"/>
          <w:bCs w:val="0"/>
          <w:sz w:val="28"/>
        </w:rPr>
        <w:t>个日历日之内完成（或协助完成）终验收（投标文件“供货时间”中，应明确说明各阶段工作最终完成时间）。</w:t>
      </w:r>
    </w:p>
    <w:p w14:paraId="7199D2D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（三）质保期：承揽方所提供承揽服务/技术涉及的全部供货范围内的配件、材料、资料、技术等，除合同特别约定外，均自终验收签字生效之日起，不低于</w:t>
      </w:r>
      <w:r>
        <w:rPr>
          <w:rFonts w:hint="eastAsia" w:ascii="仿宋_GB2312" w:hAnsi="仿宋_GB2312" w:eastAsia="仿宋_GB2312" w:cs="仿宋_GB2312"/>
          <w:b w:val="0"/>
          <w:bCs w:val="0"/>
          <w:sz w:val="28"/>
          <w:highlight w:val="none"/>
          <w:lang w:val="en-US" w:eastAsia="zh-CN"/>
        </w:rPr>
        <w:t>12</w:t>
      </w:r>
      <w:r>
        <w:rPr>
          <w:rFonts w:hint="eastAsia" w:ascii="仿宋_GB2312" w:hAnsi="仿宋_GB2312" w:eastAsia="仿宋_GB2312" w:cs="仿宋_GB2312"/>
          <w:b w:val="0"/>
          <w:bCs w:val="0"/>
          <w:sz w:val="28"/>
          <w:highlight w:val="none"/>
        </w:rPr>
        <w:t>个月（</w:t>
      </w:r>
      <w:r>
        <w:rPr>
          <w:rFonts w:hint="eastAsia" w:ascii="仿宋_GB2312" w:hAnsi="仿宋_GB2312" w:eastAsia="仿宋_GB2312" w:cs="仿宋_GB2312"/>
          <w:b w:val="0"/>
          <w:bCs w:val="0"/>
          <w:sz w:val="28"/>
        </w:rPr>
        <w:t>如有更长时间质保期，可在投标文件中说明）。</w:t>
      </w:r>
    </w:p>
    <w:p w14:paraId="73DCD38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（四）技术资料范围</w:t>
      </w:r>
    </w:p>
    <w:p w14:paraId="5F60759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1、承揽方须负责在预验收前，提供功能描述文件、图纸。【针对非标产品】</w:t>
      </w:r>
    </w:p>
    <w:p w14:paraId="6BF9F0C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2、承揽方须负责在终验收后、终验收后的第一笔货款支付日之前，提供包括操作维护手册，保养维修手册、操作和安全事项的使用说明书。【针对非标产品】</w:t>
      </w:r>
    </w:p>
    <w:p w14:paraId="44CB644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3、承揽方须负责在终验收后、终验收后的第一笔货款支付日之前，提供包括设计总图、安装基础图、维修图等有关的资料；【针对非标产品】</w:t>
      </w:r>
    </w:p>
    <w:p w14:paraId="3707729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4、本“技术资料范围”所列的技术资料、图等，承揽方应各提供2套，每份技术文件应装有目录清单；【针对非标产品】</w:t>
      </w:r>
    </w:p>
    <w:p w14:paraId="6DF02FCB">
      <w:pPr>
        <w:pStyle w:val="60"/>
        <w:spacing w:line="360" w:lineRule="auto"/>
        <w:ind w:firstLine="560"/>
        <w:rPr>
          <w:rFonts w:hint="eastAsia" w:ascii="仿宋_GB2312" w:hAnsi="仿宋_GB2312" w:eastAsia="仿宋_GB2312" w:cs="仿宋_GB2312"/>
          <w:b w:val="0"/>
          <w:bCs w:val="0"/>
          <w:sz w:val="28"/>
          <w:highlight w:val="none"/>
        </w:rPr>
      </w:pPr>
      <w:r>
        <w:rPr>
          <w:rFonts w:hint="eastAsia" w:ascii="仿宋_GB2312" w:hAnsi="仿宋_GB2312" w:eastAsia="仿宋_GB2312" w:cs="仿宋_GB2312"/>
          <w:b w:val="0"/>
          <w:bCs w:val="0"/>
          <w:sz w:val="28"/>
          <w:highlight w:val="none"/>
        </w:rPr>
        <w:t>（五）系统工作要求</w:t>
      </w:r>
    </w:p>
    <w:p w14:paraId="7821B81B">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1、泵房内管道、阀门设备及水池上方管道腐蚀严重，需全部除锈、更换螺栓、刷漆；</w:t>
      </w:r>
    </w:p>
    <w:p w14:paraId="3A8B509C">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2、室外消防水池检查孔盖板损坏严重，更换为不锈钢盖板；</w:t>
      </w:r>
    </w:p>
    <w:p w14:paraId="6763F432">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3、泵房内应急照明及疏散指示灯不亮，需维修更换；</w:t>
      </w:r>
    </w:p>
    <w:p w14:paraId="5D6E44EF">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4、泵房内需增设消防电话一部，信号与商用车监控室电话主机连接；</w:t>
      </w:r>
    </w:p>
    <w:p w14:paraId="1BA2070A">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5、在一层水泵控制柜旁增设水位显示装置一台，便于随时查看水池水位，信号传入消防控制室；</w:t>
      </w:r>
    </w:p>
    <w:p w14:paraId="7F319E1E">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6、水泵控制柜内增设备用电缆，实现控制柜双电源无断电情况；</w:t>
      </w:r>
    </w:p>
    <w:p w14:paraId="1027D2E2">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7、对一层控制柜内的所有锈蚀二次配线、按钮指示灯进行更换、除锈；</w:t>
      </w:r>
    </w:p>
    <w:p w14:paraId="6896DEC8">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8、对泵房内控制柜及阀门增加标识、标牌，便于查看；</w:t>
      </w:r>
    </w:p>
    <w:p w14:paraId="33661EFD">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9、食堂监控室增设电缆至商用车监控室，把消防信号、消防广播等设备连接至商用车监控室及大华平台，便于值班人员监管；</w:t>
      </w:r>
    </w:p>
    <w:p w14:paraId="6708F116">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10、消防水泵控制柜改造机械应急启动装置；</w:t>
      </w:r>
    </w:p>
    <w:p w14:paraId="5F49A93C">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11、泵房设备间地面做自流平及空调移机；</w:t>
      </w:r>
    </w:p>
    <w:p w14:paraId="4533FF68">
      <w:pPr>
        <w:pStyle w:val="25"/>
        <w:adjustRightInd w:val="0"/>
        <w:snapToGrid w:val="0"/>
        <w:spacing w:line="540" w:lineRule="exact"/>
        <w:ind w:firstLine="560" w:firstLineChars="200"/>
        <w:rPr>
          <w:rStyle w:val="62"/>
          <w:rFonts w:hint="eastAsia" w:ascii="仿宋_GB2312" w:hAnsi="华文仿宋" w:eastAsia="仿宋_GB2312"/>
          <w:b w:val="0"/>
          <w:bCs w:val="0"/>
          <w:color w:val="000000"/>
          <w:sz w:val="28"/>
          <w:szCs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12、管道流量开关信号线连接至控制柜；</w:t>
      </w:r>
    </w:p>
    <w:p w14:paraId="5C4D651B">
      <w:pPr>
        <w:pStyle w:val="25"/>
        <w:adjustRightInd w:val="0"/>
        <w:snapToGrid w:val="0"/>
        <w:spacing w:line="540" w:lineRule="exact"/>
        <w:ind w:firstLine="560" w:firstLineChars="200"/>
        <w:rPr>
          <w:rFonts w:hint="default" w:ascii="仿宋_GB2312" w:hAnsi="仿宋_GB2312" w:eastAsia="仿宋_GB2312" w:cs="仿宋_GB2312"/>
          <w:b w:val="0"/>
          <w:bCs w:val="0"/>
          <w:sz w:val="28"/>
          <w:highlight w:val="none"/>
          <w:lang w:val="en-US" w:eastAsia="zh-CN"/>
        </w:rPr>
      </w:pPr>
      <w:r>
        <w:rPr>
          <w:rStyle w:val="62"/>
          <w:rFonts w:hint="eastAsia" w:ascii="仿宋_GB2312" w:hAnsi="华文仿宋" w:eastAsia="仿宋_GB2312"/>
          <w:b w:val="0"/>
          <w:bCs w:val="0"/>
          <w:color w:val="000000"/>
          <w:sz w:val="28"/>
          <w:szCs w:val="28"/>
          <w:highlight w:val="none"/>
          <w:lang w:val="en-US" w:eastAsia="zh-CN"/>
        </w:rPr>
        <w:t>13、水池周边围堰修复，完善水池防水、防腐，确保不跑冒滴漏。</w:t>
      </w:r>
    </w:p>
    <w:p w14:paraId="5F43AB1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 xml:space="preserve"> 三、服务范围及要求</w:t>
      </w:r>
    </w:p>
    <w:p w14:paraId="22E06EB5">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（一）技术指导和培训服务</w:t>
      </w:r>
    </w:p>
    <w:p w14:paraId="6816C43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1、承揽方应按要求，免费积极协助和提供委托方和委托方所委托的工程设计单位有关人员所需要的和项目有关的工程设计资料、技术咨询等；【针对非标产品】</w:t>
      </w:r>
    </w:p>
    <w:p w14:paraId="238493A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若承揽方提供技术质量等，与承揽方外购的技术质量等有较大或直接关联时，承揽方应能得到其外购设备（或材料）制造厂商（或供应商）的技术支持，并免费为委托方提供技术服务（包括设计文件的审查和审定）；【针对非标产品】</w:t>
      </w:r>
    </w:p>
    <w:p w14:paraId="002A82E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非标产品】</w:t>
      </w:r>
    </w:p>
    <w:p w14:paraId="09F24BB4">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（二）运输服务</w:t>
      </w:r>
    </w:p>
    <w:p w14:paraId="184BC66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承揽方应负责将设备运到目的地，并必须做到标的物在任何运输过程中不受损坏和遗失；并按要求运至 招标方指定地点 。</w:t>
      </w:r>
    </w:p>
    <w:p w14:paraId="3560CE0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（三）安装调试服务【针对非标产品】</w:t>
      </w:r>
    </w:p>
    <w:p w14:paraId="2014629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1、根据设备的要求，调试可分空载和负载两个阶段进行；委托方将予以积极配合，协助承揽方达到设备的各项技术要求和性能；</w:t>
      </w:r>
    </w:p>
    <w:p w14:paraId="3AB01B1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安装调试与验收期间，若承揽方提供设备的技术质量等，与承揽方外购的设备技术质量等有较大或直接关联时，承揽方应能得到其外购设备制造厂商（或供应商）的技术支持，并免费为委托方提供安装使用现场的指导与协调；</w:t>
      </w:r>
    </w:p>
    <w:p w14:paraId="16E0F04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3、承揽方免费负责设备的安装、调试，并接受用户的技术咨询，负责开车调试直到设备的终验收；</w:t>
      </w:r>
    </w:p>
    <w:p w14:paraId="6DB58EB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4、承揽方是否提供有偿的还是免费的、指导安装调试还是负责安装调试，至少应在投标文件的服务章节中，予以明确说明。</w:t>
      </w:r>
    </w:p>
    <w:p w14:paraId="54880A9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（四）售后服务【特别是非标产品】</w:t>
      </w:r>
    </w:p>
    <w:p w14:paraId="2B8C315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1、在质保期之内，如发现承揽方所提供的设备（或材料）存在问题，需要承揽方配合解决时，承揽方须在接到通知后市内2</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、省内8</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、省外24小时内派有关人员到达现场，解决问题；</w:t>
      </w:r>
    </w:p>
    <w:p w14:paraId="3866868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2、在质保期之后，如发现承揽方所提供的设备（或材料）存在问题，需要承揽方配合解决时，承揽方须在接到通知后市内2</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、省内8</w:t>
      </w:r>
      <w:r>
        <w:rPr>
          <w:rFonts w:hint="eastAsia" w:ascii="仿宋_GB2312" w:hAnsi="仿宋_GB2312" w:eastAsia="仿宋_GB2312" w:cs="仿宋_GB2312"/>
          <w:b w:val="0"/>
          <w:bCs w:val="0"/>
          <w:sz w:val="28"/>
          <w:lang w:val="en-US" w:eastAsia="zh-CN"/>
        </w:rPr>
        <w:t>小时</w:t>
      </w:r>
      <w:r>
        <w:rPr>
          <w:rFonts w:hint="eastAsia" w:ascii="仿宋_GB2312" w:hAnsi="仿宋_GB2312" w:eastAsia="仿宋_GB2312" w:cs="仿宋_GB2312"/>
          <w:b w:val="0"/>
          <w:bCs w:val="0"/>
          <w:sz w:val="28"/>
        </w:rPr>
        <w:t>、省外24小时内派有关人员到达现场，协助委托方解决问题；</w:t>
      </w:r>
    </w:p>
    <w:p w14:paraId="4F285D3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3、所有的售后服务均由承揽方受理。如果发生问题并且收到报告，应当在2小时内予以答复；</w:t>
      </w:r>
    </w:p>
    <w:p w14:paraId="2DC0828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4、承揽方应为委托方提供最佳的服务。</w:t>
      </w:r>
    </w:p>
    <w:p w14:paraId="0EC19B2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（五）其它服务</w:t>
      </w:r>
    </w:p>
    <w:p w14:paraId="1B640C5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1、若承揽方所提供部分有需要进口的，承揽方一般应自行、自费办理；必要时，双方共同办理；</w:t>
      </w:r>
    </w:p>
    <w:p w14:paraId="4E25A773">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2、除招标文件、投标文件、答疑文件、技术协议、合同等约定之外，承揽方应负责必要的或强制性的设备（或材料）的检验、试验、化验等直接费用；</w:t>
      </w:r>
    </w:p>
    <w:p w14:paraId="513AF03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3、本章节条款所列“免费”，并非指定不可收费，而是指招标文件、投标文件、答疑文件、技术交流文件、技术协议书和合同等范围之外，承揽方不可另行收取的费用。</w:t>
      </w:r>
    </w:p>
    <w:p w14:paraId="6753AA4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四、预验收和终验收要求【特别是非标产品】</w:t>
      </w:r>
    </w:p>
    <w:p w14:paraId="772D4E6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按照参考招标文件、投标文件、答疑文件、技术交流文件等形成并达成一致的技术协议书和合同规定验收。</w:t>
      </w:r>
    </w:p>
    <w:p w14:paraId="760452FF">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验收一般分为预验收和终验收两部分。预验收一般在承揽方进行，终验收在安装调试完成后的委托方现场进行。但是所有的项目，包括不能预验收的项目和预验收通过的项目都在终验收时重新检验，最终只以终验收为准。</w:t>
      </w:r>
    </w:p>
    <w:p w14:paraId="31A80F0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1、终验收规程：</w:t>
      </w:r>
    </w:p>
    <w:p w14:paraId="74A60C5E">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项目实施完毕情况下，一般连续运行30天，除用户方面因素外，必须达到以下要求：</w:t>
      </w:r>
    </w:p>
    <w:p w14:paraId="6A6E140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a）在整个验收过程中没有维修、更换零部件或元件行为；</w:t>
      </w:r>
    </w:p>
    <w:p w14:paraId="71629979">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b）终验收原则上要求一次完成。若一次验收不成功，最多允许两次；</w:t>
      </w:r>
    </w:p>
    <w:p w14:paraId="23A2606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c）终验收通过后买卖双方共同签署终验收报告。</w:t>
      </w:r>
    </w:p>
    <w:p w14:paraId="5BC098E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2、一般标准与要求：</w:t>
      </w:r>
    </w:p>
    <w:p w14:paraId="6BA37497">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① 预验收的一般标准与要求</w:t>
      </w:r>
    </w:p>
    <w:p w14:paraId="3401102A">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a.资料齐全性、完整性和有效性。按照“配套供货范围及要求”中“技术资料范围”的规定验收；</w:t>
      </w:r>
    </w:p>
    <w:p w14:paraId="688FB25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b.产品（或材料）应运行灵活、稳定、可靠、安全，无异常声音和非正常振动。设备不允许出现漏水、漏液、漏气（汽）、漏电。</w:t>
      </w:r>
    </w:p>
    <w:p w14:paraId="1997430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c.产品（或材料）外观应无损伤，应该涂满同种明亮清晰的油漆（特殊标志除外）。设备应该完整且所有的零部件应该安装牢固，所有的焊缝饱满、无残渣等缺陷；</w:t>
      </w:r>
    </w:p>
    <w:p w14:paraId="67E59E72">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d.产品（或材料）应有完整的标牌，且清晰易见；</w:t>
      </w:r>
    </w:p>
    <w:p w14:paraId="609210C6">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e.产品（或材料）的安全要求符合中国最新的相关法律、法规、标准和规范以及合同要求；</w:t>
      </w:r>
    </w:p>
    <w:p w14:paraId="67B6585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②终验收时的一般验收标准与要求：</w:t>
      </w:r>
    </w:p>
    <w:p w14:paraId="39C54FDC">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a.资料齐全性、完整性和有效性。</w:t>
      </w:r>
    </w:p>
    <w:p w14:paraId="0583681D">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b.产品（或材料）应运行稳定、可靠、安全，无异常声音和非正常振动。设备不允许出现漏水、漏液、漏气（汽）、漏电。</w:t>
      </w:r>
    </w:p>
    <w:p w14:paraId="57F25038">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c.产品（或材料）应有完整的标牌，且清晰易见；</w:t>
      </w:r>
    </w:p>
    <w:p w14:paraId="7979084B">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③ 终验收条件</w:t>
      </w:r>
    </w:p>
    <w:p w14:paraId="0ACC0DF1">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依据招标文件、投标文件、答疑文件、技术交流文件等形成并达成一致的技术协议书和合同规定的终验收条件、原设备的技术参数，说明书及国家或行业对设备表面涂漆最新专业技术标准和安全法规要求验收。</w:t>
      </w:r>
    </w:p>
    <w:p w14:paraId="6782D070">
      <w:pPr>
        <w:pStyle w:val="60"/>
        <w:spacing w:line="360" w:lineRule="auto"/>
        <w:ind w:firstLine="560"/>
        <w:rPr>
          <w:rFonts w:hint="eastAsia" w:ascii="仿宋_GB2312" w:hAnsi="仿宋_GB2312" w:eastAsia="仿宋_GB2312" w:cs="仿宋_GB2312"/>
          <w:b w:val="0"/>
          <w:bCs w:val="0"/>
          <w:sz w:val="28"/>
        </w:rPr>
      </w:pPr>
      <w:r>
        <w:rPr>
          <w:rFonts w:hint="eastAsia" w:ascii="仿宋_GB2312" w:hAnsi="仿宋_GB2312" w:eastAsia="仿宋_GB2312" w:cs="仿宋_GB2312"/>
          <w:b w:val="0"/>
          <w:bCs w:val="0"/>
          <w:sz w:val="28"/>
        </w:rPr>
        <w:t>若属于国家相关机关单位强制要求检验校准的设备大修、项修，以通过相关检查校准，作为项目终验收合格的依据。</w:t>
      </w:r>
    </w:p>
    <w:p w14:paraId="0BD85323"/>
    <w:p w14:paraId="28D55161">
      <w:pPr>
        <w:pStyle w:val="25"/>
        <w:spacing w:line="360" w:lineRule="auto"/>
        <w:jc w:val="left"/>
        <w:rPr>
          <w:rFonts w:hint="eastAsia" w:asciiTheme="minorEastAsia" w:hAnsiTheme="minorEastAsia" w:eastAsiaTheme="minorEastAsia" w:cstheme="minorEastAsia"/>
          <w:b/>
          <w:sz w:val="24"/>
          <w:szCs w:val="24"/>
          <w:highlight w:val="green"/>
        </w:rPr>
      </w:pPr>
    </w:p>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tbl>
      <w:tblPr>
        <w:tblStyle w:val="48"/>
        <w:tblW w:w="5000" w:type="pct"/>
        <w:jc w:val="center"/>
        <w:tblLayout w:type="autofit"/>
        <w:tblCellMar>
          <w:top w:w="0" w:type="dxa"/>
          <w:left w:w="108" w:type="dxa"/>
          <w:bottom w:w="0" w:type="dxa"/>
          <w:right w:w="108" w:type="dxa"/>
        </w:tblCellMar>
      </w:tblPr>
      <w:tblGrid>
        <w:gridCol w:w="693"/>
        <w:gridCol w:w="717"/>
        <w:gridCol w:w="606"/>
        <w:gridCol w:w="1066"/>
        <w:gridCol w:w="568"/>
        <w:gridCol w:w="5636"/>
      </w:tblGrid>
      <w:tr w14:paraId="77C78DFA">
        <w:tblPrEx>
          <w:tblCellMar>
            <w:top w:w="0" w:type="dxa"/>
            <w:left w:w="108" w:type="dxa"/>
            <w:bottom w:w="0" w:type="dxa"/>
            <w:right w:w="108" w:type="dxa"/>
          </w:tblCellMar>
        </w:tblPrEx>
        <w:trPr>
          <w:trHeight w:val="467"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4E350BE4">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序号</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77F0851E">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评价因素</w:t>
            </w:r>
          </w:p>
        </w:tc>
        <w:tc>
          <w:tcPr>
            <w:tcW w:w="326" w:type="pct"/>
            <w:tcBorders>
              <w:top w:val="single" w:color="000000" w:sz="4" w:space="0"/>
              <w:left w:val="single" w:color="000000" w:sz="4" w:space="0"/>
              <w:bottom w:val="single" w:color="000000" w:sz="4" w:space="0"/>
              <w:right w:val="single" w:color="000000" w:sz="4" w:space="0"/>
            </w:tcBorders>
            <w:noWrap w:val="0"/>
            <w:vAlign w:val="center"/>
          </w:tcPr>
          <w:p w14:paraId="5A21E8E6">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总分</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7DA2F113">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评分项目</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7E20D5F4">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得分</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1A28E44">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评分标准</w:t>
            </w:r>
          </w:p>
        </w:tc>
      </w:tr>
      <w:tr w14:paraId="1776F907">
        <w:tblPrEx>
          <w:tblCellMar>
            <w:top w:w="0" w:type="dxa"/>
            <w:left w:w="108" w:type="dxa"/>
            <w:bottom w:w="0" w:type="dxa"/>
            <w:right w:w="108" w:type="dxa"/>
          </w:tblCellMar>
        </w:tblPrEx>
        <w:trPr>
          <w:trHeight w:val="621" w:hRule="atLeast"/>
          <w:jc w:val="center"/>
        </w:trPr>
        <w:tc>
          <w:tcPr>
            <w:tcW w:w="373" w:type="pct"/>
            <w:vMerge w:val="restart"/>
            <w:tcBorders>
              <w:top w:val="single" w:color="000000" w:sz="4" w:space="0"/>
              <w:left w:val="single" w:color="000000" w:sz="4" w:space="0"/>
              <w:right w:val="single" w:color="000000" w:sz="4" w:space="0"/>
            </w:tcBorders>
            <w:noWrap/>
            <w:vAlign w:val="center"/>
          </w:tcPr>
          <w:p w14:paraId="2906D249">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386" w:type="pct"/>
            <w:vMerge w:val="restart"/>
            <w:tcBorders>
              <w:top w:val="single" w:color="000000" w:sz="4" w:space="0"/>
              <w:left w:val="single" w:color="000000" w:sz="4" w:space="0"/>
              <w:bottom w:val="single" w:color="000000" w:sz="4" w:space="0"/>
              <w:right w:val="single" w:color="000000" w:sz="4" w:space="0"/>
            </w:tcBorders>
            <w:noWrap w:val="0"/>
            <w:vAlign w:val="center"/>
          </w:tcPr>
          <w:p w14:paraId="153FF9D9">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技术标</w:t>
            </w:r>
            <w:r>
              <w:rPr>
                <w:rFonts w:hint="eastAsia" w:ascii="宋体" w:hAnsi="宋体" w:eastAsia="宋体" w:cs="宋体"/>
                <w:color w:val="000000"/>
                <w:kern w:val="0"/>
                <w:sz w:val="20"/>
                <w:szCs w:val="20"/>
                <w:lang w:eastAsia="zh-CN"/>
              </w:rPr>
              <w:t>（</w:t>
            </w:r>
            <w:r>
              <w:rPr>
                <w:rFonts w:hint="eastAsia" w:ascii="宋体" w:hAnsi="宋体" w:eastAsia="宋体" w:cs="宋体"/>
                <w:color w:val="000000"/>
                <w:kern w:val="0"/>
                <w:sz w:val="20"/>
                <w:szCs w:val="20"/>
                <w:lang w:val="en-US" w:eastAsia="zh-CN"/>
              </w:rPr>
              <w:t>占比40%</w:t>
            </w:r>
            <w:r>
              <w:rPr>
                <w:rFonts w:hint="eastAsia" w:ascii="宋体" w:hAnsi="宋体" w:eastAsia="宋体" w:cs="宋体"/>
                <w:color w:val="000000"/>
                <w:kern w:val="0"/>
                <w:sz w:val="20"/>
                <w:szCs w:val="20"/>
                <w:lang w:eastAsia="zh-CN"/>
              </w:rPr>
              <w:t>）</w:t>
            </w:r>
          </w:p>
        </w:tc>
        <w:tc>
          <w:tcPr>
            <w:tcW w:w="326" w:type="pct"/>
            <w:vMerge w:val="restart"/>
            <w:tcBorders>
              <w:top w:val="single" w:color="000000" w:sz="4" w:space="0"/>
              <w:left w:val="single" w:color="000000" w:sz="4" w:space="0"/>
              <w:right w:val="single" w:color="000000" w:sz="4" w:space="0"/>
            </w:tcBorders>
            <w:noWrap w:val="0"/>
            <w:vAlign w:val="center"/>
          </w:tcPr>
          <w:p w14:paraId="720AE8ED">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100</w:t>
            </w:r>
          </w:p>
        </w:tc>
        <w:tc>
          <w:tcPr>
            <w:tcW w:w="574" w:type="pct"/>
            <w:vMerge w:val="restart"/>
            <w:tcBorders>
              <w:top w:val="single" w:color="000000" w:sz="4" w:space="0"/>
              <w:left w:val="single" w:color="000000" w:sz="4" w:space="0"/>
              <w:right w:val="single" w:color="000000" w:sz="4" w:space="0"/>
            </w:tcBorders>
            <w:noWrap w:val="0"/>
            <w:vAlign w:val="center"/>
          </w:tcPr>
          <w:p w14:paraId="253C45BA">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kern w:val="0"/>
                <w:sz w:val="18"/>
                <w:szCs w:val="18"/>
                <w:highlight w:val="none"/>
              </w:rPr>
              <w:t>相关资质及施工能力</w:t>
            </w:r>
          </w:p>
        </w:tc>
        <w:tc>
          <w:tcPr>
            <w:tcW w:w="306" w:type="pct"/>
            <w:vMerge w:val="restart"/>
            <w:tcBorders>
              <w:top w:val="single" w:color="000000" w:sz="4" w:space="0"/>
              <w:left w:val="single" w:color="000000" w:sz="4" w:space="0"/>
              <w:right w:val="single" w:color="000000" w:sz="4" w:space="0"/>
            </w:tcBorders>
            <w:noWrap w:val="0"/>
            <w:vAlign w:val="center"/>
          </w:tcPr>
          <w:p w14:paraId="1BEC17A6">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kern w:val="0"/>
                <w:sz w:val="18"/>
                <w:szCs w:val="18"/>
                <w:highlight w:val="none"/>
                <w:lang w:val="en-US" w:eastAsia="zh-CN"/>
              </w:rPr>
              <w:t>100</w:t>
            </w: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4201F9A">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）项目技术维修方案切实可行</w:t>
            </w:r>
            <w:r>
              <w:rPr>
                <w:rFonts w:hint="eastAsia" w:ascii="宋体" w:hAnsi="宋体" w:cs="宋体"/>
                <w:color w:val="000000"/>
                <w:kern w:val="0"/>
                <w:sz w:val="18"/>
                <w:szCs w:val="18"/>
                <w:lang w:eastAsia="zh-CN"/>
              </w:rPr>
              <w:t>，</w:t>
            </w:r>
            <w:r>
              <w:rPr>
                <w:rFonts w:hint="eastAsia" w:ascii="宋体" w:hAnsi="宋体" w:cs="宋体"/>
                <w:color w:val="auto"/>
                <w:kern w:val="0"/>
                <w:sz w:val="18"/>
                <w:szCs w:val="18"/>
                <w:lang w:val="en-US" w:eastAsia="zh-CN"/>
              </w:rPr>
              <w:t>提供现场踏勘照片及施工示意图</w:t>
            </w:r>
            <w:r>
              <w:rPr>
                <w:rFonts w:hint="eastAsia" w:ascii="宋体" w:hAnsi="宋体" w:eastAsia="宋体" w:cs="宋体"/>
                <w:color w:val="auto"/>
                <w:kern w:val="0"/>
                <w:sz w:val="18"/>
                <w:szCs w:val="18"/>
              </w:rPr>
              <w:t>。</w:t>
            </w:r>
            <w:r>
              <w:rPr>
                <w:rFonts w:hint="eastAsia" w:ascii="宋体" w:hAnsi="宋体" w:eastAsia="宋体" w:cs="宋体"/>
                <w:color w:val="000000"/>
                <w:kern w:val="0"/>
                <w:sz w:val="18"/>
                <w:szCs w:val="18"/>
              </w:rPr>
              <w:t>（切实可行的15-20，待完善的</w:t>
            </w:r>
            <w:r>
              <w:rPr>
                <w:rFonts w:hint="eastAsia" w:ascii="宋体" w:hAnsi="宋体" w:cs="宋体"/>
                <w:color w:val="000000"/>
                <w:kern w:val="0"/>
                <w:sz w:val="18"/>
                <w:szCs w:val="18"/>
                <w:lang w:val="en-US" w:eastAsia="zh-CN"/>
              </w:rPr>
              <w:t>10</w:t>
            </w:r>
            <w:r>
              <w:rPr>
                <w:rFonts w:hint="eastAsia" w:ascii="宋体" w:hAnsi="宋体" w:eastAsia="宋体" w:cs="宋体"/>
                <w:color w:val="000000"/>
                <w:kern w:val="0"/>
                <w:sz w:val="18"/>
                <w:szCs w:val="18"/>
              </w:rPr>
              <w:t>-15分，描述不清晰的</w:t>
            </w:r>
            <w:r>
              <w:rPr>
                <w:rFonts w:hint="eastAsia" w:ascii="宋体" w:hAnsi="宋体" w:cs="宋体"/>
                <w:color w:val="000000"/>
                <w:kern w:val="0"/>
                <w:sz w:val="18"/>
                <w:szCs w:val="18"/>
                <w:lang w:val="en-US" w:eastAsia="zh-CN"/>
              </w:rPr>
              <w:t>不得</w:t>
            </w:r>
            <w:r>
              <w:rPr>
                <w:rFonts w:hint="eastAsia" w:ascii="宋体" w:hAnsi="宋体" w:eastAsia="宋体" w:cs="宋体"/>
                <w:color w:val="000000"/>
                <w:kern w:val="0"/>
                <w:sz w:val="18"/>
                <w:szCs w:val="18"/>
              </w:rPr>
              <w:t>分）</w:t>
            </w:r>
          </w:p>
        </w:tc>
      </w:tr>
      <w:tr w14:paraId="6ABBF735">
        <w:tblPrEx>
          <w:tblCellMar>
            <w:top w:w="0" w:type="dxa"/>
            <w:left w:w="108" w:type="dxa"/>
            <w:bottom w:w="0" w:type="dxa"/>
            <w:right w:w="108" w:type="dxa"/>
          </w:tblCellMar>
        </w:tblPrEx>
        <w:trPr>
          <w:trHeight w:val="480" w:hRule="atLeast"/>
          <w:jc w:val="center"/>
        </w:trPr>
        <w:tc>
          <w:tcPr>
            <w:tcW w:w="373" w:type="pct"/>
            <w:vMerge w:val="continue"/>
            <w:tcBorders>
              <w:left w:val="single" w:color="000000" w:sz="4" w:space="0"/>
              <w:right w:val="single" w:color="000000" w:sz="4" w:space="0"/>
            </w:tcBorders>
            <w:noWrap/>
            <w:vAlign w:val="center"/>
          </w:tcPr>
          <w:p w14:paraId="48C0F6C7">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001996">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70FE753D">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33708AC">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3452436F">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E238910">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）材料、辅材、品牌、型号、数量能完全满足标书要求，能提供检测合格证明。（完全符合10-20分，比较符合0-10分）</w:t>
            </w:r>
          </w:p>
        </w:tc>
      </w:tr>
      <w:tr w14:paraId="0D240672">
        <w:tblPrEx>
          <w:tblCellMar>
            <w:top w:w="0" w:type="dxa"/>
            <w:left w:w="108" w:type="dxa"/>
            <w:bottom w:w="0" w:type="dxa"/>
            <w:right w:w="108" w:type="dxa"/>
          </w:tblCellMar>
        </w:tblPrEx>
        <w:trPr>
          <w:trHeight w:val="381" w:hRule="atLeast"/>
          <w:jc w:val="center"/>
        </w:trPr>
        <w:tc>
          <w:tcPr>
            <w:tcW w:w="373" w:type="pct"/>
            <w:vMerge w:val="continue"/>
            <w:tcBorders>
              <w:left w:val="single" w:color="000000" w:sz="4" w:space="0"/>
              <w:right w:val="single" w:color="000000" w:sz="4" w:space="0"/>
            </w:tcBorders>
            <w:noWrap/>
            <w:vAlign w:val="center"/>
          </w:tcPr>
          <w:p w14:paraId="18898B23">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6F2C80">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6A44BF54">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493A1367">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E0314FD">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FB2B8BE">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3</w:t>
            </w:r>
            <w:r>
              <w:rPr>
                <w:rFonts w:hint="eastAsia" w:ascii="宋体" w:hAnsi="宋体" w:eastAsia="宋体" w:cs="宋体"/>
                <w:color w:val="000000"/>
                <w:kern w:val="0"/>
                <w:sz w:val="18"/>
                <w:szCs w:val="18"/>
              </w:rPr>
              <w:t>）保证施工质量体系完整</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提供质量体系认证证书</w:t>
            </w:r>
            <w:r>
              <w:rPr>
                <w:rFonts w:hint="eastAsia" w:ascii="宋体" w:hAnsi="宋体" w:eastAsia="宋体" w:cs="宋体"/>
                <w:color w:val="auto"/>
                <w:kern w:val="0"/>
                <w:sz w:val="18"/>
                <w:szCs w:val="18"/>
              </w:rPr>
              <w:t>，措</w:t>
            </w:r>
            <w:r>
              <w:rPr>
                <w:rFonts w:hint="eastAsia" w:ascii="宋体" w:hAnsi="宋体" w:eastAsia="宋体" w:cs="宋体"/>
                <w:color w:val="000000"/>
                <w:kern w:val="0"/>
                <w:sz w:val="18"/>
                <w:szCs w:val="18"/>
              </w:rPr>
              <w:t>施有力，能有项目控制计划。（0-10分）</w:t>
            </w:r>
          </w:p>
        </w:tc>
      </w:tr>
      <w:tr w14:paraId="43F99AAB">
        <w:tblPrEx>
          <w:tblCellMar>
            <w:top w:w="0" w:type="dxa"/>
            <w:left w:w="108" w:type="dxa"/>
            <w:bottom w:w="0" w:type="dxa"/>
            <w:right w:w="108" w:type="dxa"/>
          </w:tblCellMar>
        </w:tblPrEx>
        <w:trPr>
          <w:trHeight w:val="651" w:hRule="atLeast"/>
          <w:jc w:val="center"/>
        </w:trPr>
        <w:tc>
          <w:tcPr>
            <w:tcW w:w="373" w:type="pct"/>
            <w:vMerge w:val="continue"/>
            <w:tcBorders>
              <w:left w:val="single" w:color="000000" w:sz="4" w:space="0"/>
              <w:right w:val="single" w:color="000000" w:sz="4" w:space="0"/>
            </w:tcBorders>
            <w:noWrap/>
            <w:vAlign w:val="center"/>
          </w:tcPr>
          <w:p w14:paraId="3167A4D7">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2A0034">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1ED078BE">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37861641">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47C78D83">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36C3E381">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4</w:t>
            </w:r>
            <w:r>
              <w:rPr>
                <w:rFonts w:hint="eastAsia" w:ascii="宋体" w:hAnsi="宋体" w:eastAsia="宋体" w:cs="宋体"/>
                <w:color w:val="000000"/>
                <w:kern w:val="0"/>
                <w:sz w:val="18"/>
                <w:szCs w:val="18"/>
              </w:rPr>
              <w:t>）项目施工作业团队整体素养，项目经理对整个项目的管控能力（包括材料、工期、现场作业安全等）。（0-10分）</w:t>
            </w:r>
          </w:p>
        </w:tc>
      </w:tr>
      <w:tr w14:paraId="275C2C22">
        <w:tblPrEx>
          <w:tblCellMar>
            <w:top w:w="0" w:type="dxa"/>
            <w:left w:w="108" w:type="dxa"/>
            <w:bottom w:w="0" w:type="dxa"/>
            <w:right w:w="108" w:type="dxa"/>
          </w:tblCellMar>
        </w:tblPrEx>
        <w:trPr>
          <w:trHeight w:val="633" w:hRule="atLeast"/>
          <w:jc w:val="center"/>
        </w:trPr>
        <w:tc>
          <w:tcPr>
            <w:tcW w:w="373" w:type="pct"/>
            <w:vMerge w:val="continue"/>
            <w:tcBorders>
              <w:left w:val="single" w:color="000000" w:sz="4" w:space="0"/>
              <w:right w:val="single" w:color="000000" w:sz="4" w:space="0"/>
            </w:tcBorders>
            <w:noWrap/>
            <w:vAlign w:val="center"/>
          </w:tcPr>
          <w:p w14:paraId="57BA48F4">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5C6709">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04480DF6">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E16DD91">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385CBFB4">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BB34347">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5</w:t>
            </w:r>
            <w:r>
              <w:rPr>
                <w:rFonts w:hint="eastAsia" w:ascii="宋体" w:hAnsi="宋体" w:eastAsia="宋体" w:cs="宋体"/>
                <w:color w:val="000000"/>
                <w:kern w:val="0"/>
                <w:sz w:val="18"/>
                <w:szCs w:val="18"/>
              </w:rPr>
              <w:t>）项目施工人工配备</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配备项目经理、相关专业技术负责人、专职安全员、</w:t>
            </w:r>
            <w:r>
              <w:rPr>
                <w:rFonts w:hint="eastAsia" w:ascii="宋体" w:hAnsi="宋体" w:eastAsia="宋体" w:cs="宋体"/>
                <w:color w:val="auto"/>
                <w:kern w:val="0"/>
                <w:sz w:val="18"/>
                <w:szCs w:val="18"/>
              </w:rPr>
              <w:t>特种作业证、</w:t>
            </w:r>
            <w:r>
              <w:rPr>
                <w:rFonts w:hint="eastAsia" w:ascii="宋体" w:hAnsi="宋体" w:cs="宋体"/>
                <w:color w:val="auto"/>
                <w:kern w:val="0"/>
                <w:sz w:val="18"/>
                <w:szCs w:val="18"/>
                <w:lang w:val="en-US" w:eastAsia="zh-CN"/>
              </w:rPr>
              <w:t>关键岗位证书，</w:t>
            </w:r>
            <w:r>
              <w:rPr>
                <w:rFonts w:hint="eastAsia" w:ascii="宋体" w:hAnsi="宋体" w:eastAsia="宋体" w:cs="宋体"/>
                <w:color w:val="auto"/>
                <w:kern w:val="0"/>
                <w:sz w:val="18"/>
                <w:szCs w:val="18"/>
              </w:rPr>
              <w:t>特种设备作业证齐全。（0-10分）</w:t>
            </w:r>
          </w:p>
        </w:tc>
      </w:tr>
      <w:tr w14:paraId="78BF3AF5">
        <w:tblPrEx>
          <w:tblCellMar>
            <w:top w:w="0" w:type="dxa"/>
            <w:left w:w="108" w:type="dxa"/>
            <w:bottom w:w="0" w:type="dxa"/>
            <w:right w:w="108" w:type="dxa"/>
          </w:tblCellMar>
        </w:tblPrEx>
        <w:trPr>
          <w:trHeight w:val="366" w:hRule="atLeast"/>
          <w:jc w:val="center"/>
        </w:trPr>
        <w:tc>
          <w:tcPr>
            <w:tcW w:w="373" w:type="pct"/>
            <w:vMerge w:val="continue"/>
            <w:tcBorders>
              <w:left w:val="single" w:color="000000" w:sz="4" w:space="0"/>
              <w:right w:val="single" w:color="000000" w:sz="4" w:space="0"/>
            </w:tcBorders>
            <w:noWrap/>
            <w:vAlign w:val="center"/>
          </w:tcPr>
          <w:p w14:paraId="7B7D424E">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D29F9E">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2F123AB">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68CAB5F8">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520B81D6">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61F39B13">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6</w:t>
            </w:r>
            <w:r>
              <w:rPr>
                <w:rFonts w:hint="eastAsia" w:ascii="宋体" w:hAnsi="宋体" w:eastAsia="宋体" w:cs="宋体"/>
                <w:color w:val="000000"/>
                <w:kern w:val="0"/>
                <w:sz w:val="18"/>
                <w:szCs w:val="18"/>
              </w:rPr>
              <w:t>）投标偏离情况，完全满足标书要求，如有偏离，视情况给予核减。（0-5分）</w:t>
            </w:r>
          </w:p>
        </w:tc>
      </w:tr>
      <w:tr w14:paraId="12ECD631">
        <w:tblPrEx>
          <w:tblCellMar>
            <w:top w:w="0" w:type="dxa"/>
            <w:left w:w="108" w:type="dxa"/>
            <w:bottom w:w="0" w:type="dxa"/>
            <w:right w:w="108" w:type="dxa"/>
          </w:tblCellMar>
        </w:tblPrEx>
        <w:trPr>
          <w:trHeight w:val="441" w:hRule="atLeast"/>
          <w:jc w:val="center"/>
        </w:trPr>
        <w:tc>
          <w:tcPr>
            <w:tcW w:w="373" w:type="pct"/>
            <w:vMerge w:val="continue"/>
            <w:tcBorders>
              <w:left w:val="single" w:color="000000" w:sz="4" w:space="0"/>
              <w:right w:val="single" w:color="000000" w:sz="4" w:space="0"/>
            </w:tcBorders>
            <w:noWrap/>
            <w:vAlign w:val="center"/>
          </w:tcPr>
          <w:p w14:paraId="1B29111A">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20AF19">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1631BE1F">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FF121F7">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21D259A4">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44FE8D32">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7</w:t>
            </w:r>
            <w:r>
              <w:rPr>
                <w:rFonts w:hint="eastAsia" w:ascii="宋体" w:hAnsi="宋体" w:eastAsia="宋体" w:cs="宋体"/>
                <w:color w:val="000000"/>
                <w:kern w:val="0"/>
                <w:sz w:val="18"/>
                <w:szCs w:val="18"/>
              </w:rPr>
              <w:t>）项目施工期间整处置突发情况的应急能力，安全文明施工保障措施。（0-5分）</w:t>
            </w:r>
          </w:p>
        </w:tc>
      </w:tr>
      <w:tr w14:paraId="44094262">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67DBBFD0">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A0C5A5">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6FA5CC1E">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7AB1EA11">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1D5B5354">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56AACDB0">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8</w:t>
            </w:r>
            <w:r>
              <w:rPr>
                <w:rFonts w:hint="eastAsia" w:ascii="宋体" w:hAnsi="宋体" w:eastAsia="宋体" w:cs="宋体"/>
                <w:color w:val="000000"/>
                <w:kern w:val="0"/>
                <w:sz w:val="18"/>
                <w:szCs w:val="18"/>
              </w:rPr>
              <w:t>）同类业绩（0-5分）5份以上同类业绩（5分）3-5份同类业绩（4分）3份以下同类业绩（0-3分）</w:t>
            </w:r>
          </w:p>
        </w:tc>
      </w:tr>
      <w:tr w14:paraId="3F326141">
        <w:tblPrEx>
          <w:tblCellMar>
            <w:top w:w="0" w:type="dxa"/>
            <w:left w:w="108" w:type="dxa"/>
            <w:bottom w:w="0" w:type="dxa"/>
            <w:right w:w="108" w:type="dxa"/>
          </w:tblCellMar>
        </w:tblPrEx>
        <w:trPr>
          <w:trHeight w:val="261" w:hRule="atLeast"/>
          <w:jc w:val="center"/>
        </w:trPr>
        <w:tc>
          <w:tcPr>
            <w:tcW w:w="373" w:type="pct"/>
            <w:vMerge w:val="continue"/>
            <w:tcBorders>
              <w:left w:val="single" w:color="000000" w:sz="4" w:space="0"/>
              <w:right w:val="single" w:color="000000" w:sz="4" w:space="0"/>
            </w:tcBorders>
            <w:noWrap/>
            <w:vAlign w:val="center"/>
          </w:tcPr>
          <w:p w14:paraId="52D14F85">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44A5B0">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right w:val="single" w:color="000000" w:sz="4" w:space="0"/>
            </w:tcBorders>
            <w:noWrap w:val="0"/>
            <w:vAlign w:val="center"/>
          </w:tcPr>
          <w:p w14:paraId="55AFBF1E">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right w:val="single" w:color="000000" w:sz="4" w:space="0"/>
            </w:tcBorders>
            <w:noWrap w:val="0"/>
            <w:vAlign w:val="center"/>
          </w:tcPr>
          <w:p w14:paraId="206BD37F">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right w:val="single" w:color="000000" w:sz="4" w:space="0"/>
            </w:tcBorders>
            <w:noWrap w:val="0"/>
            <w:vAlign w:val="center"/>
          </w:tcPr>
          <w:p w14:paraId="5E480D51">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20A2BFA1">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9</w:t>
            </w:r>
            <w:r>
              <w:rPr>
                <w:rFonts w:hint="eastAsia" w:ascii="宋体" w:hAnsi="宋体" w:eastAsia="宋体" w:cs="宋体"/>
                <w:color w:val="000000"/>
                <w:kern w:val="0"/>
                <w:sz w:val="18"/>
                <w:szCs w:val="18"/>
              </w:rPr>
              <w:t>）质保期及其服务承诺、售后技术服务等。（0-5分）</w:t>
            </w:r>
          </w:p>
        </w:tc>
      </w:tr>
      <w:tr w14:paraId="48BACDCE">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right w:val="single" w:color="000000" w:sz="4" w:space="0"/>
            </w:tcBorders>
            <w:noWrap/>
            <w:vAlign w:val="center"/>
          </w:tcPr>
          <w:p w14:paraId="0D08E11D">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128341">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326" w:type="pct"/>
            <w:vMerge w:val="continue"/>
            <w:tcBorders>
              <w:left w:val="single" w:color="000000" w:sz="4" w:space="0"/>
              <w:bottom w:val="single" w:color="000000" w:sz="4" w:space="0"/>
              <w:right w:val="single" w:color="000000" w:sz="4" w:space="0"/>
            </w:tcBorders>
            <w:noWrap w:val="0"/>
            <w:vAlign w:val="center"/>
          </w:tcPr>
          <w:p w14:paraId="679662DF">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574" w:type="pct"/>
            <w:vMerge w:val="continue"/>
            <w:tcBorders>
              <w:left w:val="single" w:color="000000" w:sz="4" w:space="0"/>
              <w:bottom w:val="single" w:color="000000" w:sz="4" w:space="0"/>
              <w:right w:val="single" w:color="000000" w:sz="4" w:space="0"/>
            </w:tcBorders>
            <w:noWrap w:val="0"/>
            <w:vAlign w:val="center"/>
          </w:tcPr>
          <w:p w14:paraId="7127BEFC">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6" w:type="pct"/>
            <w:vMerge w:val="continue"/>
            <w:tcBorders>
              <w:left w:val="single" w:color="000000" w:sz="4" w:space="0"/>
              <w:bottom w:val="single" w:color="000000" w:sz="4" w:space="0"/>
              <w:right w:val="single" w:color="000000" w:sz="4" w:space="0"/>
            </w:tcBorders>
            <w:noWrap w:val="0"/>
            <w:vAlign w:val="center"/>
          </w:tcPr>
          <w:p w14:paraId="0D6FC122">
            <w:pPr>
              <w:pageBreakBefore w:val="0"/>
              <w:kinsoku/>
              <w:wordWrap/>
              <w:overflowPunct/>
              <w:topLinePunct w:val="0"/>
              <w:bidi w:val="0"/>
              <w:spacing w:line="360" w:lineRule="auto"/>
              <w:ind w:left="0" w:leftChars="0" w:right="0"/>
              <w:jc w:val="center"/>
              <w:rPr>
                <w:rFonts w:hint="eastAsia" w:ascii="宋体" w:hAnsi="宋体" w:eastAsia="宋体" w:cs="宋体"/>
                <w:color w:val="000000"/>
                <w:sz w:val="18"/>
                <w:szCs w:val="18"/>
              </w:rPr>
            </w:pPr>
          </w:p>
        </w:tc>
        <w:tc>
          <w:tcPr>
            <w:tcW w:w="3032" w:type="pct"/>
            <w:tcBorders>
              <w:top w:val="single" w:color="000000" w:sz="4" w:space="0"/>
              <w:left w:val="single" w:color="000000" w:sz="4" w:space="0"/>
              <w:bottom w:val="single" w:color="000000" w:sz="4" w:space="0"/>
              <w:right w:val="single" w:color="000000" w:sz="4" w:space="0"/>
            </w:tcBorders>
            <w:noWrap w:val="0"/>
            <w:vAlign w:val="center"/>
          </w:tcPr>
          <w:p w14:paraId="7853218F">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10</w:t>
            </w:r>
            <w:r>
              <w:rPr>
                <w:rFonts w:hint="eastAsia" w:ascii="宋体" w:hAnsi="宋体" w:eastAsia="宋体" w:cs="宋体"/>
                <w:color w:val="000000"/>
                <w:kern w:val="0"/>
                <w:sz w:val="18"/>
                <w:szCs w:val="18"/>
              </w:rPr>
              <w:t>）依据技术方案介绍，现场答辩表现。（0-10分）</w:t>
            </w:r>
          </w:p>
        </w:tc>
      </w:tr>
      <w:tr w14:paraId="4FDBD62B">
        <w:tblPrEx>
          <w:tblCellMar>
            <w:top w:w="0" w:type="dxa"/>
            <w:left w:w="108" w:type="dxa"/>
            <w:bottom w:w="0" w:type="dxa"/>
            <w:right w:w="108" w:type="dxa"/>
          </w:tblCellMar>
        </w:tblPrEx>
        <w:trPr>
          <w:trHeight w:val="90" w:hRule="atLeast"/>
          <w:jc w:val="center"/>
        </w:trPr>
        <w:tc>
          <w:tcPr>
            <w:tcW w:w="373" w:type="pct"/>
            <w:vMerge w:val="continue"/>
            <w:tcBorders>
              <w:left w:val="single" w:color="000000" w:sz="4" w:space="0"/>
              <w:bottom w:val="single" w:color="000000" w:sz="4" w:space="0"/>
              <w:right w:val="single" w:color="000000" w:sz="4" w:space="0"/>
            </w:tcBorders>
            <w:noWrap/>
            <w:vAlign w:val="center"/>
          </w:tcPr>
          <w:p w14:paraId="192D3852">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1"/>
                <w:szCs w:val="21"/>
              </w:rPr>
            </w:pPr>
          </w:p>
        </w:tc>
        <w:tc>
          <w:tcPr>
            <w:tcW w:w="38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2587DD">
            <w:pPr>
              <w:pageBreakBefore w:val="0"/>
              <w:kinsoku/>
              <w:wordWrap/>
              <w:overflowPunct/>
              <w:topLinePunct w:val="0"/>
              <w:bidi w:val="0"/>
              <w:spacing w:line="360" w:lineRule="auto"/>
              <w:ind w:left="0" w:leftChars="0" w:right="0"/>
              <w:jc w:val="center"/>
              <w:rPr>
                <w:rFonts w:hint="eastAsia" w:ascii="宋体" w:hAnsi="宋体" w:eastAsia="宋体" w:cs="宋体"/>
                <w:color w:val="000000"/>
                <w:sz w:val="20"/>
                <w:szCs w:val="20"/>
              </w:rPr>
            </w:pP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2AF237FB">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经评标专家组确认符合技术要求的进入商务标</w:t>
            </w:r>
            <w:r>
              <w:rPr>
                <w:rFonts w:hint="eastAsia" w:ascii="宋体" w:hAnsi="宋体" w:eastAsia="宋体" w:cs="宋体"/>
                <w:color w:val="000000"/>
                <w:kern w:val="0"/>
                <w:sz w:val="18"/>
                <w:szCs w:val="18"/>
                <w:lang w:val="en-US" w:eastAsia="zh-CN"/>
              </w:rPr>
              <w:t>。</w:t>
            </w:r>
          </w:p>
        </w:tc>
      </w:tr>
      <w:tr w14:paraId="13A6C484">
        <w:tblPrEx>
          <w:tblCellMar>
            <w:top w:w="0" w:type="dxa"/>
            <w:left w:w="108" w:type="dxa"/>
            <w:bottom w:w="0" w:type="dxa"/>
            <w:right w:w="108" w:type="dxa"/>
          </w:tblCellMar>
        </w:tblPrEx>
        <w:trPr>
          <w:trHeight w:val="90" w:hRule="atLeast"/>
          <w:jc w:val="center"/>
        </w:trPr>
        <w:tc>
          <w:tcPr>
            <w:tcW w:w="373" w:type="pct"/>
            <w:tcBorders>
              <w:top w:val="single" w:color="000000" w:sz="4" w:space="0"/>
              <w:left w:val="single" w:color="000000" w:sz="4" w:space="0"/>
              <w:bottom w:val="single" w:color="000000" w:sz="4" w:space="0"/>
              <w:right w:val="single" w:color="000000" w:sz="4" w:space="0"/>
            </w:tcBorders>
            <w:noWrap/>
            <w:vAlign w:val="center"/>
          </w:tcPr>
          <w:p w14:paraId="39EEE1A4">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2105A13E">
            <w:pPr>
              <w:pageBreakBefore w:val="0"/>
              <w:widowControl/>
              <w:kinsoku/>
              <w:wordWrap/>
              <w:overflowPunct/>
              <w:topLinePunct w:val="0"/>
              <w:bidi w:val="0"/>
              <w:spacing w:line="360" w:lineRule="auto"/>
              <w:ind w:left="0" w:leftChars="0" w:right="0"/>
              <w:jc w:val="center"/>
              <w:textAlignment w:val="center"/>
              <w:rPr>
                <w:rFonts w:hint="eastAsia" w:ascii="宋体" w:hAnsi="宋体" w:eastAsia="宋体" w:cs="宋体"/>
                <w:color w:val="000000"/>
                <w:sz w:val="20"/>
                <w:szCs w:val="20"/>
              </w:rPr>
            </w:pPr>
            <w:r>
              <w:rPr>
                <w:rFonts w:hint="eastAsia" w:ascii="宋体" w:hAnsi="宋体" w:eastAsia="宋体" w:cs="宋体"/>
                <w:color w:val="000000"/>
                <w:kern w:val="0"/>
                <w:sz w:val="20"/>
                <w:szCs w:val="20"/>
              </w:rPr>
              <w:t>商务标</w:t>
            </w:r>
            <w:r>
              <w:rPr>
                <w:rFonts w:hint="eastAsia" w:ascii="宋体" w:hAnsi="宋体" w:eastAsia="宋体" w:cs="宋体"/>
                <w:color w:val="000000"/>
                <w:kern w:val="0"/>
                <w:sz w:val="20"/>
                <w:szCs w:val="20"/>
                <w:lang w:val="en-US" w:eastAsia="zh-CN"/>
              </w:rPr>
              <w:t>（占比60%）</w:t>
            </w:r>
          </w:p>
        </w:tc>
        <w:tc>
          <w:tcPr>
            <w:tcW w:w="4240" w:type="pct"/>
            <w:gridSpan w:val="4"/>
            <w:tcBorders>
              <w:top w:val="single" w:color="000000" w:sz="4" w:space="0"/>
              <w:left w:val="single" w:color="000000" w:sz="4" w:space="0"/>
              <w:bottom w:val="single" w:color="000000" w:sz="4" w:space="0"/>
              <w:right w:val="single" w:color="000000" w:sz="4" w:space="0"/>
            </w:tcBorders>
            <w:noWrap w:val="0"/>
            <w:vAlign w:val="center"/>
          </w:tcPr>
          <w:p w14:paraId="3B9C7ADC">
            <w:pPr>
              <w:pageBreakBefore w:val="0"/>
              <w:widowControl/>
              <w:kinsoku/>
              <w:wordWrap/>
              <w:overflowPunct/>
              <w:topLinePunct w:val="0"/>
              <w:bidi w:val="0"/>
              <w:spacing w:line="360" w:lineRule="auto"/>
              <w:ind w:left="0" w:leftChars="0" w:right="0"/>
              <w:jc w:val="left"/>
              <w:textAlignment w:val="center"/>
              <w:rPr>
                <w:rFonts w:hint="eastAsia" w:ascii="宋体" w:hAnsi="宋体" w:eastAsia="宋体" w:cs="宋体"/>
                <w:sz w:val="18"/>
                <w:szCs w:val="21"/>
              </w:rPr>
            </w:pPr>
            <w:r>
              <w:rPr>
                <w:rFonts w:hint="eastAsia" w:ascii="宋体" w:hAnsi="宋体" w:eastAsia="宋体" w:cs="宋体"/>
                <w:sz w:val="18"/>
                <w:szCs w:val="21"/>
                <w:highlight w:val="none"/>
                <w:lang w:val="en-US" w:eastAsia="zh-CN"/>
              </w:rPr>
              <w:t>本次为一家中标单位，商务标专家组与技术入围的有效投标人在其开标报价的基础上开展至少3轮商务谈判，价格分数采用低价优先法进行计算，各投标人的报价金额中，取最低价为评标基准价，其价格为满分。其它投标人的价格分数按照下列公式进行计算（数据四舍五入截止小数点后2位）：报价得分=（评标基准价/投标价）× 100%</w:t>
            </w:r>
          </w:p>
        </w:tc>
      </w:tr>
    </w:tbl>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676CEFC">
      <w:pPr>
        <w:pStyle w:val="5"/>
        <w:ind w:firstLine="602"/>
        <w:rPr>
          <w:rFonts w:hint="eastAsia" w:ascii="仿宋" w:hAnsi="仿宋" w:eastAsia="仿宋" w:cs="仿宋"/>
          <w:sz w:val="32"/>
          <w:szCs w:val="32"/>
        </w:rPr>
      </w:pPr>
      <w:bookmarkStart w:id="15" w:name="_Toc15717"/>
      <w:r>
        <w:rPr>
          <w:rFonts w:hint="eastAsia" w:ascii="仿宋" w:hAnsi="仿宋" w:eastAsia="仿宋" w:cs="仿宋"/>
          <w:bCs/>
          <w:sz w:val="28"/>
          <w:szCs w:val="28"/>
        </w:rPr>
        <w:t>附件</w:t>
      </w:r>
      <w:r>
        <w:rPr>
          <w:rFonts w:hint="eastAsia" w:ascii="仿宋" w:hAnsi="仿宋" w:eastAsia="仿宋" w:cs="仿宋"/>
          <w:bCs/>
          <w:sz w:val="28"/>
          <w:szCs w:val="28"/>
          <w:lang w:eastAsia="zh-CN"/>
        </w:rPr>
        <w:t>：</w:t>
      </w:r>
      <w:r>
        <w:rPr>
          <w:rFonts w:hint="eastAsia" w:ascii="仿宋" w:hAnsi="仿宋" w:eastAsia="仿宋" w:cs="仿宋"/>
          <w:bCs/>
          <w:sz w:val="28"/>
          <w:szCs w:val="28"/>
        </w:rPr>
        <w:t>踏勘现场登记表</w:t>
      </w:r>
      <w:bookmarkEnd w:id="15"/>
    </w:p>
    <w:p w14:paraId="6B883063">
      <w:pPr>
        <w:ind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rPr>
        <w:t>踏勘现场登记表</w:t>
      </w:r>
    </w:p>
    <w:p w14:paraId="37544C70">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pacing w:val="-1"/>
          <w:sz w:val="24"/>
          <w:szCs w:val="32"/>
        </w:rPr>
        <w:t>项目名称：</w:t>
      </w:r>
      <w:r>
        <w:rPr>
          <w:rFonts w:hint="eastAsia" w:ascii="仿宋" w:hAnsi="仿宋" w:eastAsia="仿宋" w:cs="仿宋"/>
          <w:spacing w:val="-1"/>
          <w:sz w:val="24"/>
          <w:szCs w:val="32"/>
          <w:u w:val="single" w:color="000000"/>
        </w:rPr>
        <w:tab/>
      </w:r>
      <w:r>
        <w:rPr>
          <w:rFonts w:hint="eastAsia" w:ascii="仿宋" w:hAnsi="仿宋" w:eastAsia="仿宋" w:cs="仿宋"/>
          <w:sz w:val="24"/>
          <w:szCs w:val="32"/>
        </w:rPr>
        <w:t xml:space="preserve"> </w:t>
      </w:r>
    </w:p>
    <w:p w14:paraId="4A447E00">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z w:val="24"/>
          <w:szCs w:val="32"/>
        </w:rPr>
        <w:t>项目编号：</w:t>
      </w:r>
      <w:r>
        <w:rPr>
          <w:rFonts w:hint="eastAsia" w:ascii="仿宋" w:hAnsi="仿宋" w:eastAsia="仿宋" w:cs="仿宋"/>
          <w:sz w:val="24"/>
          <w:szCs w:val="32"/>
          <w:u w:val="single"/>
        </w:rPr>
        <w:t xml:space="preserve">                  </w:t>
      </w:r>
      <w:r>
        <w:rPr>
          <w:rFonts w:hint="eastAsia" w:ascii="仿宋" w:hAnsi="仿宋" w:eastAsia="仿宋" w:cs="仿宋"/>
          <w:sz w:val="24"/>
          <w:szCs w:val="32"/>
        </w:rPr>
        <w:t>按采购文件规定。</w:t>
      </w:r>
    </w:p>
    <w:p w14:paraId="3714071C">
      <w:pPr>
        <w:tabs>
          <w:tab w:val="left" w:pos="6002"/>
        </w:tabs>
        <w:spacing w:before="34" w:after="120"/>
        <w:ind w:right="137" w:firstLine="476"/>
        <w:jc w:val="both"/>
        <w:rPr>
          <w:rFonts w:hint="eastAsia" w:ascii="仿宋" w:hAnsi="仿宋" w:eastAsia="仿宋" w:cs="仿宋"/>
          <w:sz w:val="24"/>
          <w:szCs w:val="32"/>
        </w:rPr>
      </w:pPr>
      <w:r>
        <w:rPr>
          <w:rFonts w:hint="eastAsia" w:ascii="仿宋" w:hAnsi="仿宋" w:eastAsia="仿宋" w:cs="仿宋"/>
          <w:spacing w:val="-1"/>
          <w:sz w:val="24"/>
          <w:szCs w:val="32"/>
        </w:rPr>
        <w:t>我方（公司名称：</w:t>
      </w:r>
      <w:r>
        <w:rPr>
          <w:rFonts w:hint="eastAsia" w:ascii="仿宋" w:hAnsi="仿宋" w:eastAsia="仿宋" w:cs="仿宋"/>
          <w:spacing w:val="-1"/>
          <w:sz w:val="24"/>
          <w:szCs w:val="32"/>
          <w:lang w:val="en-US" w:eastAsia="zh-CN"/>
        </w:rPr>
        <w:t>________________________</w:t>
      </w:r>
      <w:r>
        <w:rPr>
          <w:rFonts w:hint="eastAsia" w:ascii="仿宋" w:hAnsi="仿宋" w:eastAsia="仿宋" w:cs="仿宋"/>
          <w:sz w:val="24"/>
          <w:szCs w:val="32"/>
        </w:rPr>
        <w:t>）于</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月</w:t>
      </w:r>
      <w:r>
        <w:rPr>
          <w:rFonts w:hint="eastAsia" w:ascii="仿宋" w:hAnsi="仿宋" w:eastAsia="仿宋" w:cs="仿宋"/>
          <w:sz w:val="24"/>
          <w:szCs w:val="32"/>
          <w:u w:val="single" w:color="000000"/>
        </w:rPr>
        <w:tab/>
      </w:r>
      <w:r>
        <w:rPr>
          <w:rFonts w:hint="eastAsia" w:ascii="仿宋" w:hAnsi="仿宋" w:eastAsia="仿宋" w:cs="仿宋"/>
          <w:sz w:val="24"/>
          <w:szCs w:val="32"/>
          <w:u w:val="single" w:color="000000"/>
        </w:rPr>
        <w:t xml:space="preserve">  </w:t>
      </w:r>
      <w:r>
        <w:rPr>
          <w:rFonts w:hint="eastAsia" w:ascii="仿宋" w:hAnsi="仿宋" w:eastAsia="仿宋" w:cs="仿宋"/>
          <w:sz w:val="24"/>
          <w:szCs w:val="32"/>
        </w:rPr>
        <w:t>日完成现场踏勘且了解现场环境和要求，并根据采购人要求制定项目实施方案。</w:t>
      </w:r>
    </w:p>
    <w:p w14:paraId="0240B7F6">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 xml:space="preserve">此现场踏勘证明文件为响应文件有效组成部分（胶装于响应文件中）。 </w:t>
      </w:r>
    </w:p>
    <w:p w14:paraId="16E94149">
      <w:pPr>
        <w:tabs>
          <w:tab w:val="left" w:pos="2282"/>
        </w:tabs>
        <w:spacing w:before="36" w:after="120"/>
        <w:ind w:right="602" w:firstLine="480"/>
        <w:jc w:val="both"/>
        <w:rPr>
          <w:rFonts w:hint="eastAsia" w:ascii="仿宋" w:hAnsi="仿宋" w:eastAsia="仿宋" w:cs="仿宋"/>
          <w:sz w:val="24"/>
          <w:szCs w:val="32"/>
        </w:rPr>
      </w:pPr>
    </w:p>
    <w:p w14:paraId="584F7C54">
      <w:pPr>
        <w:pStyle w:val="9"/>
        <w:rPr>
          <w:rFonts w:hint="eastAsia"/>
        </w:rPr>
      </w:pPr>
    </w:p>
    <w:p w14:paraId="74DD9617">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供应商名称（盖公章）：</w:t>
      </w:r>
      <w:r>
        <w:rPr>
          <w:rFonts w:hint="eastAsia" w:ascii="仿宋" w:hAnsi="仿宋" w:eastAsia="仿宋" w:cs="仿宋"/>
          <w:sz w:val="24"/>
          <w:szCs w:val="32"/>
        </w:rPr>
        <w:tab/>
      </w:r>
    </w:p>
    <w:p w14:paraId="10C6572E">
      <w:pPr>
        <w:tabs>
          <w:tab w:val="left" w:pos="6182"/>
          <w:tab w:val="left" w:pos="6782"/>
        </w:tabs>
        <w:spacing w:before="144" w:after="120"/>
        <w:ind w:right="137" w:firstLine="480"/>
        <w:jc w:val="both"/>
        <w:rPr>
          <w:rFonts w:hint="eastAsia" w:ascii="仿宋" w:hAnsi="仿宋" w:eastAsia="仿宋" w:cs="仿宋"/>
          <w:sz w:val="24"/>
          <w:szCs w:val="32"/>
        </w:rPr>
      </w:pPr>
      <w:r>
        <w:rPr>
          <w:rFonts w:hint="eastAsia" w:ascii="仿宋" w:hAnsi="仿宋" w:eastAsia="仿宋" w:cs="仿宋"/>
          <w:sz w:val="24"/>
          <w:szCs w:val="32"/>
        </w:rPr>
        <w:t xml:space="preserve">踏勘时间: </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月  日</w:t>
      </w:r>
    </w:p>
    <w:p w14:paraId="0EDDC285">
      <w:pPr>
        <w:spacing w:before="5"/>
        <w:rPr>
          <w:rFonts w:hint="eastAsia" w:ascii="仿宋" w:hAnsi="仿宋" w:eastAsia="仿宋" w:cs="仿宋"/>
          <w:sz w:val="24"/>
          <w:szCs w:val="32"/>
        </w:rPr>
      </w:pPr>
    </w:p>
    <w:p w14:paraId="2BCE5396">
      <w:pPr>
        <w:pStyle w:val="9"/>
        <w:rPr>
          <w:rFonts w:hint="eastAsia"/>
        </w:rPr>
      </w:pPr>
    </w:p>
    <w:p w14:paraId="0969C34D">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招标单位</w:t>
      </w:r>
      <w:r>
        <w:rPr>
          <w:rFonts w:hint="eastAsia" w:ascii="仿宋" w:hAnsi="仿宋" w:eastAsia="仿宋" w:cs="仿宋"/>
          <w:sz w:val="24"/>
          <w:szCs w:val="32"/>
        </w:rPr>
        <w:t xml:space="preserve">：中国重汽集团济南动力有限公司 </w:t>
      </w:r>
    </w:p>
    <w:p w14:paraId="23274084">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被服务单位现场联络</w:t>
      </w:r>
      <w:r>
        <w:rPr>
          <w:rFonts w:hint="eastAsia" w:ascii="仿宋" w:hAnsi="仿宋" w:eastAsia="仿宋" w:cs="仿宋"/>
          <w:sz w:val="24"/>
          <w:szCs w:val="32"/>
        </w:rPr>
        <w:t>人（签字）：</w:t>
      </w:r>
    </w:p>
    <w:p w14:paraId="5762F502">
      <w:pPr>
        <w:tabs>
          <w:tab w:val="left" w:pos="6302"/>
          <w:tab w:val="left" w:pos="6782"/>
        </w:tabs>
        <w:spacing w:before="190" w:after="120"/>
        <w:ind w:right="137" w:firstLine="480"/>
        <w:jc w:val="both"/>
        <w:rPr>
          <w:rFonts w:hint="eastAsia" w:ascii="仿宋" w:hAnsi="仿宋" w:eastAsia="仿宋" w:cs="仿宋"/>
          <w:sz w:val="24"/>
          <w:szCs w:val="32"/>
        </w:rPr>
      </w:pPr>
      <w:r>
        <w:rPr>
          <w:rFonts w:hint="eastAsia" w:ascii="仿宋" w:hAnsi="仿宋" w:eastAsia="仿宋" w:cs="仿宋"/>
          <w:sz w:val="24"/>
          <w:szCs w:val="32"/>
        </w:rPr>
        <w:t>踏勘时间: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月  日</w:t>
      </w:r>
    </w:p>
    <w:p w14:paraId="5D09B9E6">
      <w:pPr>
        <w:ind w:firstLine="480"/>
        <w:rPr>
          <w:rFonts w:hint="eastAsia" w:ascii="仿宋" w:hAnsi="仿宋" w:eastAsia="仿宋" w:cs="仿宋"/>
          <w:sz w:val="24"/>
          <w:szCs w:val="32"/>
        </w:rPr>
      </w:pPr>
    </w:p>
    <w:p w14:paraId="22551E39">
      <w:pPr>
        <w:ind w:firstLine="480"/>
        <w:rPr>
          <w:rFonts w:hint="eastAsia" w:ascii="仿宋" w:hAnsi="仿宋" w:eastAsia="仿宋" w:cs="仿宋"/>
          <w:sz w:val="24"/>
          <w:szCs w:val="32"/>
        </w:rPr>
      </w:pPr>
    </w:p>
    <w:p w14:paraId="5DBE4F7B">
      <w:pPr>
        <w:pStyle w:val="9"/>
        <w:rPr>
          <w:rFonts w:hint="eastAsia"/>
        </w:rPr>
      </w:pPr>
    </w:p>
    <w:p w14:paraId="16512770">
      <w:pPr>
        <w:pStyle w:val="9"/>
        <w:ind w:firstLine="482"/>
        <w:rPr>
          <w:rFonts w:hint="eastAsia" w:ascii="仿宋" w:hAnsi="仿宋" w:eastAsia="仿宋"/>
          <w:b/>
          <w:bCs/>
          <w:sz w:val="28"/>
        </w:rPr>
      </w:pPr>
      <w:r>
        <w:rPr>
          <w:rFonts w:hint="eastAsia" w:ascii="仿宋" w:hAnsi="仿宋" w:eastAsia="仿宋" w:cs="仿宋"/>
          <w:b/>
          <w:kern w:val="0"/>
          <w:sz w:val="24"/>
          <w:szCs w:val="32"/>
        </w:rPr>
        <w:t>注：供应商自行打印该踏勘证明，完善信息并盖章。踏勘现场时带到现场由</w:t>
      </w:r>
      <w:r>
        <w:rPr>
          <w:rFonts w:hint="eastAsia" w:ascii="仿宋" w:hAnsi="仿宋" w:eastAsia="仿宋" w:cs="仿宋"/>
          <w:b/>
          <w:kern w:val="0"/>
          <w:sz w:val="24"/>
          <w:szCs w:val="32"/>
          <w:lang w:val="en-US" w:eastAsia="zh-CN"/>
        </w:rPr>
        <w:t>现场负责人</w:t>
      </w:r>
      <w:r>
        <w:rPr>
          <w:rFonts w:hint="eastAsia" w:ascii="仿宋" w:hAnsi="仿宋" w:eastAsia="仿宋" w:cs="仿宋"/>
          <w:b/>
          <w:kern w:val="0"/>
          <w:sz w:val="24"/>
          <w:szCs w:val="32"/>
        </w:rPr>
        <w:t>签字或盖章，原件胶装于响应文件正本中。</w:t>
      </w:r>
      <w:r>
        <w:rPr>
          <w:rFonts w:hint="eastAsia" w:ascii="仿宋" w:hAnsi="仿宋" w:eastAsia="仿宋"/>
          <w:b/>
          <w:bCs/>
          <w:sz w:val="28"/>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 w:name="_Toc353881012"/>
      <w:bookmarkStart w:id="17" w:name="_Toc25811"/>
      <w:bookmarkStart w:id="18" w:name="_Toc212369550"/>
      <w:bookmarkStart w:id="19"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
      <w:bookmarkEnd w:id="17"/>
      <w:bookmarkEnd w:id="18"/>
      <w:bookmarkEnd w:id="1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章丘工业园区消防泵房维修项目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67DE96D3">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6"/>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5"/>
        <w:rPr>
          <w:rFonts w:ascii="Times New Roman" w:hAnsi="Times New Roman" w:eastAsia="宋体" w:cs="Times New Roman"/>
          <w:b/>
          <w:bCs/>
          <w:color w:val="000000"/>
          <w:sz w:val="24"/>
          <w:szCs w:val="24"/>
        </w:rPr>
      </w:pPr>
    </w:p>
    <w:p w14:paraId="37100778">
      <w:pPr>
        <w:pStyle w:val="25"/>
        <w:rPr>
          <w:rFonts w:ascii="Times New Roman" w:hAnsi="Times New Roman" w:eastAsia="宋体" w:cs="Times New Roman"/>
          <w:b/>
          <w:bCs/>
          <w:color w:val="000000"/>
          <w:sz w:val="24"/>
          <w:szCs w:val="24"/>
        </w:rPr>
      </w:pPr>
    </w:p>
    <w:p w14:paraId="39756F36">
      <w:pPr>
        <w:pStyle w:val="25"/>
        <w:rPr>
          <w:rFonts w:ascii="Times New Roman" w:hAnsi="Times New Roman" w:eastAsia="宋体" w:cs="Times New Roman"/>
          <w:b/>
          <w:bCs/>
          <w:color w:val="000000"/>
          <w:sz w:val="24"/>
          <w:szCs w:val="24"/>
        </w:rPr>
      </w:pPr>
    </w:p>
    <w:p w14:paraId="73D8D3DE">
      <w:pPr>
        <w:pStyle w:val="25"/>
        <w:rPr>
          <w:rFonts w:ascii="Times New Roman" w:hAnsi="Times New Roman" w:eastAsia="宋体" w:cs="Times New Roman"/>
          <w:b/>
          <w:bCs/>
          <w:color w:val="000000"/>
          <w:sz w:val="24"/>
          <w:szCs w:val="24"/>
        </w:rPr>
      </w:pPr>
    </w:p>
    <w:p w14:paraId="527F4C72">
      <w:pPr>
        <w:pStyle w:val="25"/>
        <w:rPr>
          <w:rFonts w:ascii="Times New Roman" w:hAnsi="Times New Roman" w:eastAsia="宋体" w:cs="Times New Roman"/>
          <w:b/>
          <w:bCs/>
          <w:color w:val="000000"/>
          <w:sz w:val="24"/>
          <w:szCs w:val="24"/>
        </w:rPr>
      </w:pPr>
    </w:p>
    <w:p w14:paraId="792B9788">
      <w:pPr>
        <w:pStyle w:val="25"/>
        <w:rPr>
          <w:rFonts w:ascii="Times New Roman" w:hAnsi="Times New Roman" w:eastAsia="宋体" w:cs="Times New Roman"/>
          <w:b/>
          <w:bCs/>
          <w:color w:val="000000"/>
          <w:sz w:val="24"/>
          <w:szCs w:val="24"/>
        </w:rPr>
      </w:pPr>
    </w:p>
    <w:p w14:paraId="54D6387F">
      <w:pPr>
        <w:pStyle w:val="25"/>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5"/>
        <w:outlineLvl w:val="3"/>
        <w:rPr>
          <w:rFonts w:hint="eastAsia"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C50A21">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4"/>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项目名称：</w:t>
      </w:r>
      <w:r>
        <w:rPr>
          <w:rFonts w:hint="eastAsia" w:ascii="仿宋" w:hAnsi="仿宋" w:eastAsia="仿宋"/>
          <w:sz w:val="24"/>
          <w:szCs w:val="28"/>
          <w:lang w:val="en-US" w:eastAsia="zh-CN"/>
        </w:rPr>
        <w:t>章丘工业园区消防泵房维修项目</w:t>
      </w:r>
    </w:p>
    <w:tbl>
      <w:tblPr>
        <w:tblStyle w:val="48"/>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章丘工业园区消防泵房维修项目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tbl>
      <w:tblPr>
        <w:tblStyle w:val="48"/>
        <w:tblpPr w:leftFromText="180" w:rightFromText="180" w:vertAnchor="text" w:horzAnchor="page" w:tblpX="1743" w:tblpY="1506"/>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0"/>
        <w:gridCol w:w="2051"/>
        <w:gridCol w:w="1592"/>
        <w:gridCol w:w="522"/>
        <w:gridCol w:w="674"/>
        <w:gridCol w:w="764"/>
        <w:gridCol w:w="896"/>
        <w:gridCol w:w="1133"/>
        <w:gridCol w:w="1134"/>
      </w:tblGrid>
      <w:tr w14:paraId="7269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27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C3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项目名称</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709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95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6C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F1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3C05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kern w:val="0"/>
                <w:sz w:val="22"/>
                <w:szCs w:val="22"/>
                <w:u w:val="none"/>
                <w:lang w:val="en-US" w:eastAsia="zh-CN" w:bidi="ar"/>
              </w:rPr>
              <w:t>（未税）</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B5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B0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合计（含税）</w:t>
            </w:r>
          </w:p>
        </w:tc>
      </w:tr>
      <w:tr w14:paraId="3CE84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E7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FFE74">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锈蚀螺栓更换</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0F8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EFA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499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BA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D6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50F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0F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38ECB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36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75C9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室外消防水池检查井盖板制作更换</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B8B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304不锈钢板材厚度1.2mm定制：(1.5m*1.5m*0.15m）</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C52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0F6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52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D5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B5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3B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08E49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8D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7583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混凝土</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717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C30，80米长*1米宽*0.3米厚</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928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建泽等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E2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立方米</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B2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4C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47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43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54F7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89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768D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泵房内应急照明灯、疏散指示灯更换</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D26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M3058</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22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山大华天等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E3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5D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7B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88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87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1D31C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C9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554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泵房内三防双管日光灯更换</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043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T8LED，其中4盏为三防应急日光灯</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64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敏华等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9B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8C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40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62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859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0982B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D1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E8EE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增加安全泄压阀</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9E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DN65，包含焊接法兰、配套螺栓、橡胶垫片等</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6BA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上海申建等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00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AF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CF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2F0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39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31CF9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E6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1D0F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泵房管道除锈油漆（设备、阀门、管道及室外水池透气管道、斜梯）</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5F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DN65～DN350、包含粉刷、中度锈蚀、人工除锈、醇酸防锈漆一道、调和漆二道</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5FA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立邦等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E5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A7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DB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3A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45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4E41D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39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9B70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排风机控制箱更换</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398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定制智能控制箱</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EEE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2FF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1C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12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BA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B8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2D4CB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1A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E88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智能水浸探测报警设备</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1F9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DH-ARD911，24V，信号连接中控室</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05F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大华等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DA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CDB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38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3A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FAA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23D6B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E68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A92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304不锈钢档鼠板</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191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304不锈钢</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EDA3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47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36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571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3B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40C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392AC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397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B92D">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增加消防电话</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1C0C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信号连接至中控室</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A21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A6A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A2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A0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20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D0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4D8A6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8C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0C05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泵房至商用车监控室电话线</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BBF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NH-RVVP4*1.5</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D82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阳谷等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04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3D2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D5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87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68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1196C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E6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4B12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就地水池液位显示装置</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4C5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300*400*140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0FA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上海蓝宇等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2A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FA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A4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C1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630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708D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FF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090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泵房电缆敷设</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FB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YJY3*125+2*70,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A66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阳谷等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AD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25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3D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6E7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23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17E31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E0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84F6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4台控制柜内二次配线更换</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D90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80平方线80米120平方线80米4平方线200米</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E9C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9C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B6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822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D7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88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16530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BA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67EE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4台控制柜按钮及指示灯更换</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78E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1.5平方线200米，按钮16，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指示灯24</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253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14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76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FC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DF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DF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3913A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314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14B9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4台控制柜内消防线路整理、调试及完善机械应急启动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61C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直启线1200米，加装机械直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启装置；食堂、变速箱、商用车远程启泵测试</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38F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94B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91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0F0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68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C6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539CB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41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BF79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更换生锈三相交流接触器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5D9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AC-380v,CJ20-400A</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1F8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正泰等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FB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8B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DF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4E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271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613B9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FD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08D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泵房内阀门增加标识标牌</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F0E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699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非标定制</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F6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9A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A6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04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A93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0772E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D1B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DD0C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食堂监控室至商用车监控室主机连接电缆</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D29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NH-KVV12*1.5</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F5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阳谷等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59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B6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529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66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D74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7524E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CF9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9697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水平定向钻全自动穿管机</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765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机械租赁，电线电缆地下管道敷设</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43B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机械租赁</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4D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台班</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34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C75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C8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903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28018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86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427A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泵房内环氧地坪漆</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D19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640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立邦等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ED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7F61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6F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56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61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4FF28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8A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6AE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消防管网压力传感器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CEF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M20*1.5/4-20MA/0-2.5MPa，信号线2400米</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FC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大华等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8B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B4B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57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32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09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42F4F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B69E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C37A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空调维修移位</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6AA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3匹</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EBB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格力等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3616">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4F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EA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BB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5D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05313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1D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749B">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F0B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6芯GYTS/GYTA</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9D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烽火等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2F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29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B8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CE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94F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4AF2B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D5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046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光纤转换盒</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2C4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环网式CAN转光纤中继器HW-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CANFiber-120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837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E1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CEA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21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4BF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161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434B0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66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DC3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接口卡</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6CE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LWK5000H-CAN</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D90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秦皇岛海湾等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81A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75A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A31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CD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8C0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21C32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14C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12643">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应急照明及疏散指示灯安装</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0D0A6">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BAA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劳士等</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69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4F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07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26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2A9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0E24F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64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1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C88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水池护边</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69BB2">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0D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2D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立方米</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84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4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4E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7D9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8D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r w14:paraId="5C016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778"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7398706">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89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D7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r>
    </w:tbl>
    <w:p w14:paraId="1C51BD95">
      <w:pPr>
        <w:jc w:val="center"/>
        <w:rPr>
          <w:rFonts w:hint="eastAsia" w:eastAsia="黑体"/>
          <w:b/>
          <w:bCs/>
          <w:sz w:val="28"/>
        </w:rPr>
      </w:pPr>
    </w:p>
    <w:p w14:paraId="1C9AE857">
      <w:pPr>
        <w:rPr>
          <w:rFonts w:hint="eastAsia" w:eastAsia="黑体"/>
          <w:b/>
          <w:bCs/>
          <w:sz w:val="28"/>
        </w:rPr>
      </w:pPr>
      <w:r>
        <w:rPr>
          <w:rFonts w:hint="eastAsia" w:eastAsia="黑体"/>
          <w:b/>
          <w:bCs/>
          <w:sz w:val="28"/>
        </w:rPr>
        <w:br w:type="page"/>
      </w:r>
    </w:p>
    <w:p w14:paraId="6616D12C">
      <w:pPr>
        <w:jc w:val="center"/>
        <w:rPr>
          <w:rFonts w:eastAsia="黑体"/>
          <w:b/>
          <w:bCs/>
          <w:sz w:val="28"/>
        </w:rPr>
      </w:pPr>
      <w:r>
        <w:rPr>
          <w:rFonts w:hint="eastAsia" w:eastAsia="黑体"/>
          <w:b/>
          <w:bCs/>
          <w:sz w:val="28"/>
        </w:rPr>
        <w:t>相关条款偏离表（含商务偏离及技术偏离）</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2F6FC544">
      <w:pPr>
        <w:rPr>
          <w:rFonts w:hint="eastAsia" w:hAnsi="宋体" w:eastAsia="宋体" w:cs="宋体"/>
          <w:b/>
          <w:bCs/>
          <w:color w:val="000000"/>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A866AE8">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E192CE"/>
    <w:multiLevelType w:val="singleLevel"/>
    <w:tmpl w:val="FDE192CE"/>
    <w:lvl w:ilvl="0" w:tentative="0">
      <w:start w:val="4"/>
      <w:numFmt w:val="decimal"/>
      <w:suff w:val="nothing"/>
      <w:lvlText w:val="（%1）"/>
      <w:lvlJc w:val="left"/>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0"/>
  </w:num>
  <w:num w:numId="5">
    <w:abstractNumId w:val="11"/>
  </w:num>
  <w:num w:numId="6">
    <w:abstractNumId w:val="2"/>
  </w:num>
  <w:num w:numId="7">
    <w:abstractNumId w:val="6"/>
  </w:num>
  <w:num w:numId="8">
    <w:abstractNumId w:val="5"/>
  </w:num>
  <w:num w:numId="9">
    <w:abstractNumId w:val="10"/>
  </w:num>
  <w:num w:numId="10">
    <w:abstractNumId w:val="3"/>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BEB0202"/>
    <w:rsid w:val="0D326CC2"/>
    <w:rsid w:val="0EA03360"/>
    <w:rsid w:val="10FE7942"/>
    <w:rsid w:val="1378147A"/>
    <w:rsid w:val="13D35827"/>
    <w:rsid w:val="1868332D"/>
    <w:rsid w:val="1DA82577"/>
    <w:rsid w:val="1E1170AC"/>
    <w:rsid w:val="22A44CDF"/>
    <w:rsid w:val="25F44B01"/>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9D2840"/>
    <w:rsid w:val="48A82A9E"/>
    <w:rsid w:val="4A082E0A"/>
    <w:rsid w:val="4AC268B8"/>
    <w:rsid w:val="4CC51E60"/>
    <w:rsid w:val="4CD949FD"/>
    <w:rsid w:val="4F4A4FC8"/>
    <w:rsid w:val="50D74B46"/>
    <w:rsid w:val="51654692"/>
    <w:rsid w:val="54D67D81"/>
    <w:rsid w:val="54D7260C"/>
    <w:rsid w:val="57E02431"/>
    <w:rsid w:val="58055C15"/>
    <w:rsid w:val="58AE4B70"/>
    <w:rsid w:val="5AA3574A"/>
    <w:rsid w:val="5F377063"/>
    <w:rsid w:val="5FF411EE"/>
    <w:rsid w:val="62E50A5D"/>
    <w:rsid w:val="633A3E82"/>
    <w:rsid w:val="673F2C72"/>
    <w:rsid w:val="68C06BDA"/>
    <w:rsid w:val="69F8009E"/>
    <w:rsid w:val="6AB76068"/>
    <w:rsid w:val="6C9132F0"/>
    <w:rsid w:val="6D5B701C"/>
    <w:rsid w:val="736A2597"/>
    <w:rsid w:val="74995770"/>
    <w:rsid w:val="75CD3E17"/>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09"/>
    <w:qFormat/>
    <w:uiPriority w:val="0"/>
    <w:pPr>
      <w:spacing w:after="120"/>
      <w:ind w:left="420" w:leftChars="200" w:firstLine="420" w:firstLineChars="200"/>
    </w:pPr>
    <w:rPr>
      <w:kern w:val="2"/>
      <w:sz w:val="21"/>
    </w:rPr>
  </w:style>
  <w:style w:type="paragraph" w:styleId="3">
    <w:name w:val="Body Text Indent"/>
    <w:basedOn w:val="1"/>
    <w:link w:val="110"/>
    <w:qFormat/>
    <w:uiPriority w:val="0"/>
    <w:pPr>
      <w:ind w:firstLine="360"/>
    </w:pPr>
    <w:rPr>
      <w:kern w:val="0"/>
      <w:sz w:val="28"/>
      <w:szCs w:val="24"/>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link w:val="77"/>
    <w:qFormat/>
    <w:uiPriority w:val="99"/>
    <w:rPr>
      <w:sz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1"/>
    <w:link w:val="121"/>
    <w:qFormat/>
    <w:uiPriority w:val="0"/>
    <w:pPr>
      <w:spacing w:after="120"/>
      <w:ind w:firstLine="420" w:firstLineChars="100"/>
    </w:pPr>
    <w:rPr>
      <w:rFonts w:ascii="宋体" w:hAnsi="宋体"/>
      <w:color w:val="000000"/>
      <w:lang w:val="zh-CN"/>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1"/>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1"/>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1"/>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37</Pages>
  <Words>11724</Words>
  <Characters>12109</Characters>
  <Lines>52</Lines>
  <Paragraphs>14</Paragraphs>
  <TotalTime>12</TotalTime>
  <ScaleCrop>false</ScaleCrop>
  <LinksUpToDate>false</LinksUpToDate>
  <CharactersWithSpaces>12614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年少轻狂</cp:lastModifiedBy>
  <cp:lastPrinted>2020-01-08T06:44:00Z</cp:lastPrinted>
  <dcterms:modified xsi:type="dcterms:W3CDTF">2025-11-18T08:30:29Z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eyJoZGlkIjoiZTZkNDE3ZGE4Mjk4YmFlZDAwMWNlODJlYzdjMzk3YmQiLCJ1c2VySWQiOiI4MjIwMDM3MTEifQ==</vt:lpwstr>
  </property>
</Properties>
</file>