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lang w:val="en-US" w:eastAsia="zh-CN"/>
        </w:rPr>
        <w:t>中国重汽集团济南汽车部件有限公司转向伸缩轴总成工序能力提升项目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FSCZB2025110279</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w:t>
      </w:r>
      <w:r>
        <w:rPr>
          <w:rFonts w:hint="eastAsia" w:ascii="宋体" w:hAnsi="宋体"/>
          <w:sz w:val="28"/>
          <w:szCs w:val="28"/>
          <w:highlight w:val="none"/>
        </w:rPr>
        <w:t>中国重汽集团济南汽车部件有限公司</w:t>
      </w:r>
    </w:p>
    <w:p w14:paraId="0D8A0D9A">
      <w:pPr>
        <w:jc w:val="center"/>
        <w:rPr>
          <w:rFonts w:ascii="宋体" w:hAnsi="宋体"/>
          <w:sz w:val="28"/>
          <w:szCs w:val="28"/>
        </w:rPr>
      </w:pPr>
    </w:p>
    <w:p w14:paraId="09CB3C92">
      <w:pPr>
        <w:jc w:val="center"/>
        <w:rPr>
          <w:rFonts w:ascii="宋体" w:hAnsi="宋体"/>
          <w:b/>
          <w:bCs/>
          <w:sz w:val="48"/>
          <w:szCs w:val="48"/>
          <w:highlight w:val="non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highlight w:val="none"/>
          <w:u w:val="single"/>
          <w:lang w:val="en-US" w:eastAsia="zh-CN"/>
        </w:rPr>
        <w:t>11</w:t>
      </w:r>
      <w:r>
        <w:rPr>
          <w:rFonts w:hint="eastAsia" w:ascii="宋体" w:hAnsi="宋体"/>
          <w:sz w:val="28"/>
          <w:szCs w:val="28"/>
          <w:highlight w:val="none"/>
          <w:u w:val="single"/>
        </w:rPr>
        <w:t>月</w:t>
      </w:r>
    </w:p>
    <w:p w14:paraId="59BA5E62">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showingPlcHdr/>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6617A57C">
          <w:pPr>
            <w:pStyle w:val="20"/>
          </w:pPr>
          <w:r>
            <w:rPr>
              <w:rFonts w:hint="eastAsia" w:ascii="Times New Roman" w:hAnsi="Times New Roman" w:cs="Times New Roman"/>
              <w:color w:val="auto"/>
              <w:kern w:val="2"/>
              <w:sz w:val="21"/>
              <w:szCs w:val="20"/>
              <w:lang w:val="zh-CN"/>
            </w:rPr>
            <w:t xml:space="preserve">     </w:t>
          </w:r>
        </w:p>
      </w:sdtContent>
    </w:sdt>
    <w:p w14:paraId="582BF911">
      <w:pPr>
        <w:pStyle w:val="14"/>
        <w:tabs>
          <w:tab w:val="left" w:pos="2940"/>
        </w:tabs>
        <w:spacing w:line="360" w:lineRule="auto"/>
      </w:pPr>
      <w:r>
        <w:tab/>
      </w:r>
    </w:p>
    <w:p w14:paraId="29FEE1FC">
      <w:pPr>
        <w:pStyle w:val="14"/>
        <w:spacing w:line="360" w:lineRule="auto"/>
        <w:jc w:val="center"/>
      </w:pPr>
    </w:p>
    <w:p w14:paraId="5818ACE6">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highlight w:val="none"/>
          <w:u w:val="single"/>
          <w:lang w:val="en-US" w:eastAsia="zh-CN"/>
        </w:rPr>
        <w:t>转向伸缩轴总成工序能力提升项目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rPr>
          <w:highlight w:val="none"/>
        </w:rPr>
      </w:pPr>
      <w:r>
        <w:rPr>
          <w:rFonts w:hint="eastAsia"/>
          <w:highlight w:val="none"/>
        </w:rPr>
        <w:t>项目名称：</w:t>
      </w:r>
      <w:r>
        <w:rPr>
          <w:rFonts w:hint="eastAsia"/>
          <w:highlight w:val="none"/>
          <w:lang w:val="en-US" w:eastAsia="zh-CN"/>
        </w:rPr>
        <w:t>转向伸缩轴总成工序能力提升项目</w:t>
      </w:r>
    </w:p>
    <w:p w14:paraId="15020D03">
      <w:pPr>
        <w:pStyle w:val="73"/>
        <w:rPr>
          <w:highlight w:val="none"/>
        </w:rPr>
      </w:pPr>
      <w:r>
        <w:rPr>
          <w:rFonts w:hint="eastAsia"/>
          <w:highlight w:val="none"/>
        </w:rPr>
        <w:t>项目编号：</w:t>
      </w:r>
      <w:r>
        <w:rPr>
          <w:rFonts w:hint="eastAsia"/>
          <w:highlight w:val="none"/>
          <w:lang w:val="en-US" w:eastAsia="zh-CN"/>
        </w:rPr>
        <w:t>FSCZB2025110279</w:t>
      </w:r>
    </w:p>
    <w:p w14:paraId="0AB9F24D">
      <w:pPr>
        <w:pStyle w:val="72"/>
        <w:rPr>
          <w:highlight w:val="none"/>
        </w:rPr>
      </w:pPr>
      <w:bookmarkStart w:id="4" w:name="_Toc47976589"/>
      <w:r>
        <w:rPr>
          <w:rFonts w:hint="eastAsia"/>
          <w:highlight w:val="none"/>
          <w:lang w:val="en-US" w:eastAsia="zh-CN"/>
        </w:rPr>
        <w:t>项目概况</w:t>
      </w:r>
      <w:r>
        <w:rPr>
          <w:rFonts w:hint="eastAsia"/>
          <w:highlight w:val="none"/>
        </w:rPr>
        <w:t>及招标形式</w:t>
      </w:r>
      <w:bookmarkEnd w:id="4"/>
    </w:p>
    <w:p w14:paraId="1A912F05">
      <w:pPr>
        <w:pStyle w:val="73"/>
        <w:numPr>
          <w:ilvl w:val="0"/>
          <w:numId w:val="9"/>
        </w:numPr>
        <w:rPr>
          <w:highlight w:val="none"/>
        </w:rPr>
      </w:pPr>
      <w:r>
        <w:rPr>
          <w:rFonts w:hint="eastAsia"/>
          <w:highlight w:val="none"/>
        </w:rPr>
        <w:t>招标内容：</w:t>
      </w:r>
      <w:r>
        <w:rPr>
          <w:rFonts w:hint="eastAsia"/>
          <w:highlight w:val="none"/>
          <w:lang w:val="en-US" w:eastAsia="zh-CN"/>
        </w:rPr>
        <w:t>新增1台钢球装配专机</w:t>
      </w:r>
    </w:p>
    <w:p w14:paraId="4EC58B63">
      <w:pPr>
        <w:pStyle w:val="73"/>
        <w:rPr>
          <w:highlight w:val="none"/>
        </w:rPr>
      </w:pPr>
      <w:r>
        <w:rPr>
          <w:rFonts w:hint="eastAsia"/>
          <w:highlight w:val="none"/>
        </w:rPr>
        <w:t>招标形式：</w:t>
      </w:r>
      <w:r>
        <w:rPr>
          <w:rFonts w:hint="eastAsia"/>
          <w:highlight w:val="none"/>
          <w:lang w:val="en-US" w:eastAsia="zh-CN"/>
        </w:rPr>
        <w:t>公开招标</w:t>
      </w:r>
    </w:p>
    <w:p w14:paraId="0B813421">
      <w:pPr>
        <w:pStyle w:val="72"/>
        <w:rPr>
          <w:highlight w:val="none"/>
        </w:rPr>
      </w:pPr>
      <w:bookmarkStart w:id="5" w:name="_Toc47976590"/>
      <w:r>
        <w:rPr>
          <w:rFonts w:hint="eastAsia"/>
          <w:highlight w:val="none"/>
        </w:rPr>
        <w:t>投标人资格要求</w:t>
      </w:r>
      <w:bookmarkEnd w:id="5"/>
    </w:p>
    <w:p w14:paraId="41703A27">
      <w:pPr>
        <w:pStyle w:val="73"/>
        <w:numPr>
          <w:ilvl w:val="0"/>
          <w:numId w:val="10"/>
        </w:numPr>
        <w:bidi w:val="0"/>
        <w:rPr>
          <w:rFonts w:hint="eastAsia"/>
          <w:highlight w:val="none"/>
          <w:lang w:val="en-US" w:eastAsia="zh-CN"/>
        </w:rPr>
      </w:pPr>
      <w:r>
        <w:rPr>
          <w:rFonts w:hint="eastAsia"/>
          <w:highlight w:val="none"/>
          <w:lang w:val="en-US" w:eastAsia="zh-CN"/>
        </w:rPr>
        <w:t>投标人条件</w:t>
      </w:r>
    </w:p>
    <w:p w14:paraId="37EE338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1.1投标人须遵守《中华人民共和国招标投标法》及其它有关的法律和法规；为中华人民共和国境内注册的独立法人机构，具有独立承担民事责任能力；</w:t>
      </w:r>
    </w:p>
    <w:p w14:paraId="669E3911">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*1.2公司成立三年以上（以营业执照成立日期到开标当日满三年为准）；注册资金不少于200万；经营范围满足招标项目需求；</w:t>
      </w:r>
    </w:p>
    <w:p w14:paraId="42ECA51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*1.3投标人须提供具有统一社会信用代码的新版营业执照副本原件及复印件（加盖公章）；</w:t>
      </w:r>
    </w:p>
    <w:p w14:paraId="14AF91B6">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1.4具有良好的商业信誉，在国家企业信用信息公示系统中无与招标项目相关的重大行政处罚、列入经营异常名录和列入严重违法失信企业名单（黑名单）信息或上述信息已被移除。</w:t>
      </w:r>
    </w:p>
    <w:p w14:paraId="391D62E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1.5投标人在近三年内在经营活动中无违法记录。</w:t>
      </w:r>
    </w:p>
    <w:p w14:paraId="0C6E6DA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1.6具有健全的财务会计制度，财务状况和市场行为良好。没有处于被有权机关吊销营业执照、吊销资质、停业整顿、取消投标资格以及财产被接管、冻结或进入破产程序等。</w:t>
      </w:r>
    </w:p>
    <w:p w14:paraId="0861F7A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1.7投标人没有被列入招标人处《黑名单》（《黑名单》指投标人与招标人在以往或正在进行的合作中，存在招标人认为的违反合同约定或违反法律法规等的失信行为）的。</w:t>
      </w:r>
    </w:p>
    <w:p w14:paraId="0D9A7553">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65A512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*1.9投标人须提供法人授权委托书原件（在投标文件副本中可用复印件）及投标单位的法定代表人或授权代表的身份证原件及复印件（加盖公章）；</w:t>
      </w:r>
    </w:p>
    <w:p w14:paraId="232B338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1.10投标人须具有履行合同所必须的设备、财务、技术、服务等方面的资质和能力；</w:t>
      </w:r>
    </w:p>
    <w:p w14:paraId="21602586">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1.11投标人须具有完全履行招标文件的所有要求的能力；</w:t>
      </w:r>
    </w:p>
    <w:p w14:paraId="0C70887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1.12投标人须负责提供合理的便于运输的包装物，并承担相关费用；</w:t>
      </w:r>
    </w:p>
    <w:p w14:paraId="10416B5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1.13投标人须认可招标人的工作指令，包括节、假日能正常开展工作的要求；</w:t>
      </w:r>
    </w:p>
    <w:p w14:paraId="00B93E2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1.14投标人必须是最终投标、签订合同的单位，不得以任何理由将已中标项目以任何形式转包给其他单位；</w:t>
      </w:r>
    </w:p>
    <w:p w14:paraId="4CC32BAA">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1.15本次招标项目不接受联合体投标；不接受代理商投标；</w:t>
      </w:r>
    </w:p>
    <w:p w14:paraId="3E9DD653">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*1.16投标人在向招标人出示《投标保证金缴纳凭证》后方可进行投标；</w:t>
      </w:r>
    </w:p>
    <w:p w14:paraId="7AC6D16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1.17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1.18投标人须提供类似业绩合同原件。</w:t>
      </w:r>
    </w:p>
    <w:p w14:paraId="7A940CFE">
      <w:pPr>
        <w:pStyle w:val="73"/>
        <w:numPr>
          <w:ilvl w:val="0"/>
          <w:numId w:val="10"/>
        </w:numPr>
        <w:bidi w:val="0"/>
        <w:rPr>
          <w:rFonts w:hint="eastAsia"/>
          <w:highlight w:val="none"/>
          <w:lang w:val="en-US" w:eastAsia="zh-CN"/>
        </w:rPr>
      </w:pPr>
      <w:r>
        <w:rPr>
          <w:rFonts w:hint="eastAsia"/>
          <w:highlight w:val="none"/>
          <w:lang w:val="en-US" w:eastAsia="zh-CN"/>
        </w:rPr>
        <w:t>资质文件组成</w:t>
      </w:r>
    </w:p>
    <w:p w14:paraId="075FA8D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2.1法定代表人身份证明；</w:t>
      </w:r>
    </w:p>
    <w:p w14:paraId="167F231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2.2法定代表人授权委托书（授权人需带身份证原件）；</w:t>
      </w:r>
    </w:p>
    <w:p w14:paraId="0A87C0E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2.3营业执照副本原件或复印件并加盖公章；</w:t>
      </w:r>
    </w:p>
    <w:p w14:paraId="7EA815B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2.4证明投标人满足投标资料表中列出的业绩要求的文件；</w:t>
      </w:r>
    </w:p>
    <w:p w14:paraId="21DE8E5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34D021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2.6企业最近半年完税证明、信用证明材料（征信报告）；</w:t>
      </w:r>
    </w:p>
    <w:p w14:paraId="041FCEC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2.7年度纳税信用评价信息（可从电子税务局查询截图，需加盖公章）；</w:t>
      </w:r>
    </w:p>
    <w:p w14:paraId="4413E48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2.8企业对外担保说明（写明贵单位对外有无对外担保和质押业务，需加盖公章）。</w:t>
      </w:r>
    </w:p>
    <w:p w14:paraId="53DF7D5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2.9信用中国截图或国家企业信用信息公示系统截图；</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2.10投标保证金缴纳凭证，同时正文描述付款账号、户名、开户行名称、开户行行号、保证金金额。</w:t>
      </w:r>
    </w:p>
    <w:p w14:paraId="76B97D53">
      <w:pPr>
        <w:pStyle w:val="72"/>
        <w:rPr>
          <w:highlight w:val="none"/>
        </w:rPr>
      </w:pPr>
      <w:bookmarkStart w:id="6" w:name="_Toc47976591"/>
      <w:r>
        <w:rPr>
          <w:rFonts w:hint="eastAsia"/>
          <w:highlight w:val="none"/>
        </w:rPr>
        <w:t>报名及招标文件的获取</w:t>
      </w:r>
      <w:bookmarkEnd w:id="6"/>
    </w:p>
    <w:p w14:paraId="485CA7D6">
      <w:pPr>
        <w:pStyle w:val="73"/>
        <w:numPr>
          <w:ilvl w:val="0"/>
          <w:numId w:val="11"/>
        </w:numPr>
        <w:bidi w:val="0"/>
        <w:rPr>
          <w:rFonts w:hint="eastAsia"/>
          <w:lang w:val="en-US" w:eastAsia="zh-CN"/>
        </w:rPr>
      </w:pPr>
      <w:r>
        <w:rPr>
          <w:rFonts w:hint="eastAsia"/>
          <w:lang w:val="en-US" w:eastAsia="zh-CN"/>
        </w:rPr>
        <w:t>应标报名截止时间：</w:t>
      </w:r>
      <w:r>
        <w:rPr>
          <w:rFonts w:hint="eastAsia"/>
          <w:highlight w:val="none"/>
          <w:lang w:val="en-US" w:eastAsia="zh-CN"/>
        </w:rPr>
        <w:t>2025年12月8日17:00</w:t>
      </w:r>
    </w:p>
    <w:p w14:paraId="40DCF92F">
      <w:pPr>
        <w:pStyle w:val="73"/>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3"/>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w:t>
      </w:r>
      <w:r>
        <w:rPr>
          <w:rFonts w:hint="eastAsia"/>
          <w:highlight w:val="none"/>
          <w:lang w:val="en-US" w:eastAsia="zh-CN"/>
        </w:rPr>
        <w:t>非生产供应商注册手册”（附件）进行注册，注册完毕后按照“SRM系统供应商用户手册”（附件），登</w:t>
      </w:r>
      <w:r>
        <w:rPr>
          <w:rFonts w:hint="eastAsia"/>
          <w:lang w:val="en-US" w:eastAsia="zh-CN"/>
        </w:rPr>
        <w:t>录重汽e采通平台后进入“供应商应标”，选择对应的项目，点击“应标”后按照招标公告中“投标人资格要求-资质文件</w:t>
      </w:r>
      <w:r>
        <w:rPr>
          <w:rFonts w:hint="eastAsia"/>
          <w:highlight w:val="none"/>
          <w:lang w:val="en-US" w:eastAsia="zh-CN"/>
        </w:rPr>
        <w:t>”中的2.1-2.9</w:t>
      </w:r>
      <w:r>
        <w:rPr>
          <w:rFonts w:hint="eastAsia"/>
          <w:lang w:val="en-US" w:eastAsia="zh-CN"/>
        </w:rPr>
        <w:t>准备资料并上传，资质审查通过即为报名成功；公示期间请尽快报名。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w:t>
      </w:r>
      <w:r>
        <w:rPr>
          <w:rFonts w:hint="eastAsia"/>
          <w:b/>
          <w:bCs/>
          <w:highlight w:val="yellow"/>
          <w:lang w:val="en-US" w:eastAsia="zh-CN"/>
        </w:rPr>
        <w:t>重汽E采通系统近三年财务数据更新</w:t>
      </w:r>
      <w:r>
        <w:rPr>
          <w:rFonts w:hint="eastAsia"/>
          <w:b/>
          <w:bCs/>
          <w:lang w:val="en-US" w:eastAsia="zh-CN"/>
        </w:rPr>
        <w:t>及应标操作，注册审核需2-4日，应标截止时间精确到秒，逾期将无法应标。请自行掌握时间，避免无法应标。</w:t>
      </w:r>
    </w:p>
    <w:p w14:paraId="4509C0DA">
      <w:pPr>
        <w:pStyle w:val="72"/>
        <w:rPr>
          <w:highlight w:val="none"/>
        </w:rPr>
      </w:pPr>
      <w:bookmarkStart w:id="7" w:name="_Toc47976592"/>
      <w:r>
        <w:rPr>
          <w:rFonts w:hint="eastAsia"/>
          <w:highlight w:val="none"/>
        </w:rPr>
        <w:t>投标文件的递交</w:t>
      </w:r>
      <w:bookmarkEnd w:id="7"/>
    </w:p>
    <w:p w14:paraId="7FBD455B">
      <w:pPr>
        <w:pStyle w:val="73"/>
        <w:numPr>
          <w:ilvl w:val="0"/>
          <w:numId w:val="12"/>
        </w:numPr>
        <w:bidi w:val="0"/>
        <w:rPr>
          <w:rFonts w:hint="eastAsia"/>
          <w:lang w:val="en-US" w:eastAsia="zh-CN"/>
        </w:rPr>
      </w:pPr>
      <w:r>
        <w:rPr>
          <w:rFonts w:hint="eastAsia"/>
          <w:lang w:val="en-US" w:eastAsia="zh-CN"/>
        </w:rPr>
        <w:t>投标截止时间：</w:t>
      </w:r>
      <w:r>
        <w:rPr>
          <w:rFonts w:hint="eastAsia"/>
          <w:highlight w:val="none"/>
          <w:lang w:val="en-US" w:eastAsia="zh-CN"/>
        </w:rPr>
        <w:t>2025年12月16日9:00（北京时间）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3"/>
        <w:bidi w:val="0"/>
        <w:rPr>
          <w:rFonts w:hint="eastAsia"/>
          <w:highlight w:val="none"/>
          <w:lang w:val="en-US" w:eastAsia="zh-CN"/>
        </w:rPr>
      </w:pPr>
      <w:r>
        <w:rPr>
          <w:rFonts w:hint="eastAsia"/>
          <w:lang w:val="en-US" w:eastAsia="zh-CN"/>
        </w:rPr>
        <w:t>投标文件的组成：项目投标文件为电子版投标文件（电子版为纸质盖章版的扫描件或加盖电子章，不盖章无效），</w:t>
      </w:r>
      <w:r>
        <w:rPr>
          <w:rFonts w:hint="eastAsia"/>
          <w:highlight w:val="none"/>
          <w:lang w:val="en-US" w:eastAsia="zh-CN"/>
        </w:rPr>
        <w:t>由《投标文件（资质标）》、《投标文件（技术标）》、《投标文件（商务标）》（开标一览表）文件组成，共计3个文件。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highlight w:val="none"/>
          <w:lang w:val="en-US" w:eastAsia="zh-CN"/>
        </w:rPr>
      </w:pPr>
      <w:r>
        <w:rPr>
          <w:rFonts w:hint="default"/>
          <w:b/>
          <w:bCs/>
          <w:highlight w:val="none"/>
          <w:lang w:val="en-US" w:eastAsia="zh-CN"/>
        </w:rPr>
        <w:t>《投标文件（资质标）》一个文件（里面是全部资质投标书），投标文件（技术标）》一个文件（里面是全部技术投标书）</w:t>
      </w:r>
      <w:r>
        <w:rPr>
          <w:rFonts w:hint="eastAsia"/>
          <w:b/>
          <w:bCs/>
          <w:highlight w:val="none"/>
          <w:lang w:val="en-US" w:eastAsia="zh-CN"/>
        </w:rPr>
        <w:t>，</w:t>
      </w:r>
      <w:r>
        <w:rPr>
          <w:rFonts w:hint="default"/>
          <w:b/>
          <w:bCs/>
          <w:highlight w:val="none"/>
          <w:lang w:val="en-US" w:eastAsia="zh-CN"/>
        </w:rPr>
        <w:t>《投标文件（商务标）》（开标一览表）一个文件（里面是全部商务投标书），具体组成等详细要求见招标文件“第一部分投标人须知-投标说明-投标文件的组成”。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3"/>
        <w:bidi w:val="0"/>
        <w:rPr>
          <w:rFonts w:hint="default"/>
          <w:lang w:val="en-US" w:eastAsia="zh-CN"/>
        </w:rPr>
      </w:pPr>
      <w:r>
        <w:rPr>
          <w:rFonts w:hint="eastAsia"/>
          <w:lang w:val="en-US" w:eastAsia="zh-CN"/>
        </w:rPr>
        <w:t>投标方式：在中国重汽e采通平台应标成功后，进入“供应商投标”环节，投递盖章扫描版电子标</w:t>
      </w:r>
      <w:r>
        <w:rPr>
          <w:rFonts w:hint="eastAsia"/>
          <w:highlight w:val="none"/>
          <w:lang w:val="en-US" w:eastAsia="zh-CN"/>
        </w:rPr>
        <w:t>书（包含资质标书、技术标书、商务标书），</w:t>
      </w:r>
      <w:r>
        <w:rPr>
          <w:rFonts w:hint="eastAsia"/>
          <w:lang w:val="en-US" w:eastAsia="zh-CN"/>
        </w:rPr>
        <w:t>若逾期未在中国重汽e采通平台上传电子标书，一律视为无效投标。</w:t>
      </w:r>
    </w:p>
    <w:p w14:paraId="27B65ABD">
      <w:pPr>
        <w:pStyle w:val="72"/>
        <w:rPr>
          <w:highlight w:val="none"/>
        </w:rPr>
      </w:pPr>
      <w:r>
        <w:rPr>
          <w:rFonts w:hint="eastAsia"/>
          <w:highlight w:val="none"/>
          <w:lang w:val="en-US" w:eastAsia="zh-CN"/>
        </w:rPr>
        <w:t>开标时间和地点</w:t>
      </w:r>
    </w:p>
    <w:p w14:paraId="114306E8">
      <w:pPr>
        <w:pStyle w:val="73"/>
        <w:numPr>
          <w:ilvl w:val="0"/>
          <w:numId w:val="13"/>
        </w:numPr>
        <w:bidi w:val="0"/>
        <w:rPr>
          <w:rFonts w:hint="default"/>
          <w:highlight w:val="none"/>
          <w:lang w:val="en-US" w:eastAsia="zh-CN"/>
        </w:rPr>
      </w:pPr>
      <w:r>
        <w:rPr>
          <w:rFonts w:hint="eastAsia"/>
          <w:highlight w:val="none"/>
          <w:lang w:val="en-US" w:eastAsia="zh-CN"/>
        </w:rPr>
        <w:t>开标时间：2025年12月16日9:00（待定，投标完成后联系商务联系人，发送投标保证金缴纳凭证获取会议链接号）</w:t>
      </w:r>
    </w:p>
    <w:p w14:paraId="1EEA171A">
      <w:pPr>
        <w:pStyle w:val="73"/>
        <w:bidi w:val="0"/>
        <w:rPr>
          <w:rFonts w:hint="default"/>
          <w:highlight w:val="none"/>
          <w:lang w:val="en-US" w:eastAsia="zh-CN"/>
        </w:rPr>
      </w:pPr>
      <w:r>
        <w:rPr>
          <w:rFonts w:hint="eastAsia"/>
          <w:highlight w:val="none"/>
          <w:lang w:val="en-US" w:eastAsia="zh-CN"/>
        </w:rPr>
        <w:t>开标地点：线上会议</w:t>
      </w:r>
    </w:p>
    <w:p w14:paraId="22385406">
      <w:pPr>
        <w:pStyle w:val="72"/>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highlight w:val="none"/>
        </w:rPr>
      </w:pPr>
      <w:r>
        <w:rPr>
          <w:rFonts w:hint="eastAsia"/>
          <w:b/>
          <w:bCs/>
          <w:highlight w:val="none"/>
        </w:rPr>
        <w:t>本次招标公告同时在中国重汽官网等公开媒体上发布。</w:t>
      </w:r>
    </w:p>
    <w:p w14:paraId="65FC2213">
      <w:pPr>
        <w:pStyle w:val="72"/>
        <w:rPr>
          <w:highlight w:val="none"/>
        </w:rPr>
      </w:pPr>
      <w:bookmarkStart w:id="9" w:name="_Toc47976594"/>
      <w:r>
        <w:rPr>
          <w:rFonts w:hint="eastAsia"/>
          <w:highlight w:val="none"/>
        </w:rPr>
        <w:t>联系方式</w:t>
      </w:r>
      <w:bookmarkEnd w:id="9"/>
    </w:p>
    <w:p w14:paraId="42E108E9">
      <w:pPr>
        <w:pStyle w:val="73"/>
        <w:numPr>
          <w:ilvl w:val="0"/>
          <w:numId w:val="14"/>
        </w:numPr>
        <w:bidi w:val="0"/>
        <w:rPr>
          <w:rFonts w:hint="default"/>
          <w:lang w:val="en-US" w:eastAsia="zh-CN"/>
        </w:rPr>
      </w:pPr>
      <w:r>
        <w:rPr>
          <w:rFonts w:hint="eastAsia"/>
          <w:lang w:val="en-US" w:eastAsia="zh-CN"/>
        </w:rPr>
        <w:t>招标人名称</w:t>
      </w:r>
      <w:r>
        <w:rPr>
          <w:rFonts w:hint="eastAsia"/>
          <w:highlight w:val="none"/>
          <w:lang w:val="en-US" w:eastAsia="zh-CN"/>
        </w:rPr>
        <w:t>：中国重汽集团济南汽车部件有限公司</w:t>
      </w:r>
    </w:p>
    <w:p w14:paraId="6C22F13D">
      <w:pPr>
        <w:pStyle w:val="73"/>
        <w:numPr>
          <w:ilvl w:val="0"/>
          <w:numId w:val="14"/>
        </w:numPr>
        <w:bidi w:val="0"/>
        <w:rPr>
          <w:rFonts w:hint="default"/>
          <w:lang w:val="en-US" w:eastAsia="zh-CN"/>
        </w:rPr>
      </w:pPr>
      <w:r>
        <w:rPr>
          <w:rFonts w:hint="eastAsia"/>
          <w:lang w:val="en-US" w:eastAsia="zh-CN"/>
        </w:rPr>
        <w:t>商务联系人：袁晖/17860605118; 邮箱：yuanhui@sinotruk.com</w:t>
      </w:r>
    </w:p>
    <w:p w14:paraId="67A3FFAC">
      <w:pPr>
        <w:pStyle w:val="73"/>
        <w:numPr>
          <w:ilvl w:val="0"/>
          <w:numId w:val="14"/>
        </w:numPr>
        <w:bidi w:val="0"/>
        <w:rPr>
          <w:rFonts w:hint="default"/>
          <w:highlight w:val="none"/>
          <w:lang w:val="en-US" w:eastAsia="zh-CN"/>
        </w:rPr>
      </w:pPr>
      <w:r>
        <w:rPr>
          <w:rFonts w:hint="eastAsia"/>
          <w:highlight w:val="none"/>
          <w:lang w:val="en-US" w:eastAsia="zh-CN"/>
        </w:rPr>
        <w:t>技术联系人：祝司涛/17860601083； 邮箱：zhust@sinotruk.com</w:t>
      </w:r>
    </w:p>
    <w:p w14:paraId="5F538BD8">
      <w:pPr>
        <w:pStyle w:val="76"/>
      </w:pPr>
    </w:p>
    <w:p w14:paraId="04C96706">
      <w:pPr>
        <w:pStyle w:val="76"/>
      </w:pPr>
    </w:p>
    <w:p w14:paraId="353BCD50">
      <w:pPr>
        <w:pStyle w:val="76"/>
      </w:pPr>
    </w:p>
    <w:p w14:paraId="36B83ECE">
      <w:pPr>
        <w:pStyle w:val="76"/>
      </w:pPr>
    </w:p>
    <w:p w14:paraId="3E7CB93A">
      <w:pPr>
        <w:pStyle w:val="76"/>
      </w:pPr>
    </w:p>
    <w:p w14:paraId="2C78A741">
      <w:pPr>
        <w:pStyle w:val="76"/>
      </w:pPr>
    </w:p>
    <w:p w14:paraId="17B15541">
      <w:pPr>
        <w:pStyle w:val="76"/>
      </w:pPr>
    </w:p>
    <w:p w14:paraId="6D9C3374">
      <w:pPr>
        <w:pStyle w:val="76"/>
      </w:pPr>
    </w:p>
    <w:p w14:paraId="70CEDBCF">
      <w:pPr>
        <w:pStyle w:val="76"/>
      </w:pPr>
    </w:p>
    <w:p w14:paraId="69D21024">
      <w:pPr>
        <w:pStyle w:val="76"/>
      </w:pPr>
    </w:p>
    <w:p w14:paraId="4E95C503">
      <w:pPr>
        <w:pStyle w:val="76"/>
      </w:pPr>
    </w:p>
    <w:p w14:paraId="53B7E62A">
      <w:pPr>
        <w:pStyle w:val="76"/>
      </w:pPr>
    </w:p>
    <w:p w14:paraId="7E52B34B">
      <w:pPr>
        <w:pStyle w:val="76"/>
      </w:pPr>
    </w:p>
    <w:p w14:paraId="600DAAA9">
      <w:pPr>
        <w:pStyle w:val="76"/>
      </w:pPr>
    </w:p>
    <w:p w14:paraId="7B3FBFD9">
      <w:pPr>
        <w:pStyle w:val="76"/>
      </w:pPr>
    </w:p>
    <w:p w14:paraId="697E3D43">
      <w:pPr>
        <w:pStyle w:val="76"/>
      </w:pPr>
    </w:p>
    <w:p w14:paraId="750E9369">
      <w:pPr>
        <w:pStyle w:val="76"/>
      </w:pPr>
    </w:p>
    <w:p w14:paraId="65E5D147">
      <w:pPr>
        <w:pStyle w:val="76"/>
      </w:pPr>
    </w:p>
    <w:p w14:paraId="6118E6A3">
      <w:pPr>
        <w:pStyle w:val="76"/>
      </w:pPr>
    </w:p>
    <w:p w14:paraId="1204B94D">
      <w:pPr>
        <w:pStyle w:val="76"/>
      </w:pPr>
    </w:p>
    <w:p w14:paraId="11C4A449">
      <w:pPr>
        <w:pStyle w:val="76"/>
      </w:pPr>
    </w:p>
    <w:p w14:paraId="3D820EEC">
      <w:pPr>
        <w:pStyle w:val="71"/>
      </w:pPr>
      <w:bookmarkStart w:id="10" w:name="_Toc47976595"/>
      <w:bookmarkStart w:id="11" w:name="_Toc7753"/>
      <w:r>
        <w:rPr>
          <w:rFonts w:hint="eastAsia"/>
        </w:rPr>
        <w:t>第一部分  投标人须知</w:t>
      </w:r>
      <w:bookmarkEnd w:id="10"/>
      <w:bookmarkEnd w:id="11"/>
    </w:p>
    <w:p w14:paraId="418340FC">
      <w:pPr>
        <w:pStyle w:val="72"/>
        <w:numPr>
          <w:ilvl w:val="0"/>
          <w:numId w:val="15"/>
        </w:numPr>
        <w:ind w:left="420"/>
        <w:jc w:val="left"/>
      </w:pPr>
      <w:bookmarkStart w:id="12" w:name="_Toc47976596"/>
      <w:r>
        <w:rPr>
          <w:rFonts w:hint="eastAsia"/>
        </w:rPr>
        <w:t>项目介绍</w:t>
      </w:r>
      <w:bookmarkEnd w:id="12"/>
    </w:p>
    <w:p w14:paraId="6360E7CD">
      <w:pPr>
        <w:pStyle w:val="76"/>
        <w:numPr>
          <w:ilvl w:val="0"/>
          <w:numId w:val="16"/>
        </w:numPr>
        <w:ind w:left="425" w:leftChars="0" w:hanging="425" w:firstLineChars="0"/>
        <w:rPr>
          <w:highlight w:val="none"/>
        </w:rPr>
      </w:pPr>
      <w:r>
        <w:rPr>
          <w:rFonts w:hint="eastAsia"/>
        </w:rPr>
        <w:t>项目名称</w:t>
      </w:r>
      <w:r>
        <w:rPr>
          <w:rFonts w:hint="eastAsia"/>
          <w:highlight w:val="none"/>
        </w:rPr>
        <w:t>：</w:t>
      </w:r>
      <w:r>
        <w:rPr>
          <w:rFonts w:hint="eastAsia"/>
          <w:highlight w:val="none"/>
          <w:lang w:val="en-US" w:eastAsia="zh-CN"/>
        </w:rPr>
        <w:t>转向伸缩轴总成工序能力提升项目</w:t>
      </w:r>
    </w:p>
    <w:p w14:paraId="17A97EAA">
      <w:pPr>
        <w:pStyle w:val="76"/>
        <w:numPr>
          <w:ilvl w:val="0"/>
          <w:numId w:val="16"/>
        </w:numPr>
        <w:ind w:left="425" w:leftChars="0" w:hanging="425" w:firstLineChars="0"/>
        <w:rPr>
          <w:highlight w:val="none"/>
        </w:rPr>
      </w:pPr>
      <w:r>
        <w:rPr>
          <w:rFonts w:hint="eastAsia"/>
          <w:highlight w:val="none"/>
        </w:rPr>
        <w:t>项目编号：</w:t>
      </w:r>
      <w:r>
        <w:rPr>
          <w:rFonts w:hint="eastAsia"/>
          <w:highlight w:val="none"/>
          <w:lang w:val="en-US" w:eastAsia="zh-CN"/>
        </w:rPr>
        <w:t>FSCZB2025110279</w:t>
      </w:r>
    </w:p>
    <w:p w14:paraId="5C6CF568">
      <w:pPr>
        <w:pStyle w:val="76"/>
        <w:numPr>
          <w:ilvl w:val="0"/>
          <w:numId w:val="16"/>
        </w:numPr>
        <w:ind w:left="425" w:leftChars="0" w:hanging="425" w:firstLineChars="0"/>
        <w:rPr>
          <w:highlight w:val="none"/>
        </w:rPr>
      </w:pPr>
      <w:r>
        <w:rPr>
          <w:rFonts w:hint="eastAsia"/>
          <w:highlight w:val="none"/>
        </w:rPr>
        <w:t>招标形式：</w:t>
      </w:r>
      <w:bookmarkStart w:id="13" w:name="_Toc47112482"/>
      <w:r>
        <w:rPr>
          <w:rFonts w:hint="eastAsia"/>
          <w:highlight w:val="none"/>
          <w:lang w:val="en-US" w:eastAsia="zh-CN"/>
        </w:rPr>
        <w:t>公开招标</w:t>
      </w:r>
    </w:p>
    <w:p w14:paraId="742B3A80">
      <w:pPr>
        <w:pStyle w:val="76"/>
        <w:numPr>
          <w:ilvl w:val="0"/>
          <w:numId w:val="16"/>
        </w:numPr>
        <w:ind w:left="425" w:leftChars="0" w:hanging="425" w:firstLineChars="0"/>
        <w:rPr>
          <w:highlight w:val="none"/>
        </w:rPr>
      </w:pPr>
      <w:r>
        <w:rPr>
          <w:rFonts w:hint="eastAsia"/>
          <w:highlight w:val="none"/>
          <w:lang w:val="en-US" w:eastAsia="zh-CN"/>
        </w:rPr>
        <w:t>项目概况：新增1台钢球装配专机</w:t>
      </w:r>
    </w:p>
    <w:p w14:paraId="151561C8">
      <w:pPr>
        <w:pStyle w:val="76"/>
        <w:numPr>
          <w:ilvl w:val="0"/>
          <w:numId w:val="16"/>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6"/>
        </w:numPr>
        <w:ind w:left="425" w:leftChars="0" w:hanging="425" w:firstLineChars="0"/>
        <w:rPr>
          <w:rFonts w:hint="default" w:cs="Times New Roman"/>
          <w:u w:val="none"/>
          <w:lang w:val="en-US" w:eastAsia="zh-CN"/>
        </w:rPr>
      </w:pPr>
      <w:r>
        <w:rPr>
          <w:rFonts w:hint="eastAsia"/>
          <w:lang w:val="en-US" w:eastAsia="zh-CN"/>
        </w:rPr>
        <w:t>报价：</w:t>
      </w:r>
    </w:p>
    <w:p w14:paraId="304D211B">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报价：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6648D6C5">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（2）报价货币：人民币（应同时报含税价和不含税价，写明税率）。</w:t>
      </w:r>
    </w:p>
    <w:p w14:paraId="2BE21298">
      <w:pPr>
        <w:pStyle w:val="76"/>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（3）投标限价：人民币</w:t>
      </w:r>
      <w:r>
        <w:rPr>
          <w:rFonts w:hint="eastAsia" w:cs="Times New Roman"/>
          <w:b/>
          <w:bCs/>
          <w:i w:val="0"/>
          <w:iCs w:val="0"/>
          <w:color w:val="auto"/>
          <w:highlight w:val="none"/>
          <w:u w:val="none"/>
          <w:lang w:val="en-US" w:eastAsia="zh-CN"/>
        </w:rPr>
        <w:t>40万元</w:t>
      </w:r>
      <w:r>
        <w:rPr>
          <w:rFonts w:hint="eastAsia" w:cs="Times New Roman"/>
          <w:b w:val="0"/>
          <w:bCs w:val="0"/>
          <w:color w:val="auto"/>
          <w:highlight w:val="none"/>
          <w:u w:val="none"/>
          <w:lang w:val="en-US" w:eastAsia="zh-CN"/>
        </w:rPr>
        <w:t>（含税），超过投标限价无法投标。</w:t>
      </w:r>
    </w:p>
    <w:bookmarkEnd w:id="13"/>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6"/>
        <w:numPr>
          <w:ilvl w:val="0"/>
          <w:numId w:val="17"/>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日</w:t>
      </w:r>
    </w:p>
    <w:p w14:paraId="41FDA27A">
      <w:pPr>
        <w:pStyle w:val="76"/>
        <w:numPr>
          <w:ilvl w:val="0"/>
          <w:numId w:val="17"/>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6"/>
        <w:numPr>
          <w:ilvl w:val="0"/>
          <w:numId w:val="17"/>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9</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6"/>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7"/>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9</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6"/>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keepNext w:val="0"/>
        <w:keepLines w:val="0"/>
        <w:pageBreakBefore w:val="0"/>
        <w:widowControl w:val="0"/>
        <w:numPr>
          <w:ilvl w:val="0"/>
          <w:numId w:val="17"/>
        </w:numPr>
        <w:kinsoku/>
        <w:wordWrap/>
        <w:overflowPunct/>
        <w:topLinePunct w:val="0"/>
        <w:autoSpaceDE/>
        <w:autoSpaceDN/>
        <w:bidi w:val="0"/>
        <w:adjustRightInd/>
        <w:snapToGrid/>
        <w:ind w:left="0" w:firstLine="0"/>
        <w:textAlignment w:val="auto"/>
        <w:rPr>
          <w:rFonts w:hint="eastAsia"/>
          <w:highlight w:val="none"/>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p>
    <w:p w14:paraId="6DC2B408">
      <w:pPr>
        <w:pStyle w:val="76"/>
        <w:numPr>
          <w:ilvl w:val="0"/>
          <w:numId w:val="17"/>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2025年12月8日17:00</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3"/>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投标人编写的投标文件由《投标文件（资质标）》、《投标文件（技术标）》、《投标文件（商务标）》（开标一览表）文件组成，共</w:t>
      </w:r>
      <w:r>
        <w:rPr>
          <w:rFonts w:hint="eastAsia"/>
          <w:highlight w:val="none"/>
          <w:lang w:val="en-US" w:eastAsia="zh-CN"/>
        </w:rPr>
        <w:t>计</w:t>
      </w:r>
      <w:r>
        <w:rPr>
          <w:rFonts w:hint="eastAsia"/>
          <w:highlight w:val="none"/>
          <w:u w:val="single"/>
          <w:lang w:val="en-US" w:eastAsia="zh-CN"/>
        </w:rPr>
        <w:t>3</w:t>
      </w:r>
      <w:r>
        <w:rPr>
          <w:rFonts w:hint="eastAsia"/>
          <w:lang w:val="en-US" w:eastAsia="zh-CN"/>
        </w:rPr>
        <w:t>个文件。</w:t>
      </w:r>
    </w:p>
    <w:p w14:paraId="2DD7BA97">
      <w:pPr>
        <w:pStyle w:val="74"/>
        <w:numPr>
          <w:ilvl w:val="0"/>
          <w:numId w:val="19"/>
        </w:numPr>
        <w:ind w:left="425" w:leftChars="0" w:hanging="425" w:firstLineChars="0"/>
        <w:rPr>
          <w:b w:val="0"/>
          <w:bCs/>
          <w:highlight w:val="none"/>
        </w:rPr>
      </w:pPr>
      <w:r>
        <w:rPr>
          <w:rFonts w:hint="eastAsia"/>
          <w:b w:val="0"/>
          <w:bCs/>
          <w:highlight w:val="none"/>
        </w:rPr>
        <w:t>资质文件：</w:t>
      </w:r>
    </w:p>
    <w:p w14:paraId="3AB968FF">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法定代表人身份证明；</w:t>
      </w:r>
    </w:p>
    <w:p w14:paraId="38FCE8C3">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shd w:val="clear" w:color="auto" w:fill="auto"/>
        </w:rPr>
      </w:pPr>
      <w:r>
        <w:rPr>
          <w:rFonts w:hint="eastAsia"/>
          <w:shd w:val="clear" w:color="auto" w:fill="auto"/>
        </w:rPr>
        <w:t>法定代表人授权委托书（授权人需带身份证原件）；</w:t>
      </w:r>
    </w:p>
    <w:p w14:paraId="61475670">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shd w:val="clear" w:color="auto" w:fill="auto"/>
        </w:rPr>
      </w:pPr>
      <w:r>
        <w:rPr>
          <w:rFonts w:hint="eastAsia"/>
          <w:shd w:val="clear" w:color="auto" w:fill="auto"/>
        </w:rPr>
        <w:t>营业执照副本原件</w:t>
      </w:r>
      <w:r>
        <w:rPr>
          <w:rFonts w:hint="eastAsia"/>
          <w:shd w:val="clear" w:color="auto" w:fill="auto"/>
          <w:lang w:val="en-US" w:eastAsia="zh-CN"/>
        </w:rPr>
        <w:t>或复印件并加盖公章</w:t>
      </w:r>
      <w:r>
        <w:rPr>
          <w:rFonts w:hint="eastAsia"/>
          <w:shd w:val="clear" w:color="auto" w:fill="auto"/>
        </w:rPr>
        <w:t>；</w:t>
      </w:r>
    </w:p>
    <w:p w14:paraId="5DF83FDE">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shd w:val="clear" w:color="auto" w:fill="auto"/>
        </w:rPr>
      </w:pPr>
      <w:r>
        <w:rPr>
          <w:rFonts w:hint="eastAsia"/>
          <w:shd w:val="clear" w:color="auto" w:fill="auto"/>
        </w:rPr>
        <w:t>证明投标人满足投标资料表中列出的业绩要求的文件</w:t>
      </w:r>
      <w:r>
        <w:rPr>
          <w:rFonts w:hint="eastAsia"/>
          <w:shd w:val="clear" w:color="auto" w:fill="auto"/>
          <w:lang w:eastAsia="zh-CN"/>
        </w:rPr>
        <w:t>；</w:t>
      </w:r>
    </w:p>
    <w:p w14:paraId="60E5176D">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84E8721">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企业最近半年完税证明、信用证明材料（征信报告）；</w:t>
      </w:r>
    </w:p>
    <w:p w14:paraId="126BA795">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年度纳税信用评价信息（可从电子税务局查询截图，需加盖公章）；</w:t>
      </w:r>
    </w:p>
    <w:p w14:paraId="0CC283E4">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shd w:val="clear" w:color="auto" w:fill="auto"/>
        </w:rPr>
      </w:pPr>
      <w:r>
        <w:rPr>
          <w:rFonts w:hint="eastAsia"/>
          <w:shd w:val="clear" w:color="auto" w:fill="auto"/>
        </w:rPr>
        <w:t>企业对外担保说明（写明贵单位对外有无对外担保和质押业务，需加盖公章）。</w:t>
      </w:r>
    </w:p>
    <w:p w14:paraId="68C56D25">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eastAsia="宋体"/>
          <w:lang w:eastAsia="zh-CN"/>
        </w:rPr>
      </w:pPr>
      <w:r>
        <w:rPr>
          <w:rFonts w:hint="eastAsia"/>
          <w:shd w:val="clear" w:color="auto" w:fill="auto"/>
        </w:rPr>
        <w:t>信用中国截图或国家企业信用信息公示系统截图；</w:t>
      </w:r>
    </w:p>
    <w:p w14:paraId="5A12E06C">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lang w:eastAsia="zh-CN"/>
        </w:rPr>
      </w:pPr>
      <w:r>
        <w:rPr>
          <w:rFonts w:hint="eastAsia"/>
          <w:shd w:val="clear" w:color="auto" w:fill="auto"/>
          <w:lang w:eastAsia="zh-CN"/>
        </w:rPr>
        <w:t>投标保证金缴纳凭证，同时正文描述付款账号、户名、开户行名称、开户行行号、保证金金额。</w:t>
      </w:r>
    </w:p>
    <w:p w14:paraId="78419646">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pPr>
      <w:r>
        <w:rPr>
          <w:rFonts w:hint="eastAsia"/>
          <w:shd w:val="clear" w:color="auto" w:fill="auto"/>
        </w:rPr>
        <w:t>招标文件中要求的其它资格证明文件。</w:t>
      </w:r>
    </w:p>
    <w:p w14:paraId="0FCAA68A">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9"/>
        </w:numPr>
        <w:ind w:left="425" w:leftChars="0" w:hanging="425" w:firstLineChars="0"/>
        <w:rPr>
          <w:rFonts w:hint="eastAsia" w:cs="Times New Roman"/>
          <w:b w:val="0"/>
          <w:bCs/>
          <w:highlight w:val="none"/>
        </w:rPr>
      </w:pPr>
      <w:r>
        <w:rPr>
          <w:rFonts w:hint="eastAsia" w:cs="Times New Roman"/>
          <w:b w:val="0"/>
          <w:bCs/>
          <w:highlight w:val="none"/>
        </w:rPr>
        <w:t>技术标：</w:t>
      </w:r>
    </w:p>
    <w:p w14:paraId="64E6C4B6">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技术配置对比表。</w:t>
      </w:r>
    </w:p>
    <w:p w14:paraId="6B540F7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投标设备配置明细表；</w:t>
      </w:r>
    </w:p>
    <w:p w14:paraId="314095FA">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技术规格偏离表；</w:t>
      </w:r>
    </w:p>
    <w:p w14:paraId="32A15DC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产品的技术服务和售后服务内容及措施；</w:t>
      </w:r>
    </w:p>
    <w:p w14:paraId="411F7828">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交货进度及计划；</w:t>
      </w:r>
    </w:p>
    <w:p w14:paraId="50C3728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投标产品技术支持材料；</w:t>
      </w:r>
    </w:p>
    <w:p w14:paraId="7EBF7E07">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设备质量承诺函（附件）；</w:t>
      </w:r>
    </w:p>
    <w:p w14:paraId="0E666DDE">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投标人需提交的其它资料。</w:t>
      </w:r>
    </w:p>
    <w:p w14:paraId="47175D6D">
      <w:pPr>
        <w:pStyle w:val="74"/>
        <w:numPr>
          <w:ilvl w:val="0"/>
          <w:numId w:val="19"/>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开标一览表；</w:t>
      </w:r>
    </w:p>
    <w:p w14:paraId="0DFA5CBE">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投标函（格式见附件）</w:t>
      </w:r>
      <w:r>
        <w:rPr>
          <w:rFonts w:hint="eastAsia"/>
          <w:highlight w:val="none"/>
          <w:lang w:eastAsia="zh-CN"/>
        </w:rPr>
        <w:t>；</w:t>
      </w:r>
    </w:p>
    <w:p w14:paraId="5C36F232">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商务条款偏离表；</w:t>
      </w:r>
    </w:p>
    <w:p w14:paraId="110B2C29">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投标货物分项报价表；</w:t>
      </w:r>
    </w:p>
    <w:p w14:paraId="46658E37">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rFonts w:hint="eastAsia"/>
          <w:highlight w:val="none"/>
        </w:rPr>
      </w:pPr>
      <w:r>
        <w:rPr>
          <w:rFonts w:hint="eastAsia"/>
          <w:highlight w:val="none"/>
        </w:rPr>
        <w:t>投标人承诺（附件）；</w:t>
      </w:r>
    </w:p>
    <w:p w14:paraId="5A09967C">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rFonts w:hint="eastAsia"/>
          <w:highlight w:val="none"/>
        </w:rPr>
      </w:pPr>
      <w:r>
        <w:rPr>
          <w:rFonts w:hint="eastAsia"/>
          <w:highlight w:val="none"/>
        </w:rPr>
        <w:t>服务承诺函（附件），需写明质保期以外服务费用情况；</w:t>
      </w:r>
    </w:p>
    <w:p w14:paraId="0BD75519">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rPr>
        <w:t>投标人需提交的其它资料。</w:t>
      </w:r>
    </w:p>
    <w:p w14:paraId="53DECED4">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40 </w:t>
      </w:r>
      <w:r>
        <w:rPr>
          <w:rFonts w:hint="eastAsia" w:cs="Times New Roman"/>
          <w:b w:val="0"/>
          <w:bCs/>
          <w:highlight w:val="none"/>
        </w:rPr>
        <w:t>万元（含</w:t>
      </w:r>
      <w:r>
        <w:rPr>
          <w:rFonts w:hint="eastAsia" w:cs="Times New Roman"/>
          <w:b w:val="0"/>
          <w:bCs/>
          <w:highlight w:val="yellow"/>
          <w:u w:val="single"/>
          <w:lang w:val="en-US" w:eastAsia="zh-CN"/>
        </w:rPr>
        <w:t xml:space="preserve">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w:t>
      </w:r>
      <w:r>
        <w:rPr>
          <w:rFonts w:hint="eastAsia"/>
          <w:lang w:val="en-US" w:eastAsia="zh-CN"/>
        </w:rPr>
        <w:t>，若逾期未在中国重汽e采通平台上传电子标书，一律视为无效投标。</w:t>
      </w:r>
    </w:p>
    <w:p w14:paraId="4AAA3F9B">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2025年12月16日上午9:00（北京时间）</w:t>
      </w:r>
    </w:p>
    <w:p w14:paraId="25974AAC">
      <w:pPr>
        <w:pStyle w:val="72"/>
        <w:rPr>
          <w:rFonts w:hint="eastAsia" w:hAnsi="Courier New" w:cs="Times New Roman"/>
          <w:highlight w:val="none"/>
        </w:rPr>
      </w:pPr>
      <w:bookmarkStart w:id="14"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rPr>
        <w:t>投标保证金的缴纳</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投标保证金</w:t>
      </w:r>
      <w:r>
        <w:rPr>
          <w:rFonts w:hint="eastAsia"/>
          <w:highlight w:val="none"/>
          <w:lang w:val="en-US" w:eastAsia="zh-CN"/>
        </w:rPr>
        <w:t>的缴纳</w:t>
      </w:r>
      <w:r>
        <w:rPr>
          <w:rFonts w:hint="eastAsia"/>
          <w:highlight w:val="none"/>
        </w:rPr>
        <w:t>形式：</w:t>
      </w:r>
      <w:r>
        <w:rPr>
          <w:rFonts w:hint="eastAsia"/>
          <w:highlight w:val="none"/>
          <w:lang w:val="en-US" w:eastAsia="zh-CN"/>
        </w:rPr>
        <w:t>从银行基本账户转账</w:t>
      </w:r>
    </w:p>
    <w:p w14:paraId="7E1FBA5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highlight w:val="none"/>
          <w:lang w:val="en-US" w:eastAsia="zh-CN"/>
        </w:rPr>
        <w:t>（3）</w:t>
      </w:r>
      <w:r>
        <w:rPr>
          <w:rFonts w:hint="eastAsia" w:ascii="宋体" w:hAnsi="宋体" w:eastAsia="宋体" w:cs="宋体"/>
          <w:highlight w:val="none"/>
          <w:lang w:val="en-US" w:eastAsia="zh-CN"/>
        </w:rPr>
        <w:t>名称：中国重汽集团济南汽车部件有限公司</w:t>
      </w:r>
    </w:p>
    <w:p w14:paraId="6708174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税号：91370181MA3REL3Y80</w:t>
      </w:r>
    </w:p>
    <w:p w14:paraId="0D5C4CD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地址：济南市章丘区圣井街道潘王路西重汽工业园北三厂</w:t>
      </w:r>
    </w:p>
    <w:p w14:paraId="5A5955C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电话：58069720</w:t>
      </w:r>
    </w:p>
    <w:p w14:paraId="714C82B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开户行：北京银行股份有限公司济南分行营业部</w:t>
      </w:r>
    </w:p>
    <w:p w14:paraId="51D87D2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账号：20000042845000032899980</w:t>
      </w:r>
    </w:p>
    <w:p w14:paraId="1591D62C">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保证金缴纳截止时间</w:t>
      </w:r>
      <w:r>
        <w:rPr>
          <w:rFonts w:hint="eastAsia" w:ascii="宋体" w:hAnsi="宋体" w:eastAsia="宋体" w:cs="宋体"/>
          <w:highlight w:val="none"/>
        </w:rPr>
        <w:t>：</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12</w:t>
      </w:r>
      <w:r>
        <w:rPr>
          <w:rFonts w:hint="eastAsia" w:ascii="宋体" w:hAnsi="宋体" w:eastAsia="宋体" w:cs="宋体"/>
          <w:highlight w:val="none"/>
          <w:u w:val="single"/>
        </w:rPr>
        <w:t>月</w:t>
      </w:r>
      <w:r>
        <w:rPr>
          <w:rFonts w:hint="eastAsia" w:ascii="宋体" w:hAnsi="宋体" w:cs="宋体"/>
          <w:highlight w:val="none"/>
          <w:u w:val="single"/>
          <w:lang w:val="en-US" w:eastAsia="zh-CN"/>
        </w:rPr>
        <w:t>16</w:t>
      </w:r>
      <w:r>
        <w:rPr>
          <w:rFonts w:hint="eastAsia" w:ascii="宋体" w:hAnsi="宋体" w:eastAsia="宋体" w:cs="宋体"/>
          <w:highlight w:val="none"/>
          <w:u w:val="single"/>
          <w:lang w:val="en-US" w:eastAsia="zh-CN"/>
        </w:rPr>
        <w:t>日9:00</w:t>
      </w:r>
    </w:p>
    <w:p w14:paraId="5306DE77">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rPr>
        <w:t>对于没有中标的</w:t>
      </w:r>
      <w:r>
        <w:rPr>
          <w:rFonts w:hint="eastAsia" w:ascii="宋体" w:hAnsi="宋体" w:eastAsia="宋体" w:cs="宋体"/>
          <w:highlight w:val="none"/>
          <w:lang w:eastAsia="zh-CN"/>
        </w:rPr>
        <w:t>投标人</w:t>
      </w:r>
      <w:r>
        <w:rPr>
          <w:rFonts w:hint="eastAsia" w:ascii="宋体" w:hAnsi="宋体" w:eastAsia="宋体" w:cs="宋体"/>
          <w:highlight w:val="none"/>
        </w:rPr>
        <w:t>，投标保证金将于招标人内部完成中标人评审并确认最终中标人后在</w:t>
      </w:r>
      <w:r>
        <w:rPr>
          <w:rFonts w:hint="eastAsia" w:ascii="宋体" w:hAnsi="宋体" w:eastAsia="宋体" w:cs="宋体"/>
          <w:highlight w:val="none"/>
          <w:lang w:val="en-US" w:eastAsia="zh-CN"/>
        </w:rPr>
        <w:t>一个付款周期</w:t>
      </w:r>
      <w:r>
        <w:rPr>
          <w:rFonts w:hint="eastAsia" w:ascii="宋体" w:hAnsi="宋体" w:eastAsia="宋体" w:cs="宋体"/>
          <w:highlight w:val="none"/>
        </w:rPr>
        <w:t>内予以原路返还（无息）；对于中标方，投标保证金将在签订合同后</w:t>
      </w:r>
      <w:r>
        <w:rPr>
          <w:rFonts w:hint="eastAsia" w:ascii="宋体" w:hAnsi="宋体" w:eastAsia="宋体" w:cs="宋体"/>
          <w:highlight w:val="none"/>
          <w:lang w:val="en-US" w:eastAsia="zh-CN"/>
        </w:rPr>
        <w:t>一个付款周期内</w:t>
      </w:r>
      <w:r>
        <w:rPr>
          <w:rFonts w:hint="eastAsia" w:ascii="宋体" w:hAnsi="宋体" w:eastAsia="宋体" w:cs="宋体"/>
          <w:highlight w:val="none"/>
        </w:rPr>
        <w:t>原路返还（无息）。</w:t>
      </w:r>
    </w:p>
    <w:p w14:paraId="271EC8CF">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4"/>
    <w:p w14:paraId="368B6990">
      <w:pPr>
        <w:pStyle w:val="72"/>
      </w:pPr>
      <w:r>
        <w:rPr>
          <w:rFonts w:hint="eastAsia"/>
          <w:lang w:val="en-US" w:eastAsia="zh-CN"/>
        </w:rPr>
        <w:t>开评标</w:t>
      </w:r>
    </w:p>
    <w:p w14:paraId="009655B5">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highlight w:val="none"/>
          <w:lang w:val="en-US" w:eastAsia="zh-CN"/>
        </w:rPr>
        <w:t>开标时间：</w:t>
      </w:r>
      <w:r>
        <w:rPr>
          <w:rFonts w:hint="eastAsia"/>
          <w:highlight w:val="none"/>
          <w:u w:val="single"/>
          <w:lang w:val="en-US" w:eastAsia="zh-CN"/>
        </w:rPr>
        <w:t>2025年12月16日上午9:00（待定，投标完成后联系商务联系人，发送投标保证金缴纳凭证获取会议链接号）</w:t>
      </w:r>
    </w:p>
    <w:p w14:paraId="00CC8C95">
      <w:pPr>
        <w:pStyle w:val="14"/>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开标地点：线上会议</w:t>
      </w:r>
    </w:p>
    <w:p w14:paraId="2C652027">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45816947">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07DFEB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FF0000"/>
          <w:lang w:val="en-US" w:eastAsia="zh-CN"/>
        </w:rPr>
      </w:pPr>
      <w:r>
        <w:rPr>
          <w:rFonts w:hint="eastAsia" w:ascii="宋体" w:hAnsi="宋体" w:eastAsia="宋体" w:cs="宋体"/>
          <w:highlight w:val="none"/>
          <w:lang w:val="en-US" w:eastAsia="zh-CN"/>
        </w:rPr>
        <w:t>本次招标采用</w:t>
      </w:r>
      <w:r>
        <w:rPr>
          <w:rFonts w:hint="eastAsia" w:ascii="宋体" w:hAnsi="宋体" w:eastAsia="宋体" w:cs="宋体"/>
          <w:b/>
          <w:bCs/>
          <w:highlight w:val="none"/>
          <w:lang w:val="en-US" w:eastAsia="zh-CN"/>
        </w:rPr>
        <w:t>综合评分法</w:t>
      </w:r>
      <w:r>
        <w:rPr>
          <w:rFonts w:hint="eastAsia" w:ascii="宋体" w:hAnsi="宋体" w:eastAsia="宋体" w:cs="宋体"/>
          <w:highlight w:val="none"/>
          <w:lang w:val="en-US" w:eastAsia="zh-CN"/>
        </w:rPr>
        <w:t>评标（技术标30%，商务标70%），即在最大限度地满足招标文件实质性要求的前提下，按照评分标准中规定的评分因素和评分细则进行综合评价、评分。本着公平、公正、公开的原则，在通过技术标综合评审后入围的前提下，选择综合评分最高确定中标人，对未中标单位不做任何解释。</w:t>
      </w:r>
    </w:p>
    <w:p w14:paraId="0B2A8F6D">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48C47BA6">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bookmarkStart w:id="50" w:name="_GoBack"/>
      <w:r>
        <w:rPr>
          <w:rFonts w:hint="eastAsia" w:ascii="宋体" w:hAnsi="宋体" w:eastAsia="宋体" w:cs="宋体"/>
          <w:b w:val="0"/>
          <w:bCs w:val="0"/>
          <w:sz w:val="21"/>
          <w:szCs w:val="21"/>
          <w:highlight w:val="none"/>
          <w:lang w:val="en-US" w:eastAsia="zh-CN"/>
        </w:rPr>
        <w:t>评分标准：</w:t>
      </w:r>
      <w:bookmarkEnd w:id="50"/>
      <w:r>
        <w:rPr>
          <w:rFonts w:hint="eastAsia" w:ascii="宋体" w:hAnsi="宋体" w:eastAsia="宋体" w:cs="宋体"/>
          <w:b w:val="0"/>
          <w:bCs w:val="0"/>
          <w:sz w:val="21"/>
          <w:szCs w:val="21"/>
          <w:highlight w:val="none"/>
          <w:lang w:val="en-US" w:eastAsia="zh-CN"/>
        </w:rPr>
        <w:t>综合评标，技术标30%，商务标70%。</w:t>
      </w:r>
    </w:p>
    <w:p w14:paraId="061C8846">
      <w:pPr>
        <w:pStyle w:val="7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商务标得分=当前轮次最低价/供方投标价×商务标总分（100分）。</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559"/>
        <w:gridCol w:w="6910"/>
      </w:tblGrid>
      <w:tr w14:paraId="58E4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14:paraId="15F590C8">
            <w:pPr>
              <w:pStyle w:val="14"/>
              <w:spacing w:line="360" w:lineRule="auto"/>
              <w:jc w:val="center"/>
            </w:pPr>
            <w:r>
              <w:rPr>
                <w:rFonts w:hint="eastAsia"/>
              </w:rPr>
              <w:t>序号</w:t>
            </w:r>
          </w:p>
        </w:tc>
        <w:tc>
          <w:tcPr>
            <w:tcW w:w="8469" w:type="dxa"/>
            <w:gridSpan w:val="2"/>
            <w:noWrap w:val="0"/>
            <w:vAlign w:val="top"/>
          </w:tcPr>
          <w:p w14:paraId="480317B1">
            <w:pPr>
              <w:pStyle w:val="14"/>
              <w:spacing w:line="360" w:lineRule="auto"/>
              <w:jc w:val="center"/>
            </w:pPr>
            <w:r>
              <w:rPr>
                <w:rFonts w:hint="eastAsia"/>
                <w:lang w:val="en-US" w:eastAsia="zh-CN"/>
              </w:rPr>
              <w:t>技术标</w:t>
            </w:r>
            <w:r>
              <w:rPr>
                <w:rFonts w:hint="eastAsia"/>
              </w:rPr>
              <w:t>评审内容（100分）</w:t>
            </w:r>
          </w:p>
        </w:tc>
      </w:tr>
      <w:tr w14:paraId="78B0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552C303F">
            <w:pPr>
              <w:spacing w:line="320" w:lineRule="exact"/>
              <w:jc w:val="center"/>
              <w:rPr>
                <w:rFonts w:ascii="宋体" w:hAnsi="宋体" w:cs="Calibri"/>
                <w:bCs/>
                <w:sz w:val="24"/>
                <w:szCs w:val="24"/>
                <w:highlight w:val="none"/>
              </w:rPr>
            </w:pPr>
            <w:r>
              <w:rPr>
                <w:rFonts w:hint="eastAsia" w:ascii="宋体" w:hAnsi="宋体" w:cs="Calibri"/>
                <w:bCs/>
                <w:sz w:val="24"/>
                <w:szCs w:val="24"/>
                <w:highlight w:val="none"/>
              </w:rPr>
              <w:t>1</w:t>
            </w:r>
          </w:p>
        </w:tc>
        <w:tc>
          <w:tcPr>
            <w:tcW w:w="1559" w:type="dxa"/>
            <w:noWrap w:val="0"/>
            <w:vAlign w:val="center"/>
          </w:tcPr>
          <w:p w14:paraId="59CCD83D">
            <w:pPr>
              <w:pStyle w:val="10"/>
              <w:spacing w:line="320" w:lineRule="exact"/>
              <w:jc w:val="center"/>
              <w:rPr>
                <w:rFonts w:ascii="宋体" w:hAnsi="宋体" w:cs="宋体"/>
                <w:sz w:val="24"/>
                <w:highlight w:val="none"/>
              </w:rPr>
            </w:pPr>
            <w:r>
              <w:rPr>
                <w:rFonts w:hint="eastAsia" w:ascii="宋体" w:hAnsi="宋体" w:cs="宋体"/>
                <w:sz w:val="24"/>
                <w:highlight w:val="none"/>
              </w:rPr>
              <w:t>工艺水平及主要技术</w:t>
            </w:r>
          </w:p>
          <w:p w14:paraId="55F6E2EF">
            <w:pPr>
              <w:pStyle w:val="10"/>
              <w:spacing w:line="320" w:lineRule="exact"/>
              <w:jc w:val="center"/>
              <w:rPr>
                <w:rFonts w:ascii="宋体" w:hAnsi="宋体" w:cs="宋体"/>
                <w:sz w:val="24"/>
                <w:highlight w:val="none"/>
              </w:rPr>
            </w:pPr>
            <w:r>
              <w:rPr>
                <w:rFonts w:hint="eastAsia" w:ascii="宋体" w:hAnsi="宋体" w:cs="宋体"/>
                <w:sz w:val="24"/>
                <w:highlight w:val="none"/>
              </w:rPr>
              <w:t>参数</w:t>
            </w:r>
          </w:p>
          <w:p w14:paraId="5FBFCFB6">
            <w:pPr>
              <w:pStyle w:val="10"/>
              <w:spacing w:line="320" w:lineRule="exact"/>
              <w:jc w:val="center"/>
              <w:rPr>
                <w:rFonts w:ascii="宋体" w:hAnsi="宋体" w:cs="宋体"/>
                <w:kern w:val="2"/>
                <w:sz w:val="24"/>
                <w:highlight w:val="none"/>
                <w:lang w:val="en-US" w:eastAsia="zh-CN" w:bidi="ar-SA"/>
              </w:rPr>
            </w:pPr>
            <w:r>
              <w:rPr>
                <w:rFonts w:hint="eastAsia" w:ascii="宋体" w:hAnsi="宋体" w:cs="宋体"/>
                <w:sz w:val="24"/>
                <w:highlight w:val="none"/>
                <w:lang w:val="en-US" w:eastAsia="zh-CN"/>
              </w:rPr>
              <w:t>34</w:t>
            </w:r>
            <w:r>
              <w:rPr>
                <w:rFonts w:hint="eastAsia" w:ascii="宋体" w:hAnsi="宋体" w:cs="宋体"/>
                <w:sz w:val="24"/>
                <w:highlight w:val="none"/>
              </w:rPr>
              <w:t>分</w:t>
            </w:r>
          </w:p>
        </w:tc>
        <w:tc>
          <w:tcPr>
            <w:tcW w:w="6910" w:type="dxa"/>
            <w:noWrap w:val="0"/>
            <w:vAlign w:val="center"/>
          </w:tcPr>
          <w:p w14:paraId="176E3DE6">
            <w:pPr>
              <w:pStyle w:val="10"/>
              <w:spacing w:line="320" w:lineRule="exact"/>
              <w:rPr>
                <w:rFonts w:ascii="宋体" w:hAnsi="宋体" w:cs="宋体"/>
                <w:sz w:val="24"/>
                <w:highlight w:val="none"/>
              </w:rPr>
            </w:pPr>
            <w:r>
              <w:rPr>
                <w:rFonts w:hint="eastAsia" w:ascii="宋体" w:hAnsi="宋体" w:cs="宋体"/>
                <w:sz w:val="24"/>
                <w:highlight w:val="none"/>
              </w:rPr>
              <w:t>2.1能提供证明其工艺水平及制造保障能力证明材料(如自有主要加工设备、若有外协配套厂家的相关资料等）的视其实际情况得1-</w:t>
            </w:r>
            <w:r>
              <w:rPr>
                <w:rFonts w:hint="eastAsia" w:ascii="宋体" w:hAnsi="宋体" w:cs="宋体"/>
                <w:sz w:val="24"/>
                <w:highlight w:val="none"/>
                <w:lang w:val="en-US" w:eastAsia="zh-CN"/>
              </w:rPr>
              <w:t>12</w:t>
            </w:r>
            <w:r>
              <w:rPr>
                <w:rFonts w:hint="eastAsia" w:ascii="宋体" w:hAnsi="宋体" w:cs="宋体"/>
                <w:sz w:val="24"/>
                <w:highlight w:val="none"/>
              </w:rPr>
              <w:t>分，未提供不得分；</w:t>
            </w:r>
          </w:p>
          <w:p w14:paraId="4927A4D9">
            <w:pPr>
              <w:pStyle w:val="10"/>
              <w:spacing w:line="320" w:lineRule="exact"/>
              <w:rPr>
                <w:rFonts w:ascii="宋体" w:hAnsi="宋体" w:cs="宋体"/>
                <w:sz w:val="24"/>
                <w:highlight w:val="none"/>
              </w:rPr>
            </w:pPr>
            <w:r>
              <w:rPr>
                <w:rFonts w:hint="eastAsia" w:ascii="宋体" w:hAnsi="宋体" w:cs="宋体"/>
                <w:sz w:val="24"/>
                <w:highlight w:val="none"/>
              </w:rPr>
              <w:t>2.2主要技术参数</w:t>
            </w:r>
          </w:p>
          <w:p w14:paraId="759EB361">
            <w:pPr>
              <w:pStyle w:val="10"/>
              <w:spacing w:line="320" w:lineRule="exact"/>
              <w:rPr>
                <w:rFonts w:ascii="宋体" w:hAnsi="宋体" w:cs="宋体"/>
                <w:kern w:val="2"/>
                <w:sz w:val="24"/>
                <w:highlight w:val="none"/>
                <w:lang w:val="en-US" w:eastAsia="zh-CN" w:bidi="ar-SA"/>
              </w:rPr>
            </w:pPr>
            <w:r>
              <w:rPr>
                <w:rFonts w:hint="eastAsia" w:ascii="宋体" w:hAnsi="宋体" w:cs="宋体"/>
                <w:sz w:val="24"/>
                <w:highlight w:val="none"/>
              </w:rPr>
              <w:t>所报产品的技术参数满足招标文件要求得</w:t>
            </w:r>
            <w:r>
              <w:rPr>
                <w:rFonts w:hint="eastAsia" w:ascii="宋体" w:hAnsi="宋体" w:cs="宋体"/>
                <w:sz w:val="24"/>
                <w:highlight w:val="none"/>
                <w:lang w:val="en-US" w:eastAsia="zh-CN"/>
              </w:rPr>
              <w:t>12</w:t>
            </w:r>
            <w:r>
              <w:rPr>
                <w:rFonts w:hint="eastAsia" w:ascii="宋体" w:hAnsi="宋体" w:cs="宋体"/>
                <w:sz w:val="24"/>
                <w:highlight w:val="none"/>
              </w:rPr>
              <w:t>分，每一项技术参数优于招标文件的加1分，最高加</w:t>
            </w:r>
            <w:r>
              <w:rPr>
                <w:rFonts w:hint="eastAsia" w:ascii="宋体" w:hAnsi="宋体" w:cs="宋体"/>
                <w:sz w:val="24"/>
                <w:highlight w:val="none"/>
                <w:lang w:val="en-US" w:eastAsia="zh-CN"/>
              </w:rPr>
              <w:t>10</w:t>
            </w:r>
            <w:r>
              <w:rPr>
                <w:rFonts w:hint="eastAsia" w:ascii="宋体" w:hAnsi="宋体" w:cs="宋体"/>
                <w:sz w:val="24"/>
                <w:highlight w:val="none"/>
              </w:rPr>
              <w:t>分；每一项技术参数低于招标文件的减1分，减完为止。</w:t>
            </w:r>
          </w:p>
        </w:tc>
      </w:tr>
      <w:tr w14:paraId="175F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74C1F270">
            <w:pPr>
              <w:spacing w:line="320" w:lineRule="exact"/>
              <w:jc w:val="center"/>
              <w:rPr>
                <w:rFonts w:ascii="宋体" w:hAnsi="宋体" w:cs="Calibri"/>
                <w:bCs/>
                <w:sz w:val="24"/>
                <w:szCs w:val="24"/>
                <w:highlight w:val="none"/>
              </w:rPr>
            </w:pPr>
            <w:r>
              <w:rPr>
                <w:rFonts w:hint="eastAsia" w:ascii="宋体" w:hAnsi="宋体" w:cs="Calibri"/>
                <w:bCs/>
                <w:sz w:val="24"/>
                <w:szCs w:val="24"/>
                <w:highlight w:val="none"/>
              </w:rPr>
              <w:t>2</w:t>
            </w:r>
          </w:p>
        </w:tc>
        <w:tc>
          <w:tcPr>
            <w:tcW w:w="1559" w:type="dxa"/>
            <w:noWrap w:val="0"/>
            <w:vAlign w:val="center"/>
          </w:tcPr>
          <w:p w14:paraId="04490E84">
            <w:pPr>
              <w:pStyle w:val="10"/>
              <w:spacing w:line="320" w:lineRule="exact"/>
              <w:jc w:val="center"/>
              <w:rPr>
                <w:rFonts w:ascii="宋体" w:hAnsi="宋体" w:cs="宋体"/>
                <w:sz w:val="24"/>
                <w:highlight w:val="none"/>
              </w:rPr>
            </w:pPr>
            <w:r>
              <w:rPr>
                <w:rFonts w:hint="eastAsia" w:ascii="宋体" w:hAnsi="宋体" w:cs="宋体"/>
                <w:sz w:val="24"/>
                <w:highlight w:val="none"/>
              </w:rPr>
              <w:t>配置方案</w:t>
            </w:r>
          </w:p>
          <w:p w14:paraId="515A99C3">
            <w:pPr>
              <w:pStyle w:val="10"/>
              <w:spacing w:line="320" w:lineRule="exact"/>
              <w:jc w:val="center"/>
              <w:rPr>
                <w:rFonts w:ascii="宋体" w:hAnsi="宋体" w:cs="宋体"/>
                <w:kern w:val="2"/>
                <w:sz w:val="24"/>
                <w:highlight w:val="none"/>
                <w:lang w:val="en-US" w:eastAsia="zh-CN" w:bidi="ar-SA"/>
              </w:rPr>
            </w:pPr>
            <w:r>
              <w:rPr>
                <w:rFonts w:hint="eastAsia" w:ascii="宋体" w:hAnsi="宋体" w:cs="宋体"/>
                <w:sz w:val="24"/>
                <w:highlight w:val="none"/>
                <w:lang w:val="en-US" w:eastAsia="zh-CN"/>
              </w:rPr>
              <w:t>34</w:t>
            </w:r>
            <w:r>
              <w:rPr>
                <w:rFonts w:hint="eastAsia" w:ascii="宋体" w:hAnsi="宋体" w:cs="宋体"/>
                <w:sz w:val="24"/>
                <w:highlight w:val="none"/>
              </w:rPr>
              <w:t>分</w:t>
            </w:r>
          </w:p>
        </w:tc>
        <w:tc>
          <w:tcPr>
            <w:tcW w:w="6910" w:type="dxa"/>
            <w:noWrap w:val="0"/>
            <w:vAlign w:val="center"/>
          </w:tcPr>
          <w:p w14:paraId="632F85AD">
            <w:pPr>
              <w:pStyle w:val="10"/>
              <w:spacing w:line="320" w:lineRule="exact"/>
              <w:rPr>
                <w:rFonts w:ascii="宋体" w:hAnsi="宋体" w:cs="宋体"/>
                <w:kern w:val="2"/>
                <w:sz w:val="24"/>
                <w:highlight w:val="none"/>
                <w:lang w:val="en-US" w:eastAsia="zh-CN" w:bidi="ar-SA"/>
              </w:rPr>
            </w:pPr>
            <w:r>
              <w:rPr>
                <w:rFonts w:hint="eastAsia" w:ascii="宋体" w:hAnsi="宋体" w:cs="宋体"/>
                <w:sz w:val="24"/>
                <w:highlight w:val="none"/>
              </w:rPr>
              <w:t>能够提供最佳设备配置方案（满足设计参数前提下的主要配件、材料设计配置），系统设计方案完善且可行，符合本次供货任务实际情况，根据以上综合配置高低得1-</w:t>
            </w:r>
            <w:r>
              <w:rPr>
                <w:rFonts w:hint="eastAsia" w:ascii="宋体" w:hAnsi="宋体" w:cs="宋体"/>
                <w:sz w:val="24"/>
                <w:highlight w:val="none"/>
                <w:lang w:val="en-US" w:eastAsia="zh-CN"/>
              </w:rPr>
              <w:t>34</w:t>
            </w:r>
            <w:r>
              <w:rPr>
                <w:rFonts w:hint="eastAsia" w:ascii="宋体" w:hAnsi="宋体" w:cs="宋体"/>
                <w:sz w:val="24"/>
                <w:highlight w:val="none"/>
              </w:rPr>
              <w:t>分。</w:t>
            </w:r>
          </w:p>
        </w:tc>
      </w:tr>
      <w:tr w14:paraId="0606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591830CD">
            <w:pPr>
              <w:spacing w:line="320" w:lineRule="exact"/>
              <w:jc w:val="center"/>
              <w:rPr>
                <w:rFonts w:ascii="宋体" w:hAnsi="宋体" w:cs="Calibri"/>
                <w:bCs/>
                <w:sz w:val="24"/>
                <w:szCs w:val="24"/>
                <w:highlight w:val="none"/>
              </w:rPr>
            </w:pPr>
            <w:r>
              <w:rPr>
                <w:rFonts w:hint="eastAsia" w:ascii="宋体" w:hAnsi="宋体" w:cs="Calibri"/>
                <w:bCs/>
                <w:sz w:val="24"/>
                <w:szCs w:val="24"/>
                <w:highlight w:val="none"/>
              </w:rPr>
              <w:t>3</w:t>
            </w:r>
          </w:p>
        </w:tc>
        <w:tc>
          <w:tcPr>
            <w:tcW w:w="1559" w:type="dxa"/>
            <w:noWrap w:val="0"/>
            <w:vAlign w:val="center"/>
          </w:tcPr>
          <w:p w14:paraId="0FA1380B">
            <w:pPr>
              <w:pStyle w:val="10"/>
              <w:spacing w:line="320" w:lineRule="exact"/>
              <w:jc w:val="center"/>
              <w:rPr>
                <w:rFonts w:ascii="宋体" w:hAnsi="宋体" w:cs="宋体"/>
                <w:sz w:val="24"/>
                <w:highlight w:val="none"/>
              </w:rPr>
            </w:pPr>
            <w:r>
              <w:rPr>
                <w:rFonts w:hint="eastAsia" w:ascii="宋体" w:hAnsi="宋体" w:cs="宋体"/>
                <w:sz w:val="24"/>
                <w:highlight w:val="none"/>
              </w:rPr>
              <w:t>产品质量及保证措施</w:t>
            </w:r>
          </w:p>
          <w:p w14:paraId="61D5416B">
            <w:pPr>
              <w:pStyle w:val="10"/>
              <w:spacing w:line="320" w:lineRule="exact"/>
              <w:jc w:val="center"/>
              <w:rPr>
                <w:rFonts w:ascii="宋体" w:hAnsi="宋体" w:cs="宋体"/>
                <w:kern w:val="2"/>
                <w:sz w:val="24"/>
                <w:highlight w:val="none"/>
                <w:lang w:val="en-US" w:eastAsia="zh-CN" w:bidi="ar-SA"/>
              </w:rPr>
            </w:pPr>
            <w:r>
              <w:rPr>
                <w:rFonts w:hint="eastAsia" w:ascii="宋体" w:hAnsi="宋体" w:cs="宋体"/>
                <w:sz w:val="24"/>
                <w:highlight w:val="none"/>
                <w:lang w:val="en-US" w:eastAsia="zh-CN"/>
              </w:rPr>
              <w:t>6</w:t>
            </w:r>
            <w:r>
              <w:rPr>
                <w:rFonts w:hint="eastAsia" w:ascii="宋体" w:hAnsi="宋体" w:cs="宋体"/>
                <w:sz w:val="24"/>
                <w:highlight w:val="none"/>
              </w:rPr>
              <w:t>分</w:t>
            </w:r>
          </w:p>
        </w:tc>
        <w:tc>
          <w:tcPr>
            <w:tcW w:w="6910" w:type="dxa"/>
            <w:noWrap w:val="0"/>
            <w:vAlign w:val="center"/>
          </w:tcPr>
          <w:p w14:paraId="6E3BC72F">
            <w:pPr>
              <w:pStyle w:val="10"/>
              <w:spacing w:line="320" w:lineRule="exact"/>
              <w:rPr>
                <w:rFonts w:ascii="宋体" w:hAnsi="宋体" w:cs="宋体"/>
                <w:kern w:val="2"/>
                <w:sz w:val="24"/>
                <w:highlight w:val="none"/>
                <w:lang w:val="en-US" w:eastAsia="zh-CN" w:bidi="ar-SA"/>
              </w:rPr>
            </w:pPr>
            <w:r>
              <w:rPr>
                <w:rFonts w:hint="eastAsia" w:ascii="宋体" w:hAnsi="宋体" w:cs="宋体"/>
                <w:sz w:val="24"/>
                <w:highlight w:val="none"/>
              </w:rPr>
              <w:t>产品质量、性能稳定可靠，品牌市场认可度较高，使用寿命长且有完善的生产保证措施及质量保证体系的酌情得1-</w:t>
            </w:r>
            <w:r>
              <w:rPr>
                <w:rFonts w:hint="eastAsia" w:ascii="宋体" w:hAnsi="宋体" w:cs="宋体"/>
                <w:sz w:val="24"/>
                <w:highlight w:val="none"/>
                <w:lang w:val="en-US" w:eastAsia="zh-CN"/>
              </w:rPr>
              <w:t>6</w:t>
            </w:r>
            <w:r>
              <w:rPr>
                <w:rFonts w:hint="eastAsia" w:ascii="宋体" w:hAnsi="宋体" w:cs="宋体"/>
                <w:sz w:val="24"/>
                <w:highlight w:val="none"/>
              </w:rPr>
              <w:t>分。</w:t>
            </w:r>
          </w:p>
        </w:tc>
      </w:tr>
      <w:tr w14:paraId="76C2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7DBF448B">
            <w:pPr>
              <w:spacing w:line="320" w:lineRule="exact"/>
              <w:jc w:val="center"/>
              <w:rPr>
                <w:rFonts w:ascii="宋体" w:hAnsi="宋体" w:cs="Calibri"/>
                <w:bCs/>
                <w:sz w:val="24"/>
                <w:szCs w:val="24"/>
                <w:highlight w:val="none"/>
              </w:rPr>
            </w:pPr>
            <w:r>
              <w:rPr>
                <w:rFonts w:hint="eastAsia" w:ascii="宋体" w:hAnsi="宋体" w:cs="Calibri"/>
                <w:bCs/>
                <w:sz w:val="24"/>
                <w:szCs w:val="24"/>
                <w:highlight w:val="none"/>
              </w:rPr>
              <w:t>4</w:t>
            </w:r>
          </w:p>
        </w:tc>
        <w:tc>
          <w:tcPr>
            <w:tcW w:w="1559" w:type="dxa"/>
            <w:noWrap w:val="0"/>
            <w:vAlign w:val="center"/>
          </w:tcPr>
          <w:p w14:paraId="4D2F912B">
            <w:pPr>
              <w:pStyle w:val="10"/>
              <w:spacing w:line="320" w:lineRule="exact"/>
              <w:jc w:val="center"/>
              <w:rPr>
                <w:rFonts w:ascii="宋体" w:hAnsi="宋体" w:cs="宋体"/>
                <w:sz w:val="24"/>
                <w:highlight w:val="none"/>
              </w:rPr>
            </w:pPr>
            <w:r>
              <w:rPr>
                <w:rFonts w:hint="eastAsia" w:ascii="宋体" w:hAnsi="宋体" w:cs="宋体"/>
                <w:sz w:val="24"/>
                <w:highlight w:val="none"/>
              </w:rPr>
              <w:t>供货周期</w:t>
            </w:r>
          </w:p>
          <w:p w14:paraId="1CB3C829">
            <w:pPr>
              <w:pStyle w:val="10"/>
              <w:spacing w:line="320" w:lineRule="exact"/>
              <w:jc w:val="center"/>
              <w:rPr>
                <w:rFonts w:ascii="宋体" w:hAnsi="宋体" w:cs="宋体"/>
                <w:kern w:val="2"/>
                <w:sz w:val="24"/>
                <w:highlight w:val="none"/>
                <w:lang w:val="en-US" w:eastAsia="zh-CN" w:bidi="ar-SA"/>
              </w:rPr>
            </w:pPr>
            <w:r>
              <w:rPr>
                <w:rFonts w:hint="eastAsia" w:ascii="宋体" w:hAnsi="宋体" w:cs="宋体"/>
                <w:sz w:val="24"/>
                <w:highlight w:val="none"/>
                <w:lang w:val="en-US" w:eastAsia="zh-CN"/>
              </w:rPr>
              <w:t>6</w:t>
            </w:r>
            <w:r>
              <w:rPr>
                <w:rFonts w:hint="eastAsia" w:ascii="宋体" w:hAnsi="宋体" w:cs="宋体"/>
                <w:sz w:val="24"/>
                <w:highlight w:val="none"/>
              </w:rPr>
              <w:t>分</w:t>
            </w:r>
          </w:p>
        </w:tc>
        <w:tc>
          <w:tcPr>
            <w:tcW w:w="6910" w:type="dxa"/>
            <w:noWrap w:val="0"/>
            <w:vAlign w:val="center"/>
          </w:tcPr>
          <w:p w14:paraId="4EB68175">
            <w:pPr>
              <w:pStyle w:val="10"/>
              <w:spacing w:line="320" w:lineRule="exact"/>
              <w:rPr>
                <w:rFonts w:ascii="宋体" w:hAnsi="宋体" w:cs="宋体"/>
                <w:sz w:val="24"/>
                <w:highlight w:val="none"/>
              </w:rPr>
            </w:pPr>
            <w:r>
              <w:rPr>
                <w:rFonts w:hint="eastAsia" w:ascii="宋体" w:hAnsi="宋体" w:cs="宋体"/>
                <w:sz w:val="24"/>
                <w:highlight w:val="none"/>
              </w:rPr>
              <w:t>响应供货期基本要求得基本分</w:t>
            </w:r>
            <w:r>
              <w:rPr>
                <w:rFonts w:hint="eastAsia" w:ascii="宋体" w:hAnsi="宋体" w:cs="宋体"/>
                <w:sz w:val="24"/>
                <w:highlight w:val="none"/>
                <w:lang w:val="en-US" w:eastAsia="zh-CN"/>
              </w:rPr>
              <w:t>2</w:t>
            </w:r>
            <w:r>
              <w:rPr>
                <w:rFonts w:hint="eastAsia" w:ascii="宋体" w:hAnsi="宋体" w:cs="宋体"/>
                <w:sz w:val="24"/>
                <w:highlight w:val="none"/>
              </w:rPr>
              <w:t>分，</w:t>
            </w:r>
          </w:p>
          <w:p w14:paraId="52BC1CAE">
            <w:pPr>
              <w:pStyle w:val="10"/>
              <w:spacing w:line="320" w:lineRule="exact"/>
              <w:rPr>
                <w:rFonts w:ascii="宋体" w:hAnsi="宋体" w:cs="宋体"/>
                <w:kern w:val="2"/>
                <w:sz w:val="24"/>
                <w:highlight w:val="none"/>
                <w:lang w:val="en-US" w:eastAsia="zh-CN" w:bidi="ar-SA"/>
              </w:rPr>
            </w:pPr>
            <w:r>
              <w:rPr>
                <w:rFonts w:hint="eastAsia" w:ascii="宋体" w:hAnsi="宋体" w:cs="宋体"/>
                <w:sz w:val="24"/>
                <w:highlight w:val="none"/>
              </w:rPr>
              <w:t>能提供详细的供货计划或生产加工计划，有详细的确保满足供货期基本要求或能在保证质量的前提下提前交货措施的说明及证明材料，根据实际情况酌情得1-</w:t>
            </w:r>
            <w:r>
              <w:rPr>
                <w:rFonts w:hint="eastAsia" w:ascii="宋体" w:hAnsi="宋体" w:cs="宋体"/>
                <w:sz w:val="24"/>
                <w:highlight w:val="none"/>
                <w:lang w:val="en-US" w:eastAsia="zh-CN"/>
              </w:rPr>
              <w:t>4</w:t>
            </w:r>
            <w:r>
              <w:rPr>
                <w:rFonts w:hint="eastAsia" w:ascii="宋体" w:hAnsi="宋体" w:cs="宋体"/>
                <w:sz w:val="24"/>
                <w:highlight w:val="none"/>
              </w:rPr>
              <w:t>分；</w:t>
            </w:r>
          </w:p>
        </w:tc>
      </w:tr>
      <w:tr w14:paraId="598D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617417E6">
            <w:pPr>
              <w:spacing w:line="320" w:lineRule="exact"/>
              <w:jc w:val="center"/>
              <w:rPr>
                <w:rFonts w:ascii="宋体" w:hAnsi="宋体" w:cs="Calibri"/>
                <w:bCs/>
                <w:sz w:val="24"/>
                <w:szCs w:val="24"/>
                <w:highlight w:val="none"/>
              </w:rPr>
            </w:pPr>
            <w:r>
              <w:rPr>
                <w:rFonts w:hint="eastAsia" w:ascii="宋体" w:hAnsi="宋体" w:cs="Calibri"/>
                <w:bCs/>
                <w:sz w:val="24"/>
                <w:szCs w:val="24"/>
                <w:highlight w:val="none"/>
              </w:rPr>
              <w:t>5</w:t>
            </w:r>
          </w:p>
        </w:tc>
        <w:tc>
          <w:tcPr>
            <w:tcW w:w="1559" w:type="dxa"/>
            <w:noWrap w:val="0"/>
            <w:vAlign w:val="center"/>
          </w:tcPr>
          <w:p w14:paraId="60FE99AC">
            <w:pPr>
              <w:pStyle w:val="10"/>
              <w:spacing w:line="320" w:lineRule="exact"/>
              <w:jc w:val="center"/>
              <w:rPr>
                <w:rFonts w:ascii="宋体" w:hAnsi="宋体" w:cs="宋体"/>
                <w:sz w:val="24"/>
                <w:highlight w:val="none"/>
              </w:rPr>
            </w:pPr>
            <w:r>
              <w:rPr>
                <w:rFonts w:hint="eastAsia" w:ascii="宋体" w:hAnsi="宋体" w:cs="宋体"/>
                <w:sz w:val="24"/>
                <w:highlight w:val="none"/>
              </w:rPr>
              <w:t>类似业绩</w:t>
            </w:r>
          </w:p>
          <w:p w14:paraId="606B62ED">
            <w:pPr>
              <w:pStyle w:val="10"/>
              <w:spacing w:line="320" w:lineRule="exact"/>
              <w:jc w:val="center"/>
              <w:rPr>
                <w:rFonts w:ascii="宋体" w:hAnsi="宋体" w:cs="宋体"/>
                <w:kern w:val="2"/>
                <w:sz w:val="24"/>
                <w:highlight w:val="none"/>
                <w:lang w:val="en-US" w:eastAsia="zh-CN" w:bidi="ar-SA"/>
              </w:rPr>
            </w:pPr>
            <w:r>
              <w:rPr>
                <w:rFonts w:hint="eastAsia" w:ascii="宋体" w:hAnsi="宋体" w:cs="宋体"/>
                <w:sz w:val="24"/>
                <w:highlight w:val="none"/>
                <w:lang w:val="en-US" w:eastAsia="zh-CN"/>
              </w:rPr>
              <w:t>6</w:t>
            </w:r>
            <w:r>
              <w:rPr>
                <w:rFonts w:hint="eastAsia" w:ascii="宋体" w:hAnsi="宋体" w:cs="宋体"/>
                <w:sz w:val="24"/>
                <w:highlight w:val="none"/>
              </w:rPr>
              <w:t>分</w:t>
            </w:r>
          </w:p>
        </w:tc>
        <w:tc>
          <w:tcPr>
            <w:tcW w:w="6910" w:type="dxa"/>
            <w:noWrap w:val="0"/>
            <w:vAlign w:val="center"/>
          </w:tcPr>
          <w:p w14:paraId="1224826F">
            <w:pPr>
              <w:pStyle w:val="10"/>
              <w:spacing w:line="320" w:lineRule="exact"/>
              <w:rPr>
                <w:rFonts w:ascii="宋体" w:hAnsi="宋体" w:cs="宋体"/>
                <w:kern w:val="2"/>
                <w:sz w:val="24"/>
                <w:highlight w:val="none"/>
                <w:lang w:val="en-US" w:eastAsia="zh-CN" w:bidi="ar-SA"/>
              </w:rPr>
            </w:pPr>
            <w:r>
              <w:rPr>
                <w:rFonts w:hint="eastAsia" w:ascii="宋体" w:hAnsi="宋体" w:cs="宋体"/>
                <w:sz w:val="24"/>
                <w:szCs w:val="24"/>
                <w:highlight w:val="none"/>
              </w:rPr>
              <w:t>投标人每有一项类似业绩（签订日期为20</w:t>
            </w:r>
            <w:r>
              <w:rPr>
                <w:rFonts w:hint="eastAsia" w:ascii="宋体" w:hAnsi="宋体" w:cs="宋体"/>
                <w:sz w:val="24"/>
                <w:szCs w:val="24"/>
                <w:highlight w:val="none"/>
                <w:lang w:val="en-US" w:eastAsia="zh-CN"/>
              </w:rPr>
              <w:t>20</w:t>
            </w:r>
            <w:r>
              <w:rPr>
                <w:rFonts w:hint="eastAsia" w:ascii="宋体" w:hAnsi="宋体" w:cs="宋体"/>
                <w:sz w:val="24"/>
                <w:szCs w:val="24"/>
                <w:highlight w:val="none"/>
              </w:rPr>
              <w:t>年1月1日至今），根据类似程度，酌情得1-</w:t>
            </w:r>
            <w:r>
              <w:rPr>
                <w:rFonts w:hint="eastAsia" w:ascii="宋体" w:hAnsi="宋体" w:cs="宋体"/>
                <w:sz w:val="24"/>
                <w:szCs w:val="24"/>
                <w:highlight w:val="none"/>
                <w:lang w:val="en-US" w:eastAsia="zh-CN"/>
              </w:rPr>
              <w:t>6</w:t>
            </w:r>
            <w:r>
              <w:rPr>
                <w:rFonts w:hint="eastAsia" w:ascii="宋体" w:hAnsi="宋体" w:cs="宋体"/>
                <w:sz w:val="24"/>
                <w:szCs w:val="24"/>
                <w:highlight w:val="none"/>
              </w:rPr>
              <w:t>分 (必须提供</w:t>
            </w:r>
            <w:r>
              <w:rPr>
                <w:rFonts w:hint="eastAsia" w:ascii="宋体" w:hAnsi="宋体" w:cs="宋体"/>
                <w:b/>
                <w:sz w:val="24"/>
                <w:szCs w:val="24"/>
                <w:highlight w:val="none"/>
              </w:rPr>
              <w:t>合同原件</w:t>
            </w:r>
            <w:r>
              <w:rPr>
                <w:rFonts w:hint="eastAsia" w:ascii="宋体" w:hAnsi="宋体" w:cs="宋体"/>
                <w:sz w:val="24"/>
                <w:szCs w:val="24"/>
                <w:highlight w:val="none"/>
              </w:rPr>
              <w:t>,否则不得分)。</w:t>
            </w:r>
          </w:p>
        </w:tc>
      </w:tr>
      <w:tr w14:paraId="483F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5DCE696B">
            <w:pPr>
              <w:spacing w:line="320" w:lineRule="exact"/>
              <w:jc w:val="center"/>
              <w:rPr>
                <w:rFonts w:ascii="宋体" w:hAnsi="宋体" w:cs="Calibri"/>
                <w:bCs/>
                <w:sz w:val="24"/>
                <w:szCs w:val="24"/>
                <w:highlight w:val="none"/>
              </w:rPr>
            </w:pPr>
            <w:r>
              <w:rPr>
                <w:rFonts w:hint="eastAsia" w:ascii="宋体" w:hAnsi="宋体" w:cs="Calibri"/>
                <w:bCs/>
                <w:sz w:val="24"/>
                <w:szCs w:val="24"/>
                <w:highlight w:val="none"/>
              </w:rPr>
              <w:t>6</w:t>
            </w:r>
          </w:p>
        </w:tc>
        <w:tc>
          <w:tcPr>
            <w:tcW w:w="1559" w:type="dxa"/>
            <w:noWrap w:val="0"/>
            <w:vAlign w:val="center"/>
          </w:tcPr>
          <w:p w14:paraId="0F2EEDFC">
            <w:pPr>
              <w:pStyle w:val="10"/>
              <w:spacing w:line="320" w:lineRule="exact"/>
              <w:jc w:val="center"/>
              <w:rPr>
                <w:rFonts w:ascii="宋体" w:hAnsi="宋体" w:cs="宋体"/>
                <w:sz w:val="24"/>
                <w:highlight w:val="none"/>
              </w:rPr>
            </w:pPr>
            <w:r>
              <w:rPr>
                <w:rFonts w:hint="eastAsia" w:ascii="宋体" w:hAnsi="宋体" w:cs="宋体"/>
                <w:sz w:val="24"/>
                <w:highlight w:val="none"/>
              </w:rPr>
              <w:t>注册资本金及近三年营收情况等</w:t>
            </w:r>
          </w:p>
          <w:p w14:paraId="2D0D192F">
            <w:pPr>
              <w:pStyle w:val="10"/>
              <w:spacing w:line="320" w:lineRule="exact"/>
              <w:jc w:val="center"/>
              <w:rPr>
                <w:rFonts w:ascii="宋体" w:hAnsi="宋体" w:cs="宋体"/>
                <w:kern w:val="2"/>
                <w:sz w:val="24"/>
                <w:highlight w:val="none"/>
                <w:lang w:val="en-US" w:eastAsia="zh-CN" w:bidi="ar-SA"/>
              </w:rPr>
            </w:pPr>
            <w:r>
              <w:rPr>
                <w:rFonts w:hint="eastAsia" w:ascii="宋体" w:hAnsi="宋体" w:cs="宋体"/>
                <w:sz w:val="24"/>
                <w:highlight w:val="none"/>
                <w:lang w:val="en-US" w:eastAsia="zh-CN"/>
              </w:rPr>
              <w:t>6</w:t>
            </w:r>
            <w:r>
              <w:rPr>
                <w:rFonts w:hint="eastAsia" w:ascii="宋体" w:hAnsi="宋体" w:cs="宋体"/>
                <w:sz w:val="24"/>
                <w:highlight w:val="none"/>
              </w:rPr>
              <w:t>分</w:t>
            </w:r>
          </w:p>
        </w:tc>
        <w:tc>
          <w:tcPr>
            <w:tcW w:w="6910" w:type="dxa"/>
            <w:noWrap w:val="0"/>
            <w:vAlign w:val="center"/>
          </w:tcPr>
          <w:p w14:paraId="34258A64">
            <w:pPr>
              <w:pStyle w:val="10"/>
              <w:spacing w:line="320" w:lineRule="exact"/>
              <w:rPr>
                <w:rFonts w:ascii="宋体" w:hAnsi="宋体" w:cs="宋体"/>
                <w:sz w:val="24"/>
                <w:highlight w:val="none"/>
              </w:rPr>
            </w:pPr>
            <w:r>
              <w:rPr>
                <w:rFonts w:hint="eastAsia" w:ascii="宋体" w:hAnsi="宋体" w:cs="宋体"/>
                <w:sz w:val="24"/>
                <w:highlight w:val="none"/>
              </w:rPr>
              <w:t>7.1企业注册资本金达到</w:t>
            </w:r>
            <w:r>
              <w:rPr>
                <w:rFonts w:hint="eastAsia" w:ascii="宋体" w:hAnsi="宋体" w:cs="宋体"/>
                <w:sz w:val="24"/>
                <w:highlight w:val="none"/>
                <w:lang w:val="en-US" w:eastAsia="zh-CN"/>
              </w:rPr>
              <w:t>200</w:t>
            </w:r>
            <w:r>
              <w:rPr>
                <w:rFonts w:hint="eastAsia" w:ascii="宋体" w:hAnsi="宋体" w:cs="宋体"/>
                <w:sz w:val="24"/>
                <w:highlight w:val="none"/>
              </w:rPr>
              <w:t>万元得1分，每增加500万加0.5分，最多加</w:t>
            </w:r>
            <w:r>
              <w:rPr>
                <w:rFonts w:hint="eastAsia" w:ascii="宋体" w:hAnsi="宋体" w:cs="宋体"/>
                <w:sz w:val="24"/>
                <w:highlight w:val="none"/>
                <w:lang w:val="en-US" w:eastAsia="zh-CN"/>
              </w:rPr>
              <w:t>3</w:t>
            </w:r>
            <w:r>
              <w:rPr>
                <w:rFonts w:hint="eastAsia" w:ascii="宋体" w:hAnsi="宋体" w:cs="宋体"/>
                <w:sz w:val="24"/>
                <w:highlight w:val="none"/>
              </w:rPr>
              <w:t>分；</w:t>
            </w:r>
          </w:p>
          <w:p w14:paraId="77B0176D">
            <w:pPr>
              <w:pStyle w:val="10"/>
              <w:spacing w:line="320" w:lineRule="exact"/>
              <w:rPr>
                <w:rFonts w:ascii="宋体" w:hAnsi="宋体" w:cs="宋体"/>
                <w:kern w:val="2"/>
                <w:sz w:val="24"/>
                <w:highlight w:val="none"/>
                <w:lang w:val="en-US" w:eastAsia="zh-CN" w:bidi="ar-SA"/>
              </w:rPr>
            </w:pPr>
            <w:r>
              <w:rPr>
                <w:rFonts w:hint="eastAsia" w:ascii="宋体" w:hAnsi="宋体" w:cs="宋体"/>
                <w:sz w:val="24"/>
                <w:highlight w:val="none"/>
              </w:rPr>
              <w:t>7.2近三年营收情况等内容，根据财务报表情况，酌情得分，最多得</w:t>
            </w:r>
            <w:r>
              <w:rPr>
                <w:rFonts w:hint="eastAsia" w:ascii="宋体" w:hAnsi="宋体" w:cs="宋体"/>
                <w:sz w:val="24"/>
                <w:highlight w:val="none"/>
                <w:lang w:val="en-US" w:eastAsia="zh-CN"/>
              </w:rPr>
              <w:t>2</w:t>
            </w:r>
            <w:r>
              <w:rPr>
                <w:rFonts w:hint="eastAsia" w:ascii="宋体" w:hAnsi="宋体" w:cs="宋体"/>
                <w:sz w:val="24"/>
                <w:highlight w:val="none"/>
              </w:rPr>
              <w:t>分。</w:t>
            </w:r>
          </w:p>
        </w:tc>
      </w:tr>
      <w:tr w14:paraId="3EBC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7699EB74">
            <w:pPr>
              <w:spacing w:line="320" w:lineRule="exact"/>
              <w:jc w:val="center"/>
              <w:rPr>
                <w:rFonts w:ascii="宋体" w:hAnsi="宋体" w:cs="Calibri"/>
                <w:bCs/>
                <w:sz w:val="24"/>
                <w:szCs w:val="24"/>
                <w:highlight w:val="none"/>
              </w:rPr>
            </w:pPr>
            <w:r>
              <w:rPr>
                <w:rFonts w:hint="eastAsia" w:ascii="宋体" w:hAnsi="宋体" w:cs="Calibri"/>
                <w:bCs/>
                <w:sz w:val="24"/>
                <w:szCs w:val="24"/>
                <w:highlight w:val="none"/>
              </w:rPr>
              <w:t>7</w:t>
            </w:r>
          </w:p>
        </w:tc>
        <w:tc>
          <w:tcPr>
            <w:tcW w:w="1559" w:type="dxa"/>
            <w:noWrap w:val="0"/>
            <w:vAlign w:val="center"/>
          </w:tcPr>
          <w:p w14:paraId="60CD5BA3">
            <w:pPr>
              <w:pStyle w:val="10"/>
              <w:spacing w:line="320" w:lineRule="exact"/>
              <w:jc w:val="center"/>
              <w:rPr>
                <w:rFonts w:ascii="宋体" w:hAnsi="宋体" w:cs="宋体"/>
                <w:sz w:val="24"/>
                <w:highlight w:val="none"/>
              </w:rPr>
            </w:pPr>
            <w:r>
              <w:rPr>
                <w:rFonts w:hint="eastAsia" w:ascii="宋体" w:hAnsi="宋体" w:cs="宋体"/>
                <w:sz w:val="24"/>
                <w:highlight w:val="none"/>
              </w:rPr>
              <w:t>履约能力</w:t>
            </w:r>
          </w:p>
          <w:p w14:paraId="3FC278C2">
            <w:pPr>
              <w:pStyle w:val="10"/>
              <w:spacing w:line="320" w:lineRule="exact"/>
              <w:jc w:val="center"/>
              <w:rPr>
                <w:rFonts w:ascii="宋体" w:hAnsi="宋体" w:cs="宋体"/>
                <w:kern w:val="2"/>
                <w:sz w:val="24"/>
                <w:highlight w:val="none"/>
                <w:lang w:val="en-US" w:eastAsia="zh-CN" w:bidi="ar-SA"/>
              </w:rPr>
            </w:pPr>
            <w:r>
              <w:rPr>
                <w:rFonts w:hint="eastAsia" w:ascii="宋体" w:hAnsi="宋体" w:cs="宋体"/>
                <w:sz w:val="24"/>
                <w:highlight w:val="none"/>
                <w:lang w:val="en-US" w:eastAsia="zh-CN"/>
              </w:rPr>
              <w:t>4</w:t>
            </w:r>
            <w:r>
              <w:rPr>
                <w:rFonts w:hint="eastAsia" w:ascii="宋体" w:hAnsi="宋体" w:cs="宋体"/>
                <w:sz w:val="24"/>
                <w:highlight w:val="none"/>
              </w:rPr>
              <w:t>分</w:t>
            </w:r>
          </w:p>
        </w:tc>
        <w:tc>
          <w:tcPr>
            <w:tcW w:w="6910" w:type="dxa"/>
            <w:noWrap w:val="0"/>
            <w:vAlign w:val="center"/>
          </w:tcPr>
          <w:p w14:paraId="2F943378">
            <w:pPr>
              <w:pStyle w:val="10"/>
              <w:spacing w:line="320" w:lineRule="exact"/>
              <w:rPr>
                <w:rFonts w:ascii="宋体" w:hAnsi="宋体" w:cs="宋体"/>
                <w:kern w:val="2"/>
                <w:sz w:val="24"/>
                <w:highlight w:val="none"/>
                <w:lang w:val="en-US" w:eastAsia="zh-CN" w:bidi="ar-SA"/>
              </w:rPr>
            </w:pPr>
            <w:r>
              <w:rPr>
                <w:rFonts w:hint="eastAsia" w:ascii="宋体" w:hAnsi="宋体" w:cs="宋体"/>
                <w:sz w:val="24"/>
                <w:highlight w:val="none"/>
              </w:rPr>
              <w:t>视投标人的综合实力、品牌影响力、市场占有率、财务状况履约能力、安全、环保、节能认证等综合情况酌情得1-</w:t>
            </w:r>
            <w:r>
              <w:rPr>
                <w:rFonts w:hint="eastAsia" w:ascii="宋体" w:hAnsi="宋体" w:cs="宋体"/>
                <w:sz w:val="24"/>
                <w:highlight w:val="none"/>
                <w:lang w:val="en-US" w:eastAsia="zh-CN"/>
              </w:rPr>
              <w:t>4</w:t>
            </w:r>
            <w:r>
              <w:rPr>
                <w:rFonts w:hint="eastAsia" w:ascii="宋体" w:hAnsi="宋体" w:cs="宋体"/>
                <w:sz w:val="24"/>
                <w:highlight w:val="none"/>
              </w:rPr>
              <w:t>分。</w:t>
            </w:r>
          </w:p>
        </w:tc>
      </w:tr>
      <w:tr w14:paraId="1ED39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75B11E21">
            <w:pPr>
              <w:spacing w:line="320" w:lineRule="exact"/>
              <w:jc w:val="center"/>
              <w:rPr>
                <w:rFonts w:ascii="宋体" w:hAnsi="宋体" w:cs="Calibri"/>
                <w:bCs/>
                <w:sz w:val="24"/>
                <w:szCs w:val="24"/>
                <w:highlight w:val="none"/>
              </w:rPr>
            </w:pPr>
            <w:r>
              <w:rPr>
                <w:rFonts w:hint="eastAsia" w:ascii="宋体" w:hAnsi="宋体" w:cs="Calibri"/>
                <w:bCs/>
                <w:sz w:val="24"/>
                <w:szCs w:val="24"/>
                <w:highlight w:val="none"/>
              </w:rPr>
              <w:t>8</w:t>
            </w:r>
          </w:p>
        </w:tc>
        <w:tc>
          <w:tcPr>
            <w:tcW w:w="1559" w:type="dxa"/>
            <w:noWrap w:val="0"/>
            <w:vAlign w:val="center"/>
          </w:tcPr>
          <w:p w14:paraId="5B42158B">
            <w:pPr>
              <w:pStyle w:val="10"/>
              <w:spacing w:line="320" w:lineRule="exact"/>
              <w:jc w:val="center"/>
              <w:rPr>
                <w:rFonts w:ascii="宋体" w:hAnsi="宋体" w:cs="宋体"/>
                <w:sz w:val="24"/>
                <w:highlight w:val="none"/>
              </w:rPr>
            </w:pPr>
            <w:r>
              <w:rPr>
                <w:rFonts w:hint="eastAsia" w:ascii="宋体" w:hAnsi="宋体" w:cs="宋体"/>
                <w:sz w:val="24"/>
                <w:highlight w:val="none"/>
              </w:rPr>
              <w:t>质保期及售后服务</w:t>
            </w:r>
          </w:p>
          <w:p w14:paraId="2D483103">
            <w:pPr>
              <w:pStyle w:val="10"/>
              <w:spacing w:line="320" w:lineRule="exact"/>
              <w:jc w:val="center"/>
              <w:rPr>
                <w:rFonts w:ascii="宋体" w:hAnsi="宋体" w:cs="宋体"/>
                <w:kern w:val="2"/>
                <w:sz w:val="24"/>
                <w:highlight w:val="none"/>
                <w:lang w:val="en-US" w:eastAsia="zh-CN" w:bidi="ar-SA"/>
              </w:rPr>
            </w:pPr>
            <w:r>
              <w:rPr>
                <w:rFonts w:hint="eastAsia" w:ascii="宋体" w:hAnsi="宋体" w:cs="宋体"/>
                <w:sz w:val="24"/>
                <w:highlight w:val="none"/>
                <w:lang w:val="en-US" w:eastAsia="zh-CN"/>
              </w:rPr>
              <w:t>4</w:t>
            </w:r>
            <w:r>
              <w:rPr>
                <w:rFonts w:hint="eastAsia" w:ascii="宋体" w:hAnsi="宋体" w:cs="宋体"/>
                <w:sz w:val="24"/>
                <w:highlight w:val="none"/>
              </w:rPr>
              <w:t>分</w:t>
            </w:r>
          </w:p>
        </w:tc>
        <w:tc>
          <w:tcPr>
            <w:tcW w:w="6910" w:type="dxa"/>
            <w:noWrap w:val="0"/>
            <w:vAlign w:val="center"/>
          </w:tcPr>
          <w:p w14:paraId="77E4A424">
            <w:pPr>
              <w:pStyle w:val="10"/>
              <w:spacing w:line="320" w:lineRule="exact"/>
              <w:rPr>
                <w:rFonts w:ascii="宋体" w:hAnsi="宋体" w:cs="宋体"/>
                <w:kern w:val="2"/>
                <w:sz w:val="24"/>
                <w:highlight w:val="none"/>
                <w:lang w:val="en-US" w:eastAsia="zh-CN" w:bidi="ar-SA"/>
              </w:rPr>
            </w:pPr>
            <w:r>
              <w:rPr>
                <w:rFonts w:hint="eastAsia" w:ascii="宋体" w:hAnsi="宋体" w:cs="宋体"/>
                <w:sz w:val="24"/>
                <w:highlight w:val="none"/>
              </w:rPr>
              <w:t>质保期满足或优于招标文件要求，售后服务措施得当，体系完整，项目所在地有相应的的售后服务能力酌情得1-</w:t>
            </w:r>
            <w:r>
              <w:rPr>
                <w:rFonts w:hint="eastAsia" w:ascii="宋体" w:hAnsi="宋体" w:cs="宋体"/>
                <w:sz w:val="24"/>
                <w:highlight w:val="none"/>
                <w:lang w:val="en-US" w:eastAsia="zh-CN"/>
              </w:rPr>
              <w:t>4</w:t>
            </w:r>
            <w:r>
              <w:rPr>
                <w:rFonts w:hint="eastAsia" w:ascii="宋体" w:hAnsi="宋体" w:cs="宋体"/>
                <w:sz w:val="24"/>
                <w:highlight w:val="none"/>
              </w:rPr>
              <w:t>分。</w:t>
            </w:r>
          </w:p>
        </w:tc>
      </w:tr>
      <w:tr w14:paraId="21D3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3"/>
            <w:noWrap w:val="0"/>
            <w:vAlign w:val="center"/>
          </w:tcPr>
          <w:p w14:paraId="5D606CF2">
            <w:pPr>
              <w:pStyle w:val="10"/>
              <w:spacing w:line="320" w:lineRule="exact"/>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技术标得分一致情况，按照商务报价，推荐最低报价厂家。</w:t>
            </w:r>
          </w:p>
        </w:tc>
      </w:tr>
    </w:tbl>
    <w:p w14:paraId="7C1ECA02">
      <w:pPr>
        <w:pStyle w:val="7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5" w:name="OLE_LINK25"/>
      <w:bookmarkStart w:id="16" w:name="OLE_LINK27"/>
      <w:bookmarkStart w:id="17" w:name="OLE_LINK26"/>
      <w:bookmarkStart w:id="18" w:name="OLE_LINK28"/>
      <w:bookmarkStart w:id="19" w:name="OLE_LINK29"/>
      <w:r>
        <w:rPr>
          <w:rFonts w:hint="eastAsia" w:ascii="宋体" w:hAnsi="宋体" w:eastAsia="宋体" w:cs="宋体"/>
          <w:bCs/>
          <w:sz w:val="21"/>
          <w:szCs w:val="21"/>
          <w:highlight w:val="none"/>
        </w:rPr>
        <w:t>；</w:t>
      </w:r>
      <w:bookmarkEnd w:id="15"/>
      <w:bookmarkEnd w:id="16"/>
      <w:bookmarkEnd w:id="17"/>
      <w:bookmarkEnd w:id="18"/>
      <w:bookmarkEnd w:id="19"/>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rPr>
          <w:highlight w:val="none"/>
        </w:rPr>
      </w:pPr>
      <w:r>
        <w:rPr>
          <w:rFonts w:hint="eastAsia"/>
          <w:highlight w:val="none"/>
          <w:lang w:val="en-US" w:eastAsia="zh-CN"/>
        </w:rPr>
        <w:t>付款</w:t>
      </w:r>
    </w:p>
    <w:p w14:paraId="517A66BC">
      <w:pPr>
        <w:pStyle w:val="72"/>
        <w:numPr>
          <w:ilvl w:val="0"/>
          <w:numId w:val="30"/>
        </w:numPr>
        <w:ind w:left="425" w:leftChars="0" w:hanging="425" w:firstLineChars="0"/>
        <w:rPr>
          <w:rFonts w:hint="eastAsia" w:ascii="宋体" w:hAnsi="宋体" w:eastAsia="宋体" w:cs="宋体"/>
          <w:b/>
          <w:bCs/>
          <w:color w:val="FF0000"/>
          <w:sz w:val="21"/>
          <w:szCs w:val="21"/>
          <w:lang w:val="en-US" w:eastAsia="zh-CN"/>
        </w:rPr>
      </w:pPr>
      <w:r>
        <w:rPr>
          <w:rFonts w:hint="eastAsia" w:ascii="宋体" w:hAnsi="宋体" w:eastAsia="宋体" w:cs="宋体"/>
          <w:b w:val="0"/>
          <w:bCs w:val="0"/>
          <w:color w:val="auto"/>
          <w:sz w:val="21"/>
          <w:szCs w:val="21"/>
          <w:highlight w:val="none"/>
        </w:rPr>
        <w:t>付款方式</w:t>
      </w:r>
      <w:r>
        <w:rPr>
          <w:rFonts w:hint="eastAsia" w:ascii="宋体" w:hAnsi="宋体" w:eastAsia="宋体" w:cs="宋体"/>
          <w:b w:val="0"/>
          <w:bCs w:val="0"/>
          <w:color w:val="auto"/>
          <w:sz w:val="21"/>
          <w:szCs w:val="21"/>
          <w:highlight w:val="none"/>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highlight w:val="yellow"/>
          <w:lang w:val="en-US" w:eastAsia="zh-CN" w:bidi="ar-SA"/>
        </w:rPr>
        <w:t>2</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636829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3:6:1 ：</w:t>
      </w:r>
    </w:p>
    <w:p w14:paraId="443CC84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A.设备全部到货后，中标人提交金额为合同价款30%的收据并提供合同价款30%的增值税专用发票（含复印件二份），经招标人依照财务制度审核通过后30日支付；</w:t>
      </w:r>
    </w:p>
    <w:p w14:paraId="6ADB2094">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B.设备验收合格后，中标人提交金额为合同价款60%的收据并提供合同价款70%的增值税专用发票（含复印件二份），经招标人依照财务制度审核通过后30日支付；</w:t>
      </w:r>
    </w:p>
    <w:p w14:paraId="737DCC1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C.合同总价款的10%作为本合同约定设备的质量保证金，质量保证金在质量保证期内不计利息。质保期届满后支付。</w:t>
      </w:r>
    </w:p>
    <w:p w14:paraId="243FF35F">
      <w:pPr>
        <w:pStyle w:val="72"/>
        <w:rPr>
          <w:rFonts w:hint="eastAsia"/>
        </w:rPr>
      </w:pPr>
      <w:r>
        <w:rPr>
          <w:rFonts w:hint="eastAsia"/>
          <w:lang w:val="en-US" w:eastAsia="zh-CN"/>
        </w:rPr>
        <w:t>本次招标最终解释权归中国重汽集</w:t>
      </w:r>
      <w:r>
        <w:rPr>
          <w:rFonts w:hint="eastAsia"/>
          <w:highlight w:val="none"/>
          <w:u w:val="none"/>
          <w:lang w:val="en-US" w:eastAsia="zh-CN"/>
        </w:rPr>
        <w:t>团济南汽车部件有限公司</w:t>
      </w:r>
      <w:r>
        <w:rPr>
          <w:rFonts w:hint="eastAsia"/>
          <w:lang w:val="en-US" w:eastAsia="zh-CN"/>
        </w:rPr>
        <w:t>。</w:t>
      </w:r>
      <w:bookmarkStart w:id="20" w:name="_Toc47976607"/>
    </w:p>
    <w:p w14:paraId="1FB6CA61">
      <w:pPr>
        <w:pStyle w:val="71"/>
        <w:jc w:val="center"/>
        <w:rPr>
          <w:rFonts w:hint="default" w:eastAsia="黑体"/>
          <w:lang w:val="en-US" w:eastAsia="zh-CN"/>
        </w:rPr>
      </w:pPr>
      <w:bookmarkStart w:id="21" w:name="_Toc1910"/>
      <w:r>
        <w:rPr>
          <w:rFonts w:hint="eastAsia"/>
        </w:rPr>
        <w:t>第二部分　</w:t>
      </w:r>
      <w:bookmarkEnd w:id="20"/>
      <w:r>
        <w:rPr>
          <w:rFonts w:hint="eastAsia"/>
          <w:lang w:val="en-US" w:eastAsia="zh-CN"/>
        </w:rPr>
        <w:t>技术标书</w:t>
      </w:r>
      <w:bookmarkEnd w:id="21"/>
    </w:p>
    <w:p w14:paraId="54896C30">
      <w:pPr>
        <w:keepNext/>
        <w:keepLines/>
        <w:spacing w:before="120" w:after="120" w:line="480" w:lineRule="exact"/>
        <w:jc w:val="center"/>
        <w:outlineLvl w:val="1"/>
        <w:rPr>
          <w:rFonts w:ascii="宋体" w:hAnsi="Calibri" w:eastAsia="宋体" w:cs="Times New Roman"/>
          <w:b/>
          <w:bCs/>
          <w:kern w:val="44"/>
          <w:sz w:val="28"/>
          <w:szCs w:val="28"/>
        </w:rPr>
      </w:pPr>
      <w:bookmarkStart w:id="22" w:name="_Toc28859"/>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079E2BE7">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14:paraId="603C150B">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转向伸缩轴总成工序能力提升技改项目</w:t>
      </w:r>
    </w:p>
    <w:p w14:paraId="59718557">
      <w:pPr>
        <w:spacing w:line="360" w:lineRule="auto"/>
        <w:outlineLvl w:val="3"/>
        <w:rPr>
          <w:rFonts w:ascii="宋体" w:hAnsi="宋体" w:eastAsia="宋体" w:cs="宋体"/>
          <w:sz w:val="24"/>
          <w:szCs w:val="24"/>
          <w:highlight w:val="yellow"/>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济南部件公司部件加工部</w:t>
      </w:r>
    </w:p>
    <w:p w14:paraId="38005E41">
      <w:pPr>
        <w:spacing w:line="360" w:lineRule="auto"/>
        <w:outlineLvl w:val="3"/>
        <w:rPr>
          <w:rFonts w:ascii="宋体" w:hAnsi="宋体" w:eastAsia="宋体" w:cs="宋体"/>
          <w:sz w:val="24"/>
          <w:szCs w:val="24"/>
          <w:highlight w:val="yellow"/>
          <w:u w:val="single"/>
          <w:shd w:val="pct10" w:color="auto" w:fill="FFFFFF"/>
        </w:rPr>
      </w:pPr>
      <w:r>
        <w:rPr>
          <w:rFonts w:hint="eastAsia" w:ascii="宋体" w:hAnsi="宋体" w:eastAsia="宋体" w:cs="宋体"/>
          <w:sz w:val="24"/>
          <w:szCs w:val="24"/>
        </w:rPr>
        <w:t>三、使用地点：</w:t>
      </w:r>
      <w:r>
        <w:rPr>
          <w:rFonts w:hint="eastAsia" w:ascii="宋体" w:hAnsi="宋体" w:eastAsia="宋体" w:cs="宋体"/>
          <w:sz w:val="24"/>
          <w:szCs w:val="24"/>
          <w:u w:val="single"/>
        </w:rPr>
        <w:t>济南部件公司部件加工部</w:t>
      </w:r>
    </w:p>
    <w:p w14:paraId="4CC3F0EC">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w:t>
      </w:r>
      <w:r>
        <w:rPr>
          <w:rFonts w:hint="eastAsia" w:ascii="宋体" w:hAnsi="宋体" w:eastAsia="宋体" w:cs="宋体"/>
          <w:sz w:val="24"/>
          <w:szCs w:val="24"/>
          <w:highlight w:val="none"/>
        </w:rPr>
        <w:t>作300</w:t>
      </w:r>
      <w:r>
        <w:rPr>
          <w:rFonts w:hint="eastAsia" w:ascii="宋体" w:hAnsi="宋体" w:eastAsia="宋体" w:cs="宋体"/>
          <w:sz w:val="24"/>
          <w:szCs w:val="24"/>
        </w:rPr>
        <w:t>天、单班制、设备年时基数2400小时。</w:t>
      </w:r>
    </w:p>
    <w:p w14:paraId="2CEC93D5">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7FC15B3D">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1.海拔高度：1000m以下。</w:t>
      </w:r>
    </w:p>
    <w:p w14:paraId="6C0F4AE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2.环境温度：-10℃～+45℃。</w:t>
      </w:r>
    </w:p>
    <w:p w14:paraId="7CAB597B">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3.相对湿度：≤90%。</w:t>
      </w:r>
    </w:p>
    <w:p w14:paraId="42728937">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六、使用试验室环境条件：</w:t>
      </w:r>
    </w:p>
    <w:p w14:paraId="5AB1AEA3">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1.电力：中国制式，供电电压380V±15%/220V±15%，供电频率50Hz±2%；</w:t>
      </w:r>
    </w:p>
    <w:p w14:paraId="23525C28">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2.给水：市政自来水。</w:t>
      </w:r>
    </w:p>
    <w:p w14:paraId="5DBE794D">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3.压缩空气</w:t>
      </w:r>
      <w:r>
        <w:rPr>
          <w:rFonts w:hint="eastAsia" w:ascii="宋体" w:hAnsi="宋体" w:eastAsia="宋体" w:cs="宋体"/>
          <w:bCs/>
          <w:sz w:val="24"/>
          <w:szCs w:val="24"/>
          <w:highlight w:val="none"/>
        </w:rPr>
        <w:t>用（0.5-0.</w:t>
      </w:r>
      <w:r>
        <w:rPr>
          <w:rFonts w:ascii="宋体" w:hAnsi="宋体" w:eastAsia="宋体" w:cs="宋体"/>
          <w:bCs/>
          <w:sz w:val="24"/>
          <w:szCs w:val="24"/>
          <w:highlight w:val="none"/>
        </w:rPr>
        <w:t>6</w:t>
      </w:r>
      <w:r>
        <w:rPr>
          <w:rFonts w:hint="eastAsia" w:ascii="宋体" w:hAnsi="宋体" w:eastAsia="宋体" w:cs="宋体"/>
          <w:bCs/>
          <w:sz w:val="24"/>
          <w:szCs w:val="24"/>
          <w:highlight w:val="none"/>
        </w:rPr>
        <w:t>Mpa）,气</w:t>
      </w:r>
      <w:r>
        <w:rPr>
          <w:rFonts w:hint="eastAsia" w:ascii="宋体" w:hAnsi="宋体" w:eastAsia="宋体" w:cs="宋体"/>
          <w:bCs/>
          <w:sz w:val="24"/>
          <w:szCs w:val="24"/>
        </w:rPr>
        <w:t>压不够乙方增加增压泵设备。</w:t>
      </w:r>
    </w:p>
    <w:p w14:paraId="4B384D55">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14:paraId="3F79646C">
      <w:pPr>
        <w:spacing w:line="360" w:lineRule="auto"/>
        <w:outlineLvl w:val="3"/>
        <w:rPr>
          <w:rFonts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single"/>
        </w:rPr>
        <w:t>转向伸缩轴总成工序能力提升技改项目</w:t>
      </w:r>
      <w:r>
        <w:rPr>
          <w:rFonts w:hint="eastAsia" w:ascii="宋体" w:hAnsi="宋体" w:eastAsia="宋体" w:cs="宋体"/>
          <w:sz w:val="24"/>
          <w:szCs w:val="24"/>
        </w:rPr>
        <w:t>（详见下表）</w:t>
      </w:r>
    </w:p>
    <w:p w14:paraId="5FC7497C">
      <w:pPr>
        <w:spacing w:line="360" w:lineRule="auto"/>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highlight w:val="none"/>
          <w:u w:val="single"/>
          <w:shd w:val="pct10" w:color="auto" w:fill="FFFFFF"/>
        </w:rPr>
        <w:t>1套</w:t>
      </w:r>
      <w:r>
        <w:rPr>
          <w:rFonts w:hint="eastAsia" w:ascii="宋体" w:hAnsi="宋体" w:eastAsia="宋体" w:cs="宋体"/>
          <w:sz w:val="24"/>
          <w:szCs w:val="24"/>
        </w:rPr>
        <w:t>（详见下表）</w:t>
      </w:r>
    </w:p>
    <w:p w14:paraId="609CC55B">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采购货物主要构成一览表</w:t>
      </w:r>
    </w:p>
    <w:tbl>
      <w:tblPr>
        <w:tblStyle w:val="30"/>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4604"/>
        <w:gridCol w:w="1604"/>
        <w:gridCol w:w="1413"/>
      </w:tblGrid>
      <w:tr w14:paraId="008F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6" w:type="dxa"/>
            <w:vAlign w:val="center"/>
          </w:tcPr>
          <w:p w14:paraId="63ED5E6E">
            <w:pPr>
              <w:jc w:val="center"/>
              <w:rPr>
                <w:rFonts w:ascii="宋体" w:hAnsi="宋体" w:eastAsia="宋体" w:cs="宋体"/>
                <w:sz w:val="24"/>
                <w:szCs w:val="24"/>
              </w:rPr>
            </w:pPr>
            <w:r>
              <w:rPr>
                <w:rFonts w:hint="eastAsia" w:ascii="宋体" w:hAnsi="宋体" w:eastAsia="宋体" w:cs="宋体"/>
                <w:sz w:val="24"/>
                <w:szCs w:val="24"/>
              </w:rPr>
              <w:t>序号</w:t>
            </w:r>
          </w:p>
        </w:tc>
        <w:tc>
          <w:tcPr>
            <w:tcW w:w="4604" w:type="dxa"/>
            <w:vAlign w:val="center"/>
          </w:tcPr>
          <w:p w14:paraId="45E055CB">
            <w:pPr>
              <w:jc w:val="center"/>
              <w:rPr>
                <w:rFonts w:ascii="宋体" w:hAnsi="宋体" w:eastAsia="宋体" w:cs="宋体"/>
                <w:sz w:val="24"/>
                <w:szCs w:val="24"/>
              </w:rPr>
            </w:pPr>
            <w:r>
              <w:rPr>
                <w:rFonts w:hint="eastAsia" w:ascii="宋体" w:hAnsi="宋体" w:eastAsia="宋体" w:cs="宋体"/>
                <w:sz w:val="24"/>
                <w:szCs w:val="24"/>
              </w:rPr>
              <w:t>名称</w:t>
            </w:r>
          </w:p>
        </w:tc>
        <w:tc>
          <w:tcPr>
            <w:tcW w:w="1604" w:type="dxa"/>
            <w:vAlign w:val="center"/>
          </w:tcPr>
          <w:p w14:paraId="4C2C15DD">
            <w:pPr>
              <w:jc w:val="center"/>
              <w:rPr>
                <w:rFonts w:ascii="宋体" w:hAnsi="宋体" w:eastAsia="宋体" w:cs="宋体"/>
                <w:sz w:val="24"/>
                <w:szCs w:val="24"/>
              </w:rPr>
            </w:pPr>
            <w:r>
              <w:rPr>
                <w:rFonts w:hint="eastAsia" w:ascii="宋体" w:hAnsi="宋体" w:eastAsia="宋体" w:cs="宋体"/>
                <w:sz w:val="24"/>
                <w:szCs w:val="24"/>
              </w:rPr>
              <w:t>单位</w:t>
            </w:r>
          </w:p>
        </w:tc>
        <w:tc>
          <w:tcPr>
            <w:tcW w:w="1413" w:type="dxa"/>
            <w:vAlign w:val="center"/>
          </w:tcPr>
          <w:p w14:paraId="14EBF027">
            <w:pPr>
              <w:jc w:val="center"/>
              <w:rPr>
                <w:rFonts w:ascii="宋体" w:hAnsi="宋体" w:eastAsia="宋体" w:cs="宋体"/>
                <w:sz w:val="24"/>
                <w:szCs w:val="24"/>
              </w:rPr>
            </w:pPr>
            <w:r>
              <w:rPr>
                <w:rFonts w:hint="eastAsia" w:ascii="宋体" w:hAnsi="宋体" w:eastAsia="宋体" w:cs="宋体"/>
                <w:sz w:val="24"/>
                <w:szCs w:val="24"/>
              </w:rPr>
              <w:t>数量</w:t>
            </w:r>
          </w:p>
        </w:tc>
      </w:tr>
      <w:tr w14:paraId="73D2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6" w:type="dxa"/>
            <w:vAlign w:val="center"/>
          </w:tcPr>
          <w:p w14:paraId="13327FE2">
            <w:pPr>
              <w:jc w:val="center"/>
              <w:rPr>
                <w:rFonts w:ascii="宋体" w:hAnsi="宋体" w:eastAsia="宋体" w:cs="宋体"/>
                <w:sz w:val="24"/>
                <w:szCs w:val="24"/>
              </w:rPr>
            </w:pPr>
            <w:r>
              <w:rPr>
                <w:rFonts w:hint="eastAsia" w:ascii="宋体" w:hAnsi="宋体" w:eastAsia="宋体" w:cs="宋体"/>
                <w:sz w:val="24"/>
                <w:szCs w:val="24"/>
              </w:rPr>
              <w:t>1</w:t>
            </w:r>
          </w:p>
        </w:tc>
        <w:tc>
          <w:tcPr>
            <w:tcW w:w="4604" w:type="dxa"/>
            <w:vAlign w:val="center"/>
          </w:tcPr>
          <w:p w14:paraId="53D858A7">
            <w:pPr>
              <w:jc w:val="center"/>
              <w:rPr>
                <w:rFonts w:ascii="宋体" w:hAnsi="宋体" w:eastAsia="宋体" w:cs="宋体"/>
                <w:sz w:val="24"/>
                <w:szCs w:val="24"/>
              </w:rPr>
            </w:pPr>
            <w:r>
              <w:rPr>
                <w:rFonts w:hint="eastAsia" w:ascii="宋体" w:hAnsi="宋体" w:eastAsia="宋体" w:cs="宋体"/>
                <w:sz w:val="24"/>
                <w:szCs w:val="24"/>
              </w:rPr>
              <w:t>钢球装配专机</w:t>
            </w:r>
          </w:p>
        </w:tc>
        <w:tc>
          <w:tcPr>
            <w:tcW w:w="1604" w:type="dxa"/>
            <w:vAlign w:val="center"/>
          </w:tcPr>
          <w:p w14:paraId="26CEA53D">
            <w:pPr>
              <w:jc w:val="center"/>
              <w:rPr>
                <w:rFonts w:ascii="宋体" w:hAnsi="宋体" w:eastAsia="宋体" w:cs="宋体"/>
                <w:sz w:val="24"/>
                <w:szCs w:val="24"/>
              </w:rPr>
            </w:pPr>
            <w:r>
              <w:rPr>
                <w:rFonts w:hint="eastAsia" w:ascii="宋体" w:hAnsi="宋体" w:eastAsia="宋体" w:cs="宋体"/>
                <w:sz w:val="24"/>
                <w:szCs w:val="24"/>
              </w:rPr>
              <w:t>套</w:t>
            </w:r>
          </w:p>
        </w:tc>
        <w:tc>
          <w:tcPr>
            <w:tcW w:w="1413" w:type="dxa"/>
            <w:vAlign w:val="center"/>
          </w:tcPr>
          <w:p w14:paraId="2A061AEA">
            <w:pPr>
              <w:jc w:val="center"/>
              <w:rPr>
                <w:rFonts w:ascii="宋体" w:hAnsi="宋体" w:eastAsia="宋体" w:cs="宋体"/>
                <w:sz w:val="24"/>
                <w:szCs w:val="24"/>
              </w:rPr>
            </w:pPr>
            <w:r>
              <w:rPr>
                <w:rFonts w:ascii="宋体" w:hAnsi="宋体" w:eastAsia="宋体" w:cs="宋体"/>
                <w:sz w:val="24"/>
                <w:szCs w:val="24"/>
              </w:rPr>
              <w:t>1</w:t>
            </w:r>
          </w:p>
        </w:tc>
      </w:tr>
    </w:tbl>
    <w:p w14:paraId="5CC55EE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3AEC649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w:t>
      </w:r>
      <w:r>
        <w:rPr>
          <w:rFonts w:hint="eastAsia" w:ascii="宋体" w:hAnsi="宋体" w:eastAsia="宋体" w:cs="宋体"/>
          <w:bCs/>
          <w:sz w:val="24"/>
          <w:szCs w:val="24"/>
          <w:highlight w:val="none"/>
        </w:rPr>
        <w:t>运输（使用重汽车进厂）</w:t>
      </w:r>
      <w:r>
        <w:rPr>
          <w:rFonts w:hint="eastAsia" w:ascii="宋体" w:hAnsi="宋体" w:eastAsia="宋体" w:cs="宋体"/>
          <w:bCs/>
          <w:sz w:val="24"/>
          <w:szCs w:val="24"/>
        </w:rPr>
        <w:t>、定点卸货、安装、调试和协助验收以及约定培训等。</w:t>
      </w:r>
    </w:p>
    <w:p w14:paraId="45A7C300">
      <w:pPr>
        <w:spacing w:line="360" w:lineRule="auto"/>
        <w:outlineLvl w:val="3"/>
        <w:rPr>
          <w:rFonts w:ascii="宋体" w:hAnsi="宋体" w:eastAsia="宋体" w:cs="宋体"/>
          <w:b/>
          <w:sz w:val="24"/>
          <w:szCs w:val="24"/>
        </w:rPr>
      </w:pPr>
      <w:r>
        <w:rPr>
          <w:rFonts w:hint="eastAsia" w:ascii="宋体" w:hAnsi="宋体" w:eastAsia="宋体" w:cs="宋体"/>
          <w:b/>
          <w:sz w:val="24"/>
          <w:szCs w:val="24"/>
        </w:rPr>
        <w:t>三、采购货物特别说明</w:t>
      </w:r>
    </w:p>
    <w:p w14:paraId="2CC188A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14:paraId="52A200AF">
      <w:pPr>
        <w:pStyle w:val="11"/>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本项目涉及的所有设备通讯协议需在技术方案评审时一并免费提交给招标方，并协助招标方开展设备集成工作。</w:t>
      </w:r>
    </w:p>
    <w:p w14:paraId="07652D75">
      <w:pPr>
        <w:pStyle w:val="11"/>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各单元原理图、电路图、程序框图、技术规格和指标、接口协议、各部件型号和参数清单在协议</w:t>
      </w:r>
      <w:r>
        <w:rPr>
          <w:rFonts w:hint="eastAsia" w:ascii="宋体" w:hAnsi="宋体" w:eastAsia="宋体" w:cs="宋体"/>
          <w:sz w:val="24"/>
          <w:szCs w:val="24"/>
          <w:highlight w:val="none"/>
        </w:rPr>
        <w:t>签订2个月内提供</w:t>
      </w:r>
      <w:r>
        <w:rPr>
          <w:rFonts w:hint="eastAsia" w:ascii="宋体" w:hAnsi="宋体" w:eastAsia="宋体" w:cs="宋体"/>
          <w:sz w:val="24"/>
          <w:szCs w:val="24"/>
        </w:rPr>
        <w:t>。</w:t>
      </w:r>
    </w:p>
    <w:p w14:paraId="14E0FDD1">
      <w:pPr>
        <w:widowControl/>
        <w:jc w:val="left"/>
      </w:pPr>
      <w:r>
        <w:br w:type="page"/>
      </w:r>
    </w:p>
    <w:p w14:paraId="024F3262">
      <w:pPr>
        <w:keepNext/>
        <w:keepLines/>
        <w:tabs>
          <w:tab w:val="center" w:pos="4535"/>
          <w:tab w:val="left" w:pos="7056"/>
        </w:tabs>
        <w:spacing w:before="120" w:after="120" w:line="480" w:lineRule="exact"/>
        <w:jc w:val="left"/>
        <w:outlineLvl w:val="1"/>
        <w:rPr>
          <w:rFonts w:ascii="宋体" w:hAnsi="宋体" w:eastAsia="宋体" w:cs="宋体"/>
          <w:bCs/>
          <w:kern w:val="44"/>
          <w:sz w:val="24"/>
          <w:szCs w:val="24"/>
        </w:rPr>
      </w:pPr>
      <w:r>
        <w:rPr>
          <w:rFonts w:hint="eastAsia" w:ascii="宋体" w:hAnsi="宋体" w:eastAsia="宋体" w:cs="宋体"/>
          <w:b/>
          <w:bCs/>
          <w:kern w:val="44"/>
          <w:sz w:val="24"/>
          <w:szCs w:val="24"/>
        </w:rPr>
        <w:tab/>
      </w:r>
      <w:r>
        <w:rPr>
          <w:rFonts w:hint="eastAsia" w:ascii="宋体" w:hAnsi="宋体" w:eastAsia="宋体" w:cs="宋体"/>
          <w:b/>
          <w:bCs/>
          <w:kern w:val="44"/>
          <w:sz w:val="24"/>
          <w:szCs w:val="24"/>
        </w:rPr>
        <w:t>第二章  技术要求</w:t>
      </w:r>
      <w:r>
        <w:rPr>
          <w:rFonts w:hint="eastAsia" w:ascii="宋体" w:hAnsi="宋体" w:eastAsia="宋体" w:cs="宋体"/>
          <w:b/>
          <w:bCs/>
          <w:kern w:val="44"/>
          <w:sz w:val="24"/>
          <w:szCs w:val="24"/>
        </w:rPr>
        <w:tab/>
      </w:r>
    </w:p>
    <w:p w14:paraId="766E98BC">
      <w:pPr>
        <w:pStyle w:val="4"/>
        <w:ind w:firstLine="420"/>
        <w:rPr>
          <w:rFonts w:ascii="宋体" w:hAnsi="宋体" w:cs="宋体"/>
          <w:b w:val="0"/>
          <w:bCs w:val="0"/>
          <w:sz w:val="24"/>
          <w:szCs w:val="24"/>
        </w:rPr>
      </w:pPr>
      <w:r>
        <w:rPr>
          <w:rFonts w:hint="eastAsia" w:ascii="宋体" w:hAnsi="宋体" w:cs="宋体"/>
          <w:sz w:val="24"/>
          <w:szCs w:val="24"/>
        </w:rPr>
        <w:t>一、特别提示</w:t>
      </w:r>
    </w:p>
    <w:p w14:paraId="07D6E67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525728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25B7B0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620F36F2">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326E8C97">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574280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68CE1256">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1D96DB13">
      <w:pPr>
        <w:pStyle w:val="4"/>
        <w:ind w:firstLine="420"/>
        <w:rPr>
          <w:rFonts w:ascii="宋体" w:hAnsi="宋体" w:cs="宋体"/>
          <w:b w:val="0"/>
          <w:bCs w:val="0"/>
          <w:sz w:val="24"/>
          <w:szCs w:val="24"/>
        </w:rPr>
      </w:pPr>
      <w:r>
        <w:rPr>
          <w:rFonts w:hint="eastAsia" w:ascii="宋体" w:hAnsi="宋体" w:cs="宋体"/>
          <w:sz w:val="24"/>
          <w:szCs w:val="24"/>
        </w:rPr>
        <w:t>二、基本要求</w:t>
      </w:r>
    </w:p>
    <w:p w14:paraId="3E6364D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2E76AD3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3A31A1E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64EF8E5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2CB40A82">
      <w:pPr>
        <w:spacing w:line="360" w:lineRule="auto"/>
        <w:ind w:firstLine="480" w:firstLineChars="200"/>
        <w:rPr>
          <w:rFonts w:ascii="宋体" w:hAnsi="宋体" w:eastAsia="宋体" w:cs="宋体"/>
          <w:b/>
          <w:bCs/>
          <w:color w:val="FF0000"/>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Times New Roman"/>
          <w:b/>
          <w:bCs/>
          <w:sz w:val="24"/>
          <w:szCs w:val="24"/>
        </w:rPr>
        <w:t>其中，功率≥7.5KW的电机，应选用1级能效（根据国标计算）。＜7.5KW的电机，能效等级不低于2级</w:t>
      </w:r>
      <w:r>
        <w:rPr>
          <w:rFonts w:hint="eastAsia" w:ascii="宋体" w:hAnsi="宋体" w:eastAsia="宋体" w:cs="宋体"/>
          <w:sz w:val="24"/>
          <w:szCs w:val="24"/>
        </w:rPr>
        <w:t>。招标的中标货物不接受试验品（提供证据），还应是原产地的货物。</w:t>
      </w:r>
    </w:p>
    <w:p w14:paraId="4B552E9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0C59FAB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1A890E20">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8.程序图纸要求 </w:t>
      </w:r>
    </w:p>
    <w:p w14:paraId="7AECB203">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（1）供方必须提供所有设备程序的源代码，包括但不限于 PLC程序、HMI 程序、机器人程序、视觉程序、伺服等。</w:t>
      </w:r>
    </w:p>
    <w:p w14:paraId="729302FD">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 供方所提供的程序不得设置任何密码、保护等限制手段，PLC 不得设置修改下载权限，功能块不得设置密码保护。</w:t>
      </w:r>
    </w:p>
    <w:p w14:paraId="64761AAF">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 HMI 界面等需要密码保护的程序，供方必须提供所有级别的用户名、密码。</w:t>
      </w:r>
    </w:p>
    <w:p w14:paraId="7E7E6DE8">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 供方需在设备入场前提供设备程序源码，HMI 界面各级用户名和密码，并保证与现场程序一致。</w:t>
      </w:r>
    </w:p>
    <w:p w14:paraId="377E33A2">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 供方需在终验收前提供最新的设备程序源码和电气图纸，图纸要求为可编辑原格式（EPLAN、CAD 格式）且与实际接线一致。</w:t>
      </w:r>
    </w:p>
    <w:p w14:paraId="0F8F0A4B">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9.接口协议要求</w:t>
      </w:r>
    </w:p>
    <w:p w14:paraId="48E1C7B8">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 供方免费开放所有通讯接口，包括但不限于以太网、</w:t>
      </w:r>
    </w:p>
    <w:p w14:paraId="2E382F58">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RS232、RS485、PROFIBUS、PROFINET、MODBUS 等常见接口，以及设备特有的专用接口。</w:t>
      </w:r>
    </w:p>
    <w:p w14:paraId="1C9FAB9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 供方免费提供数据交互功能，交互数据包括但不限于实时数据、历史数据、报警信息等。</w:t>
      </w:r>
    </w:p>
    <w:p w14:paraId="522844A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 供方在设备入场前提供接口的技术文档和参数说明，包括但不限于接口协议、通讯速率、数据格式等。</w:t>
      </w:r>
    </w:p>
    <w:p w14:paraId="75744262">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 设备使用周期内，供方免费派遣技术人员与甲方调试团队共同进行设备通讯接口的调试工作。</w:t>
      </w:r>
    </w:p>
    <w:p w14:paraId="5E293001">
      <w:pPr>
        <w:pStyle w:val="111"/>
        <w:spacing w:line="360" w:lineRule="auto"/>
        <w:outlineLvl w:val="2"/>
        <w:rPr>
          <w:rFonts w:eastAsia="宋体" w:cs="宋体"/>
          <w:b/>
          <w:bCs w:val="0"/>
          <w:sz w:val="24"/>
          <w:szCs w:val="24"/>
        </w:rPr>
      </w:pPr>
      <w:r>
        <w:rPr>
          <w:rFonts w:hint="eastAsia" w:eastAsia="宋体" w:cs="宋体"/>
          <w:b/>
          <w:bCs w:val="0"/>
          <w:sz w:val="24"/>
          <w:szCs w:val="24"/>
        </w:rPr>
        <w:t>三、技术要求</w:t>
      </w:r>
    </w:p>
    <w:p w14:paraId="695B23E4">
      <w:pPr>
        <w:pStyle w:val="111"/>
        <w:spacing w:line="360" w:lineRule="auto"/>
        <w:outlineLvl w:val="2"/>
        <w:rPr>
          <w:rFonts w:eastAsia="宋体"/>
          <w:sz w:val="24"/>
          <w:szCs w:val="24"/>
        </w:rPr>
      </w:pPr>
      <w:r>
        <w:rPr>
          <w:rFonts w:hint="eastAsia" w:eastAsia="宋体"/>
          <w:sz w:val="24"/>
          <w:szCs w:val="24"/>
        </w:rPr>
        <w:t>1、本设备适用于甲方保持架（零件号：711W46122-0043、CZ971947030044、</w:t>
      </w:r>
    </w:p>
    <w:p w14:paraId="713B4768">
      <w:pPr>
        <w:pStyle w:val="111"/>
        <w:spacing w:line="360" w:lineRule="auto"/>
        <w:outlineLvl w:val="2"/>
        <w:rPr>
          <w:rFonts w:eastAsia="宋体"/>
          <w:sz w:val="24"/>
          <w:szCs w:val="24"/>
        </w:rPr>
      </w:pPr>
      <w:r>
        <w:rPr>
          <w:rFonts w:hint="eastAsia" w:eastAsia="宋体"/>
          <w:sz w:val="24"/>
          <w:szCs w:val="24"/>
        </w:rPr>
        <w:t>CZ000047000030）与钢球（规格：Φ7，材料：GCr15-GB/T18254）的压装工艺</w:t>
      </w:r>
    </w:p>
    <w:p w14:paraId="746EFF8A">
      <w:pPr>
        <w:pStyle w:val="111"/>
        <w:spacing w:line="360" w:lineRule="auto"/>
        <w:outlineLvl w:val="2"/>
        <w:rPr>
          <w:rFonts w:eastAsia="宋体"/>
          <w:sz w:val="24"/>
          <w:szCs w:val="24"/>
        </w:rPr>
      </w:pPr>
      <w:r>
        <w:rPr>
          <w:rFonts w:hint="eastAsia" w:eastAsia="宋体"/>
          <w:sz w:val="24"/>
          <w:szCs w:val="24"/>
        </w:rPr>
        <w:t>过程、质量控制、检验与验收。</w:t>
      </w:r>
    </w:p>
    <w:p w14:paraId="7E61F7C4">
      <w:pPr>
        <w:pStyle w:val="111"/>
        <w:spacing w:line="360" w:lineRule="auto"/>
        <w:outlineLvl w:val="2"/>
        <w:rPr>
          <w:rFonts w:eastAsia="宋体"/>
          <w:sz w:val="24"/>
          <w:szCs w:val="24"/>
          <w:highlight w:val="none"/>
        </w:rPr>
      </w:pPr>
      <w:r>
        <w:rPr>
          <w:rFonts w:hint="eastAsia" w:eastAsia="宋体"/>
          <w:sz w:val="24"/>
          <w:szCs w:val="24"/>
        </w:rPr>
        <w:t>2、压装前，乙方须对</w:t>
      </w:r>
      <w:r>
        <w:rPr>
          <w:rFonts w:hint="eastAsia" w:eastAsia="宋体"/>
          <w:sz w:val="24"/>
          <w:szCs w:val="24"/>
          <w:highlight w:val="none"/>
        </w:rPr>
        <w:t>零件进行检测，设备应当具备对零部件进行识别功能：检查保持架长度与装配型号相匹配。</w:t>
      </w:r>
    </w:p>
    <w:p w14:paraId="29010BE8">
      <w:pPr>
        <w:pStyle w:val="111"/>
        <w:spacing w:line="360" w:lineRule="auto"/>
        <w:outlineLvl w:val="2"/>
        <w:rPr>
          <w:rFonts w:eastAsia="宋体"/>
          <w:sz w:val="24"/>
          <w:szCs w:val="24"/>
          <w:highlight w:val="none"/>
        </w:rPr>
      </w:pPr>
      <w:r>
        <w:rPr>
          <w:rFonts w:hint="eastAsia" w:eastAsia="宋体"/>
          <w:sz w:val="24"/>
          <w:szCs w:val="24"/>
          <w:highlight w:val="none"/>
        </w:rPr>
        <w:t>3、生产节拍为20s。</w:t>
      </w:r>
    </w:p>
    <w:p w14:paraId="1F4E9CEC">
      <w:pPr>
        <w:pStyle w:val="111"/>
        <w:spacing w:line="360" w:lineRule="auto"/>
        <w:outlineLvl w:val="2"/>
        <w:rPr>
          <w:rFonts w:eastAsia="宋体"/>
          <w:sz w:val="24"/>
          <w:szCs w:val="24"/>
          <w:highlight w:val="none"/>
        </w:rPr>
      </w:pPr>
      <w:r>
        <w:rPr>
          <w:rFonts w:hint="eastAsia" w:eastAsia="宋体"/>
          <w:sz w:val="24"/>
          <w:szCs w:val="24"/>
          <w:highlight w:val="none"/>
        </w:rPr>
        <w:t>4、NG率≤1%。</w:t>
      </w:r>
    </w:p>
    <w:p w14:paraId="3771AA89">
      <w:pPr>
        <w:pStyle w:val="111"/>
        <w:spacing w:line="360" w:lineRule="auto"/>
        <w:outlineLvl w:val="2"/>
        <w:rPr>
          <w:rFonts w:eastAsia="宋体"/>
          <w:sz w:val="24"/>
          <w:szCs w:val="24"/>
          <w:highlight w:val="none"/>
        </w:rPr>
      </w:pPr>
      <w:r>
        <w:rPr>
          <w:rFonts w:hint="eastAsia" w:eastAsia="宋体"/>
          <w:sz w:val="24"/>
          <w:szCs w:val="24"/>
          <w:highlight w:val="none"/>
        </w:rPr>
        <w:t>5、钢球与尼龙套为过盈配合，钢球压装力适当，避免保持架压裂。</w:t>
      </w:r>
    </w:p>
    <w:p w14:paraId="7C7C3B73">
      <w:pPr>
        <w:pStyle w:val="111"/>
        <w:spacing w:line="360" w:lineRule="auto"/>
        <w:outlineLvl w:val="2"/>
        <w:rPr>
          <w:rFonts w:eastAsia="宋体"/>
          <w:sz w:val="24"/>
          <w:szCs w:val="24"/>
          <w:highlight w:val="none"/>
        </w:rPr>
      </w:pPr>
      <w:r>
        <w:rPr>
          <w:rFonts w:hint="eastAsia" w:eastAsia="宋体"/>
          <w:sz w:val="24"/>
          <w:szCs w:val="24"/>
          <w:highlight w:val="none"/>
        </w:rPr>
        <w:t>6、钢球必须通过专用夹具或导向套与保持架孔对中，确保垂直压入，防止啃伤、划伤零件。</w:t>
      </w:r>
    </w:p>
    <w:p w14:paraId="65E445E9">
      <w:pPr>
        <w:pStyle w:val="111"/>
        <w:spacing w:line="360" w:lineRule="auto"/>
        <w:outlineLvl w:val="2"/>
        <w:rPr>
          <w:rFonts w:eastAsia="宋体"/>
          <w:sz w:val="24"/>
          <w:szCs w:val="24"/>
          <w:highlight w:val="none"/>
        </w:rPr>
      </w:pPr>
      <w:r>
        <w:rPr>
          <w:rFonts w:hint="eastAsia" w:eastAsia="宋体"/>
          <w:sz w:val="24"/>
          <w:szCs w:val="24"/>
          <w:highlight w:val="none"/>
        </w:rPr>
        <w:t>7、压装速度应平稳、可控。</w:t>
      </w:r>
    </w:p>
    <w:p w14:paraId="6FEE7B73">
      <w:pPr>
        <w:pStyle w:val="111"/>
        <w:spacing w:line="360" w:lineRule="auto"/>
        <w:outlineLvl w:val="2"/>
        <w:rPr>
          <w:rFonts w:eastAsia="宋体"/>
          <w:sz w:val="24"/>
          <w:szCs w:val="24"/>
          <w:highlight w:val="none"/>
        </w:rPr>
      </w:pPr>
      <w:r>
        <w:rPr>
          <w:rFonts w:hint="eastAsia" w:eastAsia="宋体"/>
          <w:sz w:val="24"/>
          <w:szCs w:val="24"/>
          <w:highlight w:val="none"/>
        </w:rPr>
        <w:t>8、压装后的成品要满足以下要求：</w:t>
      </w:r>
    </w:p>
    <w:p w14:paraId="3435B32C">
      <w:pPr>
        <w:pStyle w:val="111"/>
        <w:spacing w:line="360" w:lineRule="auto"/>
        <w:outlineLvl w:val="2"/>
        <w:rPr>
          <w:rFonts w:eastAsia="宋体"/>
          <w:sz w:val="24"/>
          <w:szCs w:val="24"/>
          <w:highlight w:val="none"/>
        </w:rPr>
      </w:pPr>
      <w:r>
        <w:rPr>
          <w:rFonts w:hint="eastAsia" w:eastAsia="宋体"/>
          <w:sz w:val="24"/>
          <w:szCs w:val="24"/>
          <w:highlight w:val="none"/>
        </w:rPr>
        <w:t>（1）外观质量：钢球与保持架表面不得有任何压伤、裂纹、变形。</w:t>
      </w:r>
    </w:p>
    <w:p w14:paraId="24E64315">
      <w:pPr>
        <w:pStyle w:val="111"/>
        <w:spacing w:line="360" w:lineRule="auto"/>
        <w:outlineLvl w:val="2"/>
        <w:rPr>
          <w:rFonts w:eastAsia="宋体"/>
          <w:sz w:val="24"/>
          <w:szCs w:val="24"/>
          <w:highlight w:val="none"/>
        </w:rPr>
      </w:pPr>
      <w:r>
        <w:rPr>
          <w:rFonts w:hint="eastAsia" w:eastAsia="宋体"/>
          <w:sz w:val="24"/>
          <w:szCs w:val="24"/>
          <w:highlight w:val="none"/>
        </w:rPr>
        <w:t>（2）灵活性：压装后的钢球在保持架内应能转动灵活，无卡滞现象。</w:t>
      </w:r>
    </w:p>
    <w:p w14:paraId="25991BB6">
      <w:pPr>
        <w:pStyle w:val="111"/>
        <w:spacing w:line="360" w:lineRule="auto"/>
        <w:outlineLvl w:val="2"/>
        <w:rPr>
          <w:rFonts w:eastAsia="宋体"/>
          <w:sz w:val="24"/>
          <w:szCs w:val="24"/>
          <w:highlight w:val="none"/>
        </w:rPr>
      </w:pPr>
      <w:r>
        <w:rPr>
          <w:rFonts w:hint="eastAsia" w:eastAsia="宋体"/>
          <w:sz w:val="24"/>
          <w:szCs w:val="24"/>
          <w:highlight w:val="none"/>
        </w:rPr>
        <w:t>（3）装配关系：钢球突出保持架表面的高度（或沉入深度）需符合图纸要求，确保在伸缩轴总成装配后能形成正确的接触与传动关系。</w:t>
      </w:r>
    </w:p>
    <w:p w14:paraId="54430E81">
      <w:pPr>
        <w:pStyle w:val="111"/>
        <w:spacing w:line="360" w:lineRule="auto"/>
        <w:outlineLvl w:val="2"/>
        <w:rPr>
          <w:rFonts w:eastAsia="宋体"/>
          <w:sz w:val="24"/>
          <w:szCs w:val="24"/>
          <w:highlight w:val="none"/>
        </w:rPr>
      </w:pPr>
      <w:r>
        <w:rPr>
          <w:rFonts w:hint="eastAsia" w:eastAsia="宋体"/>
          <w:sz w:val="24"/>
          <w:szCs w:val="24"/>
          <w:highlight w:val="none"/>
        </w:rPr>
        <w:t>10、保持架更换能够实现快速换型，工装换型时间不得超过10min;切换钢球时可以将管道内钢球快速排出。</w:t>
      </w:r>
    </w:p>
    <w:p w14:paraId="208BC10D">
      <w:pPr>
        <w:pStyle w:val="111"/>
        <w:spacing w:line="360" w:lineRule="auto"/>
        <w:outlineLvl w:val="2"/>
        <w:rPr>
          <w:rFonts w:eastAsia="宋体"/>
          <w:sz w:val="24"/>
          <w:szCs w:val="24"/>
          <w:highlight w:val="none"/>
        </w:rPr>
      </w:pPr>
      <w:r>
        <w:rPr>
          <w:rFonts w:hint="eastAsia" w:eastAsia="宋体"/>
          <w:sz w:val="24"/>
          <w:szCs w:val="24"/>
          <w:highlight w:val="none"/>
        </w:rPr>
        <w:t>11、保持架通过震动盘送料机构实现自动上料，钢球通过料斗及气缸实现自动上料，人员补料过程便捷、安全。</w:t>
      </w:r>
    </w:p>
    <w:p w14:paraId="19D12122">
      <w:pPr>
        <w:pStyle w:val="111"/>
        <w:spacing w:line="360" w:lineRule="auto"/>
        <w:outlineLvl w:val="2"/>
        <w:rPr>
          <w:rFonts w:eastAsia="宋体"/>
          <w:sz w:val="24"/>
          <w:szCs w:val="24"/>
          <w:highlight w:val="none"/>
        </w:rPr>
      </w:pPr>
      <w:r>
        <w:rPr>
          <w:rFonts w:hint="eastAsia" w:eastAsia="宋体"/>
          <w:sz w:val="24"/>
          <w:szCs w:val="24"/>
        </w:rPr>
        <w:t>12、工</w:t>
      </w:r>
      <w:r>
        <w:rPr>
          <w:rFonts w:hint="eastAsia" w:eastAsia="宋体"/>
          <w:sz w:val="24"/>
          <w:szCs w:val="24"/>
          <w:highlight w:val="none"/>
        </w:rPr>
        <w:t>作台上压装机构需包括保持架上料机构、保持架位置检测机构、钢球装配机构、钢球压装到位检测机构、产品排出机构。</w:t>
      </w:r>
    </w:p>
    <w:p w14:paraId="611449B6">
      <w:pPr>
        <w:pStyle w:val="111"/>
        <w:spacing w:line="360" w:lineRule="auto"/>
        <w:outlineLvl w:val="2"/>
        <w:rPr>
          <w:rFonts w:eastAsia="宋体"/>
          <w:sz w:val="24"/>
          <w:szCs w:val="24"/>
          <w:highlight w:val="none"/>
        </w:rPr>
      </w:pPr>
      <w:r>
        <w:rPr>
          <w:rFonts w:hint="eastAsia" w:eastAsia="宋体"/>
          <w:sz w:val="24"/>
          <w:szCs w:val="24"/>
          <w:highlight w:val="none"/>
        </w:rPr>
        <w:t>13、钢球压装到位检测采取非接触式，测量系统内记录检测数量并对异常装配钢球进行记录。</w:t>
      </w:r>
    </w:p>
    <w:p w14:paraId="5A73CAF1">
      <w:pPr>
        <w:pStyle w:val="111"/>
        <w:spacing w:line="360" w:lineRule="auto"/>
        <w:outlineLvl w:val="2"/>
        <w:rPr>
          <w:rFonts w:eastAsia="宋体"/>
          <w:sz w:val="24"/>
          <w:szCs w:val="24"/>
          <w:highlight w:val="none"/>
        </w:rPr>
      </w:pPr>
      <w:r>
        <w:rPr>
          <w:rFonts w:hint="eastAsia" w:eastAsia="宋体"/>
          <w:sz w:val="24"/>
          <w:szCs w:val="24"/>
          <w:highlight w:val="none"/>
        </w:rPr>
        <w:t>14、压装后，设备100%检测钢球装配是否到位，有无漏装。</w:t>
      </w:r>
    </w:p>
    <w:p w14:paraId="36F9C865">
      <w:pPr>
        <w:pStyle w:val="111"/>
        <w:spacing w:line="360" w:lineRule="auto"/>
        <w:outlineLvl w:val="2"/>
        <w:rPr>
          <w:rFonts w:eastAsia="宋体"/>
          <w:sz w:val="24"/>
          <w:szCs w:val="24"/>
          <w:highlight w:val="none"/>
        </w:rPr>
      </w:pPr>
      <w:r>
        <w:rPr>
          <w:rFonts w:hint="eastAsia" w:eastAsia="宋体"/>
          <w:sz w:val="24"/>
          <w:szCs w:val="24"/>
          <w:highlight w:val="none"/>
        </w:rPr>
        <w:t>15、</w:t>
      </w:r>
      <w:r>
        <w:rPr>
          <w:rFonts w:eastAsia="宋体"/>
          <w:sz w:val="24"/>
          <w:szCs w:val="24"/>
          <w:highlight w:val="none"/>
        </w:rPr>
        <w:t>设备对合格和不合格品做分料道输送，合格品使用输送料</w:t>
      </w:r>
      <w:r>
        <w:rPr>
          <w:rFonts w:hint="eastAsia" w:eastAsia="宋体"/>
          <w:sz w:val="24"/>
          <w:szCs w:val="24"/>
          <w:highlight w:val="none"/>
        </w:rPr>
        <w:t>道</w:t>
      </w:r>
      <w:r>
        <w:rPr>
          <w:rFonts w:eastAsia="宋体"/>
          <w:sz w:val="24"/>
          <w:szCs w:val="24"/>
          <w:highlight w:val="none"/>
        </w:rPr>
        <w:t>到</w:t>
      </w:r>
      <w:r>
        <w:rPr>
          <w:rFonts w:hint="eastAsia" w:eastAsia="宋体"/>
          <w:sz w:val="24"/>
          <w:szCs w:val="24"/>
          <w:highlight w:val="none"/>
        </w:rPr>
        <w:t>专用</w:t>
      </w:r>
      <w:r>
        <w:rPr>
          <w:rFonts w:eastAsia="宋体"/>
          <w:sz w:val="24"/>
          <w:szCs w:val="24"/>
          <w:highlight w:val="none"/>
        </w:rPr>
        <w:t>工位器具内，确保产品不能二次磕碰；同样不合格品也要做到防护，避免产品的二次磕碰。</w:t>
      </w:r>
    </w:p>
    <w:p w14:paraId="7FABD6EA">
      <w:pPr>
        <w:pStyle w:val="111"/>
        <w:spacing w:line="360" w:lineRule="auto"/>
        <w:outlineLvl w:val="2"/>
        <w:rPr>
          <w:rFonts w:eastAsia="宋体"/>
          <w:sz w:val="24"/>
          <w:szCs w:val="24"/>
        </w:rPr>
      </w:pPr>
      <w:r>
        <w:rPr>
          <w:rFonts w:hint="eastAsia" w:eastAsia="宋体"/>
          <w:sz w:val="24"/>
          <w:szCs w:val="24"/>
        </w:rPr>
        <w:t>16、厂家需要按照项目实施阶段提供以下技术资料：</w:t>
      </w:r>
    </w:p>
    <w:p w14:paraId="03751CDB">
      <w:pPr>
        <w:pStyle w:val="111"/>
        <w:spacing w:line="360" w:lineRule="auto"/>
        <w:outlineLvl w:val="2"/>
        <w:rPr>
          <w:rFonts w:eastAsia="宋体"/>
          <w:sz w:val="24"/>
          <w:szCs w:val="24"/>
        </w:rPr>
      </w:pP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4111"/>
        <w:gridCol w:w="1238"/>
        <w:gridCol w:w="2438"/>
      </w:tblGrid>
      <w:tr w14:paraId="67D9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04" w:type="pct"/>
            <w:vAlign w:val="center"/>
          </w:tcPr>
          <w:p w14:paraId="1DCA02A2">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序号</w:t>
            </w:r>
          </w:p>
        </w:tc>
        <w:tc>
          <w:tcPr>
            <w:tcW w:w="2214" w:type="pct"/>
            <w:vAlign w:val="center"/>
          </w:tcPr>
          <w:p w14:paraId="51AA6AF8">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名称</w:t>
            </w:r>
          </w:p>
        </w:tc>
        <w:tc>
          <w:tcPr>
            <w:tcW w:w="667" w:type="pct"/>
            <w:vAlign w:val="center"/>
          </w:tcPr>
          <w:p w14:paraId="62007382">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数量</w:t>
            </w:r>
          </w:p>
        </w:tc>
        <w:tc>
          <w:tcPr>
            <w:tcW w:w="1313" w:type="pct"/>
            <w:vAlign w:val="center"/>
          </w:tcPr>
          <w:p w14:paraId="645E30D9">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备注</w:t>
            </w:r>
          </w:p>
        </w:tc>
      </w:tr>
      <w:tr w14:paraId="4EDF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04" w:type="pct"/>
            <w:vAlign w:val="center"/>
          </w:tcPr>
          <w:p w14:paraId="6E8E529D">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1</w:t>
            </w:r>
          </w:p>
        </w:tc>
        <w:tc>
          <w:tcPr>
            <w:tcW w:w="2214" w:type="pct"/>
            <w:vAlign w:val="center"/>
          </w:tcPr>
          <w:p w14:paraId="38A434F7">
            <w:pPr>
              <w:spacing w:line="240" w:lineRule="atLeast"/>
              <w:rPr>
                <w:rFonts w:ascii="宋体" w:hAnsi="宋体" w:eastAsia="宋体" w:cs="Times New Roman"/>
                <w:bCs/>
                <w:sz w:val="24"/>
                <w:szCs w:val="24"/>
              </w:rPr>
            </w:pPr>
            <w:r>
              <w:rPr>
                <w:rFonts w:hint="eastAsia" w:ascii="宋体" w:hAnsi="宋体" w:eastAsia="宋体" w:cs="Times New Roman"/>
                <w:bCs/>
                <w:sz w:val="24"/>
                <w:szCs w:val="24"/>
              </w:rPr>
              <w:t>各设备吊装/安装说明书</w:t>
            </w:r>
          </w:p>
        </w:tc>
        <w:tc>
          <w:tcPr>
            <w:tcW w:w="667" w:type="pct"/>
            <w:vAlign w:val="center"/>
          </w:tcPr>
          <w:p w14:paraId="732261C2">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1套</w:t>
            </w:r>
          </w:p>
        </w:tc>
        <w:tc>
          <w:tcPr>
            <w:tcW w:w="1313" w:type="pct"/>
            <w:vMerge w:val="restart"/>
            <w:vAlign w:val="center"/>
          </w:tcPr>
          <w:p w14:paraId="279FFAF2">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通知生产线可以预验收时提供整套资料的</w:t>
            </w:r>
          </w:p>
          <w:p w14:paraId="2086916E">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电子文档；预验收合</w:t>
            </w:r>
          </w:p>
          <w:p w14:paraId="7B9F30B0">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格后，提供整套纸质</w:t>
            </w:r>
          </w:p>
          <w:p w14:paraId="6F2D6D3B">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资料。（电子版本，设备工装图纸等要求</w:t>
            </w:r>
            <w:r>
              <w:rPr>
                <w:rFonts w:hint="eastAsia" w:ascii="宋体" w:hAnsi="宋体" w:eastAsia="宋体" w:cs="Times New Roman"/>
                <w:bCs/>
                <w:sz w:val="24"/>
                <w:szCs w:val="24"/>
                <w:highlight w:val="none"/>
              </w:rPr>
              <w:t>dwg版本）</w:t>
            </w:r>
          </w:p>
        </w:tc>
      </w:tr>
      <w:tr w14:paraId="2B65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4" w:type="pct"/>
            <w:vAlign w:val="center"/>
          </w:tcPr>
          <w:p w14:paraId="2571E710">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2</w:t>
            </w:r>
          </w:p>
        </w:tc>
        <w:tc>
          <w:tcPr>
            <w:tcW w:w="2214" w:type="pct"/>
            <w:vAlign w:val="center"/>
          </w:tcPr>
          <w:p w14:paraId="42083F0E">
            <w:pPr>
              <w:spacing w:line="240" w:lineRule="atLeast"/>
              <w:rPr>
                <w:rFonts w:ascii="宋体" w:hAnsi="宋体" w:eastAsia="宋体" w:cs="Times New Roman"/>
                <w:bCs/>
                <w:sz w:val="24"/>
                <w:szCs w:val="24"/>
              </w:rPr>
            </w:pPr>
            <w:r>
              <w:rPr>
                <w:rFonts w:hint="eastAsia" w:ascii="宋体" w:hAnsi="宋体" w:eastAsia="宋体" w:cs="Times New Roman"/>
                <w:bCs/>
                <w:sz w:val="24"/>
                <w:szCs w:val="24"/>
              </w:rPr>
              <w:t>各设备操作、调试、维护保养作业指导书</w:t>
            </w:r>
          </w:p>
        </w:tc>
        <w:tc>
          <w:tcPr>
            <w:tcW w:w="667" w:type="pct"/>
            <w:vAlign w:val="center"/>
          </w:tcPr>
          <w:p w14:paraId="0A567F7A">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1份</w:t>
            </w:r>
          </w:p>
        </w:tc>
        <w:tc>
          <w:tcPr>
            <w:tcW w:w="1313" w:type="pct"/>
            <w:vMerge w:val="continue"/>
            <w:vAlign w:val="center"/>
          </w:tcPr>
          <w:p w14:paraId="62D3DB84">
            <w:pPr>
              <w:spacing w:line="240" w:lineRule="atLeast"/>
              <w:jc w:val="center"/>
              <w:rPr>
                <w:rFonts w:ascii="宋体" w:hAnsi="宋体" w:eastAsia="宋体" w:cs="Times New Roman"/>
                <w:bCs/>
                <w:sz w:val="24"/>
                <w:szCs w:val="24"/>
              </w:rPr>
            </w:pPr>
          </w:p>
        </w:tc>
      </w:tr>
      <w:tr w14:paraId="3723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04" w:type="pct"/>
            <w:vAlign w:val="center"/>
          </w:tcPr>
          <w:p w14:paraId="0A1E3436">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3</w:t>
            </w:r>
          </w:p>
        </w:tc>
        <w:tc>
          <w:tcPr>
            <w:tcW w:w="2214" w:type="pct"/>
            <w:vAlign w:val="center"/>
          </w:tcPr>
          <w:p w14:paraId="506D493B">
            <w:pPr>
              <w:spacing w:line="240" w:lineRule="atLeast"/>
              <w:rPr>
                <w:rFonts w:ascii="宋体" w:hAnsi="宋体" w:eastAsia="宋体" w:cs="Times New Roman"/>
                <w:bCs/>
                <w:sz w:val="24"/>
                <w:szCs w:val="24"/>
              </w:rPr>
            </w:pPr>
            <w:r>
              <w:rPr>
                <w:rFonts w:hint="eastAsia" w:ascii="宋体" w:hAnsi="宋体" w:eastAsia="宋体" w:cs="Times New Roman"/>
                <w:bCs/>
                <w:sz w:val="24"/>
                <w:szCs w:val="24"/>
              </w:rPr>
              <w:t>设备出厂合格证</w:t>
            </w:r>
          </w:p>
        </w:tc>
        <w:tc>
          <w:tcPr>
            <w:tcW w:w="667" w:type="pct"/>
            <w:vAlign w:val="center"/>
          </w:tcPr>
          <w:p w14:paraId="0788EFA9">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1套</w:t>
            </w:r>
          </w:p>
        </w:tc>
        <w:tc>
          <w:tcPr>
            <w:tcW w:w="1313" w:type="pct"/>
            <w:vMerge w:val="continue"/>
            <w:vAlign w:val="center"/>
          </w:tcPr>
          <w:p w14:paraId="4910D6D0">
            <w:pPr>
              <w:spacing w:line="240" w:lineRule="atLeast"/>
              <w:jc w:val="center"/>
              <w:rPr>
                <w:rFonts w:ascii="宋体" w:hAnsi="宋体" w:eastAsia="宋体" w:cs="Times New Roman"/>
                <w:bCs/>
                <w:sz w:val="24"/>
                <w:szCs w:val="24"/>
              </w:rPr>
            </w:pPr>
          </w:p>
        </w:tc>
      </w:tr>
      <w:tr w14:paraId="6587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04" w:type="pct"/>
            <w:vAlign w:val="center"/>
          </w:tcPr>
          <w:p w14:paraId="7487B84D">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4</w:t>
            </w:r>
          </w:p>
        </w:tc>
        <w:tc>
          <w:tcPr>
            <w:tcW w:w="2214" w:type="pct"/>
            <w:vAlign w:val="center"/>
          </w:tcPr>
          <w:p w14:paraId="27EB2CA0">
            <w:pPr>
              <w:spacing w:line="240" w:lineRule="atLeast"/>
              <w:rPr>
                <w:rFonts w:ascii="宋体" w:hAnsi="宋体" w:eastAsia="宋体" w:cs="Times New Roman"/>
                <w:bCs/>
                <w:sz w:val="24"/>
                <w:szCs w:val="24"/>
              </w:rPr>
            </w:pPr>
            <w:r>
              <w:rPr>
                <w:rFonts w:hint="eastAsia" w:ascii="宋体" w:hAnsi="宋体" w:eastAsia="宋体" w:cs="Times New Roman"/>
                <w:bCs/>
                <w:sz w:val="24"/>
                <w:szCs w:val="24"/>
              </w:rPr>
              <w:t>电、气、原理图</w:t>
            </w:r>
          </w:p>
        </w:tc>
        <w:tc>
          <w:tcPr>
            <w:tcW w:w="667" w:type="pct"/>
            <w:vAlign w:val="center"/>
          </w:tcPr>
          <w:p w14:paraId="3CB94500">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1套</w:t>
            </w:r>
          </w:p>
        </w:tc>
        <w:tc>
          <w:tcPr>
            <w:tcW w:w="1313" w:type="pct"/>
            <w:vMerge w:val="continue"/>
            <w:vAlign w:val="center"/>
          </w:tcPr>
          <w:p w14:paraId="28DE3654">
            <w:pPr>
              <w:spacing w:line="240" w:lineRule="atLeast"/>
              <w:jc w:val="center"/>
              <w:rPr>
                <w:rFonts w:ascii="宋体" w:hAnsi="宋体" w:eastAsia="宋体" w:cs="Times New Roman"/>
                <w:bCs/>
                <w:sz w:val="24"/>
                <w:szCs w:val="24"/>
              </w:rPr>
            </w:pPr>
          </w:p>
        </w:tc>
      </w:tr>
      <w:tr w14:paraId="5086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804" w:type="pct"/>
            <w:vAlign w:val="center"/>
          </w:tcPr>
          <w:p w14:paraId="6CC25585">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5</w:t>
            </w:r>
          </w:p>
        </w:tc>
        <w:tc>
          <w:tcPr>
            <w:tcW w:w="2214" w:type="pct"/>
            <w:vAlign w:val="center"/>
          </w:tcPr>
          <w:p w14:paraId="789AC3A8">
            <w:pPr>
              <w:spacing w:line="240" w:lineRule="atLeast"/>
              <w:rPr>
                <w:rFonts w:ascii="宋体" w:hAnsi="宋体" w:eastAsia="宋体" w:cs="Times New Roman"/>
                <w:bCs/>
                <w:sz w:val="24"/>
                <w:szCs w:val="24"/>
              </w:rPr>
            </w:pPr>
            <w:r>
              <w:rPr>
                <w:rFonts w:hint="eastAsia" w:ascii="宋体" w:hAnsi="宋体" w:eastAsia="宋体" w:cs="Times New Roman"/>
                <w:bCs/>
                <w:sz w:val="24"/>
                <w:szCs w:val="24"/>
              </w:rPr>
              <w:t>备品、附件明细表及清单（还需要图纸）</w:t>
            </w:r>
          </w:p>
        </w:tc>
        <w:tc>
          <w:tcPr>
            <w:tcW w:w="667" w:type="pct"/>
            <w:vAlign w:val="center"/>
          </w:tcPr>
          <w:p w14:paraId="4918B0A6">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1份</w:t>
            </w:r>
          </w:p>
        </w:tc>
        <w:tc>
          <w:tcPr>
            <w:tcW w:w="1313" w:type="pct"/>
            <w:vMerge w:val="continue"/>
            <w:vAlign w:val="center"/>
          </w:tcPr>
          <w:p w14:paraId="29DE5CD2">
            <w:pPr>
              <w:spacing w:line="240" w:lineRule="atLeast"/>
              <w:jc w:val="center"/>
              <w:rPr>
                <w:rFonts w:ascii="宋体" w:hAnsi="宋体" w:eastAsia="宋体" w:cs="Times New Roman"/>
                <w:bCs/>
                <w:sz w:val="24"/>
                <w:szCs w:val="24"/>
              </w:rPr>
            </w:pPr>
          </w:p>
        </w:tc>
      </w:tr>
      <w:tr w14:paraId="4C2F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04" w:type="pct"/>
            <w:vAlign w:val="center"/>
          </w:tcPr>
          <w:p w14:paraId="483D8CD0">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6</w:t>
            </w:r>
          </w:p>
        </w:tc>
        <w:tc>
          <w:tcPr>
            <w:tcW w:w="2214" w:type="pct"/>
            <w:vAlign w:val="center"/>
          </w:tcPr>
          <w:p w14:paraId="518EA255">
            <w:pPr>
              <w:spacing w:line="240" w:lineRule="atLeast"/>
              <w:rPr>
                <w:rFonts w:ascii="宋体" w:hAnsi="宋体" w:eastAsia="宋体" w:cs="Times New Roman"/>
                <w:bCs/>
                <w:sz w:val="24"/>
                <w:szCs w:val="24"/>
              </w:rPr>
            </w:pPr>
            <w:r>
              <w:rPr>
                <w:rFonts w:hint="eastAsia" w:ascii="宋体" w:hAnsi="宋体" w:eastAsia="宋体" w:cs="Times New Roman"/>
                <w:bCs/>
                <w:sz w:val="24"/>
                <w:szCs w:val="24"/>
              </w:rPr>
              <w:t>机械部分装配图和元件明细表</w:t>
            </w:r>
          </w:p>
        </w:tc>
        <w:tc>
          <w:tcPr>
            <w:tcW w:w="667" w:type="pct"/>
            <w:vAlign w:val="center"/>
          </w:tcPr>
          <w:p w14:paraId="7DD770BD">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1份</w:t>
            </w:r>
          </w:p>
        </w:tc>
        <w:tc>
          <w:tcPr>
            <w:tcW w:w="1313" w:type="pct"/>
            <w:vMerge w:val="continue"/>
            <w:vAlign w:val="center"/>
          </w:tcPr>
          <w:p w14:paraId="14D55891">
            <w:pPr>
              <w:spacing w:line="240" w:lineRule="atLeast"/>
              <w:jc w:val="center"/>
              <w:rPr>
                <w:rFonts w:ascii="宋体" w:hAnsi="宋体" w:eastAsia="宋体" w:cs="Times New Roman"/>
                <w:bCs/>
                <w:sz w:val="24"/>
                <w:szCs w:val="24"/>
              </w:rPr>
            </w:pPr>
          </w:p>
        </w:tc>
      </w:tr>
      <w:tr w14:paraId="4F36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04" w:type="pct"/>
            <w:vAlign w:val="center"/>
          </w:tcPr>
          <w:p w14:paraId="7FFC3362">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7</w:t>
            </w:r>
          </w:p>
        </w:tc>
        <w:tc>
          <w:tcPr>
            <w:tcW w:w="2214" w:type="pct"/>
            <w:vAlign w:val="center"/>
          </w:tcPr>
          <w:p w14:paraId="0C0F926E">
            <w:pPr>
              <w:spacing w:line="240" w:lineRule="atLeast"/>
              <w:rPr>
                <w:rFonts w:ascii="宋体" w:hAnsi="宋体" w:eastAsia="宋体" w:cs="Times New Roman"/>
                <w:bCs/>
                <w:sz w:val="24"/>
                <w:szCs w:val="24"/>
              </w:rPr>
            </w:pPr>
            <w:r>
              <w:rPr>
                <w:rFonts w:hint="eastAsia" w:ascii="宋体" w:hAnsi="宋体" w:eastAsia="宋体" w:cs="Times New Roman"/>
                <w:bCs/>
                <w:sz w:val="24"/>
                <w:szCs w:val="24"/>
              </w:rPr>
              <w:t>易损件图纸</w:t>
            </w:r>
          </w:p>
        </w:tc>
        <w:tc>
          <w:tcPr>
            <w:tcW w:w="667" w:type="pct"/>
            <w:vAlign w:val="center"/>
          </w:tcPr>
          <w:p w14:paraId="2C288CDE">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1套</w:t>
            </w:r>
          </w:p>
        </w:tc>
        <w:tc>
          <w:tcPr>
            <w:tcW w:w="1313" w:type="pct"/>
            <w:vMerge w:val="continue"/>
            <w:vAlign w:val="center"/>
          </w:tcPr>
          <w:p w14:paraId="05B0FBE3">
            <w:pPr>
              <w:spacing w:line="240" w:lineRule="atLeast"/>
              <w:jc w:val="center"/>
              <w:rPr>
                <w:rFonts w:ascii="宋体" w:hAnsi="宋体" w:eastAsia="宋体" w:cs="Times New Roman"/>
                <w:bCs/>
                <w:sz w:val="24"/>
                <w:szCs w:val="24"/>
              </w:rPr>
            </w:pPr>
          </w:p>
        </w:tc>
      </w:tr>
      <w:tr w14:paraId="7998D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804" w:type="pct"/>
            <w:vAlign w:val="center"/>
          </w:tcPr>
          <w:p w14:paraId="2EE063E2">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8</w:t>
            </w:r>
          </w:p>
        </w:tc>
        <w:tc>
          <w:tcPr>
            <w:tcW w:w="2214" w:type="pct"/>
            <w:vAlign w:val="center"/>
          </w:tcPr>
          <w:p w14:paraId="62A4D769">
            <w:pPr>
              <w:spacing w:line="240" w:lineRule="atLeast"/>
              <w:rPr>
                <w:rFonts w:ascii="宋体" w:hAnsi="宋体" w:eastAsia="宋体" w:cs="Times New Roman"/>
                <w:bCs/>
                <w:sz w:val="24"/>
                <w:szCs w:val="24"/>
              </w:rPr>
            </w:pPr>
            <w:r>
              <w:rPr>
                <w:rFonts w:hint="eastAsia" w:ascii="宋体" w:hAnsi="宋体" w:eastAsia="宋体" w:cs="Times New Roman"/>
                <w:bCs/>
                <w:sz w:val="24"/>
                <w:szCs w:val="24"/>
              </w:rPr>
              <w:t>工装图纸</w:t>
            </w:r>
          </w:p>
        </w:tc>
        <w:tc>
          <w:tcPr>
            <w:tcW w:w="667" w:type="pct"/>
            <w:vAlign w:val="center"/>
          </w:tcPr>
          <w:p w14:paraId="46F8E94C">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1套</w:t>
            </w:r>
          </w:p>
        </w:tc>
        <w:tc>
          <w:tcPr>
            <w:tcW w:w="1313" w:type="pct"/>
            <w:vMerge w:val="continue"/>
            <w:vAlign w:val="center"/>
          </w:tcPr>
          <w:p w14:paraId="7EF21711">
            <w:pPr>
              <w:spacing w:line="240" w:lineRule="atLeast"/>
              <w:jc w:val="center"/>
              <w:rPr>
                <w:rFonts w:ascii="宋体" w:hAnsi="宋体" w:eastAsia="宋体" w:cs="Times New Roman"/>
                <w:bCs/>
                <w:sz w:val="24"/>
                <w:szCs w:val="24"/>
              </w:rPr>
            </w:pPr>
          </w:p>
        </w:tc>
      </w:tr>
      <w:tr w14:paraId="40F7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04" w:type="pct"/>
            <w:vAlign w:val="center"/>
          </w:tcPr>
          <w:p w14:paraId="033C42EE">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9</w:t>
            </w:r>
          </w:p>
        </w:tc>
        <w:tc>
          <w:tcPr>
            <w:tcW w:w="2214" w:type="pct"/>
            <w:vAlign w:val="center"/>
          </w:tcPr>
          <w:p w14:paraId="68994A79">
            <w:pPr>
              <w:spacing w:line="240" w:lineRule="atLeast"/>
              <w:rPr>
                <w:rFonts w:ascii="宋体" w:hAnsi="宋体" w:eastAsia="宋体" w:cs="Times New Roman"/>
                <w:bCs/>
                <w:sz w:val="24"/>
                <w:szCs w:val="24"/>
              </w:rPr>
            </w:pPr>
            <w:r>
              <w:rPr>
                <w:rFonts w:hint="eastAsia" w:ascii="宋体" w:hAnsi="宋体" w:eastAsia="宋体" w:cs="Times New Roman"/>
                <w:bCs/>
                <w:sz w:val="24"/>
                <w:szCs w:val="24"/>
              </w:rPr>
              <w:t>设备图纸</w:t>
            </w:r>
          </w:p>
        </w:tc>
        <w:tc>
          <w:tcPr>
            <w:tcW w:w="667" w:type="pct"/>
            <w:vAlign w:val="center"/>
          </w:tcPr>
          <w:p w14:paraId="655CE7CB">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1套</w:t>
            </w:r>
          </w:p>
        </w:tc>
        <w:tc>
          <w:tcPr>
            <w:tcW w:w="1313" w:type="pct"/>
            <w:vMerge w:val="continue"/>
            <w:vAlign w:val="center"/>
          </w:tcPr>
          <w:p w14:paraId="32C445BA">
            <w:pPr>
              <w:spacing w:line="240" w:lineRule="atLeast"/>
              <w:jc w:val="center"/>
              <w:rPr>
                <w:rFonts w:ascii="宋体" w:hAnsi="宋体" w:eastAsia="宋体" w:cs="Times New Roman"/>
                <w:bCs/>
                <w:sz w:val="24"/>
                <w:szCs w:val="24"/>
              </w:rPr>
            </w:pPr>
          </w:p>
        </w:tc>
      </w:tr>
      <w:tr w14:paraId="79C83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04" w:type="pct"/>
            <w:vAlign w:val="center"/>
          </w:tcPr>
          <w:p w14:paraId="2C50EAEB">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10</w:t>
            </w:r>
          </w:p>
        </w:tc>
        <w:tc>
          <w:tcPr>
            <w:tcW w:w="2214" w:type="pct"/>
            <w:vAlign w:val="center"/>
          </w:tcPr>
          <w:p w14:paraId="4AFEB3C4">
            <w:pPr>
              <w:spacing w:line="240" w:lineRule="atLeast"/>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控制系统管理员密码及程序代码</w:t>
            </w:r>
          </w:p>
        </w:tc>
        <w:tc>
          <w:tcPr>
            <w:tcW w:w="667" w:type="pct"/>
            <w:vAlign w:val="center"/>
          </w:tcPr>
          <w:p w14:paraId="1CE59D53">
            <w:pPr>
              <w:spacing w:line="240" w:lineRule="atLeast"/>
              <w:jc w:val="center"/>
              <w:rPr>
                <w:rFonts w:ascii="宋体" w:hAnsi="宋体" w:eastAsia="宋体" w:cs="Times New Roman"/>
                <w:bCs/>
                <w:sz w:val="24"/>
                <w:szCs w:val="24"/>
              </w:rPr>
            </w:pPr>
            <w:r>
              <w:rPr>
                <w:rFonts w:hint="eastAsia" w:ascii="宋体" w:hAnsi="宋体" w:eastAsia="宋体" w:cs="Times New Roman"/>
                <w:bCs/>
                <w:sz w:val="24"/>
                <w:szCs w:val="24"/>
              </w:rPr>
              <w:t>1套</w:t>
            </w:r>
          </w:p>
        </w:tc>
        <w:tc>
          <w:tcPr>
            <w:tcW w:w="1313" w:type="pct"/>
            <w:vMerge w:val="continue"/>
            <w:vAlign w:val="center"/>
          </w:tcPr>
          <w:p w14:paraId="66C9F2AA">
            <w:pPr>
              <w:spacing w:line="240" w:lineRule="atLeast"/>
              <w:jc w:val="center"/>
              <w:rPr>
                <w:rFonts w:ascii="宋体" w:hAnsi="宋体" w:eastAsia="宋体" w:cs="Times New Roman"/>
                <w:bCs/>
                <w:sz w:val="24"/>
                <w:szCs w:val="24"/>
              </w:rPr>
            </w:pPr>
          </w:p>
        </w:tc>
      </w:tr>
    </w:tbl>
    <w:p w14:paraId="7E10966A">
      <w:pPr>
        <w:pStyle w:val="111"/>
        <w:spacing w:line="360" w:lineRule="auto"/>
        <w:outlineLvl w:val="2"/>
        <w:rPr>
          <w:rFonts w:eastAsia="宋体"/>
          <w:sz w:val="24"/>
          <w:szCs w:val="24"/>
        </w:rPr>
      </w:pPr>
    </w:p>
    <w:p w14:paraId="47457561">
      <w:pPr>
        <w:pStyle w:val="111"/>
        <w:spacing w:line="360" w:lineRule="auto"/>
        <w:outlineLvl w:val="2"/>
        <w:rPr>
          <w:rFonts w:eastAsia="宋体" w:cs="宋体"/>
          <w:b/>
          <w:bCs w:val="0"/>
          <w:sz w:val="24"/>
          <w:szCs w:val="24"/>
        </w:rPr>
      </w:pPr>
      <w:r>
        <w:rPr>
          <w:rFonts w:hint="eastAsia" w:eastAsia="宋体" w:cs="宋体"/>
          <w:b/>
          <w:bCs w:val="0"/>
          <w:sz w:val="24"/>
          <w:szCs w:val="24"/>
        </w:rPr>
        <w:t>四、设备要求</w:t>
      </w:r>
    </w:p>
    <w:p w14:paraId="5A669F02">
      <w:pPr>
        <w:pStyle w:val="111"/>
        <w:spacing w:line="360" w:lineRule="auto"/>
        <w:outlineLvl w:val="2"/>
        <w:rPr>
          <w:rFonts w:eastAsia="宋体"/>
          <w:sz w:val="24"/>
          <w:szCs w:val="24"/>
          <w:highlight w:val="none"/>
        </w:rPr>
      </w:pPr>
      <w:r>
        <w:rPr>
          <w:rFonts w:hint="eastAsia" w:eastAsia="宋体"/>
          <w:sz w:val="24"/>
          <w:szCs w:val="24"/>
        </w:rPr>
        <w:t>1、</w:t>
      </w:r>
      <w:r>
        <w:rPr>
          <w:rFonts w:hint="eastAsia" w:eastAsia="宋体"/>
          <w:sz w:val="24"/>
          <w:szCs w:val="24"/>
          <w:highlight w:val="none"/>
        </w:rPr>
        <w:t>保持架和钢珠采用自动送料，钢球是否漏装采用自动检测，产品 OK 和 NG 件采用分开存放的方式。</w:t>
      </w:r>
    </w:p>
    <w:p w14:paraId="1517B3AE">
      <w:pPr>
        <w:pStyle w:val="111"/>
        <w:spacing w:line="360" w:lineRule="auto"/>
        <w:outlineLvl w:val="2"/>
        <w:rPr>
          <w:rFonts w:eastAsia="宋体"/>
          <w:sz w:val="24"/>
          <w:szCs w:val="24"/>
          <w:highlight w:val="none"/>
        </w:rPr>
      </w:pPr>
      <w:r>
        <w:rPr>
          <w:rFonts w:hint="eastAsia" w:eastAsia="宋体"/>
          <w:sz w:val="24"/>
          <w:szCs w:val="24"/>
          <w:highlight w:val="none"/>
        </w:rPr>
        <w:t>2、根据生产产品型号调用相应的程序，可在程序中设定加工数量。</w:t>
      </w:r>
    </w:p>
    <w:p w14:paraId="590A4303">
      <w:pPr>
        <w:pStyle w:val="111"/>
        <w:spacing w:line="360" w:lineRule="auto"/>
        <w:outlineLvl w:val="2"/>
        <w:rPr>
          <w:rFonts w:eastAsia="宋体"/>
          <w:sz w:val="24"/>
          <w:szCs w:val="24"/>
          <w:highlight w:val="none"/>
        </w:rPr>
      </w:pPr>
      <w:r>
        <w:rPr>
          <w:rFonts w:hint="eastAsia" w:eastAsia="宋体"/>
          <w:sz w:val="24"/>
          <w:szCs w:val="24"/>
          <w:highlight w:val="none"/>
        </w:rPr>
        <w:t>3、设备具备满料报警和缺料报警功能，根据振动盘规格提供补料时间，补料时间以甲方要求的时间间隔为准。</w:t>
      </w:r>
    </w:p>
    <w:p w14:paraId="092E7290">
      <w:pPr>
        <w:pStyle w:val="111"/>
        <w:spacing w:line="360" w:lineRule="auto"/>
        <w:outlineLvl w:val="2"/>
        <w:rPr>
          <w:rFonts w:eastAsia="宋体"/>
          <w:sz w:val="24"/>
          <w:szCs w:val="24"/>
          <w:highlight w:val="none"/>
        </w:rPr>
      </w:pPr>
      <w:r>
        <w:rPr>
          <w:rFonts w:hint="eastAsia" w:eastAsia="宋体"/>
          <w:sz w:val="24"/>
          <w:szCs w:val="24"/>
          <w:highlight w:val="none"/>
        </w:rPr>
        <w:t>3、具备合格样品和不合格品放置料盒(颜色不同)，固定的工具储存处工装、量检具放置架，料盒装满后可以实现料盒的自动更换以及取件提醒（满足重汽标准Q-ZZ 30070 设备设施颜色标识）。</w:t>
      </w:r>
    </w:p>
    <w:p w14:paraId="75FCDE50">
      <w:pPr>
        <w:pStyle w:val="111"/>
        <w:spacing w:line="360" w:lineRule="auto"/>
        <w:outlineLvl w:val="2"/>
        <w:rPr>
          <w:rFonts w:eastAsia="宋体"/>
          <w:sz w:val="24"/>
          <w:szCs w:val="24"/>
          <w:highlight w:val="none"/>
        </w:rPr>
      </w:pPr>
      <w:r>
        <w:rPr>
          <w:rFonts w:hint="eastAsia" w:eastAsia="宋体"/>
          <w:sz w:val="24"/>
          <w:szCs w:val="24"/>
          <w:highlight w:val="none"/>
        </w:rPr>
        <w:t>4、设备占地为3m×2.5m,具有充足的维修空间。</w:t>
      </w:r>
    </w:p>
    <w:p w14:paraId="2D8B26BF">
      <w:pPr>
        <w:pStyle w:val="111"/>
        <w:spacing w:line="360" w:lineRule="auto"/>
        <w:outlineLvl w:val="2"/>
        <w:rPr>
          <w:rFonts w:eastAsia="宋体"/>
          <w:sz w:val="24"/>
          <w:szCs w:val="24"/>
          <w:highlight w:val="none"/>
        </w:rPr>
      </w:pPr>
      <w:r>
        <w:rPr>
          <w:rFonts w:hint="eastAsia" w:eastAsia="宋体"/>
          <w:sz w:val="24"/>
          <w:szCs w:val="24"/>
          <w:highlight w:val="none"/>
        </w:rPr>
        <w:t>5、工位控制采用 PLC 触摸屏控制。整个系统采用闭路控制，所有动作均有相应的传感器适时跟踪，对没达规定动作执行情况，系统会同时发出声光报警，并有相应的故障提示信息。</w:t>
      </w:r>
    </w:p>
    <w:p w14:paraId="63A2F90D">
      <w:pPr>
        <w:pStyle w:val="111"/>
        <w:spacing w:line="360" w:lineRule="auto"/>
        <w:outlineLvl w:val="2"/>
        <w:rPr>
          <w:rFonts w:eastAsia="宋体"/>
          <w:sz w:val="24"/>
          <w:szCs w:val="24"/>
          <w:highlight w:val="none"/>
        </w:rPr>
      </w:pPr>
      <w:r>
        <w:rPr>
          <w:rFonts w:hint="eastAsia" w:eastAsia="宋体"/>
          <w:sz w:val="24"/>
          <w:szCs w:val="24"/>
          <w:highlight w:val="none"/>
        </w:rPr>
        <w:t>6、设备设有联锁，双手启动按钮、急停按钮、复位按钮等，装配线采用防漏、防错装设计，并具有错误报警提示和自动停机功能，操作类型可视化，工作区域有安全护罩遮挡（防护要求满足标准GB/T 42627-2023）。</w:t>
      </w:r>
    </w:p>
    <w:p w14:paraId="02C6DD98">
      <w:pPr>
        <w:pStyle w:val="111"/>
        <w:spacing w:line="360" w:lineRule="auto"/>
        <w:outlineLvl w:val="2"/>
        <w:rPr>
          <w:rFonts w:eastAsia="宋体"/>
          <w:sz w:val="24"/>
          <w:szCs w:val="24"/>
          <w:highlight w:val="none"/>
        </w:rPr>
      </w:pPr>
      <w:r>
        <w:rPr>
          <w:rFonts w:hint="eastAsia" w:eastAsia="宋体"/>
          <w:sz w:val="24"/>
          <w:szCs w:val="24"/>
          <w:highlight w:val="none"/>
        </w:rPr>
        <w:t>7、PLC 监控本装配生产线的装配情况，包括显示当日产量，以及合格率等信息。</w:t>
      </w:r>
    </w:p>
    <w:p w14:paraId="7A90CA92">
      <w:pPr>
        <w:pStyle w:val="111"/>
        <w:spacing w:line="360" w:lineRule="auto"/>
        <w:outlineLvl w:val="2"/>
        <w:rPr>
          <w:rFonts w:eastAsia="宋体"/>
          <w:sz w:val="24"/>
          <w:szCs w:val="24"/>
          <w:highlight w:val="none"/>
        </w:rPr>
      </w:pPr>
      <w:r>
        <w:rPr>
          <w:rFonts w:hint="eastAsia" w:eastAsia="宋体"/>
          <w:sz w:val="24"/>
          <w:szCs w:val="24"/>
          <w:highlight w:val="none"/>
        </w:rPr>
        <w:t>设备具备自动计数功能，并具备故障判断功能。</w:t>
      </w:r>
    </w:p>
    <w:p w14:paraId="029ADBA6">
      <w:pPr>
        <w:pStyle w:val="111"/>
        <w:spacing w:line="360" w:lineRule="auto"/>
        <w:outlineLvl w:val="2"/>
        <w:rPr>
          <w:rFonts w:eastAsia="宋体"/>
          <w:sz w:val="24"/>
          <w:szCs w:val="24"/>
          <w:highlight w:val="none"/>
        </w:rPr>
      </w:pPr>
      <w:r>
        <w:rPr>
          <w:rFonts w:hint="eastAsia" w:eastAsia="宋体"/>
          <w:sz w:val="24"/>
          <w:szCs w:val="24"/>
          <w:highlight w:val="none"/>
        </w:rPr>
        <w:t>8、设备所用PLC、电机、传感器均为通用件，采用甲方指定的国际品牌，如亚德客、sick、欧姆龙、西门子等。</w:t>
      </w:r>
    </w:p>
    <w:p w14:paraId="3CAF1B84">
      <w:pPr>
        <w:spacing w:line="360" w:lineRule="auto"/>
        <w:rPr>
          <w:rFonts w:ascii="宋体" w:hAnsi="宋体" w:eastAsia="宋体"/>
          <w:color w:val="000000"/>
          <w:sz w:val="24"/>
          <w:szCs w:val="24"/>
        </w:rPr>
      </w:pPr>
      <w:bookmarkStart w:id="23" w:name="_Hlk178507248"/>
      <w:bookmarkStart w:id="24" w:name="_Hlk132112785"/>
      <w:r>
        <w:rPr>
          <w:rFonts w:hint="eastAsia" w:ascii="宋体" w:hAnsi="宋体" w:eastAsia="宋体"/>
          <w:color w:val="000000"/>
          <w:sz w:val="24"/>
          <w:szCs w:val="24"/>
        </w:rPr>
        <w:t>9、投标方需对项目实施场地进行考察，依据实施场地现场情况，结合自身设备特性，对设备实施场地进行布局，并出具布局图等。</w:t>
      </w:r>
    </w:p>
    <w:p w14:paraId="0B6C1A10">
      <w:pPr>
        <w:spacing w:line="360" w:lineRule="auto"/>
        <w:rPr>
          <w:rFonts w:ascii="宋体" w:hAnsi="宋体" w:eastAsia="宋体"/>
          <w:color w:val="000000"/>
          <w:sz w:val="24"/>
          <w:szCs w:val="24"/>
        </w:rPr>
      </w:pPr>
      <w:bookmarkStart w:id="25" w:name="_Hlk178581072"/>
      <w:r>
        <w:rPr>
          <w:rFonts w:hint="eastAsia" w:ascii="宋体" w:hAnsi="宋体" w:eastAsia="宋体"/>
          <w:color w:val="000000"/>
          <w:sz w:val="24"/>
          <w:szCs w:val="24"/>
        </w:rPr>
        <w:t>10、明细需包含设备用备件及耗材。</w:t>
      </w:r>
    </w:p>
    <w:p w14:paraId="64571DE0">
      <w:pPr>
        <w:spacing w:line="360" w:lineRule="auto"/>
        <w:rPr>
          <w:rFonts w:ascii="宋体" w:hAnsi="宋体" w:eastAsia="宋体"/>
          <w:color w:val="000000"/>
          <w:sz w:val="24"/>
          <w:szCs w:val="24"/>
        </w:rPr>
      </w:pPr>
      <w:r>
        <w:rPr>
          <w:rFonts w:hint="eastAsia" w:ascii="宋体" w:hAnsi="宋体" w:eastAsia="宋体"/>
          <w:color w:val="000000"/>
          <w:sz w:val="24"/>
          <w:szCs w:val="24"/>
        </w:rPr>
        <w:t>12、设备具备断电断气保护功能。</w:t>
      </w:r>
    </w:p>
    <w:bookmarkEnd w:id="23"/>
    <w:bookmarkEnd w:id="25"/>
    <w:p w14:paraId="430300F6">
      <w:pPr>
        <w:spacing w:line="360" w:lineRule="auto"/>
        <w:rPr>
          <w:rFonts w:ascii="宋体" w:hAnsi="宋体" w:eastAsia="宋体"/>
          <w:color w:val="000000"/>
          <w:sz w:val="24"/>
          <w:szCs w:val="24"/>
        </w:rPr>
      </w:pPr>
      <w:bookmarkStart w:id="26" w:name="_Hlk178507286"/>
      <w:r>
        <w:rPr>
          <w:rFonts w:hint="eastAsia" w:ascii="宋体" w:hAnsi="宋体" w:eastAsia="宋体"/>
          <w:color w:val="000000"/>
          <w:sz w:val="24"/>
          <w:szCs w:val="24"/>
        </w:rPr>
        <w:t>13、主要设备、零部件、元器件、耗材的选用和配置要求</w:t>
      </w:r>
    </w:p>
    <w:p w14:paraId="1EC8E2DC">
      <w:pPr>
        <w:spacing w:line="360" w:lineRule="auto"/>
        <w:rPr>
          <w:rFonts w:ascii="宋体" w:hAnsi="宋体" w:eastAsia="宋体"/>
          <w:color w:val="000000"/>
          <w:sz w:val="24"/>
          <w:szCs w:val="24"/>
        </w:rPr>
      </w:pPr>
      <w:r>
        <w:rPr>
          <w:rFonts w:hint="eastAsia" w:ascii="宋体" w:hAnsi="宋体" w:eastAsia="宋体"/>
          <w:color w:val="000000"/>
          <w:sz w:val="24"/>
          <w:szCs w:val="24"/>
        </w:rPr>
        <w:t>（1） 投标方推荐、提供详细的选用配置表。</w:t>
      </w:r>
    </w:p>
    <w:p w14:paraId="5DE1C723">
      <w:pPr>
        <w:spacing w:line="360" w:lineRule="auto"/>
        <w:rPr>
          <w:rFonts w:ascii="宋体" w:hAnsi="宋体" w:eastAsia="宋体"/>
          <w:color w:val="000000"/>
          <w:sz w:val="24"/>
          <w:szCs w:val="24"/>
        </w:rPr>
      </w:pPr>
      <w:r>
        <w:rPr>
          <w:rFonts w:hint="eastAsia" w:ascii="宋体" w:hAnsi="宋体" w:eastAsia="宋体"/>
          <w:color w:val="000000"/>
          <w:sz w:val="24"/>
          <w:szCs w:val="24"/>
        </w:rPr>
        <w:t>（2） 所有元件和管线必须</w:t>
      </w:r>
      <w:r>
        <w:rPr>
          <w:rFonts w:hint="eastAsia" w:ascii="宋体" w:hAnsi="宋体" w:eastAsia="宋体"/>
          <w:color w:val="000000"/>
          <w:sz w:val="24"/>
          <w:szCs w:val="24"/>
          <w:highlight w:val="none"/>
        </w:rPr>
        <w:t>有标识，强弱电分离，走管、</w:t>
      </w:r>
      <w:r>
        <w:rPr>
          <w:rFonts w:hint="eastAsia" w:ascii="宋体" w:hAnsi="宋体" w:eastAsia="宋体"/>
          <w:color w:val="000000"/>
          <w:sz w:val="24"/>
          <w:szCs w:val="24"/>
        </w:rPr>
        <w:t>走线应整洁、规范，维修方便。</w:t>
      </w:r>
    </w:p>
    <w:p w14:paraId="0F6D24F2">
      <w:pPr>
        <w:spacing w:line="360" w:lineRule="auto"/>
        <w:rPr>
          <w:rFonts w:ascii="宋体" w:hAnsi="宋体" w:eastAsia="宋体"/>
          <w:color w:val="000000"/>
          <w:sz w:val="24"/>
          <w:szCs w:val="24"/>
        </w:rPr>
      </w:pPr>
      <w:r>
        <w:rPr>
          <w:rFonts w:hint="eastAsia" w:ascii="宋体" w:hAnsi="宋体" w:eastAsia="宋体"/>
          <w:color w:val="000000"/>
          <w:sz w:val="24"/>
          <w:szCs w:val="24"/>
        </w:rPr>
        <w:t>（3）投标方需针对技术要求中所有设备的耗材及易损配件提供详细的清单及价目明细。</w:t>
      </w:r>
    </w:p>
    <w:p w14:paraId="0D671A79">
      <w:pPr>
        <w:spacing w:line="360" w:lineRule="auto"/>
        <w:rPr>
          <w:rFonts w:ascii="宋体" w:hAnsi="宋体" w:eastAsia="宋体"/>
          <w:color w:val="000000"/>
          <w:sz w:val="24"/>
          <w:szCs w:val="24"/>
        </w:rPr>
      </w:pPr>
      <w:r>
        <w:rPr>
          <w:rFonts w:hint="eastAsia" w:ascii="宋体" w:hAnsi="宋体" w:eastAsia="宋体"/>
          <w:color w:val="000000"/>
          <w:sz w:val="24"/>
          <w:szCs w:val="24"/>
        </w:rPr>
        <w:t>14、自动化、数控化以及仪器仪表要求投标方提供详细的选用配置表。</w:t>
      </w:r>
    </w:p>
    <w:p w14:paraId="71F64F5A">
      <w:pPr>
        <w:spacing w:line="360" w:lineRule="auto"/>
        <w:rPr>
          <w:rFonts w:ascii="宋体" w:hAnsi="宋体" w:eastAsia="宋体"/>
          <w:color w:val="000000"/>
          <w:sz w:val="24"/>
          <w:szCs w:val="24"/>
        </w:rPr>
      </w:pPr>
      <w:r>
        <w:rPr>
          <w:rFonts w:hint="eastAsia" w:ascii="宋体" w:hAnsi="宋体" w:eastAsia="宋体"/>
          <w:color w:val="000000"/>
          <w:sz w:val="24"/>
          <w:szCs w:val="24"/>
        </w:rPr>
        <w:t>15、材料选用及其材料处理要求，投标方提供详细的选用配置表。</w:t>
      </w:r>
    </w:p>
    <w:p w14:paraId="7B45ADF8">
      <w:pPr>
        <w:spacing w:line="360" w:lineRule="auto"/>
        <w:rPr>
          <w:rFonts w:ascii="宋体" w:hAnsi="宋体" w:eastAsia="宋体"/>
          <w:color w:val="000000"/>
          <w:sz w:val="24"/>
          <w:szCs w:val="24"/>
        </w:rPr>
      </w:pPr>
      <w:r>
        <w:rPr>
          <w:rFonts w:hint="eastAsia" w:ascii="宋体" w:hAnsi="宋体" w:eastAsia="宋体"/>
          <w:color w:val="000000"/>
          <w:sz w:val="24"/>
          <w:szCs w:val="24"/>
        </w:rPr>
        <w:t>16、安全防护、环境保护、节能要求需符合中国有关标准要求。</w:t>
      </w:r>
    </w:p>
    <w:p w14:paraId="622184E8">
      <w:pPr>
        <w:spacing w:line="360" w:lineRule="auto"/>
        <w:rPr>
          <w:rFonts w:ascii="宋体" w:hAnsi="宋体" w:eastAsia="宋体"/>
          <w:color w:val="000000"/>
          <w:sz w:val="24"/>
          <w:szCs w:val="24"/>
        </w:rPr>
      </w:pPr>
      <w:r>
        <w:rPr>
          <w:rFonts w:hint="eastAsia" w:ascii="宋体" w:hAnsi="宋体" w:eastAsia="宋体"/>
          <w:color w:val="000000"/>
          <w:sz w:val="24"/>
          <w:szCs w:val="24"/>
        </w:rPr>
        <w:t>17、设备调试完成后，投标方需提供为期15天的设备使用、操作、维护保养、基本振动测试知识方面的培训，确保招标方设备使用人员达到独立操作、维护、进行相关试验的目标。</w:t>
      </w:r>
    </w:p>
    <w:p w14:paraId="52997EBC">
      <w:pPr>
        <w:spacing w:line="360" w:lineRule="auto"/>
        <w:rPr>
          <w:rFonts w:ascii="宋体" w:hAnsi="宋体" w:eastAsia="宋体"/>
          <w:color w:val="000000"/>
          <w:sz w:val="24"/>
          <w:szCs w:val="24"/>
        </w:rPr>
      </w:pPr>
      <w:r>
        <w:rPr>
          <w:rFonts w:hint="eastAsia" w:ascii="宋体" w:hAnsi="宋体" w:eastAsia="宋体"/>
          <w:color w:val="000000"/>
          <w:sz w:val="24"/>
          <w:szCs w:val="24"/>
        </w:rPr>
        <w:t>18、设备需预留MES接口。</w:t>
      </w:r>
    </w:p>
    <w:bookmarkEnd w:id="26"/>
    <w:p w14:paraId="44DC87DF">
      <w:pPr>
        <w:spacing w:line="360" w:lineRule="auto"/>
        <w:rPr>
          <w:rFonts w:ascii="宋体" w:hAnsi="宋体" w:eastAsia="宋体"/>
          <w:color w:val="000000"/>
          <w:sz w:val="24"/>
          <w:szCs w:val="24"/>
        </w:rPr>
      </w:pPr>
      <w:r>
        <w:rPr>
          <w:rFonts w:hint="eastAsia" w:ascii="宋体" w:hAnsi="宋体" w:eastAsia="宋体"/>
          <w:color w:val="000000"/>
          <w:sz w:val="24"/>
          <w:szCs w:val="24"/>
        </w:rPr>
        <w:t>19、其他要求</w:t>
      </w:r>
    </w:p>
    <w:p w14:paraId="75F8B199">
      <w:pPr>
        <w:spacing w:line="360" w:lineRule="auto"/>
        <w:rPr>
          <w:rFonts w:ascii="宋体" w:hAnsi="宋体" w:eastAsia="宋体"/>
          <w:color w:val="000000"/>
          <w:sz w:val="24"/>
          <w:szCs w:val="24"/>
        </w:rPr>
      </w:pPr>
      <w:r>
        <w:rPr>
          <w:rFonts w:hint="eastAsia" w:ascii="宋体" w:hAnsi="宋体" w:eastAsia="宋体"/>
          <w:color w:val="000000"/>
          <w:sz w:val="24"/>
          <w:szCs w:val="24"/>
        </w:rPr>
        <w:t>（1）供方提供的设备及其所含测量原件（计量器具）必须经过市级及以上国家法定计量检定部门检定/校准，并出具检定/校准证书，所需费用由供方承担。</w:t>
      </w:r>
    </w:p>
    <w:p w14:paraId="4F5E9ECD">
      <w:pPr>
        <w:spacing w:line="360" w:lineRule="auto"/>
        <w:rPr>
          <w:rFonts w:ascii="宋体" w:hAnsi="宋体" w:eastAsia="宋体"/>
          <w:color w:val="000000"/>
          <w:sz w:val="24"/>
          <w:szCs w:val="24"/>
        </w:rPr>
      </w:pPr>
      <w:r>
        <w:rPr>
          <w:rFonts w:hint="eastAsia" w:ascii="宋体" w:hAnsi="宋体" w:eastAsia="宋体"/>
          <w:color w:val="000000"/>
          <w:sz w:val="24"/>
          <w:szCs w:val="24"/>
        </w:rPr>
        <w:t>（2）投标方需提供所有设备中文版完整技术资料，技术资料需包含技术规格和指标、接口协议、安全操作规程、作业指导书、部件型号和参数清单、操作使用说明、安装技术要求、注意事项、维护维修和故障处理等。</w:t>
      </w:r>
    </w:p>
    <w:p w14:paraId="7D2BA0C3">
      <w:pPr>
        <w:spacing w:line="360" w:lineRule="auto"/>
        <w:rPr>
          <w:rFonts w:ascii="宋体" w:hAnsi="宋体" w:eastAsia="宋体"/>
          <w:color w:val="000000"/>
          <w:sz w:val="24"/>
          <w:szCs w:val="24"/>
        </w:rPr>
      </w:pPr>
      <w:r>
        <w:rPr>
          <w:rFonts w:hint="eastAsia" w:ascii="宋体" w:hAnsi="宋体" w:eastAsia="宋体"/>
          <w:color w:val="000000"/>
          <w:sz w:val="24"/>
          <w:szCs w:val="24"/>
        </w:rPr>
        <w:t>（3）设备的运输、移动、就位、拆装，货物的搬运等均由卖家承担，买家提供必要的便利性协助。</w:t>
      </w:r>
    </w:p>
    <w:p w14:paraId="5291B52A">
      <w:pPr>
        <w:spacing w:line="360" w:lineRule="auto"/>
        <w:rPr>
          <w:rFonts w:ascii="宋体" w:hAnsi="宋体" w:eastAsia="宋体"/>
          <w:color w:val="000000"/>
          <w:sz w:val="24"/>
          <w:szCs w:val="24"/>
        </w:rPr>
      </w:pPr>
      <w:r>
        <w:rPr>
          <w:rFonts w:hint="eastAsia" w:ascii="宋体" w:hAnsi="宋体" w:eastAsia="宋体"/>
          <w:color w:val="000000"/>
          <w:sz w:val="24"/>
          <w:szCs w:val="24"/>
        </w:rPr>
        <w:t>（4）设备需易于保养、维修，相关易损件容易更换。</w:t>
      </w:r>
    </w:p>
    <w:p w14:paraId="5948D66F">
      <w:pPr>
        <w:spacing w:line="360" w:lineRule="auto"/>
        <w:rPr>
          <w:rFonts w:ascii="宋体" w:hAnsi="宋体" w:eastAsia="宋体"/>
          <w:color w:val="000000"/>
          <w:sz w:val="24"/>
          <w:szCs w:val="24"/>
        </w:rPr>
      </w:pPr>
      <w:r>
        <w:rPr>
          <w:rFonts w:hint="eastAsia" w:ascii="宋体" w:hAnsi="宋体" w:eastAsia="宋体"/>
          <w:color w:val="000000"/>
          <w:sz w:val="24"/>
          <w:szCs w:val="24"/>
        </w:rPr>
        <w:t>（5）设备的材料具有防腐、防锈处理。</w:t>
      </w:r>
    </w:p>
    <w:p w14:paraId="602BD919">
      <w:pPr>
        <w:spacing w:line="360" w:lineRule="auto"/>
        <w:rPr>
          <w:rFonts w:ascii="宋体" w:hAnsi="宋体" w:eastAsia="宋体"/>
          <w:color w:val="000000"/>
          <w:sz w:val="24"/>
          <w:szCs w:val="24"/>
        </w:rPr>
      </w:pPr>
      <w:r>
        <w:rPr>
          <w:rFonts w:hint="eastAsia" w:ascii="宋体" w:hAnsi="宋体" w:eastAsia="宋体"/>
          <w:color w:val="000000"/>
          <w:sz w:val="24"/>
          <w:szCs w:val="24"/>
        </w:rPr>
        <w:t>（6）本项目属交钥匙工程。招标方仅提供电气接口、冷却水接口、自来水接口、压缩空气接口、实施场地等协助工作，设备的运输、搬运、安置就位、电气接线等相关工作均由投标方提供完成，如有争议，解释权归招标方。</w:t>
      </w:r>
    </w:p>
    <w:p w14:paraId="221C63D3">
      <w:pPr>
        <w:pStyle w:val="4"/>
        <w:rPr>
          <w:rFonts w:ascii="宋体" w:hAnsi="宋体" w:cs="宋体"/>
          <w:b w:val="0"/>
          <w:bCs w:val="0"/>
          <w:sz w:val="24"/>
          <w:szCs w:val="24"/>
        </w:rPr>
      </w:pPr>
      <w:r>
        <w:rPr>
          <w:rFonts w:hint="eastAsia" w:ascii="宋体" w:hAnsi="宋体" w:cs="宋体"/>
          <w:sz w:val="24"/>
          <w:szCs w:val="24"/>
        </w:rPr>
        <w:t>五、执行标准</w:t>
      </w:r>
    </w:p>
    <w:p w14:paraId="0F212AC9">
      <w:pPr>
        <w:spacing w:line="360" w:lineRule="auto"/>
        <w:jc w:val="left"/>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36F0ED1A">
      <w:pPr>
        <w:spacing w:line="360" w:lineRule="auto"/>
        <w:jc w:val="left"/>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1CA447BA">
      <w:pPr>
        <w:spacing w:line="360" w:lineRule="auto"/>
        <w:jc w:val="left"/>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E8DE439">
      <w:pPr>
        <w:spacing w:line="360" w:lineRule="auto"/>
        <w:jc w:val="left"/>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9400313">
      <w:pPr>
        <w:spacing w:line="360" w:lineRule="auto"/>
        <w:jc w:val="left"/>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7C20AC64">
      <w:pPr>
        <w:spacing w:line="360" w:lineRule="auto"/>
        <w:jc w:val="left"/>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24CA25C4">
      <w:pPr>
        <w:spacing w:line="420" w:lineRule="exact"/>
        <w:jc w:val="left"/>
        <w:rPr>
          <w:rFonts w:ascii="宋体" w:hAnsi="宋体" w:eastAsia="宋体" w:cs="Times New Roman"/>
          <w:sz w:val="24"/>
          <w:szCs w:val="24"/>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bookmarkEnd w:id="24"/>
    <w:p w14:paraId="0CD16525">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0D4B6A60"/>
    <w:p w14:paraId="3C9C91E2">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tbl>
      <w:tblPr>
        <w:tblStyle w:val="30"/>
        <w:tblpPr w:leftFromText="180" w:rightFromText="180" w:vertAnchor="text" w:horzAnchor="page" w:tblpX="1110" w:tblpY="410"/>
        <w:tblOverlap w:val="never"/>
        <w:tblW w:w="10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4604"/>
        <w:gridCol w:w="889"/>
        <w:gridCol w:w="996"/>
        <w:gridCol w:w="2545"/>
      </w:tblGrid>
      <w:tr w14:paraId="7410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6" w:type="dxa"/>
            <w:vAlign w:val="center"/>
          </w:tcPr>
          <w:p w14:paraId="4490A98F">
            <w:pPr>
              <w:jc w:val="center"/>
              <w:rPr>
                <w:rFonts w:ascii="宋体" w:hAnsi="宋体" w:eastAsia="宋体" w:cs="宋体"/>
                <w:sz w:val="24"/>
                <w:szCs w:val="24"/>
              </w:rPr>
            </w:pPr>
            <w:r>
              <w:rPr>
                <w:rFonts w:hint="eastAsia" w:ascii="宋体" w:hAnsi="宋体" w:eastAsia="宋体" w:cs="宋体"/>
                <w:sz w:val="24"/>
                <w:szCs w:val="24"/>
              </w:rPr>
              <w:t>序号</w:t>
            </w:r>
          </w:p>
        </w:tc>
        <w:tc>
          <w:tcPr>
            <w:tcW w:w="4604" w:type="dxa"/>
            <w:vAlign w:val="center"/>
          </w:tcPr>
          <w:p w14:paraId="3064AFE9">
            <w:pPr>
              <w:jc w:val="center"/>
              <w:rPr>
                <w:rFonts w:ascii="宋体" w:hAnsi="宋体" w:eastAsia="宋体" w:cs="宋体"/>
                <w:sz w:val="24"/>
                <w:szCs w:val="24"/>
              </w:rPr>
            </w:pPr>
            <w:r>
              <w:rPr>
                <w:rFonts w:hint="eastAsia" w:ascii="宋体" w:hAnsi="宋体" w:eastAsia="宋体" w:cs="宋体"/>
                <w:sz w:val="24"/>
                <w:szCs w:val="24"/>
              </w:rPr>
              <w:t>名称</w:t>
            </w:r>
          </w:p>
        </w:tc>
        <w:tc>
          <w:tcPr>
            <w:tcW w:w="889" w:type="dxa"/>
            <w:vAlign w:val="center"/>
          </w:tcPr>
          <w:p w14:paraId="749574D0">
            <w:pPr>
              <w:jc w:val="center"/>
              <w:rPr>
                <w:rFonts w:ascii="宋体" w:hAnsi="宋体" w:eastAsia="宋体" w:cs="宋体"/>
                <w:sz w:val="24"/>
                <w:szCs w:val="24"/>
              </w:rPr>
            </w:pPr>
            <w:r>
              <w:rPr>
                <w:rFonts w:hint="eastAsia" w:ascii="宋体" w:hAnsi="宋体" w:eastAsia="宋体" w:cs="宋体"/>
                <w:sz w:val="24"/>
                <w:szCs w:val="24"/>
              </w:rPr>
              <w:t>单位</w:t>
            </w:r>
          </w:p>
        </w:tc>
        <w:tc>
          <w:tcPr>
            <w:tcW w:w="996" w:type="dxa"/>
            <w:vAlign w:val="center"/>
          </w:tcPr>
          <w:p w14:paraId="7DBAAFCB">
            <w:pPr>
              <w:jc w:val="center"/>
              <w:rPr>
                <w:rFonts w:ascii="宋体" w:hAnsi="宋体" w:eastAsia="宋体" w:cs="宋体"/>
                <w:sz w:val="24"/>
                <w:szCs w:val="24"/>
              </w:rPr>
            </w:pPr>
            <w:r>
              <w:rPr>
                <w:rFonts w:hint="eastAsia" w:ascii="宋体" w:hAnsi="宋体" w:eastAsia="宋体" w:cs="宋体"/>
                <w:sz w:val="24"/>
                <w:szCs w:val="24"/>
              </w:rPr>
              <w:t>数量</w:t>
            </w:r>
          </w:p>
        </w:tc>
        <w:tc>
          <w:tcPr>
            <w:tcW w:w="2545" w:type="dxa"/>
            <w:vAlign w:val="center"/>
          </w:tcPr>
          <w:p w14:paraId="007D7A24">
            <w:pPr>
              <w:jc w:val="center"/>
              <w:rPr>
                <w:rFonts w:ascii="宋体" w:hAnsi="宋体" w:eastAsia="宋体" w:cs="宋体"/>
                <w:sz w:val="24"/>
                <w:szCs w:val="24"/>
              </w:rPr>
            </w:pPr>
            <w:r>
              <w:rPr>
                <w:rFonts w:hint="eastAsia" w:ascii="宋体" w:hAnsi="宋体" w:eastAsia="宋体" w:cs="宋体"/>
                <w:sz w:val="24"/>
                <w:szCs w:val="24"/>
              </w:rPr>
              <w:t>备注</w:t>
            </w:r>
          </w:p>
        </w:tc>
      </w:tr>
      <w:tr w14:paraId="4633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6" w:type="dxa"/>
            <w:vAlign w:val="center"/>
          </w:tcPr>
          <w:p w14:paraId="1BF7A0CE">
            <w:pPr>
              <w:jc w:val="center"/>
              <w:rPr>
                <w:rFonts w:ascii="宋体" w:hAnsi="宋体" w:eastAsia="宋体" w:cs="宋体"/>
                <w:sz w:val="24"/>
                <w:szCs w:val="24"/>
              </w:rPr>
            </w:pPr>
            <w:r>
              <w:rPr>
                <w:rFonts w:hint="eastAsia" w:ascii="宋体" w:hAnsi="宋体" w:eastAsia="宋体" w:cs="宋体"/>
                <w:sz w:val="24"/>
                <w:szCs w:val="24"/>
              </w:rPr>
              <w:t>1</w:t>
            </w:r>
          </w:p>
        </w:tc>
        <w:tc>
          <w:tcPr>
            <w:tcW w:w="4604" w:type="dxa"/>
            <w:vAlign w:val="center"/>
          </w:tcPr>
          <w:p w14:paraId="368C46DD">
            <w:pPr>
              <w:jc w:val="center"/>
              <w:rPr>
                <w:rFonts w:ascii="宋体" w:hAnsi="宋体" w:eastAsia="宋体" w:cs="宋体"/>
                <w:sz w:val="24"/>
                <w:szCs w:val="24"/>
              </w:rPr>
            </w:pPr>
            <w:r>
              <w:rPr>
                <w:rFonts w:hint="eastAsia" w:ascii="宋体" w:hAnsi="宋体" w:eastAsia="宋体" w:cs="宋体"/>
                <w:sz w:val="24"/>
                <w:szCs w:val="24"/>
              </w:rPr>
              <w:t>触摸显示屏</w:t>
            </w:r>
          </w:p>
        </w:tc>
        <w:tc>
          <w:tcPr>
            <w:tcW w:w="889" w:type="dxa"/>
            <w:vAlign w:val="center"/>
          </w:tcPr>
          <w:p w14:paraId="3C04C8B5">
            <w:pPr>
              <w:jc w:val="center"/>
              <w:rPr>
                <w:rFonts w:ascii="宋体" w:hAnsi="宋体" w:eastAsia="宋体" w:cs="宋体"/>
                <w:sz w:val="24"/>
                <w:szCs w:val="24"/>
              </w:rPr>
            </w:pPr>
            <w:r>
              <w:rPr>
                <w:rFonts w:hint="eastAsia" w:ascii="宋体" w:hAnsi="宋体" w:eastAsia="宋体" w:cs="宋体"/>
                <w:sz w:val="24"/>
                <w:szCs w:val="24"/>
              </w:rPr>
              <w:t>套</w:t>
            </w:r>
          </w:p>
        </w:tc>
        <w:tc>
          <w:tcPr>
            <w:tcW w:w="996" w:type="dxa"/>
            <w:vAlign w:val="center"/>
          </w:tcPr>
          <w:p w14:paraId="34B5E59C">
            <w:pPr>
              <w:jc w:val="center"/>
              <w:rPr>
                <w:rFonts w:ascii="宋体" w:hAnsi="宋体" w:eastAsia="宋体" w:cs="宋体"/>
                <w:sz w:val="24"/>
                <w:szCs w:val="24"/>
              </w:rPr>
            </w:pPr>
            <w:r>
              <w:rPr>
                <w:rFonts w:ascii="宋体" w:hAnsi="宋体" w:eastAsia="宋体" w:cs="宋体"/>
                <w:sz w:val="24"/>
                <w:szCs w:val="24"/>
              </w:rPr>
              <w:t>1</w:t>
            </w:r>
          </w:p>
        </w:tc>
        <w:tc>
          <w:tcPr>
            <w:tcW w:w="2545" w:type="dxa"/>
            <w:vAlign w:val="center"/>
          </w:tcPr>
          <w:p w14:paraId="16F4E6AC">
            <w:pPr>
              <w:jc w:val="center"/>
              <w:rPr>
                <w:rFonts w:ascii="宋体" w:hAnsi="宋体" w:eastAsia="宋体" w:cs="宋体"/>
                <w:sz w:val="24"/>
                <w:szCs w:val="24"/>
              </w:rPr>
            </w:pPr>
          </w:p>
        </w:tc>
      </w:tr>
      <w:tr w14:paraId="7ED5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6" w:type="dxa"/>
            <w:vAlign w:val="center"/>
          </w:tcPr>
          <w:p w14:paraId="3290389D">
            <w:pPr>
              <w:jc w:val="center"/>
              <w:rPr>
                <w:rFonts w:ascii="宋体" w:hAnsi="宋体" w:eastAsia="宋体" w:cs="宋体"/>
                <w:sz w:val="24"/>
                <w:szCs w:val="24"/>
              </w:rPr>
            </w:pPr>
            <w:r>
              <w:rPr>
                <w:rFonts w:hint="eastAsia" w:ascii="宋体" w:hAnsi="宋体" w:eastAsia="宋体" w:cs="宋体"/>
                <w:sz w:val="24"/>
                <w:szCs w:val="24"/>
              </w:rPr>
              <w:t>2</w:t>
            </w:r>
          </w:p>
        </w:tc>
        <w:tc>
          <w:tcPr>
            <w:tcW w:w="4604" w:type="dxa"/>
            <w:vAlign w:val="center"/>
          </w:tcPr>
          <w:p w14:paraId="59887D60">
            <w:pPr>
              <w:jc w:val="center"/>
              <w:rPr>
                <w:rFonts w:ascii="宋体" w:hAnsi="宋体" w:eastAsia="宋体" w:cs="宋体"/>
                <w:sz w:val="24"/>
                <w:szCs w:val="24"/>
              </w:rPr>
            </w:pPr>
            <w:r>
              <w:rPr>
                <w:rFonts w:hint="eastAsia" w:ascii="宋体" w:hAnsi="宋体" w:eastAsia="宋体" w:cs="宋体"/>
                <w:sz w:val="24"/>
                <w:szCs w:val="24"/>
              </w:rPr>
              <w:t>工业PLC及模块</w:t>
            </w:r>
          </w:p>
        </w:tc>
        <w:tc>
          <w:tcPr>
            <w:tcW w:w="889" w:type="dxa"/>
            <w:vAlign w:val="center"/>
          </w:tcPr>
          <w:p w14:paraId="165EAABB">
            <w:pPr>
              <w:jc w:val="center"/>
            </w:pPr>
            <w:r>
              <w:rPr>
                <w:rFonts w:hint="eastAsia" w:ascii="宋体" w:hAnsi="宋体" w:eastAsia="宋体" w:cs="宋体"/>
                <w:sz w:val="24"/>
                <w:szCs w:val="24"/>
              </w:rPr>
              <w:t>套</w:t>
            </w:r>
          </w:p>
        </w:tc>
        <w:tc>
          <w:tcPr>
            <w:tcW w:w="996" w:type="dxa"/>
            <w:vAlign w:val="center"/>
          </w:tcPr>
          <w:p w14:paraId="6AF917E8">
            <w:pPr>
              <w:jc w:val="center"/>
            </w:pPr>
            <w:r>
              <w:rPr>
                <w:rFonts w:ascii="宋体" w:hAnsi="宋体" w:eastAsia="宋体" w:cs="宋体"/>
                <w:sz w:val="24"/>
                <w:szCs w:val="24"/>
              </w:rPr>
              <w:t>1</w:t>
            </w:r>
          </w:p>
        </w:tc>
        <w:tc>
          <w:tcPr>
            <w:tcW w:w="2545" w:type="dxa"/>
            <w:vAlign w:val="center"/>
          </w:tcPr>
          <w:p w14:paraId="71645F45">
            <w:pPr>
              <w:jc w:val="center"/>
              <w:rPr>
                <w:rFonts w:ascii="宋体" w:hAnsi="宋体" w:eastAsia="宋体" w:cs="宋体"/>
                <w:sz w:val="24"/>
                <w:szCs w:val="24"/>
              </w:rPr>
            </w:pPr>
          </w:p>
        </w:tc>
      </w:tr>
      <w:tr w14:paraId="5923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6" w:type="dxa"/>
            <w:vAlign w:val="center"/>
          </w:tcPr>
          <w:p w14:paraId="1903F049">
            <w:pPr>
              <w:jc w:val="center"/>
              <w:rPr>
                <w:rFonts w:ascii="宋体" w:hAnsi="宋体" w:eastAsia="宋体" w:cs="宋体"/>
                <w:sz w:val="24"/>
                <w:szCs w:val="24"/>
              </w:rPr>
            </w:pPr>
            <w:r>
              <w:rPr>
                <w:rFonts w:hint="eastAsia" w:ascii="宋体" w:hAnsi="宋体" w:eastAsia="宋体" w:cs="宋体"/>
                <w:sz w:val="24"/>
                <w:szCs w:val="24"/>
              </w:rPr>
              <w:t>3</w:t>
            </w:r>
          </w:p>
        </w:tc>
        <w:tc>
          <w:tcPr>
            <w:tcW w:w="4604" w:type="dxa"/>
            <w:vAlign w:val="center"/>
          </w:tcPr>
          <w:p w14:paraId="5952568B">
            <w:pPr>
              <w:jc w:val="center"/>
              <w:rPr>
                <w:rFonts w:ascii="宋体" w:hAnsi="宋体" w:eastAsia="宋体" w:cs="宋体"/>
                <w:sz w:val="24"/>
                <w:szCs w:val="24"/>
              </w:rPr>
            </w:pPr>
            <w:r>
              <w:rPr>
                <w:rFonts w:hint="eastAsia" w:ascii="宋体" w:hAnsi="宋体" w:eastAsia="宋体" w:cs="宋体"/>
                <w:sz w:val="24"/>
                <w:szCs w:val="24"/>
              </w:rPr>
              <w:t>闭环控制电路，电器控制</w:t>
            </w:r>
          </w:p>
        </w:tc>
        <w:tc>
          <w:tcPr>
            <w:tcW w:w="889" w:type="dxa"/>
            <w:vAlign w:val="center"/>
          </w:tcPr>
          <w:p w14:paraId="16DB421D">
            <w:pPr>
              <w:jc w:val="center"/>
            </w:pPr>
            <w:r>
              <w:rPr>
                <w:rFonts w:hint="eastAsia" w:ascii="宋体" w:hAnsi="宋体" w:eastAsia="宋体" w:cs="宋体"/>
                <w:sz w:val="24"/>
                <w:szCs w:val="24"/>
              </w:rPr>
              <w:t>套</w:t>
            </w:r>
          </w:p>
        </w:tc>
        <w:tc>
          <w:tcPr>
            <w:tcW w:w="996" w:type="dxa"/>
            <w:vAlign w:val="center"/>
          </w:tcPr>
          <w:p w14:paraId="7DA9154D">
            <w:pPr>
              <w:jc w:val="center"/>
            </w:pPr>
            <w:r>
              <w:rPr>
                <w:rFonts w:ascii="宋体" w:hAnsi="宋体" w:eastAsia="宋体" w:cs="宋体"/>
                <w:sz w:val="24"/>
                <w:szCs w:val="24"/>
              </w:rPr>
              <w:t>1</w:t>
            </w:r>
          </w:p>
        </w:tc>
        <w:tc>
          <w:tcPr>
            <w:tcW w:w="2545" w:type="dxa"/>
            <w:vAlign w:val="center"/>
          </w:tcPr>
          <w:p w14:paraId="3F31E4B9">
            <w:pPr>
              <w:jc w:val="center"/>
              <w:rPr>
                <w:rFonts w:ascii="宋体" w:hAnsi="宋体" w:eastAsia="宋体" w:cs="宋体"/>
                <w:sz w:val="24"/>
                <w:szCs w:val="24"/>
              </w:rPr>
            </w:pPr>
          </w:p>
        </w:tc>
      </w:tr>
      <w:tr w14:paraId="5A54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6" w:type="dxa"/>
            <w:vAlign w:val="center"/>
          </w:tcPr>
          <w:p w14:paraId="55C6E878">
            <w:pPr>
              <w:jc w:val="center"/>
              <w:rPr>
                <w:rFonts w:ascii="宋体" w:hAnsi="宋体" w:eastAsia="宋体" w:cs="宋体"/>
                <w:sz w:val="24"/>
                <w:szCs w:val="24"/>
              </w:rPr>
            </w:pPr>
            <w:r>
              <w:rPr>
                <w:rFonts w:hint="eastAsia" w:ascii="宋体" w:hAnsi="宋体" w:eastAsia="宋体" w:cs="宋体"/>
                <w:sz w:val="24"/>
                <w:szCs w:val="24"/>
              </w:rPr>
              <w:t>4</w:t>
            </w:r>
          </w:p>
        </w:tc>
        <w:tc>
          <w:tcPr>
            <w:tcW w:w="4604" w:type="dxa"/>
            <w:vAlign w:val="center"/>
          </w:tcPr>
          <w:p w14:paraId="6CDDC12F">
            <w:pPr>
              <w:jc w:val="center"/>
              <w:rPr>
                <w:rFonts w:ascii="宋体" w:hAnsi="宋体" w:eastAsia="宋体" w:cs="宋体"/>
                <w:sz w:val="24"/>
                <w:szCs w:val="24"/>
              </w:rPr>
            </w:pPr>
            <w:r>
              <w:rPr>
                <w:rFonts w:hint="eastAsia" w:ascii="宋体" w:hAnsi="宋体" w:eastAsia="宋体" w:cs="宋体"/>
                <w:sz w:val="24"/>
                <w:szCs w:val="24"/>
              </w:rPr>
              <w:t>震动盘含调整件</w:t>
            </w:r>
          </w:p>
        </w:tc>
        <w:tc>
          <w:tcPr>
            <w:tcW w:w="889" w:type="dxa"/>
            <w:vAlign w:val="center"/>
          </w:tcPr>
          <w:p w14:paraId="43426BC8">
            <w:pPr>
              <w:jc w:val="center"/>
            </w:pPr>
            <w:r>
              <w:rPr>
                <w:rFonts w:hint="eastAsia" w:ascii="宋体" w:hAnsi="宋体" w:eastAsia="宋体" w:cs="宋体"/>
                <w:sz w:val="24"/>
                <w:szCs w:val="24"/>
              </w:rPr>
              <w:t>套</w:t>
            </w:r>
          </w:p>
        </w:tc>
        <w:tc>
          <w:tcPr>
            <w:tcW w:w="996" w:type="dxa"/>
            <w:vAlign w:val="center"/>
          </w:tcPr>
          <w:p w14:paraId="6A6CCC51">
            <w:pPr>
              <w:jc w:val="center"/>
            </w:pPr>
            <w:r>
              <w:rPr>
                <w:rFonts w:ascii="宋体" w:hAnsi="宋体" w:eastAsia="宋体" w:cs="宋体"/>
                <w:sz w:val="24"/>
                <w:szCs w:val="24"/>
              </w:rPr>
              <w:t>1</w:t>
            </w:r>
          </w:p>
        </w:tc>
        <w:tc>
          <w:tcPr>
            <w:tcW w:w="2545" w:type="dxa"/>
            <w:vAlign w:val="center"/>
          </w:tcPr>
          <w:p w14:paraId="5FD7D1B8">
            <w:pPr>
              <w:jc w:val="center"/>
              <w:rPr>
                <w:rFonts w:ascii="宋体" w:hAnsi="宋体" w:eastAsia="宋体" w:cs="宋体"/>
                <w:sz w:val="24"/>
                <w:szCs w:val="24"/>
              </w:rPr>
            </w:pPr>
          </w:p>
        </w:tc>
      </w:tr>
      <w:tr w14:paraId="37A7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6" w:type="dxa"/>
            <w:vAlign w:val="center"/>
          </w:tcPr>
          <w:p w14:paraId="15CB3AD5">
            <w:pPr>
              <w:jc w:val="center"/>
              <w:rPr>
                <w:rFonts w:hint="eastAsia" w:ascii="宋体" w:hAnsi="宋体" w:eastAsia="宋体" w:cs="宋体"/>
                <w:sz w:val="24"/>
                <w:szCs w:val="24"/>
              </w:rPr>
            </w:pPr>
            <w:r>
              <w:rPr>
                <w:rFonts w:hint="eastAsia" w:ascii="宋体" w:hAnsi="宋体" w:eastAsia="宋体" w:cs="宋体"/>
                <w:sz w:val="24"/>
                <w:szCs w:val="24"/>
              </w:rPr>
              <w:t>5</w:t>
            </w:r>
          </w:p>
        </w:tc>
        <w:tc>
          <w:tcPr>
            <w:tcW w:w="4604" w:type="dxa"/>
            <w:vAlign w:val="center"/>
          </w:tcPr>
          <w:p w14:paraId="1425C7EA">
            <w:pPr>
              <w:jc w:val="center"/>
              <w:rPr>
                <w:rFonts w:ascii="宋体" w:hAnsi="宋体" w:eastAsia="宋体" w:cs="宋体"/>
                <w:sz w:val="24"/>
                <w:szCs w:val="24"/>
              </w:rPr>
            </w:pPr>
            <w:r>
              <w:rPr>
                <w:rFonts w:hint="eastAsia" w:ascii="宋体" w:hAnsi="宋体" w:eastAsia="宋体" w:cs="宋体"/>
                <w:sz w:val="24"/>
                <w:szCs w:val="24"/>
              </w:rPr>
              <w:t>钢珠送料与分料机构</w:t>
            </w:r>
          </w:p>
        </w:tc>
        <w:tc>
          <w:tcPr>
            <w:tcW w:w="889" w:type="dxa"/>
            <w:vAlign w:val="center"/>
          </w:tcPr>
          <w:p w14:paraId="037866F4">
            <w:pPr>
              <w:jc w:val="center"/>
            </w:pPr>
            <w:r>
              <w:rPr>
                <w:rFonts w:hint="eastAsia" w:ascii="宋体" w:hAnsi="宋体" w:eastAsia="宋体" w:cs="宋体"/>
                <w:sz w:val="24"/>
                <w:szCs w:val="24"/>
              </w:rPr>
              <w:t>套</w:t>
            </w:r>
          </w:p>
        </w:tc>
        <w:tc>
          <w:tcPr>
            <w:tcW w:w="996" w:type="dxa"/>
            <w:vAlign w:val="center"/>
          </w:tcPr>
          <w:p w14:paraId="24B75CA6">
            <w:pPr>
              <w:jc w:val="center"/>
            </w:pPr>
            <w:r>
              <w:rPr>
                <w:rFonts w:ascii="宋体" w:hAnsi="宋体" w:eastAsia="宋体" w:cs="宋体"/>
                <w:sz w:val="24"/>
                <w:szCs w:val="24"/>
              </w:rPr>
              <w:t>1</w:t>
            </w:r>
          </w:p>
        </w:tc>
        <w:tc>
          <w:tcPr>
            <w:tcW w:w="2545" w:type="dxa"/>
            <w:vAlign w:val="center"/>
          </w:tcPr>
          <w:p w14:paraId="05464023">
            <w:pPr>
              <w:jc w:val="center"/>
              <w:rPr>
                <w:rFonts w:ascii="宋体" w:hAnsi="宋体" w:eastAsia="宋体" w:cs="宋体"/>
                <w:sz w:val="24"/>
                <w:szCs w:val="24"/>
              </w:rPr>
            </w:pPr>
          </w:p>
        </w:tc>
      </w:tr>
      <w:tr w14:paraId="7C45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6" w:type="dxa"/>
            <w:vAlign w:val="center"/>
          </w:tcPr>
          <w:p w14:paraId="42074F8A">
            <w:pPr>
              <w:jc w:val="center"/>
              <w:rPr>
                <w:rFonts w:hint="eastAsia" w:ascii="宋体" w:hAnsi="宋体" w:eastAsia="宋体" w:cs="宋体"/>
                <w:sz w:val="24"/>
                <w:szCs w:val="24"/>
              </w:rPr>
            </w:pPr>
            <w:r>
              <w:rPr>
                <w:rFonts w:hint="eastAsia" w:ascii="宋体" w:hAnsi="宋体" w:eastAsia="宋体" w:cs="宋体"/>
                <w:sz w:val="24"/>
                <w:szCs w:val="24"/>
              </w:rPr>
              <w:t>6</w:t>
            </w:r>
          </w:p>
        </w:tc>
        <w:tc>
          <w:tcPr>
            <w:tcW w:w="4604" w:type="dxa"/>
            <w:vAlign w:val="center"/>
          </w:tcPr>
          <w:p w14:paraId="09AB2DCC">
            <w:pPr>
              <w:jc w:val="center"/>
              <w:rPr>
                <w:rFonts w:hint="eastAsia" w:ascii="宋体" w:hAnsi="宋体" w:eastAsia="宋体" w:cs="宋体"/>
                <w:sz w:val="24"/>
                <w:szCs w:val="24"/>
              </w:rPr>
            </w:pPr>
            <w:r>
              <w:rPr>
                <w:rFonts w:hint="eastAsia" w:ascii="宋体" w:hAnsi="宋体" w:eastAsia="宋体" w:cs="宋体"/>
                <w:sz w:val="24"/>
                <w:szCs w:val="24"/>
              </w:rPr>
              <w:t>保持架及钢珠装配单元</w:t>
            </w:r>
          </w:p>
        </w:tc>
        <w:tc>
          <w:tcPr>
            <w:tcW w:w="889" w:type="dxa"/>
            <w:vAlign w:val="center"/>
          </w:tcPr>
          <w:p w14:paraId="4A117CDB">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996" w:type="dxa"/>
            <w:vAlign w:val="center"/>
          </w:tcPr>
          <w:p w14:paraId="649CF752">
            <w:pPr>
              <w:jc w:val="center"/>
              <w:rPr>
                <w:rFonts w:ascii="宋体" w:hAnsi="宋体" w:eastAsia="宋体" w:cs="宋体"/>
                <w:sz w:val="24"/>
                <w:szCs w:val="24"/>
              </w:rPr>
            </w:pPr>
            <w:r>
              <w:rPr>
                <w:rFonts w:hint="eastAsia" w:ascii="宋体" w:hAnsi="宋体" w:eastAsia="宋体" w:cs="宋体"/>
                <w:sz w:val="24"/>
                <w:szCs w:val="24"/>
              </w:rPr>
              <w:t>1</w:t>
            </w:r>
          </w:p>
        </w:tc>
        <w:tc>
          <w:tcPr>
            <w:tcW w:w="2545" w:type="dxa"/>
            <w:vAlign w:val="center"/>
          </w:tcPr>
          <w:p w14:paraId="59CABFDD">
            <w:pPr>
              <w:jc w:val="center"/>
              <w:rPr>
                <w:rFonts w:ascii="宋体" w:hAnsi="宋体" w:eastAsia="宋体" w:cs="宋体"/>
                <w:sz w:val="24"/>
                <w:szCs w:val="24"/>
              </w:rPr>
            </w:pPr>
          </w:p>
        </w:tc>
      </w:tr>
      <w:tr w14:paraId="08EF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6" w:type="dxa"/>
            <w:vAlign w:val="center"/>
          </w:tcPr>
          <w:p w14:paraId="195681A7">
            <w:pPr>
              <w:jc w:val="center"/>
              <w:rPr>
                <w:rFonts w:hint="eastAsia" w:ascii="宋体" w:hAnsi="宋体" w:eastAsia="宋体" w:cs="宋体"/>
                <w:sz w:val="24"/>
                <w:szCs w:val="24"/>
              </w:rPr>
            </w:pPr>
            <w:r>
              <w:rPr>
                <w:rFonts w:hint="eastAsia" w:ascii="宋体" w:hAnsi="宋体" w:eastAsia="宋体" w:cs="宋体"/>
                <w:sz w:val="24"/>
                <w:szCs w:val="24"/>
              </w:rPr>
              <w:t>7</w:t>
            </w:r>
          </w:p>
        </w:tc>
        <w:tc>
          <w:tcPr>
            <w:tcW w:w="4604" w:type="dxa"/>
            <w:vAlign w:val="center"/>
          </w:tcPr>
          <w:p w14:paraId="535A0664">
            <w:pPr>
              <w:jc w:val="center"/>
              <w:rPr>
                <w:rFonts w:ascii="宋体" w:hAnsi="宋体" w:eastAsia="宋体" w:cs="宋体"/>
                <w:sz w:val="24"/>
                <w:szCs w:val="24"/>
              </w:rPr>
            </w:pPr>
            <w:r>
              <w:rPr>
                <w:rFonts w:hint="eastAsia" w:ascii="宋体" w:hAnsi="宋体" w:eastAsia="宋体" w:cs="宋体"/>
                <w:sz w:val="24"/>
                <w:szCs w:val="24"/>
              </w:rPr>
              <w:t>下料流道结构</w:t>
            </w:r>
          </w:p>
        </w:tc>
        <w:tc>
          <w:tcPr>
            <w:tcW w:w="889" w:type="dxa"/>
            <w:vAlign w:val="center"/>
          </w:tcPr>
          <w:p w14:paraId="412FC6C1">
            <w:pPr>
              <w:jc w:val="center"/>
            </w:pPr>
            <w:r>
              <w:rPr>
                <w:rFonts w:hint="eastAsia" w:ascii="宋体" w:hAnsi="宋体" w:eastAsia="宋体" w:cs="宋体"/>
                <w:sz w:val="24"/>
                <w:szCs w:val="24"/>
              </w:rPr>
              <w:t>套</w:t>
            </w:r>
          </w:p>
        </w:tc>
        <w:tc>
          <w:tcPr>
            <w:tcW w:w="996" w:type="dxa"/>
            <w:vAlign w:val="center"/>
          </w:tcPr>
          <w:p w14:paraId="42A1D2BF">
            <w:pPr>
              <w:jc w:val="center"/>
            </w:pPr>
            <w:r>
              <w:rPr>
                <w:rFonts w:ascii="宋体" w:hAnsi="宋体" w:eastAsia="宋体" w:cs="宋体"/>
                <w:sz w:val="24"/>
                <w:szCs w:val="24"/>
              </w:rPr>
              <w:t>1</w:t>
            </w:r>
          </w:p>
        </w:tc>
        <w:tc>
          <w:tcPr>
            <w:tcW w:w="2545" w:type="dxa"/>
            <w:vAlign w:val="center"/>
          </w:tcPr>
          <w:p w14:paraId="4B43751F">
            <w:pPr>
              <w:jc w:val="center"/>
              <w:rPr>
                <w:rFonts w:ascii="宋体" w:hAnsi="宋体" w:eastAsia="宋体" w:cs="宋体"/>
                <w:sz w:val="24"/>
                <w:szCs w:val="24"/>
              </w:rPr>
            </w:pPr>
          </w:p>
        </w:tc>
      </w:tr>
      <w:tr w14:paraId="37D9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6" w:type="dxa"/>
            <w:vAlign w:val="center"/>
          </w:tcPr>
          <w:p w14:paraId="20C3C7B6">
            <w:pPr>
              <w:jc w:val="center"/>
              <w:rPr>
                <w:rFonts w:hint="eastAsia" w:ascii="宋体" w:hAnsi="宋体" w:eastAsia="宋体" w:cs="宋体"/>
                <w:sz w:val="24"/>
                <w:szCs w:val="24"/>
              </w:rPr>
            </w:pPr>
            <w:r>
              <w:rPr>
                <w:rFonts w:hint="eastAsia" w:ascii="宋体" w:hAnsi="宋体" w:eastAsia="宋体" w:cs="宋体"/>
                <w:sz w:val="24"/>
                <w:szCs w:val="24"/>
              </w:rPr>
              <w:t>8</w:t>
            </w:r>
          </w:p>
        </w:tc>
        <w:tc>
          <w:tcPr>
            <w:tcW w:w="4604" w:type="dxa"/>
            <w:vAlign w:val="center"/>
          </w:tcPr>
          <w:p w14:paraId="7D66594A">
            <w:pPr>
              <w:jc w:val="center"/>
              <w:rPr>
                <w:rFonts w:ascii="宋体" w:hAnsi="宋体" w:eastAsia="宋体" w:cs="宋体"/>
                <w:sz w:val="24"/>
                <w:szCs w:val="24"/>
              </w:rPr>
            </w:pPr>
            <w:r>
              <w:rPr>
                <w:rFonts w:hint="eastAsia" w:ascii="宋体" w:hAnsi="宋体" w:eastAsia="宋体" w:cs="宋体"/>
                <w:sz w:val="24"/>
                <w:szCs w:val="24"/>
              </w:rPr>
              <w:t>电器附件</w:t>
            </w:r>
          </w:p>
        </w:tc>
        <w:tc>
          <w:tcPr>
            <w:tcW w:w="889" w:type="dxa"/>
            <w:vAlign w:val="center"/>
          </w:tcPr>
          <w:p w14:paraId="3532DA24">
            <w:pPr>
              <w:jc w:val="center"/>
            </w:pPr>
            <w:r>
              <w:rPr>
                <w:rFonts w:hint="eastAsia" w:ascii="宋体" w:hAnsi="宋体" w:eastAsia="宋体" w:cs="宋体"/>
                <w:sz w:val="24"/>
                <w:szCs w:val="24"/>
              </w:rPr>
              <w:t>套</w:t>
            </w:r>
          </w:p>
        </w:tc>
        <w:tc>
          <w:tcPr>
            <w:tcW w:w="996" w:type="dxa"/>
            <w:vAlign w:val="center"/>
          </w:tcPr>
          <w:p w14:paraId="29F7D440">
            <w:pPr>
              <w:jc w:val="center"/>
            </w:pPr>
            <w:r>
              <w:rPr>
                <w:rFonts w:ascii="宋体" w:hAnsi="宋体" w:eastAsia="宋体" w:cs="宋体"/>
                <w:sz w:val="24"/>
                <w:szCs w:val="24"/>
              </w:rPr>
              <w:t>1</w:t>
            </w:r>
          </w:p>
        </w:tc>
        <w:tc>
          <w:tcPr>
            <w:tcW w:w="2545" w:type="dxa"/>
            <w:vAlign w:val="center"/>
          </w:tcPr>
          <w:p w14:paraId="5C26FC3C">
            <w:pPr>
              <w:jc w:val="center"/>
              <w:rPr>
                <w:rFonts w:ascii="宋体" w:hAnsi="宋体" w:eastAsia="宋体" w:cs="宋体"/>
                <w:sz w:val="24"/>
                <w:szCs w:val="24"/>
              </w:rPr>
            </w:pPr>
          </w:p>
        </w:tc>
      </w:tr>
      <w:tr w14:paraId="1A65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6" w:type="dxa"/>
            <w:vAlign w:val="center"/>
          </w:tcPr>
          <w:p w14:paraId="7CC9ACCD">
            <w:pPr>
              <w:jc w:val="center"/>
              <w:rPr>
                <w:rFonts w:ascii="宋体" w:hAnsi="宋体" w:eastAsia="宋体" w:cs="宋体"/>
                <w:sz w:val="24"/>
                <w:szCs w:val="24"/>
              </w:rPr>
            </w:pPr>
            <w:r>
              <w:rPr>
                <w:rFonts w:ascii="宋体" w:hAnsi="宋体" w:eastAsia="宋体" w:cs="宋体"/>
                <w:sz w:val="24"/>
                <w:szCs w:val="24"/>
              </w:rPr>
              <w:t>9</w:t>
            </w:r>
          </w:p>
        </w:tc>
        <w:tc>
          <w:tcPr>
            <w:tcW w:w="4604" w:type="dxa"/>
            <w:vAlign w:val="center"/>
          </w:tcPr>
          <w:p w14:paraId="4B3C1104">
            <w:pPr>
              <w:jc w:val="center"/>
              <w:rPr>
                <w:rFonts w:ascii="宋体" w:hAnsi="宋体" w:eastAsia="宋体" w:cs="宋体"/>
                <w:sz w:val="24"/>
                <w:szCs w:val="24"/>
              </w:rPr>
            </w:pPr>
            <w:r>
              <w:rPr>
                <w:rFonts w:hint="eastAsia" w:ascii="宋体" w:hAnsi="宋体" w:eastAsia="宋体" w:cs="宋体"/>
                <w:sz w:val="24"/>
                <w:szCs w:val="24"/>
              </w:rPr>
              <w:t>光电开关</w:t>
            </w:r>
          </w:p>
        </w:tc>
        <w:tc>
          <w:tcPr>
            <w:tcW w:w="889" w:type="dxa"/>
            <w:vAlign w:val="center"/>
          </w:tcPr>
          <w:p w14:paraId="4DB8B8C3">
            <w:pPr>
              <w:jc w:val="center"/>
            </w:pPr>
            <w:r>
              <w:rPr>
                <w:rFonts w:hint="eastAsia" w:ascii="宋体" w:hAnsi="宋体" w:eastAsia="宋体" w:cs="宋体"/>
                <w:sz w:val="24"/>
                <w:szCs w:val="24"/>
              </w:rPr>
              <w:t>套</w:t>
            </w:r>
          </w:p>
        </w:tc>
        <w:tc>
          <w:tcPr>
            <w:tcW w:w="996" w:type="dxa"/>
            <w:vAlign w:val="center"/>
          </w:tcPr>
          <w:p w14:paraId="7B192757">
            <w:pPr>
              <w:jc w:val="center"/>
            </w:pPr>
            <w:r>
              <w:rPr>
                <w:rFonts w:ascii="宋体" w:hAnsi="宋体" w:eastAsia="宋体" w:cs="宋体"/>
                <w:sz w:val="24"/>
                <w:szCs w:val="24"/>
              </w:rPr>
              <w:t>1</w:t>
            </w:r>
          </w:p>
        </w:tc>
        <w:tc>
          <w:tcPr>
            <w:tcW w:w="2545" w:type="dxa"/>
            <w:vAlign w:val="center"/>
          </w:tcPr>
          <w:p w14:paraId="0F280F43">
            <w:pPr>
              <w:jc w:val="center"/>
              <w:rPr>
                <w:rFonts w:ascii="宋体" w:hAnsi="宋体" w:eastAsia="宋体" w:cs="宋体"/>
                <w:sz w:val="24"/>
                <w:szCs w:val="24"/>
              </w:rPr>
            </w:pPr>
          </w:p>
        </w:tc>
      </w:tr>
    </w:tbl>
    <w:p w14:paraId="5B5353A7">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p w14:paraId="5BDD3A6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14:paraId="0AFA154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53B6F7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2.包括为保证货物正常安装、调试和验收完成及以前所必需的整套配件、附件及材料、控制软件及程序或指令等。</w:t>
      </w:r>
    </w:p>
    <w:p w14:paraId="7436F27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如果终验收完成后，投标人有需要收回的配件、附件、材料等，应当在投标文件的技术偏离条款中，予以详细说明；否则视同包括在供货范围之内。</w:t>
      </w:r>
    </w:p>
    <w:p w14:paraId="78602C9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16C7102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724CC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7E3AD42F">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72369E6C">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75C55CE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7C254F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3959FBB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59A4EE5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6184694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w:t>
      </w:r>
      <w:r>
        <w:rPr>
          <w:rFonts w:hint="eastAsia" w:ascii="宋体" w:hAnsi="宋体" w:eastAsia="宋体" w:cs="宋体"/>
          <w:color w:val="000000"/>
          <w:sz w:val="24"/>
          <w:szCs w:val="24"/>
        </w:rPr>
        <w:t>。</w:t>
      </w:r>
    </w:p>
    <w:p w14:paraId="05217BA7">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2AAD152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质保期之内正常需要的备品备件、易损件和专用耗材全部包括在供货范围之内而不属于本条款界定的范围（应有明细）。</w:t>
      </w:r>
    </w:p>
    <w:p w14:paraId="4D174558">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14:paraId="3A796992">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3ED74E2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59882CF5">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584E79E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4C3CA65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5509A0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2434573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50DEC2F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43BE52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2CA3BD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w:t>
      </w:r>
      <w:r>
        <w:rPr>
          <w:rFonts w:ascii="宋体" w:hAnsi="宋体" w:eastAsia="宋体" w:cs="宋体"/>
          <w:sz w:val="24"/>
          <w:szCs w:val="24"/>
        </w:rPr>
        <w:t>3</w:t>
      </w:r>
      <w:r>
        <w:rPr>
          <w:rFonts w:hint="eastAsia" w:ascii="宋体" w:hAnsi="宋体" w:eastAsia="宋体" w:cs="宋体"/>
          <w:sz w:val="24"/>
          <w:szCs w:val="24"/>
        </w:rPr>
        <w:t>套，其中</w:t>
      </w:r>
      <w:r>
        <w:rPr>
          <w:rFonts w:ascii="宋体" w:hAnsi="宋体" w:eastAsia="宋体" w:cs="宋体"/>
          <w:sz w:val="24"/>
          <w:szCs w:val="24"/>
        </w:rPr>
        <w:t>1</w:t>
      </w:r>
      <w:r>
        <w:rPr>
          <w:rFonts w:hint="eastAsia" w:ascii="宋体" w:hAnsi="宋体" w:eastAsia="宋体" w:cs="宋体"/>
          <w:sz w:val="24"/>
          <w:szCs w:val="24"/>
        </w:rPr>
        <w:t>套为电子版光盘；每份技术文件应装有目录清单。</w:t>
      </w:r>
    </w:p>
    <w:p w14:paraId="586497AD">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r>
        <w:rPr>
          <w:rFonts w:hint="eastAsia" w:ascii="宋体" w:hAnsi="宋体" w:eastAsia="宋体" w:cs="宋体"/>
          <w:color w:val="000000"/>
          <w:sz w:val="24"/>
          <w:szCs w:val="24"/>
        </w:rPr>
        <w:t>。</w:t>
      </w:r>
    </w:p>
    <w:p w14:paraId="56014FB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1E859BB3">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14:paraId="4FBC2362">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50251A2D">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3149B28A">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65CCCDDA">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u w:val="single"/>
        </w:rPr>
        <w:t>济南部件公司部件加工部</w:t>
      </w:r>
    </w:p>
    <w:p w14:paraId="7316700C">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04DA7478">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rPr>
        <w:t>1.自合同生效后</w:t>
      </w:r>
      <w:r>
        <w:rPr>
          <w:rFonts w:hint="eastAsia" w:ascii="宋体" w:hAnsi="宋体" w:eastAsia="宋体" w:cs="宋体"/>
          <w:sz w:val="24"/>
          <w:szCs w:val="24"/>
          <w:highlight w:val="none"/>
        </w:rPr>
        <w:t>，接招标方通知后于</w:t>
      </w:r>
      <w:r>
        <w:rPr>
          <w:rFonts w:hint="eastAsia" w:ascii="宋体" w:hAnsi="宋体" w:eastAsia="宋体" w:cs="宋体"/>
          <w:sz w:val="24"/>
          <w:szCs w:val="24"/>
          <w:highlight w:val="none"/>
          <w:u w:val="single"/>
        </w:rPr>
        <w:t>90</w:t>
      </w:r>
      <w:r>
        <w:rPr>
          <w:rFonts w:hint="eastAsia" w:ascii="宋体" w:hAnsi="宋体" w:eastAsia="宋体" w:cs="宋体"/>
          <w:sz w:val="24"/>
          <w:szCs w:val="24"/>
          <w:highlight w:val="none"/>
        </w:rPr>
        <w:t>个日历日内，中标人须交付设备到招标人指定的安装和使用的现场，并保证整套测试系统正常进入试运行状态。</w:t>
      </w:r>
    </w:p>
    <w:p w14:paraId="00D8A007">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2.接续</w:t>
      </w:r>
      <w:r>
        <w:rPr>
          <w:rFonts w:hint="eastAsia" w:ascii="宋体" w:hAnsi="宋体" w:eastAsia="宋体" w:cs="宋体"/>
          <w:sz w:val="24"/>
          <w:szCs w:val="24"/>
          <w:highlight w:val="none"/>
          <w:u w:val="single"/>
        </w:rPr>
        <w:t>15</w:t>
      </w:r>
      <w:r>
        <w:rPr>
          <w:rFonts w:hint="eastAsia" w:ascii="宋体" w:hAnsi="宋体" w:eastAsia="宋体" w:cs="宋体"/>
          <w:sz w:val="24"/>
          <w:szCs w:val="24"/>
          <w:highlight w:val="none"/>
        </w:rPr>
        <w:t>个日历日之内安装调试完毕。</w:t>
      </w:r>
    </w:p>
    <w:p w14:paraId="2B0A1D92">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3.接续</w:t>
      </w:r>
      <w:r>
        <w:rPr>
          <w:rFonts w:hint="eastAsia" w:ascii="宋体" w:hAnsi="宋体" w:eastAsia="宋体" w:cs="宋体"/>
          <w:sz w:val="24"/>
          <w:szCs w:val="24"/>
          <w:highlight w:val="none"/>
          <w:u w:val="single"/>
        </w:rPr>
        <w:t>15</w:t>
      </w:r>
      <w:r>
        <w:rPr>
          <w:rFonts w:hint="eastAsia" w:ascii="宋体" w:hAnsi="宋体" w:eastAsia="宋体" w:cs="宋体"/>
          <w:sz w:val="24"/>
          <w:szCs w:val="24"/>
          <w:highlight w:val="none"/>
        </w:rPr>
        <w:t>个日历日之内完成终验收。</w:t>
      </w:r>
    </w:p>
    <w:p w14:paraId="6ADE84D3">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四、包装</w:t>
      </w:r>
    </w:p>
    <w:p w14:paraId="62A3005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56CD1FE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2310482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CF9483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3507DF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2027C6C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6AFD75C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E8CB7A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1B1593BF">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14:paraId="56CA6B03">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1A1A22D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1A1AE5C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74D30A3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453C16F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4C78BEC1">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24480254">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27" w:name="_Toc169605884"/>
      <w:r>
        <w:rPr>
          <w:rFonts w:hint="eastAsia" w:ascii="宋体" w:hAnsi="宋体" w:eastAsia="宋体" w:cs="宋体"/>
          <w:b/>
          <w:bCs/>
          <w:kern w:val="44"/>
          <w:sz w:val="24"/>
          <w:szCs w:val="24"/>
        </w:rPr>
        <w:t>第四章  质保期及售后服务</w:t>
      </w:r>
      <w:bookmarkEnd w:id="27"/>
    </w:p>
    <w:p w14:paraId="337FBB79">
      <w:pPr>
        <w:pStyle w:val="112"/>
        <w:spacing w:line="360" w:lineRule="auto"/>
        <w:rPr>
          <w:rFonts w:ascii="宋体" w:hAnsi="宋体" w:cs="宋体"/>
          <w:color w:val="auto"/>
        </w:rPr>
      </w:pPr>
      <w:r>
        <w:rPr>
          <w:rFonts w:hint="eastAsia" w:ascii="宋体" w:hAnsi="宋体" w:cs="宋体"/>
          <w:color w:val="auto"/>
        </w:rPr>
        <w:t>一、质保期及质保要求</w:t>
      </w:r>
    </w:p>
    <w:p w14:paraId="1C9A454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color w:val="0000FF"/>
          <w:sz w:val="24"/>
          <w:szCs w:val="24"/>
          <w:u w:val="single"/>
        </w:rPr>
        <w:t xml:space="preserve"> 12 </w:t>
      </w:r>
      <w:r>
        <w:rPr>
          <w:rFonts w:hint="eastAsia" w:ascii="宋体" w:hAnsi="宋体" w:eastAsia="宋体" w:cs="宋体"/>
          <w:sz w:val="24"/>
          <w:szCs w:val="24"/>
        </w:rPr>
        <w:t>个月。</w:t>
      </w:r>
    </w:p>
    <w:p w14:paraId="118AA20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72DA2F0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78DF49A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05FFFBB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22A637B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6FEBEAE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w:t>
      </w:r>
      <w:r>
        <w:rPr>
          <w:rFonts w:hint="eastAsia" w:ascii="宋体" w:hAnsi="宋体" w:eastAsia="宋体" w:cs="宋体"/>
          <w:sz w:val="24"/>
          <w:szCs w:val="24"/>
        </w:rPr>
        <w:t>质保期内免费提供针对本技术条件要求内容范围内的测试脚本开发适配服务。</w:t>
      </w:r>
    </w:p>
    <w:p w14:paraId="4D49E2CC">
      <w:pPr>
        <w:pStyle w:val="112"/>
        <w:spacing w:line="360" w:lineRule="auto"/>
        <w:rPr>
          <w:rFonts w:ascii="宋体" w:hAnsi="宋体" w:cs="宋体"/>
          <w:color w:val="auto"/>
        </w:rPr>
      </w:pPr>
      <w:r>
        <w:rPr>
          <w:rFonts w:hint="eastAsia" w:ascii="宋体" w:hAnsi="宋体" w:cs="宋体"/>
          <w:color w:val="auto"/>
        </w:rPr>
        <w:t>二、技术及培训服务</w:t>
      </w:r>
    </w:p>
    <w:p w14:paraId="4FB3233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14:paraId="0364AFB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2.应免费提供一定数量的培训资料。</w:t>
      </w:r>
    </w:p>
    <w:p w14:paraId="7DA8C26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3.应按要求免费积极协助和提供买方以及买方所委托的工程设计单位有关人员所需要的、与货物有关的工程设计资料、技术咨询等。</w:t>
      </w:r>
    </w:p>
    <w:p w14:paraId="14B5A8F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4.若卖方提供货物涉及到外购外协货物、而且该货物的技术质量等较为关键时，卖方应能保证得到配套厂家的技术支持，并免费为买方提供技术服务。</w:t>
      </w:r>
    </w:p>
    <w:p w14:paraId="6921094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5BBC786E">
      <w:pPr>
        <w:pStyle w:val="112"/>
        <w:spacing w:line="360" w:lineRule="auto"/>
        <w:rPr>
          <w:rFonts w:ascii="宋体" w:hAnsi="宋体" w:cs="宋体"/>
          <w:color w:val="auto"/>
        </w:rPr>
      </w:pPr>
      <w:r>
        <w:rPr>
          <w:rFonts w:hint="eastAsia" w:ascii="宋体" w:hAnsi="宋体" w:cs="宋体"/>
          <w:color w:val="auto"/>
        </w:rPr>
        <w:t>三、安装调试及验收服务</w:t>
      </w:r>
    </w:p>
    <w:p w14:paraId="491319E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4B7A7E7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2.若卖方提供的货物涉及到外购外协货物、而且该货物的技术质量等较为关键时，应保证能得到供应商的技术支持，并免费为买方提供安装使用现场的指导与培训。</w:t>
      </w:r>
    </w:p>
    <w:p w14:paraId="62B45C0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4D7E2C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1BA57B8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5.卖方应当向买方提供货物试验、验收的有关标准、规范和方法，同时提供货物涉及并使用的软件合法性证明。</w:t>
      </w:r>
    </w:p>
    <w:p w14:paraId="4BF720C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6.服务缺陷视同货物缺陷和履约延期。</w:t>
      </w:r>
    </w:p>
    <w:p w14:paraId="09FF4586">
      <w:pPr>
        <w:pStyle w:val="112"/>
        <w:spacing w:line="360" w:lineRule="auto"/>
        <w:rPr>
          <w:rFonts w:ascii="宋体" w:hAnsi="宋体" w:cs="宋体"/>
          <w:color w:val="auto"/>
        </w:rPr>
      </w:pPr>
      <w:r>
        <w:rPr>
          <w:rFonts w:hint="eastAsia" w:ascii="宋体" w:hAnsi="宋体" w:cs="宋体"/>
          <w:color w:val="auto"/>
        </w:rPr>
        <w:t>四、售后服务</w:t>
      </w:r>
    </w:p>
    <w:p w14:paraId="4C4E388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1.卖方提供的货物涉及的所有售后服务均由卖方负责。如果发生问题并且收到通知，卖方应当在2小时内予以答复。</w:t>
      </w:r>
    </w:p>
    <w:p w14:paraId="5D7CBAFA">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rPr>
        <w:t>2.如</w:t>
      </w:r>
      <w:r>
        <w:rPr>
          <w:rFonts w:hint="eastAsia" w:ascii="宋体" w:hAnsi="宋体" w:eastAsia="宋体" w:cs="宋体"/>
          <w:sz w:val="24"/>
          <w:szCs w:val="24"/>
          <w:highlight w:val="none"/>
        </w:rPr>
        <w:t>发现所提供的货物存在问题，需要卖方解决或配合解决时：在质保期之内，应在接到通知后</w:t>
      </w:r>
      <w:r>
        <w:rPr>
          <w:rFonts w:hint="eastAsia" w:ascii="宋体" w:hAnsi="宋体" w:eastAsia="宋体" w:cs="宋体"/>
          <w:sz w:val="24"/>
          <w:szCs w:val="24"/>
          <w:highlight w:val="none"/>
          <w:u w:val="single"/>
          <w:shd w:val="pct10" w:color="auto" w:fill="FFFFFF"/>
        </w:rPr>
        <w:t>48</w:t>
      </w:r>
      <w:r>
        <w:rPr>
          <w:rFonts w:hint="eastAsia" w:ascii="宋体" w:hAnsi="宋体" w:eastAsia="宋体" w:cs="宋体"/>
          <w:sz w:val="24"/>
          <w:szCs w:val="24"/>
          <w:highlight w:val="none"/>
        </w:rPr>
        <w:t>小时内派有关人员到达现场；在质保期之外，应在接到通知后</w:t>
      </w:r>
      <w:r>
        <w:rPr>
          <w:rFonts w:hint="eastAsia" w:ascii="宋体" w:hAnsi="宋体" w:eastAsia="宋体" w:cs="宋体"/>
          <w:sz w:val="24"/>
          <w:szCs w:val="24"/>
          <w:highlight w:val="none"/>
          <w:u w:val="single"/>
          <w:shd w:val="pct10" w:color="auto" w:fill="FFFFFF"/>
        </w:rPr>
        <w:t>72</w:t>
      </w:r>
      <w:r>
        <w:rPr>
          <w:rFonts w:hint="eastAsia" w:ascii="宋体" w:hAnsi="宋体" w:eastAsia="宋体" w:cs="宋体"/>
          <w:sz w:val="24"/>
          <w:szCs w:val="24"/>
          <w:highlight w:val="none"/>
        </w:rPr>
        <w:t>小时内派有关人员到达现场。</w:t>
      </w:r>
    </w:p>
    <w:p w14:paraId="54BDD62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highlight w:val="none"/>
        </w:rPr>
        <w:t>3.卖方派往买方使用现场的</w:t>
      </w:r>
      <w:r>
        <w:rPr>
          <w:rFonts w:hint="eastAsia" w:ascii="宋体" w:hAnsi="宋体" w:eastAsia="宋体" w:cs="宋体"/>
          <w:sz w:val="24"/>
          <w:szCs w:val="24"/>
        </w:rPr>
        <w:t>人员，应具有较高的业务素质；现场解决问题时，不得无故拖延或推迟，应为买方提供最佳的服务。</w:t>
      </w:r>
    </w:p>
    <w:p w14:paraId="65602F1E">
      <w:pPr>
        <w:pStyle w:val="112"/>
        <w:spacing w:line="360" w:lineRule="auto"/>
        <w:rPr>
          <w:rFonts w:ascii="宋体" w:hAnsi="宋体" w:cs="宋体"/>
          <w:color w:val="auto"/>
        </w:rPr>
      </w:pPr>
      <w:r>
        <w:rPr>
          <w:rFonts w:hint="eastAsia" w:ascii="宋体" w:hAnsi="宋体" w:cs="宋体"/>
          <w:color w:val="auto"/>
        </w:rPr>
        <w:t>五、其它服务</w:t>
      </w:r>
    </w:p>
    <w:p w14:paraId="5134FF4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1.若卖方所提供货物有需要进口的，卖方一般应自行、自费办理。</w:t>
      </w:r>
    </w:p>
    <w:p w14:paraId="0F7F465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2.除招标文件、投标文件、答疑文件、技术标书、合同等约定之外，卖方应免费负责必要的或强制性的货物的检验、试验、化验等直接费用。</w:t>
      </w:r>
    </w:p>
    <w:p w14:paraId="4CCC3EC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3.本章节条款所列“免费”，并非指定不可收费，而是指招标文件、投标文件、答疑文件、技术交流文件、技术标书和合同等范围之外，投标人不可另行收取的费用。</w:t>
      </w:r>
    </w:p>
    <w:p w14:paraId="25FC00B1">
      <w:pPr>
        <w:pStyle w:val="14"/>
        <w:spacing w:line="360" w:lineRule="auto"/>
        <w:rPr>
          <w:rFonts w:hAnsi="宋体" w:eastAsia="宋体" w:cs="宋体"/>
          <w:sz w:val="24"/>
          <w:szCs w:val="24"/>
        </w:rPr>
      </w:pPr>
      <w:r>
        <w:rPr>
          <w:rFonts w:hint="eastAsia" w:hAnsi="宋体" w:eastAsia="宋体" w:cs="宋体"/>
          <w:sz w:val="24"/>
          <w:szCs w:val="24"/>
        </w:rPr>
        <w:br w:type="page"/>
      </w:r>
    </w:p>
    <w:p w14:paraId="0A0F7941">
      <w:pPr>
        <w:keepNext/>
        <w:keepLines/>
        <w:spacing w:line="360" w:lineRule="auto"/>
        <w:jc w:val="center"/>
        <w:outlineLvl w:val="1"/>
        <w:rPr>
          <w:rFonts w:ascii="宋体" w:hAnsi="宋体" w:eastAsia="宋体" w:cs="宋体"/>
          <w:b/>
          <w:bCs/>
          <w:kern w:val="44"/>
          <w:sz w:val="24"/>
          <w:szCs w:val="24"/>
        </w:rPr>
      </w:pPr>
      <w:bookmarkStart w:id="28" w:name="_Toc465187646"/>
      <w:r>
        <w:rPr>
          <w:rFonts w:hint="eastAsia" w:ascii="宋体" w:hAnsi="宋体" w:eastAsia="宋体" w:cs="宋体"/>
          <w:b/>
          <w:bCs/>
          <w:kern w:val="44"/>
          <w:sz w:val="24"/>
          <w:szCs w:val="24"/>
        </w:rPr>
        <w:t>第五章  预验收和终验收</w:t>
      </w:r>
      <w:bookmarkEnd w:id="28"/>
    </w:p>
    <w:p w14:paraId="7772C1A2">
      <w:pPr>
        <w:pStyle w:val="112"/>
        <w:spacing w:line="360" w:lineRule="auto"/>
        <w:rPr>
          <w:rFonts w:ascii="宋体" w:hAnsi="宋体" w:cs="宋体"/>
          <w:color w:val="auto"/>
        </w:rPr>
      </w:pPr>
      <w:r>
        <w:rPr>
          <w:rFonts w:hint="eastAsia" w:ascii="宋体" w:hAnsi="宋体" w:cs="宋体"/>
          <w:color w:val="auto"/>
        </w:rPr>
        <w:t>一、验收依据和验收标准</w:t>
      </w:r>
    </w:p>
    <w:p w14:paraId="20331EB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14:paraId="398CF30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2.如果验收过程中，发现招标文件、投标文件、答疑文件、技术交流文件等与技术标书、合同存在差异，原则上以涉及条款中对买方最有利条款为验收依据。</w:t>
      </w:r>
    </w:p>
    <w:p w14:paraId="7B59318C">
      <w:pPr>
        <w:pStyle w:val="112"/>
        <w:spacing w:line="360" w:lineRule="auto"/>
        <w:rPr>
          <w:rFonts w:ascii="宋体" w:hAnsi="宋体" w:cs="宋体"/>
          <w:color w:val="auto"/>
        </w:rPr>
      </w:pPr>
      <w:r>
        <w:rPr>
          <w:rFonts w:hint="eastAsia" w:ascii="宋体" w:hAnsi="宋体" w:cs="宋体"/>
          <w:color w:val="auto"/>
        </w:rPr>
        <w:t>二、检验</w:t>
      </w:r>
    </w:p>
    <w:p w14:paraId="6C5A8F5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60BFF8E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14:paraId="3E37AFC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2.进口货物的检验，卖方需要按照下述要求进行：</w:t>
      </w:r>
    </w:p>
    <w:p w14:paraId="67F82B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14:paraId="666A2CE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应依据合同规定的要求，提供买卖双方达成一致的货物的验收标准和装箱单，作为买方检验的依据。</w:t>
      </w:r>
    </w:p>
    <w:p w14:paraId="7EED70D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C195036">
      <w:pPr>
        <w:pStyle w:val="112"/>
        <w:spacing w:line="360" w:lineRule="auto"/>
        <w:rPr>
          <w:rFonts w:ascii="宋体" w:hAnsi="宋体" w:cs="宋体"/>
          <w:color w:val="auto"/>
        </w:rPr>
      </w:pPr>
      <w:r>
        <w:rPr>
          <w:rFonts w:hint="eastAsia" w:ascii="宋体" w:hAnsi="宋体" w:cs="宋体"/>
          <w:color w:val="auto"/>
        </w:rPr>
        <w:t>三、验收基本条件</w:t>
      </w:r>
    </w:p>
    <w:p w14:paraId="36B94AF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14:paraId="067A60F4">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买卖双方按照合同约定执行了合同，同时货物完成了试运行并经检验合格，则具备验收条件。</w:t>
      </w:r>
    </w:p>
    <w:p w14:paraId="38C690EF">
      <w:pPr>
        <w:numPr>
          <w:ilvl w:val="0"/>
          <w:numId w:val="31"/>
        </w:num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预验收一般条件</w:t>
      </w:r>
    </w:p>
    <w:p w14:paraId="76B51394">
      <w:pPr>
        <w:adjustRightInd w:val="0"/>
        <w:snapToGrid w:val="0"/>
        <w:spacing w:line="360" w:lineRule="auto"/>
        <w:ind w:firstLine="480"/>
        <w:rPr>
          <w:rFonts w:ascii="Segoe UI" w:hAnsi="Segoe UI" w:eastAsia="Segoe UI" w:cs="Segoe UI"/>
          <w:color w:val="0F1115"/>
          <w:sz w:val="24"/>
          <w:szCs w:val="24"/>
          <w:highlight w:val="none"/>
          <w:shd w:val="clear" w:color="auto" w:fill="FFFFFF"/>
        </w:rPr>
      </w:pPr>
      <w:r>
        <w:rPr>
          <w:rFonts w:hint="eastAsia" w:ascii="宋体" w:hAnsi="宋体" w:eastAsia="宋体" w:cs="宋体"/>
          <w:sz w:val="24"/>
          <w:szCs w:val="24"/>
          <w:highlight w:val="none"/>
        </w:rPr>
        <w:t>1.1</w:t>
      </w:r>
      <w:r>
        <w:rPr>
          <w:rFonts w:ascii="Segoe UI" w:hAnsi="Segoe UI" w:eastAsia="Segoe UI" w:cs="Segoe UI"/>
          <w:color w:val="0F1115"/>
          <w:sz w:val="24"/>
          <w:szCs w:val="24"/>
          <w:highlight w:val="none"/>
          <w:shd w:val="clear" w:color="auto" w:fill="FFFFFF"/>
        </w:rPr>
        <w:t>设备的设计、制造、组装和基本功能符合双方签订的技术协议要求。</w:t>
      </w:r>
    </w:p>
    <w:p w14:paraId="3368B1C3">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1.2设备运行测试前，厂家提供的技术文件齐全、准确，并符合协议要求。</w:t>
      </w:r>
    </w:p>
    <w:p w14:paraId="6D14A2E1">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1.3设备外观无划伤、锈蚀、油漆均匀无脱落。</w:t>
      </w:r>
    </w:p>
    <w:p w14:paraId="05D22874">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1.4结构件焊接牢固，无变形，尺寸符合图纸要求。</w:t>
      </w:r>
    </w:p>
    <w:p w14:paraId="4788E471">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1.5所有标牌（型号、铭牌、安全警示牌）清晰、牢固、安装位置正确。</w:t>
      </w:r>
    </w:p>
    <w:p w14:paraId="586D8F72">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1.6各机械结构、气动元件等安装牢固、正确，运行平滑，无卡滞，无漏气现象。</w:t>
      </w:r>
    </w:p>
    <w:p w14:paraId="35BC2715">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1.7所有螺栓、紧固件均已按要求拧紧，有防松措施。</w:t>
      </w:r>
    </w:p>
    <w:p w14:paraId="3FA58CD1">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1.8气管、电缆布置合理、整齐、有保护套管，接地可靠，走向美观且便于维修。</w:t>
      </w:r>
    </w:p>
    <w:p w14:paraId="04DCDAC5">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1.9传感器、限位开关等位置准确，安装牢固。</w:t>
      </w:r>
    </w:p>
    <w:p w14:paraId="7E7CB1F0">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1.10设备空载状态下测试：</w:t>
      </w:r>
    </w:p>
    <w:p w14:paraId="58648E98">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1.10.1急停按钮等安全系统有效，功能正常。</w:t>
      </w:r>
    </w:p>
    <w:p w14:paraId="6925308D">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1.10.2逐一测试各机构单元运行平稳、定位准确，动作顺序正确。</w:t>
      </w:r>
    </w:p>
    <w:p w14:paraId="5CEC1836">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1.10.3在自动运行模式下，设备能按预定流程完成一个完整的循环（无工件），各机构动作连贯、无干涉。</w:t>
      </w:r>
    </w:p>
    <w:p w14:paraId="6C1DF7CC">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1.10.4HMI人机界面操作响应灵敏，画面布局合理，参数设置、报警显示等功能正常。</w:t>
      </w:r>
    </w:p>
    <w:p w14:paraId="679EF89B">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1.11设备负载状态下测试</w:t>
      </w:r>
    </w:p>
    <w:p w14:paraId="00208547">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1.11.1保持架、钢球上料顺畅，定位准确、可靠。</w:t>
      </w:r>
    </w:p>
    <w:p w14:paraId="67A3EAEE">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1.11.2连续运行状态下，装配不合格率符合技术要求。</w:t>
      </w:r>
    </w:p>
    <w:p w14:paraId="6BDCADC2">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1.11.3装配后的保持架和钢球，表面无压痕、划伤等损失。</w:t>
      </w:r>
    </w:p>
    <w:p w14:paraId="2BB5642E">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1.11.4设备节拍满足技术要求。</w:t>
      </w:r>
    </w:p>
    <w:p w14:paraId="48F03D67">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1.11.5设备连续无故障运行至少 [例如：2-4小时]，记录期间的任何停机、报警及原因。</w:t>
      </w:r>
    </w:p>
    <w:p w14:paraId="60C7B51B">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1.12PLC与HMI程序版本正确，功能完整。</w:t>
      </w:r>
    </w:p>
    <w:p w14:paraId="3B442EBF">
      <w:pPr>
        <w:adjustRightInd w:val="0"/>
        <w:snapToGrid w:val="0"/>
        <w:spacing w:line="360" w:lineRule="auto"/>
        <w:ind w:firstLine="480"/>
        <w:rPr>
          <w:rFonts w:ascii="宋体" w:hAnsi="宋体" w:eastAsia="宋体" w:cs="宋体"/>
          <w:color w:val="0F1115"/>
          <w:sz w:val="24"/>
          <w:szCs w:val="24"/>
          <w:highlight w:val="none"/>
          <w:shd w:val="clear" w:color="auto" w:fill="FFFFFF"/>
        </w:rPr>
      </w:pPr>
      <w:r>
        <w:rPr>
          <w:rFonts w:hint="eastAsia" w:ascii="宋体" w:hAnsi="宋体" w:eastAsia="宋体" w:cs="宋体"/>
          <w:color w:val="0F1115"/>
          <w:sz w:val="24"/>
          <w:szCs w:val="24"/>
          <w:highlight w:val="none"/>
          <w:shd w:val="clear" w:color="auto" w:fill="FFFFFF"/>
        </w:rPr>
        <w:t>1.13设备具备必要的计数功能（总产量、良品数、不良品数）。</w:t>
      </w:r>
    </w:p>
    <w:p w14:paraId="67B209FB">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2.终验收一般条件</w:t>
      </w:r>
    </w:p>
    <w:p w14:paraId="309DE5B2">
      <w:pPr>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2.1</w:t>
      </w:r>
      <w:r>
        <w:rPr>
          <w:rFonts w:hint="eastAsia" w:ascii="宋体" w:hAnsi="宋体" w:eastAsia="宋体" w:cs="宋体"/>
          <w:sz w:val="24"/>
          <w:szCs w:val="24"/>
          <w:highlight w:val="none"/>
        </w:rPr>
        <w:t>设备已完成硬件与软件系统的整体功能测试与调试，且功能正常。</w:t>
      </w:r>
    </w:p>
    <w:p w14:paraId="50A360FD">
      <w:pPr>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2.2</w:t>
      </w:r>
      <w:r>
        <w:rPr>
          <w:rFonts w:hint="eastAsia" w:ascii="宋体" w:hAnsi="宋体" w:eastAsia="宋体" w:cs="宋体"/>
          <w:sz w:val="24"/>
          <w:szCs w:val="24"/>
          <w:highlight w:val="none"/>
        </w:rPr>
        <w:t>通过了</w:t>
      </w:r>
      <w:r>
        <w:rPr>
          <w:rFonts w:ascii="宋体" w:hAnsi="宋体" w:eastAsia="宋体" w:cs="宋体"/>
          <w:sz w:val="24"/>
          <w:szCs w:val="24"/>
          <w:highlight w:val="none"/>
        </w:rPr>
        <w:t>预验收而且没有出现新的质量问题，或者满足预验收条款。</w:t>
      </w:r>
    </w:p>
    <w:p w14:paraId="631241E2">
      <w:pPr>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2.3货物安装调试完毕，并至少经过了验收要求的负荷试运行</w:t>
      </w:r>
      <w:r>
        <w:rPr>
          <w:rFonts w:hint="eastAsia" w:ascii="宋体" w:hAnsi="宋体" w:eastAsia="宋体" w:cs="宋体"/>
          <w:sz w:val="24"/>
          <w:szCs w:val="24"/>
          <w:highlight w:val="none"/>
        </w:rPr>
        <w:t>2天。</w:t>
      </w:r>
    </w:p>
    <w:p w14:paraId="6B675EC2">
      <w:pPr>
        <w:spacing w:line="360" w:lineRule="auto"/>
        <w:ind w:firstLine="480" w:firstLineChars="200"/>
        <w:rPr>
          <w:rFonts w:ascii="宋体" w:hAnsi="宋体" w:eastAsia="宋体" w:cs="宋体"/>
          <w:sz w:val="24"/>
          <w:szCs w:val="24"/>
        </w:rPr>
      </w:pPr>
      <w:r>
        <w:rPr>
          <w:rFonts w:ascii="宋体" w:hAnsi="宋体" w:eastAsia="宋体" w:cs="宋体"/>
          <w:sz w:val="24"/>
          <w:szCs w:val="24"/>
        </w:rPr>
        <w:t>2.4货物正常运行时，噪声等环境影响因素满足国家和当地环保主管部门规定，安全措施落实、有效。</w:t>
      </w:r>
    </w:p>
    <w:p w14:paraId="4A514B57">
      <w:pPr>
        <w:spacing w:line="360" w:lineRule="auto"/>
        <w:ind w:firstLine="480" w:firstLineChars="200"/>
        <w:rPr>
          <w:rFonts w:ascii="宋体" w:hAnsi="宋体" w:eastAsia="宋体" w:cs="宋体"/>
          <w:sz w:val="24"/>
          <w:szCs w:val="24"/>
        </w:rPr>
      </w:pPr>
      <w:r>
        <w:rPr>
          <w:rFonts w:ascii="宋体" w:hAnsi="宋体" w:eastAsia="宋体" w:cs="宋体"/>
          <w:sz w:val="24"/>
          <w:szCs w:val="24"/>
        </w:rPr>
        <w:t>2.5计量仪器、仪表配套合理，采用中国的法定计量单位，计量准确、灵敏可靠。保证设计指标和仪器说明书的参数的实现。</w:t>
      </w:r>
    </w:p>
    <w:p w14:paraId="69B8298C">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6</w:t>
      </w:r>
      <w:r>
        <w:rPr>
          <w:rFonts w:ascii="宋体" w:hAnsi="宋体" w:eastAsia="宋体" w:cs="宋体"/>
          <w:sz w:val="24"/>
          <w:szCs w:val="24"/>
        </w:rPr>
        <w:t>货物质量、技术性能等，达到签定的技术协议书和合同规定的终验收标准。</w:t>
      </w:r>
    </w:p>
    <w:p w14:paraId="13077E4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2.7首次计量由乙方负责，由省级或以上的计量机构计量，按照系统约束的性能指标进行计量检定，合格后方可进行终验收。</w:t>
      </w:r>
    </w:p>
    <w:p w14:paraId="7A916CF1">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终验收技术要求</w:t>
      </w:r>
    </w:p>
    <w:p w14:paraId="2C2C40C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.1设备安装调试完成后，再需要经过一个考核期的</w:t>
      </w:r>
      <w:r>
        <w:rPr>
          <w:rFonts w:hint="eastAsia" w:ascii="宋体" w:hAnsi="宋体" w:eastAsia="宋体" w:cs="宋体"/>
          <w:sz w:val="24"/>
          <w:szCs w:val="24"/>
        </w:rPr>
        <w:t>运行测试使用</w:t>
      </w:r>
      <w:r>
        <w:rPr>
          <w:rFonts w:ascii="宋体" w:hAnsi="宋体" w:eastAsia="宋体" w:cs="宋体"/>
          <w:sz w:val="24"/>
          <w:szCs w:val="24"/>
        </w:rPr>
        <w:t>，考核整个系统的</w:t>
      </w:r>
      <w:r>
        <w:rPr>
          <w:rFonts w:hint="eastAsia" w:ascii="宋体" w:hAnsi="宋体" w:eastAsia="宋体" w:cs="宋体"/>
          <w:sz w:val="24"/>
          <w:szCs w:val="24"/>
        </w:rPr>
        <w:t>软硬件运行的</w:t>
      </w:r>
      <w:r>
        <w:rPr>
          <w:rFonts w:hint="eastAsia" w:ascii="宋体" w:hAnsi="宋体" w:eastAsia="宋体" w:cs="宋体"/>
          <w:sz w:val="24"/>
          <w:szCs w:val="24"/>
          <w:highlight w:val="none"/>
        </w:rPr>
        <w:t>可靠性。</w:t>
      </w:r>
      <w:r>
        <w:rPr>
          <w:rFonts w:ascii="宋体" w:hAnsi="宋体" w:eastAsia="宋体" w:cs="宋体"/>
          <w:sz w:val="24"/>
          <w:szCs w:val="24"/>
          <w:highlight w:val="none"/>
        </w:rPr>
        <w:t>考核期不少于</w:t>
      </w:r>
      <w:r>
        <w:rPr>
          <w:rFonts w:hint="eastAsia" w:ascii="宋体" w:hAnsi="宋体" w:eastAsia="宋体" w:cs="宋体"/>
          <w:sz w:val="24"/>
          <w:szCs w:val="24"/>
          <w:highlight w:val="none"/>
        </w:rPr>
        <w:t>15</w:t>
      </w:r>
      <w:r>
        <w:rPr>
          <w:rFonts w:ascii="宋体" w:hAnsi="宋体" w:eastAsia="宋体" w:cs="宋体"/>
          <w:sz w:val="24"/>
          <w:szCs w:val="24"/>
          <w:highlight w:val="none"/>
        </w:rPr>
        <w:t>个工作日，考核期间不出现</w:t>
      </w:r>
      <w:r>
        <w:rPr>
          <w:rFonts w:ascii="宋体" w:hAnsi="宋体" w:eastAsia="宋体" w:cs="宋体"/>
          <w:sz w:val="24"/>
          <w:szCs w:val="24"/>
        </w:rPr>
        <w:t>影响设备使用性能的重要故障或重要部件损坏</w:t>
      </w:r>
      <w:r>
        <w:rPr>
          <w:rFonts w:hint="eastAsia" w:ascii="宋体" w:hAnsi="宋体" w:eastAsia="宋体" w:cs="宋体"/>
          <w:sz w:val="24"/>
          <w:szCs w:val="24"/>
        </w:rPr>
        <w:t>，</w:t>
      </w:r>
      <w:r>
        <w:rPr>
          <w:rFonts w:ascii="宋体" w:hAnsi="宋体" w:eastAsia="宋体" w:cs="宋体"/>
          <w:sz w:val="24"/>
          <w:szCs w:val="24"/>
        </w:rPr>
        <w:t>考核期满足要求后进行最终验收</w:t>
      </w:r>
      <w:r>
        <w:rPr>
          <w:rFonts w:hint="eastAsia" w:ascii="宋体" w:hAnsi="宋体" w:eastAsia="宋体" w:cs="宋体"/>
          <w:sz w:val="24"/>
          <w:szCs w:val="24"/>
        </w:rPr>
        <w:t>。</w:t>
      </w:r>
    </w:p>
    <w:p w14:paraId="2D55ED01">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3.2由买方和卖方共同组织设备的终验收，所提供设备必须满足本技术协议</w:t>
      </w:r>
      <w:r>
        <w:rPr>
          <w:rFonts w:hint="eastAsia" w:ascii="宋体" w:hAnsi="宋体" w:eastAsia="宋体" w:cs="宋体"/>
          <w:sz w:val="24"/>
          <w:szCs w:val="24"/>
        </w:rPr>
        <w:t>及合同约定的</w:t>
      </w:r>
      <w:r>
        <w:rPr>
          <w:rFonts w:ascii="宋体" w:hAnsi="宋体" w:eastAsia="宋体" w:cs="宋体"/>
          <w:sz w:val="24"/>
          <w:szCs w:val="24"/>
        </w:rPr>
        <w:t>全部技术要求</w:t>
      </w:r>
      <w:r>
        <w:rPr>
          <w:rFonts w:hint="eastAsia" w:ascii="宋体" w:hAnsi="宋体" w:eastAsia="宋体" w:cs="宋体"/>
          <w:sz w:val="24"/>
          <w:szCs w:val="24"/>
        </w:rPr>
        <w:t>。</w:t>
      </w:r>
    </w:p>
    <w:p w14:paraId="001AA67D">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3.3由买方和卖方共同编制终验收报告并签字确认</w:t>
      </w:r>
      <w:r>
        <w:rPr>
          <w:rFonts w:hint="eastAsia" w:ascii="宋体" w:hAnsi="宋体" w:eastAsia="宋体" w:cs="宋体"/>
          <w:sz w:val="24"/>
          <w:szCs w:val="24"/>
        </w:rPr>
        <w:t>。</w:t>
      </w:r>
    </w:p>
    <w:p w14:paraId="2458BF07">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3.4终验收期间，</w:t>
      </w:r>
      <w:r>
        <w:rPr>
          <w:rFonts w:hint="eastAsia" w:ascii="宋体" w:hAnsi="宋体" w:eastAsia="宋体" w:cs="宋体"/>
          <w:sz w:val="24"/>
          <w:szCs w:val="24"/>
        </w:rPr>
        <w:t>卖方</w:t>
      </w:r>
      <w:r>
        <w:rPr>
          <w:rFonts w:ascii="宋体" w:hAnsi="宋体" w:eastAsia="宋体" w:cs="宋体"/>
          <w:sz w:val="24"/>
          <w:szCs w:val="24"/>
        </w:rPr>
        <w:t>自行负责交通、食宿、保险等费用</w:t>
      </w:r>
      <w:r>
        <w:rPr>
          <w:rFonts w:hint="eastAsia" w:ascii="宋体" w:hAnsi="宋体" w:eastAsia="宋体" w:cs="宋体"/>
          <w:sz w:val="24"/>
          <w:szCs w:val="24"/>
        </w:rPr>
        <w:t>。</w:t>
      </w:r>
    </w:p>
    <w:p w14:paraId="49FC68D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3.5最终验收以双方签订的合同和条件为准，逐项进行最终验收</w:t>
      </w:r>
      <w:r>
        <w:rPr>
          <w:rFonts w:hint="eastAsia" w:ascii="宋体" w:hAnsi="宋体" w:eastAsia="宋体" w:cs="宋体"/>
          <w:sz w:val="24"/>
          <w:szCs w:val="24"/>
        </w:rPr>
        <w:t>。</w:t>
      </w:r>
    </w:p>
    <w:p w14:paraId="3F9E998F">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3.6对于终验收买方提出的问题，卖方应在15个工作日内完成整改。</w:t>
      </w:r>
    </w:p>
    <w:p w14:paraId="7218B66D">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3.7终验收通过后买卖双方共同签署终验收报告，并移交、核对全部供货范围内物品。</w:t>
      </w:r>
    </w:p>
    <w:p w14:paraId="4683D96B">
      <w:pPr>
        <w:adjustRightInd w:val="0"/>
        <w:snapToGrid w:val="0"/>
        <w:spacing w:line="360" w:lineRule="auto"/>
        <w:rPr>
          <w:rFonts w:ascii="宋体" w:hAnsi="宋体" w:eastAsia="宋体" w:cs="宋体"/>
          <w:sz w:val="24"/>
          <w:szCs w:val="24"/>
        </w:rPr>
      </w:pPr>
    </w:p>
    <w:p w14:paraId="03EDB577">
      <w:pPr>
        <w:pStyle w:val="14"/>
        <w:spacing w:line="360" w:lineRule="auto"/>
        <w:rPr>
          <w:rFonts w:hAnsi="宋体" w:eastAsia="宋体" w:cs="宋体"/>
          <w:sz w:val="24"/>
          <w:szCs w:val="24"/>
        </w:rPr>
      </w:pPr>
    </w:p>
    <w:p w14:paraId="0BDACB16">
      <w:pPr>
        <w:pStyle w:val="114"/>
        <w:numPr>
          <w:ilvl w:val="0"/>
          <w:numId w:val="32"/>
        </w:numPr>
        <w:spacing w:line="360" w:lineRule="auto"/>
        <w:outlineLvl w:val="1"/>
        <w:rPr>
          <w:rFonts w:ascii="宋体" w:hAnsi="宋体" w:eastAsia="宋体" w:cs="宋体"/>
          <w:b/>
          <w:bCs w:val="0"/>
          <w:iCs/>
          <w:color w:val="auto"/>
          <w:sz w:val="24"/>
        </w:rPr>
      </w:pPr>
      <w:bookmarkStart w:id="29" w:name="_Toc131008493"/>
      <w:bookmarkStart w:id="30" w:name="_Toc465187647"/>
      <w:bookmarkStart w:id="31" w:name="_Toc30824"/>
      <w:r>
        <w:rPr>
          <w:rFonts w:hint="eastAsia" w:ascii="宋体" w:hAnsi="宋体" w:eastAsia="宋体" w:cs="宋体"/>
          <w:b/>
          <w:bCs w:val="0"/>
          <w:iCs/>
          <w:color w:val="auto"/>
          <w:sz w:val="24"/>
        </w:rPr>
        <w:t xml:space="preserve"> 投标技术文件一般要求</w:t>
      </w:r>
      <w:bookmarkEnd w:id="29"/>
      <w:bookmarkEnd w:id="30"/>
      <w:bookmarkEnd w:id="31"/>
    </w:p>
    <w:p w14:paraId="776F96A8">
      <w:pPr>
        <w:pStyle w:val="112"/>
        <w:spacing w:line="360" w:lineRule="auto"/>
        <w:rPr>
          <w:rFonts w:ascii="宋体" w:hAnsi="宋体" w:cs="宋体"/>
          <w:color w:val="auto"/>
        </w:rPr>
      </w:pPr>
      <w:r>
        <w:rPr>
          <w:rFonts w:hint="eastAsia" w:ascii="宋体" w:hAnsi="宋体" w:cs="宋体"/>
          <w:color w:val="auto"/>
        </w:rPr>
        <w:t>一、技术文件一般内容要求</w:t>
      </w:r>
    </w:p>
    <w:p w14:paraId="5D413F7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5412A78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1258B9F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33664C0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718F8C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307F669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49FFAD50">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☆6.1备品备件、易损件和专用耗材明细表：</w:t>
      </w:r>
    </w:p>
    <w:p w14:paraId="32B38D57">
      <w:pPr>
        <w:adjustRightInd w:val="0"/>
        <w:snapToGrid w:val="0"/>
        <w:spacing w:line="360" w:lineRule="auto"/>
        <w:ind w:firstLine="482" w:firstLineChars="200"/>
        <w:rPr>
          <w:rFonts w:ascii="宋体" w:hAnsi="宋体" w:eastAsia="宋体" w:cs="宋体"/>
          <w:b/>
          <w:bCs/>
          <w:sz w:val="24"/>
          <w:szCs w:val="24"/>
          <w:highlight w:val="yellow"/>
        </w:rPr>
      </w:pPr>
      <w:r>
        <w:rPr>
          <w:rFonts w:hint="eastAsia" w:ascii="宋体" w:hAnsi="宋体" w:eastAsia="宋体" w:cs="宋体"/>
          <w:b/>
          <w:bCs/>
          <w:sz w:val="24"/>
          <w:szCs w:val="24"/>
          <w:highlight w:val="yellow"/>
        </w:rPr>
        <w:t>必须提供本项目生命周期内所涉及到所有备品备件、易损件和专用耗材明细表，以便于质保期外，招标人能够根据清单快速找到同规格产品。</w:t>
      </w:r>
    </w:p>
    <w:p w14:paraId="18DAF890">
      <w:pPr>
        <w:adjustRightInd w:val="0"/>
        <w:snapToGrid w:val="0"/>
        <w:spacing w:line="420" w:lineRule="exact"/>
        <w:ind w:firstLine="1890" w:firstLineChars="900"/>
        <w:rPr>
          <w:rFonts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0"/>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6EAA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446351F5">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705" w:type="dxa"/>
          </w:tcPr>
          <w:p w14:paraId="3C172F9C">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010" w:type="dxa"/>
          </w:tcPr>
          <w:p w14:paraId="321C10AF">
            <w:pPr>
              <w:adjustRightInd w:val="0"/>
              <w:snapToGrid w:val="0"/>
              <w:spacing w:line="360" w:lineRule="exact"/>
              <w:jc w:val="center"/>
              <w:rPr>
                <w:rFonts w:ascii="宋体" w:hAnsi="宋体" w:eastAsia="宋体" w:cs="宋体"/>
              </w:rPr>
            </w:pPr>
            <w:r>
              <w:rPr>
                <w:rFonts w:hint="eastAsia" w:ascii="宋体" w:hAnsi="宋体" w:eastAsia="宋体" w:cs="宋体"/>
              </w:rPr>
              <w:t>品牌</w:t>
            </w:r>
          </w:p>
        </w:tc>
        <w:tc>
          <w:tcPr>
            <w:tcW w:w="1558" w:type="dxa"/>
          </w:tcPr>
          <w:p w14:paraId="52BB4381">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93" w:type="dxa"/>
          </w:tcPr>
          <w:p w14:paraId="0195223A">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93" w:type="dxa"/>
          </w:tcPr>
          <w:p w14:paraId="5CF7E05A">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2461" w:type="dxa"/>
          </w:tcPr>
          <w:p w14:paraId="6C855C89">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720E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FBD127B">
            <w:pPr>
              <w:adjustRightInd w:val="0"/>
              <w:snapToGrid w:val="0"/>
              <w:spacing w:line="360" w:lineRule="exact"/>
              <w:jc w:val="center"/>
              <w:rPr>
                <w:rFonts w:ascii="宋体" w:hAnsi="宋体" w:eastAsia="宋体" w:cs="宋体"/>
              </w:rPr>
            </w:pPr>
          </w:p>
        </w:tc>
        <w:tc>
          <w:tcPr>
            <w:tcW w:w="1705" w:type="dxa"/>
          </w:tcPr>
          <w:p w14:paraId="041B6BEC">
            <w:pPr>
              <w:adjustRightInd w:val="0"/>
              <w:snapToGrid w:val="0"/>
              <w:spacing w:line="360" w:lineRule="exact"/>
              <w:rPr>
                <w:rFonts w:ascii="宋体" w:hAnsi="宋体" w:eastAsia="宋体" w:cs="宋体"/>
              </w:rPr>
            </w:pPr>
          </w:p>
        </w:tc>
        <w:tc>
          <w:tcPr>
            <w:tcW w:w="1010" w:type="dxa"/>
          </w:tcPr>
          <w:p w14:paraId="6C3341DF">
            <w:pPr>
              <w:adjustRightInd w:val="0"/>
              <w:snapToGrid w:val="0"/>
              <w:spacing w:line="360" w:lineRule="exact"/>
              <w:rPr>
                <w:rFonts w:ascii="宋体" w:hAnsi="宋体" w:eastAsia="宋体" w:cs="宋体"/>
              </w:rPr>
            </w:pPr>
          </w:p>
        </w:tc>
        <w:tc>
          <w:tcPr>
            <w:tcW w:w="1558" w:type="dxa"/>
          </w:tcPr>
          <w:p w14:paraId="09A36E0E">
            <w:pPr>
              <w:adjustRightInd w:val="0"/>
              <w:snapToGrid w:val="0"/>
              <w:spacing w:line="360" w:lineRule="exact"/>
              <w:jc w:val="center"/>
              <w:rPr>
                <w:rFonts w:ascii="宋体" w:hAnsi="宋体" w:eastAsia="宋体" w:cs="宋体"/>
              </w:rPr>
            </w:pPr>
          </w:p>
        </w:tc>
        <w:tc>
          <w:tcPr>
            <w:tcW w:w="793" w:type="dxa"/>
          </w:tcPr>
          <w:p w14:paraId="79108151">
            <w:pPr>
              <w:adjustRightInd w:val="0"/>
              <w:snapToGrid w:val="0"/>
              <w:spacing w:line="360" w:lineRule="exact"/>
              <w:jc w:val="center"/>
              <w:rPr>
                <w:rFonts w:ascii="宋体" w:hAnsi="宋体" w:eastAsia="宋体" w:cs="宋体"/>
              </w:rPr>
            </w:pPr>
          </w:p>
        </w:tc>
        <w:tc>
          <w:tcPr>
            <w:tcW w:w="793" w:type="dxa"/>
          </w:tcPr>
          <w:p w14:paraId="2CB01137">
            <w:pPr>
              <w:adjustRightInd w:val="0"/>
              <w:snapToGrid w:val="0"/>
              <w:spacing w:line="360" w:lineRule="exact"/>
              <w:jc w:val="center"/>
              <w:rPr>
                <w:rFonts w:ascii="宋体" w:hAnsi="宋体" w:eastAsia="宋体" w:cs="宋体"/>
              </w:rPr>
            </w:pPr>
          </w:p>
        </w:tc>
        <w:tc>
          <w:tcPr>
            <w:tcW w:w="2461" w:type="dxa"/>
          </w:tcPr>
          <w:p w14:paraId="5DE9CA42">
            <w:pPr>
              <w:adjustRightInd w:val="0"/>
              <w:snapToGrid w:val="0"/>
              <w:spacing w:line="360" w:lineRule="exact"/>
              <w:rPr>
                <w:rFonts w:ascii="宋体" w:hAnsi="宋体" w:eastAsia="宋体" w:cs="宋体"/>
              </w:rPr>
            </w:pPr>
          </w:p>
        </w:tc>
      </w:tr>
      <w:tr w14:paraId="2B2A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9246A2F">
            <w:pPr>
              <w:adjustRightInd w:val="0"/>
              <w:snapToGrid w:val="0"/>
              <w:spacing w:line="360" w:lineRule="exact"/>
              <w:jc w:val="center"/>
              <w:rPr>
                <w:rFonts w:ascii="宋体" w:hAnsi="宋体" w:eastAsia="宋体" w:cs="宋体"/>
              </w:rPr>
            </w:pPr>
          </w:p>
        </w:tc>
        <w:tc>
          <w:tcPr>
            <w:tcW w:w="1705" w:type="dxa"/>
          </w:tcPr>
          <w:p w14:paraId="6B8E1E55">
            <w:pPr>
              <w:adjustRightInd w:val="0"/>
              <w:snapToGrid w:val="0"/>
              <w:spacing w:line="360" w:lineRule="exact"/>
              <w:rPr>
                <w:rFonts w:ascii="宋体" w:hAnsi="宋体" w:eastAsia="宋体" w:cs="宋体"/>
              </w:rPr>
            </w:pPr>
          </w:p>
        </w:tc>
        <w:tc>
          <w:tcPr>
            <w:tcW w:w="1010" w:type="dxa"/>
          </w:tcPr>
          <w:p w14:paraId="5A3312C5">
            <w:pPr>
              <w:adjustRightInd w:val="0"/>
              <w:snapToGrid w:val="0"/>
              <w:spacing w:line="360" w:lineRule="exact"/>
              <w:rPr>
                <w:rFonts w:ascii="宋体" w:hAnsi="宋体" w:eastAsia="宋体" w:cs="宋体"/>
              </w:rPr>
            </w:pPr>
          </w:p>
        </w:tc>
        <w:tc>
          <w:tcPr>
            <w:tcW w:w="1558" w:type="dxa"/>
          </w:tcPr>
          <w:p w14:paraId="32F2B0E0">
            <w:pPr>
              <w:adjustRightInd w:val="0"/>
              <w:snapToGrid w:val="0"/>
              <w:spacing w:line="360" w:lineRule="exact"/>
              <w:jc w:val="center"/>
              <w:rPr>
                <w:rFonts w:ascii="宋体" w:hAnsi="宋体" w:eastAsia="宋体" w:cs="宋体"/>
              </w:rPr>
            </w:pPr>
          </w:p>
        </w:tc>
        <w:tc>
          <w:tcPr>
            <w:tcW w:w="793" w:type="dxa"/>
          </w:tcPr>
          <w:p w14:paraId="46511F48">
            <w:pPr>
              <w:adjustRightInd w:val="0"/>
              <w:snapToGrid w:val="0"/>
              <w:spacing w:line="360" w:lineRule="exact"/>
              <w:jc w:val="center"/>
              <w:rPr>
                <w:rFonts w:ascii="宋体" w:hAnsi="宋体" w:eastAsia="宋体" w:cs="宋体"/>
              </w:rPr>
            </w:pPr>
          </w:p>
        </w:tc>
        <w:tc>
          <w:tcPr>
            <w:tcW w:w="793" w:type="dxa"/>
          </w:tcPr>
          <w:p w14:paraId="22318042">
            <w:pPr>
              <w:adjustRightInd w:val="0"/>
              <w:snapToGrid w:val="0"/>
              <w:spacing w:line="360" w:lineRule="exact"/>
              <w:jc w:val="center"/>
              <w:rPr>
                <w:rFonts w:ascii="宋体" w:hAnsi="宋体" w:eastAsia="宋体" w:cs="宋体"/>
              </w:rPr>
            </w:pPr>
          </w:p>
        </w:tc>
        <w:tc>
          <w:tcPr>
            <w:tcW w:w="2461" w:type="dxa"/>
          </w:tcPr>
          <w:p w14:paraId="07D43E4A">
            <w:pPr>
              <w:adjustRightInd w:val="0"/>
              <w:snapToGrid w:val="0"/>
              <w:spacing w:line="360" w:lineRule="exact"/>
              <w:rPr>
                <w:rFonts w:ascii="宋体" w:hAnsi="宋体" w:eastAsia="宋体" w:cs="宋体"/>
              </w:rPr>
            </w:pPr>
          </w:p>
        </w:tc>
      </w:tr>
      <w:tr w14:paraId="53F1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A26E59A">
            <w:pPr>
              <w:adjustRightInd w:val="0"/>
              <w:snapToGrid w:val="0"/>
              <w:spacing w:line="360" w:lineRule="exact"/>
              <w:jc w:val="center"/>
              <w:rPr>
                <w:rFonts w:ascii="宋体" w:hAnsi="宋体" w:eastAsia="宋体" w:cs="宋体"/>
              </w:rPr>
            </w:pPr>
          </w:p>
        </w:tc>
        <w:tc>
          <w:tcPr>
            <w:tcW w:w="1705" w:type="dxa"/>
          </w:tcPr>
          <w:p w14:paraId="4F5C3F80">
            <w:pPr>
              <w:adjustRightInd w:val="0"/>
              <w:snapToGrid w:val="0"/>
              <w:spacing w:line="360" w:lineRule="exact"/>
              <w:rPr>
                <w:rFonts w:ascii="宋体" w:hAnsi="宋体" w:eastAsia="宋体" w:cs="宋体"/>
              </w:rPr>
            </w:pPr>
          </w:p>
        </w:tc>
        <w:tc>
          <w:tcPr>
            <w:tcW w:w="1010" w:type="dxa"/>
          </w:tcPr>
          <w:p w14:paraId="3351606D">
            <w:pPr>
              <w:adjustRightInd w:val="0"/>
              <w:snapToGrid w:val="0"/>
              <w:spacing w:line="360" w:lineRule="exact"/>
              <w:rPr>
                <w:rFonts w:ascii="宋体" w:hAnsi="宋体" w:eastAsia="宋体" w:cs="宋体"/>
              </w:rPr>
            </w:pPr>
          </w:p>
        </w:tc>
        <w:tc>
          <w:tcPr>
            <w:tcW w:w="1558" w:type="dxa"/>
          </w:tcPr>
          <w:p w14:paraId="5080E155">
            <w:pPr>
              <w:adjustRightInd w:val="0"/>
              <w:snapToGrid w:val="0"/>
              <w:spacing w:line="360" w:lineRule="exact"/>
              <w:jc w:val="center"/>
              <w:rPr>
                <w:rFonts w:ascii="宋体" w:hAnsi="宋体" w:eastAsia="宋体" w:cs="宋体"/>
              </w:rPr>
            </w:pPr>
          </w:p>
        </w:tc>
        <w:tc>
          <w:tcPr>
            <w:tcW w:w="793" w:type="dxa"/>
          </w:tcPr>
          <w:p w14:paraId="7CA6FF6A">
            <w:pPr>
              <w:adjustRightInd w:val="0"/>
              <w:snapToGrid w:val="0"/>
              <w:spacing w:line="360" w:lineRule="exact"/>
              <w:jc w:val="center"/>
              <w:rPr>
                <w:rFonts w:ascii="宋体" w:hAnsi="宋体" w:eastAsia="宋体" w:cs="宋体"/>
              </w:rPr>
            </w:pPr>
          </w:p>
        </w:tc>
        <w:tc>
          <w:tcPr>
            <w:tcW w:w="793" w:type="dxa"/>
          </w:tcPr>
          <w:p w14:paraId="4689DBD3">
            <w:pPr>
              <w:adjustRightInd w:val="0"/>
              <w:snapToGrid w:val="0"/>
              <w:spacing w:line="360" w:lineRule="exact"/>
              <w:jc w:val="center"/>
              <w:rPr>
                <w:rFonts w:ascii="宋体" w:hAnsi="宋体" w:eastAsia="宋体" w:cs="宋体"/>
              </w:rPr>
            </w:pPr>
          </w:p>
        </w:tc>
        <w:tc>
          <w:tcPr>
            <w:tcW w:w="2461" w:type="dxa"/>
          </w:tcPr>
          <w:p w14:paraId="75591BA2">
            <w:pPr>
              <w:adjustRightInd w:val="0"/>
              <w:snapToGrid w:val="0"/>
              <w:spacing w:line="360" w:lineRule="exact"/>
              <w:rPr>
                <w:rFonts w:ascii="宋体" w:hAnsi="宋体" w:eastAsia="宋体" w:cs="宋体"/>
              </w:rPr>
            </w:pPr>
          </w:p>
        </w:tc>
      </w:tr>
      <w:tr w14:paraId="2DBB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0BE483A8">
            <w:pPr>
              <w:adjustRightInd w:val="0"/>
              <w:snapToGrid w:val="0"/>
              <w:spacing w:line="360" w:lineRule="exact"/>
              <w:jc w:val="center"/>
              <w:rPr>
                <w:rFonts w:ascii="宋体" w:hAnsi="宋体" w:eastAsia="宋体" w:cs="宋体"/>
              </w:rPr>
            </w:pPr>
          </w:p>
        </w:tc>
        <w:tc>
          <w:tcPr>
            <w:tcW w:w="1705" w:type="dxa"/>
          </w:tcPr>
          <w:p w14:paraId="0EBAD7C3">
            <w:pPr>
              <w:adjustRightInd w:val="0"/>
              <w:snapToGrid w:val="0"/>
              <w:spacing w:line="360" w:lineRule="exact"/>
              <w:rPr>
                <w:rFonts w:ascii="宋体" w:hAnsi="宋体" w:eastAsia="宋体" w:cs="宋体"/>
              </w:rPr>
            </w:pPr>
          </w:p>
        </w:tc>
        <w:tc>
          <w:tcPr>
            <w:tcW w:w="1010" w:type="dxa"/>
          </w:tcPr>
          <w:p w14:paraId="23B50FE2">
            <w:pPr>
              <w:adjustRightInd w:val="0"/>
              <w:snapToGrid w:val="0"/>
              <w:spacing w:line="360" w:lineRule="exact"/>
              <w:rPr>
                <w:rFonts w:ascii="宋体" w:hAnsi="宋体" w:eastAsia="宋体" w:cs="宋体"/>
              </w:rPr>
            </w:pPr>
          </w:p>
        </w:tc>
        <w:tc>
          <w:tcPr>
            <w:tcW w:w="1558" w:type="dxa"/>
          </w:tcPr>
          <w:p w14:paraId="5C927C61">
            <w:pPr>
              <w:adjustRightInd w:val="0"/>
              <w:snapToGrid w:val="0"/>
              <w:spacing w:line="360" w:lineRule="exact"/>
              <w:jc w:val="center"/>
              <w:rPr>
                <w:rFonts w:ascii="宋体" w:hAnsi="宋体" w:eastAsia="宋体" w:cs="宋体"/>
              </w:rPr>
            </w:pPr>
          </w:p>
        </w:tc>
        <w:tc>
          <w:tcPr>
            <w:tcW w:w="793" w:type="dxa"/>
          </w:tcPr>
          <w:p w14:paraId="33B5ABE3">
            <w:pPr>
              <w:adjustRightInd w:val="0"/>
              <w:snapToGrid w:val="0"/>
              <w:spacing w:line="360" w:lineRule="exact"/>
              <w:jc w:val="center"/>
              <w:rPr>
                <w:rFonts w:ascii="宋体" w:hAnsi="宋体" w:eastAsia="宋体" w:cs="宋体"/>
              </w:rPr>
            </w:pPr>
          </w:p>
        </w:tc>
        <w:tc>
          <w:tcPr>
            <w:tcW w:w="793" w:type="dxa"/>
          </w:tcPr>
          <w:p w14:paraId="6B4B011A">
            <w:pPr>
              <w:adjustRightInd w:val="0"/>
              <w:snapToGrid w:val="0"/>
              <w:spacing w:line="360" w:lineRule="exact"/>
              <w:jc w:val="center"/>
              <w:rPr>
                <w:rFonts w:ascii="宋体" w:hAnsi="宋体" w:eastAsia="宋体" w:cs="宋体"/>
              </w:rPr>
            </w:pPr>
          </w:p>
        </w:tc>
        <w:tc>
          <w:tcPr>
            <w:tcW w:w="2461" w:type="dxa"/>
          </w:tcPr>
          <w:p w14:paraId="653A548D">
            <w:pPr>
              <w:adjustRightInd w:val="0"/>
              <w:snapToGrid w:val="0"/>
              <w:spacing w:line="360" w:lineRule="exact"/>
              <w:rPr>
                <w:rFonts w:ascii="宋体" w:hAnsi="宋体" w:eastAsia="宋体" w:cs="宋体"/>
              </w:rPr>
            </w:pPr>
          </w:p>
        </w:tc>
      </w:tr>
      <w:tr w14:paraId="4DF3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3D0F23CC">
            <w:pPr>
              <w:adjustRightInd w:val="0"/>
              <w:snapToGrid w:val="0"/>
              <w:spacing w:line="360" w:lineRule="exact"/>
              <w:jc w:val="center"/>
              <w:rPr>
                <w:rFonts w:ascii="宋体" w:hAnsi="宋体" w:eastAsia="宋体" w:cs="宋体"/>
              </w:rPr>
            </w:pPr>
          </w:p>
        </w:tc>
        <w:tc>
          <w:tcPr>
            <w:tcW w:w="1705" w:type="dxa"/>
          </w:tcPr>
          <w:p w14:paraId="62A8ED27">
            <w:pPr>
              <w:adjustRightInd w:val="0"/>
              <w:snapToGrid w:val="0"/>
              <w:spacing w:line="360" w:lineRule="exact"/>
              <w:rPr>
                <w:rFonts w:ascii="宋体" w:hAnsi="宋体" w:eastAsia="宋体" w:cs="宋体"/>
              </w:rPr>
            </w:pPr>
          </w:p>
        </w:tc>
        <w:tc>
          <w:tcPr>
            <w:tcW w:w="1010" w:type="dxa"/>
          </w:tcPr>
          <w:p w14:paraId="7357D331">
            <w:pPr>
              <w:adjustRightInd w:val="0"/>
              <w:snapToGrid w:val="0"/>
              <w:spacing w:line="360" w:lineRule="exact"/>
              <w:rPr>
                <w:rFonts w:ascii="宋体" w:hAnsi="宋体" w:eastAsia="宋体" w:cs="宋体"/>
              </w:rPr>
            </w:pPr>
          </w:p>
        </w:tc>
        <w:tc>
          <w:tcPr>
            <w:tcW w:w="1558" w:type="dxa"/>
          </w:tcPr>
          <w:p w14:paraId="3E46CAB6">
            <w:pPr>
              <w:adjustRightInd w:val="0"/>
              <w:snapToGrid w:val="0"/>
              <w:spacing w:line="360" w:lineRule="exact"/>
              <w:jc w:val="center"/>
              <w:rPr>
                <w:rFonts w:ascii="宋体" w:hAnsi="宋体" w:eastAsia="宋体" w:cs="宋体"/>
              </w:rPr>
            </w:pPr>
          </w:p>
        </w:tc>
        <w:tc>
          <w:tcPr>
            <w:tcW w:w="793" w:type="dxa"/>
          </w:tcPr>
          <w:p w14:paraId="5E835AFE">
            <w:pPr>
              <w:adjustRightInd w:val="0"/>
              <w:snapToGrid w:val="0"/>
              <w:spacing w:line="360" w:lineRule="exact"/>
              <w:jc w:val="center"/>
              <w:rPr>
                <w:rFonts w:ascii="宋体" w:hAnsi="宋体" w:eastAsia="宋体" w:cs="宋体"/>
              </w:rPr>
            </w:pPr>
          </w:p>
        </w:tc>
        <w:tc>
          <w:tcPr>
            <w:tcW w:w="793" w:type="dxa"/>
          </w:tcPr>
          <w:p w14:paraId="2D82E98D">
            <w:pPr>
              <w:adjustRightInd w:val="0"/>
              <w:snapToGrid w:val="0"/>
              <w:spacing w:line="360" w:lineRule="exact"/>
              <w:jc w:val="center"/>
              <w:rPr>
                <w:rFonts w:ascii="宋体" w:hAnsi="宋体" w:eastAsia="宋体" w:cs="宋体"/>
              </w:rPr>
            </w:pPr>
          </w:p>
        </w:tc>
        <w:tc>
          <w:tcPr>
            <w:tcW w:w="2461" w:type="dxa"/>
          </w:tcPr>
          <w:p w14:paraId="1E81F0F0">
            <w:pPr>
              <w:adjustRightInd w:val="0"/>
              <w:snapToGrid w:val="0"/>
              <w:spacing w:line="360" w:lineRule="exact"/>
              <w:rPr>
                <w:rFonts w:ascii="宋体" w:hAnsi="宋体" w:eastAsia="宋体" w:cs="宋体"/>
              </w:rPr>
            </w:pPr>
          </w:p>
        </w:tc>
      </w:tr>
    </w:tbl>
    <w:p w14:paraId="22977DB2">
      <w:pPr>
        <w:spacing w:line="360" w:lineRule="auto"/>
        <w:rPr>
          <w:rFonts w:ascii="宋体" w:hAnsi="宋体" w:eastAsia="宋体" w:cs="宋体"/>
          <w:sz w:val="24"/>
          <w:szCs w:val="24"/>
        </w:rPr>
      </w:pPr>
    </w:p>
    <w:p w14:paraId="30DB10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4187FAA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4AA8C69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5C0F55D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0A382623">
      <w:pPr>
        <w:pStyle w:val="112"/>
        <w:spacing w:line="360" w:lineRule="auto"/>
        <w:rPr>
          <w:rFonts w:ascii="宋体" w:hAnsi="宋体" w:cs="宋体"/>
          <w:color w:val="auto"/>
        </w:rPr>
      </w:pPr>
      <w:r>
        <w:rPr>
          <w:rFonts w:hint="eastAsia" w:ascii="宋体" w:hAnsi="宋体" w:cs="宋体"/>
          <w:color w:val="auto"/>
        </w:rPr>
        <w:t>二、技术文件中货物报价格式要求</w:t>
      </w:r>
    </w:p>
    <w:p w14:paraId="09D005A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58BD71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4F45DD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026F8EB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06BD51F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6C116521">
      <w:pPr>
        <w:pStyle w:val="112"/>
        <w:spacing w:line="360" w:lineRule="auto"/>
        <w:rPr>
          <w:rFonts w:ascii="宋体" w:hAnsi="宋体" w:cs="宋体"/>
          <w:color w:val="auto"/>
        </w:rPr>
      </w:pPr>
      <w:r>
        <w:rPr>
          <w:rFonts w:hint="eastAsia" w:ascii="宋体" w:hAnsi="宋体" w:cs="宋体"/>
          <w:color w:val="auto"/>
        </w:rPr>
        <w:t>三、验收标准及内容要求</w:t>
      </w:r>
    </w:p>
    <w:p w14:paraId="751D6A0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6B3BD6FC">
      <w:pPr>
        <w:pStyle w:val="2"/>
        <w:spacing w:before="120" w:after="120" w:line="360" w:lineRule="auto"/>
        <w:rPr>
          <w:rFonts w:ascii="宋体" w:hAnsi="宋体" w:eastAsia="宋体" w:cs="宋体"/>
          <w:b w:val="0"/>
          <w:sz w:val="24"/>
          <w:szCs w:val="24"/>
        </w:rPr>
        <w:sectPr>
          <w:footerReference r:id="rId9" w:type="first"/>
          <w:footerReference r:id="rId8" w:type="default"/>
          <w:pgSz w:w="11906" w:h="16838"/>
          <w:pgMar w:top="1588" w:right="1418" w:bottom="1134" w:left="1418" w:header="851" w:footer="992" w:gutter="0"/>
          <w:cols w:space="720" w:num="1"/>
          <w:titlePg/>
          <w:docGrid w:linePitch="312" w:charSpace="0"/>
        </w:sectPr>
      </w:pPr>
      <w:bookmarkStart w:id="32" w:name="_Toc465187648"/>
    </w:p>
    <w:p w14:paraId="01DC36CE">
      <w:pPr>
        <w:pStyle w:val="114"/>
        <w:spacing w:line="360" w:lineRule="auto"/>
        <w:outlineLvl w:val="1"/>
        <w:rPr>
          <w:rFonts w:ascii="宋体" w:hAnsi="宋体" w:eastAsia="宋体" w:cs="宋体"/>
          <w:b/>
          <w:bCs w:val="0"/>
          <w:iCs/>
          <w:color w:val="auto"/>
          <w:sz w:val="24"/>
        </w:rPr>
      </w:pPr>
      <w:bookmarkStart w:id="33" w:name="_Toc131008494"/>
      <w:bookmarkStart w:id="34" w:name="_Toc19570"/>
      <w:r>
        <w:rPr>
          <w:rFonts w:hint="eastAsia" w:ascii="宋体" w:hAnsi="宋体" w:eastAsia="宋体" w:cs="宋体"/>
          <w:b/>
          <w:bCs w:val="0"/>
          <w:iCs/>
          <w:color w:val="auto"/>
          <w:sz w:val="24"/>
        </w:rPr>
        <w:t>第七章  其它要求及说明</w:t>
      </w:r>
      <w:bookmarkEnd w:id="32"/>
      <w:bookmarkEnd w:id="33"/>
      <w:bookmarkEnd w:id="34"/>
    </w:p>
    <w:p w14:paraId="5479A205">
      <w:pPr>
        <w:pStyle w:val="112"/>
        <w:spacing w:line="360" w:lineRule="auto"/>
        <w:rPr>
          <w:rFonts w:ascii="宋体" w:hAnsi="宋体" w:cs="宋体"/>
          <w:color w:val="auto"/>
        </w:rPr>
      </w:pPr>
      <w:r>
        <w:rPr>
          <w:rFonts w:hint="eastAsia" w:ascii="宋体" w:hAnsi="宋体" w:cs="宋体"/>
          <w:color w:val="auto"/>
        </w:rPr>
        <w:t>一、要求</w:t>
      </w:r>
    </w:p>
    <w:p w14:paraId="08DB10E2">
      <w:pPr>
        <w:pStyle w:val="16"/>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18FE4BA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3E47543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5B8D4CF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07B52825">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78BCF4B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0D96C43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7B09E45B">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2B5C099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6D5E7D0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687FD37C">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5.5该类报告或证明材料对于投标人胜出乃至中标极为重要！</w:t>
      </w:r>
    </w:p>
    <w:p w14:paraId="179D5118">
      <w:pPr>
        <w:numPr>
          <w:ilvl w:val="255"/>
          <w:numId w:val="0"/>
        </w:numPr>
        <w:spacing w:line="360" w:lineRule="auto"/>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6.必须附有：</w:t>
      </w:r>
      <w:r>
        <w:rPr>
          <w:rFonts w:hint="eastAsia" w:ascii="宋体" w:hAnsi="宋体" w:eastAsia="宋体" w:cs="宋体"/>
          <w:sz w:val="24"/>
          <w:szCs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140A8518">
      <w:pPr>
        <w:pStyle w:val="112"/>
        <w:spacing w:line="360" w:lineRule="auto"/>
        <w:rPr>
          <w:rFonts w:ascii="宋体" w:hAnsi="宋体" w:cs="宋体"/>
          <w:color w:val="auto"/>
        </w:rPr>
      </w:pPr>
      <w:r>
        <w:rPr>
          <w:rFonts w:hint="eastAsia" w:ascii="宋体" w:hAnsi="宋体" w:cs="宋体"/>
          <w:color w:val="auto"/>
        </w:rPr>
        <w:t>二、其他</w:t>
      </w:r>
    </w:p>
    <w:p w14:paraId="3CCEB05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3F1727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50C24D2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C38108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49FB026B">
      <w:pPr>
        <w:spacing w:line="360" w:lineRule="auto"/>
        <w:ind w:firstLine="480" w:firstLineChars="200"/>
        <w:rPr>
          <w:rFonts w:hAnsi="宋体" w:eastAsia="宋体" w:cs="宋体"/>
          <w:sz w:val="24"/>
          <w:szCs w:val="24"/>
        </w:rPr>
        <w:sectPr>
          <w:footerReference r:id="rId11" w:type="first"/>
          <w:footerReference r:id="rId10" w:type="default"/>
          <w:pgSz w:w="11907" w:h="16840"/>
          <w:pgMar w:top="1304" w:right="1418" w:bottom="1304" w:left="1418" w:header="724" w:footer="851" w:gutter="0"/>
          <w:cols w:space="720" w:num="1"/>
          <w:docGrid w:linePitch="290" w:charSpace="-3931"/>
        </w:sect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bookmarkEnd w:id="22"/>
    <w:p w14:paraId="55E54AC2">
      <w:pPr>
        <w:pStyle w:val="76"/>
      </w:pPr>
    </w:p>
    <w:p w14:paraId="5871DF53">
      <w:pPr>
        <w:pStyle w:val="71"/>
        <w:numPr>
          <w:ilvl w:val="0"/>
          <w:numId w:val="33"/>
        </w:numPr>
        <w:rPr>
          <w:rFonts w:hint="eastAsia"/>
        </w:rPr>
      </w:pPr>
      <w:bookmarkStart w:id="35" w:name="_Toc47976609"/>
      <w:bookmarkStart w:id="36" w:name="_Toc20595"/>
      <w:r>
        <w:rPr>
          <w:rFonts w:hint="eastAsia"/>
        </w:rPr>
        <w:t>合同主要条款</w:t>
      </w:r>
      <w:bookmarkEnd w:id="35"/>
      <w:bookmarkEnd w:id="36"/>
    </w:p>
    <w:p w14:paraId="1CC2ADF3">
      <w:pPr>
        <w:pStyle w:val="71"/>
        <w:numPr>
          <w:ilvl w:val="0"/>
          <w:numId w:val="0"/>
        </w:numPr>
        <w:jc w:val="center"/>
        <w:rPr>
          <w:rFonts w:hint="default" w:eastAsia="黑体"/>
          <w:sz w:val="28"/>
          <w:szCs w:val="28"/>
          <w:lang w:val="en-US" w:eastAsia="zh-CN"/>
        </w:rPr>
      </w:pPr>
      <w:r>
        <w:rPr>
          <w:rFonts w:hint="eastAsia"/>
          <w:sz w:val="28"/>
          <w:szCs w:val="28"/>
          <w:lang w:val="en-US" w:eastAsia="zh-CN"/>
        </w:rPr>
        <w:t>(合同以双方最终签署的版本为准)</w:t>
      </w:r>
    </w:p>
    <w:p w14:paraId="23914DBE">
      <w:pPr>
        <w:pStyle w:val="72"/>
        <w:numPr>
          <w:ilvl w:val="0"/>
          <w:numId w:val="34"/>
        </w:numPr>
        <w:ind w:left="420"/>
      </w:pPr>
      <w:bookmarkStart w:id="37" w:name="_Toc47976610"/>
      <w:r>
        <w:rPr>
          <w:rFonts w:hint="eastAsia"/>
          <w:lang w:val="en-US" w:eastAsia="zh-CN"/>
        </w:rPr>
        <w:t>标的、数量、</w:t>
      </w:r>
      <w:r>
        <w:rPr>
          <w:rFonts w:hint="eastAsia"/>
        </w:rPr>
        <w:t>交货期</w:t>
      </w:r>
      <w:bookmarkEnd w:id="37"/>
    </w:p>
    <w:p w14:paraId="18603CA8">
      <w:pPr>
        <w:pStyle w:val="72"/>
      </w:pPr>
      <w:bookmarkStart w:id="38" w:name="_Toc47976611"/>
      <w:r>
        <w:rPr>
          <w:rFonts w:hint="eastAsia"/>
        </w:rPr>
        <w:t>交货地点</w:t>
      </w:r>
      <w:bookmarkEnd w:id="38"/>
    </w:p>
    <w:p w14:paraId="3F03A936">
      <w:pPr>
        <w:pStyle w:val="72"/>
      </w:pPr>
      <w:bookmarkStart w:id="39" w:name="_Toc47976612"/>
      <w:r>
        <w:rPr>
          <w:rFonts w:hint="eastAsia"/>
          <w:lang w:val="en-US" w:eastAsia="zh-CN"/>
        </w:rPr>
        <w:t>价款及</w:t>
      </w:r>
      <w:r>
        <w:rPr>
          <w:rFonts w:hint="eastAsia"/>
        </w:rPr>
        <w:t>付款方式</w:t>
      </w:r>
      <w:bookmarkEnd w:id="39"/>
    </w:p>
    <w:p w14:paraId="0A7F4E98">
      <w:pPr>
        <w:pStyle w:val="72"/>
      </w:pPr>
      <w:bookmarkStart w:id="40" w:name="_Toc47976613"/>
      <w:r>
        <w:rPr>
          <w:rFonts w:hint="eastAsia"/>
          <w:lang w:val="en-US" w:eastAsia="zh-CN"/>
        </w:rPr>
        <w:t>质量要求、</w:t>
      </w:r>
      <w:r>
        <w:rPr>
          <w:rFonts w:hint="eastAsia"/>
        </w:rPr>
        <w:t>保修期及售后服务</w:t>
      </w:r>
      <w:bookmarkEnd w:id="40"/>
    </w:p>
    <w:p w14:paraId="50F6C5C1">
      <w:pPr>
        <w:pStyle w:val="72"/>
      </w:pPr>
      <w:bookmarkStart w:id="41" w:name="_Toc47976614"/>
      <w:r>
        <w:rPr>
          <w:rFonts w:hint="eastAsia"/>
        </w:rPr>
        <w:t>安装、调试及验收要求</w:t>
      </w:r>
      <w:bookmarkEnd w:id="41"/>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79A7EC9B">
      <w:pPr>
        <w:pStyle w:val="76"/>
      </w:pPr>
    </w:p>
    <w:p w14:paraId="0EB8BBEB">
      <w:pPr>
        <w:pStyle w:val="71"/>
        <w:rPr>
          <w:rFonts w:hint="default" w:eastAsia="黑体"/>
          <w:lang w:val="en-US" w:eastAsia="zh-CN"/>
        </w:rPr>
      </w:pPr>
      <w:bookmarkStart w:id="42" w:name="_Toc47976615"/>
      <w:bookmarkStart w:id="43" w:name="_Toc5925"/>
      <w:r>
        <w:rPr>
          <w:rFonts w:hint="eastAsia"/>
        </w:rPr>
        <w:t>第四部分　</w:t>
      </w:r>
      <w:bookmarkEnd w:id="42"/>
      <w:r>
        <w:rPr>
          <w:rFonts w:hint="eastAsia"/>
          <w:lang w:val="en-US" w:eastAsia="zh-CN"/>
        </w:rPr>
        <w:t>投标文件附件</w:t>
      </w:r>
      <w:bookmarkEnd w:id="43"/>
    </w:p>
    <w:p w14:paraId="56A6EBFD">
      <w:pPr>
        <w:keepNext/>
        <w:keepLines/>
        <w:outlineLvl w:val="2"/>
        <w:rPr>
          <w:rFonts w:ascii="Times New Roman" w:hAnsi="Times New Roman" w:eastAsia="宋体" w:cs="Times New Roman"/>
          <w:b/>
          <w:bCs/>
          <w:color w:val="000000"/>
          <w:sz w:val="24"/>
          <w:szCs w:val="24"/>
        </w:rPr>
      </w:pPr>
      <w:bookmarkStart w:id="44" w:name="_Toc4225"/>
      <w:bookmarkStart w:id="45" w:name="_Toc47976616"/>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46" w:name="_Toc639004"/>
      <w:bookmarkStart w:id="47" w:name="_Toc25811"/>
      <w:bookmarkStart w:id="48" w:name="_Toc212369550"/>
      <w:bookmarkStart w:id="49"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46"/>
      <w:bookmarkEnd w:id="47"/>
      <w:bookmarkEnd w:id="48"/>
      <w:bookmarkEnd w:id="49"/>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highlight w:val="none"/>
        </w:rPr>
        <w:t>：中国重汽集团济南汽车部件有限公司</w:t>
      </w:r>
      <w:r>
        <w:rPr>
          <w:rFonts w:hint="eastAsia" w:ascii="宋体" w:hAnsi="宋体" w:eastAsia="宋体" w:cs="Times New Roman"/>
          <w:color w:val="000000"/>
          <w:sz w:val="24"/>
          <w:szCs w:val="24"/>
        </w:rPr>
        <w:t>：</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eastAsia="宋体" w:cs="宋体"/>
          <w:b w:val="0"/>
          <w:bCs w:val="0"/>
          <w:sz w:val="24"/>
          <w:szCs w:val="24"/>
          <w:highlight w:val="none"/>
          <w:u w:val="single"/>
          <w:lang w:val="en-US" w:eastAsia="zh-CN"/>
        </w:rPr>
        <w:t>转向伸缩轴总成工序能力提升项目</w:t>
      </w:r>
      <w:r>
        <w:rPr>
          <w:rFonts w:hint="eastAsia" w:ascii="宋体" w:hAnsi="宋体" w:eastAsia="宋体" w:cs="Times New Roman"/>
          <w:bCs/>
          <w:snapToGrid w:val="0"/>
          <w:color w:val="000000"/>
          <w:kern w:val="0"/>
          <w:sz w:val="24"/>
          <w:szCs w:val="24"/>
          <w:highlight w:val="none"/>
        </w:rPr>
        <w:t>招</w:t>
      </w:r>
      <w:r>
        <w:rPr>
          <w:rFonts w:hint="eastAsia" w:ascii="宋体" w:hAnsi="宋体" w:eastAsia="宋体" w:cs="Times New Roman"/>
          <w:bCs/>
          <w:snapToGrid w:val="0"/>
          <w:color w:val="000000"/>
          <w:kern w:val="0"/>
          <w:sz w:val="24"/>
          <w:szCs w:val="24"/>
        </w:rPr>
        <w:t>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4"/>
        <w:rPr>
          <w:rFonts w:ascii="黑体" w:hAnsi="Calibri" w:eastAsia="黑体" w:cs="Times New Roman"/>
          <w:color w:val="000000"/>
          <w:sz w:val="24"/>
          <w:szCs w:val="24"/>
        </w:rPr>
      </w:pPr>
    </w:p>
    <w:p w14:paraId="4CA7A370">
      <w:pPr>
        <w:pStyle w:val="14"/>
        <w:rPr>
          <w:rFonts w:ascii="黑体" w:hAnsi="Calibri" w:eastAsia="黑体" w:cs="Times New Roman"/>
          <w:color w:val="000000"/>
          <w:sz w:val="24"/>
          <w:szCs w:val="24"/>
        </w:rPr>
      </w:pPr>
    </w:p>
    <w:p w14:paraId="28AE6C52">
      <w:pPr>
        <w:pStyle w:val="14"/>
        <w:rPr>
          <w:rFonts w:ascii="黑体" w:hAnsi="Calibri" w:eastAsia="黑体" w:cs="Times New Roman"/>
          <w:color w:val="000000"/>
          <w:sz w:val="24"/>
          <w:szCs w:val="24"/>
        </w:rPr>
      </w:pPr>
    </w:p>
    <w:p w14:paraId="44A19F45">
      <w:pPr>
        <w:pStyle w:val="14"/>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w:t>
      </w:r>
      <w:r>
        <w:rPr>
          <w:rFonts w:hint="eastAsia" w:ascii="宋体" w:hAnsi="宋体" w:eastAsia="宋体" w:cs="Times New Roman"/>
          <w:color w:val="000000"/>
          <w:sz w:val="24"/>
          <w:szCs w:val="24"/>
          <w:highlight w:val="none"/>
        </w:rPr>
        <w:t>＿＿＿＿＿＿＿＿＿＿＿＿＿＿（投标人全称）的法定代表人，就</w:t>
      </w:r>
      <w:r>
        <w:rPr>
          <w:rFonts w:hint="eastAsia" w:ascii="宋体" w:hAnsi="宋体" w:cs="Times New Roman"/>
          <w:color w:val="000000"/>
          <w:sz w:val="24"/>
          <w:szCs w:val="24"/>
          <w:highlight w:val="none"/>
          <w:lang w:val="en-US" w:eastAsia="zh-CN"/>
        </w:rPr>
        <w:t xml:space="preserve"> </w:t>
      </w:r>
      <w:r>
        <w:rPr>
          <w:rFonts w:hint="eastAsia" w:ascii="宋体" w:hAnsi="宋体" w:eastAsia="宋体" w:cs="Times New Roman"/>
          <w:b w:val="0"/>
          <w:bCs w:val="0"/>
          <w:color w:val="000000"/>
          <w:sz w:val="24"/>
          <w:szCs w:val="24"/>
          <w:highlight w:val="none"/>
          <w:u w:val="single"/>
          <w:lang w:eastAsia="zh-CN"/>
        </w:rPr>
        <w:t>转向伸缩轴总成工序能力提升项目</w:t>
      </w:r>
      <w:r>
        <w:rPr>
          <w:rFonts w:hint="eastAsia" w:ascii="宋体" w:hAnsi="宋体" w:eastAsia="宋体" w:cs="Times New Roman"/>
          <w:color w:val="000000"/>
          <w:sz w:val="24"/>
          <w:szCs w:val="24"/>
          <w:highlight w:val="none"/>
        </w:rPr>
        <w:t>现</w:t>
      </w:r>
      <w:r>
        <w:rPr>
          <w:rFonts w:hint="eastAsia" w:ascii="宋体" w:hAnsi="宋体" w:eastAsia="宋体" w:cs="Times New Roman"/>
          <w:color w:val="000000"/>
          <w:sz w:val="24"/>
          <w:szCs w:val="24"/>
        </w:rPr>
        <w:t>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086D6408">
      <w:pPr>
        <w:pStyle w:val="14"/>
        <w:rPr>
          <w:rFonts w:ascii="Calibri" w:hAnsi="Calibri" w:eastAsia="黑体" w:cs="Times New Roman"/>
          <w:b/>
          <w:bCs/>
          <w:color w:val="000000"/>
          <w:sz w:val="28"/>
          <w:szCs w:val="20"/>
        </w:rPr>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spacing w:val="-9"/>
          <w:sz w:val="24"/>
          <w:szCs w:val="24"/>
          <w:lang w:eastAsia="zh-CN"/>
          <w14:textOutline w14:w="4356" w14:cap="flat" w14:cmpd="sng">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solidFill>
              <w14:srgbClr w14:val="000000"/>
            </w14:solidFill>
            <w14:prstDash w14:val="solid"/>
            <w14:bevel/>
          </w14:textOutline>
        </w:rPr>
        <w:t>件</w:t>
      </w:r>
      <w:r>
        <w:rPr>
          <w:rFonts w:ascii="宋体" w:hAnsi="宋体" w:eastAsia="宋体" w:cs="宋体"/>
          <w:spacing w:val="-17"/>
          <w:sz w:val="24"/>
          <w:szCs w:val="24"/>
          <w14:textOutline w14:w="4356" w14:cap="sq" w14:cmpd="sng">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solidFill>
              <w14:srgbClr w14:val="000000"/>
            </w14:solidFill>
            <w14:prstDash w14:val="solid"/>
            <w14:bevel/>
          </w14:textOutline>
        </w:rPr>
        <w:t>表</w:t>
      </w:r>
      <w:r>
        <w:rPr>
          <w:rFonts w:hint="eastAsia" w:ascii="宋体" w:hAnsi="宋体" w:cs="宋体"/>
          <w:spacing w:val="7"/>
          <w:sz w:val="24"/>
          <w:szCs w:val="24"/>
          <w:lang w:eastAsia="zh-CN"/>
          <w14:textOutline w14:w="4356" w14:cap="sq" w14:cmpd="sng">
            <w14:solidFill>
              <w14:srgbClr w14:val="000000"/>
            </w14:solidFill>
            <w14:prstDash w14:val="solid"/>
            <w14:bevel/>
          </w14:textOutline>
        </w:rPr>
        <w:t>（</w:t>
      </w:r>
      <w:r>
        <w:rPr>
          <w:rFonts w:hint="eastAsia" w:ascii="宋体" w:hAnsi="宋体" w:cs="宋体"/>
          <w:spacing w:val="7"/>
          <w:sz w:val="24"/>
          <w:szCs w:val="24"/>
          <w:lang w:val="en-US" w:eastAsia="zh-CN"/>
          <w14:textOutline w14:w="4356" w14:cap="sq" w14:cmpd="sng">
            <w14:solidFill>
              <w14:srgbClr w14:val="000000"/>
            </w14:solidFill>
            <w14:prstDash w14:val="solid"/>
            <w14:bevel/>
          </w14:textOutline>
        </w:rPr>
        <w:t>需盖章</w:t>
      </w:r>
      <w:r>
        <w:rPr>
          <w:rFonts w:hint="eastAsia" w:ascii="宋体" w:hAnsi="宋体" w:cs="宋体"/>
          <w:spacing w:val="7"/>
          <w:sz w:val="24"/>
          <w:szCs w:val="24"/>
          <w:lang w:eastAsia="zh-CN"/>
          <w14:textOutline w14:w="4356" w14:cap="sq" w14:cmpd="sng">
            <w14:solidFill>
              <w14:srgbClr w14:val="000000"/>
            </w14:solidFill>
            <w14:prstDash w14:val="solid"/>
            <w14:bevel/>
          </w14:textOutline>
        </w:rPr>
        <w:t>）</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14:paraId="467A997E">
            <w:pPr>
              <w:pStyle w:val="115"/>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5"/>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5"/>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5"/>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5"/>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5"/>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5"/>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5"/>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5"/>
              <w:spacing w:before="114"/>
              <w:ind w:left="720"/>
            </w:pPr>
            <w:r>
              <w:t xml:space="preserve">品牌区分 </w:t>
            </w:r>
          </w:p>
        </w:tc>
        <w:tc>
          <w:tcPr>
            <w:tcW w:w="7500" w:type="dxa"/>
            <w:gridSpan w:val="6"/>
          </w:tcPr>
          <w:p w14:paraId="3BAE0FF2">
            <w:pPr>
              <w:pStyle w:val="11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5"/>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5"/>
              <w:spacing w:before="15"/>
              <w:ind w:left="279"/>
            </w:pPr>
            <w:r>
              <w:rPr>
                <w:spacing w:val="-2"/>
              </w:rPr>
              <w:t>质量</w:t>
            </w:r>
            <w:r>
              <w:t xml:space="preserve"> </w:t>
            </w:r>
          </w:p>
          <w:p w14:paraId="38F7D920">
            <w:pPr>
              <w:pStyle w:val="115"/>
              <w:spacing w:before="30" w:line="277" w:lineRule="exact"/>
              <w:ind w:left="279"/>
            </w:pPr>
            <w:r>
              <w:rPr>
                <w:rFonts w:hint="eastAsia"/>
              </w:rPr>
              <w:t>体系</w:t>
            </w:r>
          </w:p>
        </w:tc>
        <w:tc>
          <w:tcPr>
            <w:tcW w:w="2820" w:type="dxa"/>
            <w:gridSpan w:val="2"/>
          </w:tcPr>
          <w:p w14:paraId="53E9DAB1">
            <w:pPr>
              <w:pStyle w:val="115"/>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5"/>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4"/>
        <w:rPr>
          <w:rFonts w:ascii="Times New Roman" w:hAnsi="Times New Roman" w:eastAsia="宋体" w:cs="Times New Roman"/>
          <w:b/>
          <w:bCs/>
          <w:color w:val="000000"/>
          <w:sz w:val="24"/>
          <w:szCs w:val="24"/>
        </w:rPr>
      </w:pPr>
    </w:p>
    <w:p w14:paraId="37100778">
      <w:pPr>
        <w:pStyle w:val="14"/>
        <w:rPr>
          <w:rFonts w:ascii="Times New Roman" w:hAnsi="Times New Roman" w:eastAsia="宋体" w:cs="Times New Roman"/>
          <w:b/>
          <w:bCs/>
          <w:color w:val="000000"/>
          <w:sz w:val="24"/>
          <w:szCs w:val="24"/>
        </w:rPr>
      </w:pPr>
    </w:p>
    <w:p w14:paraId="39756F36">
      <w:pPr>
        <w:pStyle w:val="14"/>
        <w:rPr>
          <w:rFonts w:ascii="Times New Roman" w:hAnsi="Times New Roman" w:eastAsia="宋体" w:cs="Times New Roman"/>
          <w:b/>
          <w:bCs/>
          <w:color w:val="000000"/>
          <w:sz w:val="24"/>
          <w:szCs w:val="24"/>
        </w:rPr>
      </w:pPr>
    </w:p>
    <w:p w14:paraId="73D8D3DE">
      <w:pPr>
        <w:pStyle w:val="14"/>
        <w:rPr>
          <w:rFonts w:ascii="Times New Roman" w:hAnsi="Times New Roman" w:eastAsia="宋体" w:cs="Times New Roman"/>
          <w:b/>
          <w:bCs/>
          <w:color w:val="000000"/>
          <w:sz w:val="24"/>
          <w:szCs w:val="24"/>
        </w:rPr>
      </w:pPr>
    </w:p>
    <w:p w14:paraId="527F4C72">
      <w:pPr>
        <w:pStyle w:val="14"/>
        <w:rPr>
          <w:rFonts w:ascii="Times New Roman" w:hAnsi="Times New Roman" w:eastAsia="宋体" w:cs="Times New Roman"/>
          <w:b/>
          <w:bCs/>
          <w:color w:val="000000"/>
          <w:sz w:val="24"/>
          <w:szCs w:val="24"/>
        </w:rPr>
      </w:pPr>
    </w:p>
    <w:p w14:paraId="792B9788">
      <w:pPr>
        <w:pStyle w:val="14"/>
        <w:rPr>
          <w:rFonts w:ascii="Times New Roman" w:hAnsi="Times New Roman" w:eastAsia="宋体" w:cs="Times New Roman"/>
          <w:b/>
          <w:bCs/>
          <w:color w:val="000000"/>
          <w:sz w:val="24"/>
          <w:szCs w:val="24"/>
        </w:rPr>
      </w:pPr>
    </w:p>
    <w:p w14:paraId="0561AF60">
      <w:pPr>
        <w:pStyle w:val="14"/>
        <w:rPr>
          <w:rFonts w:ascii="Times New Roman" w:hAnsi="Times New Roman" w:eastAsia="宋体" w:cs="Times New Roman"/>
          <w:b/>
          <w:bCs/>
          <w:color w:val="000000"/>
          <w:sz w:val="24"/>
          <w:szCs w:val="24"/>
        </w:rPr>
      </w:pPr>
    </w:p>
    <w:p w14:paraId="78F0A321">
      <w:pPr>
        <w:pStyle w:val="14"/>
        <w:rPr>
          <w:rFonts w:ascii="Times New Roman" w:hAnsi="Times New Roman" w:eastAsia="宋体" w:cs="Times New Roman"/>
          <w:b/>
          <w:bCs/>
          <w:color w:val="000000"/>
          <w:sz w:val="24"/>
          <w:szCs w:val="24"/>
        </w:rPr>
      </w:pPr>
    </w:p>
    <w:p w14:paraId="54D6387F">
      <w:pPr>
        <w:pStyle w:val="14"/>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4"/>
        <w:outlineLvl w:val="3"/>
        <w:rPr>
          <w:rFonts w:hint="eastAsia"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41775E">
      <w:pPr>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14:paraId="6B20C6D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eastAsia"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Times New Roman"/>
          <w:b w:val="0"/>
          <w:bCs w:val="0"/>
          <w:color w:val="000000"/>
          <w:sz w:val="24"/>
          <w:szCs w:val="24"/>
          <w:highlight w:val="none"/>
          <w:u w:val="single"/>
          <w:lang w:eastAsia="zh-CN"/>
        </w:rPr>
        <w:t>转向伸缩轴总成工序能力提升项目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中国重汽集团济南汽车部件有限公司：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D4C2282">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7805A3B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577EE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val="0"/>
          <w:bCs w:val="0"/>
          <w:color w:val="000000"/>
          <w:sz w:val="24"/>
          <w:szCs w:val="24"/>
          <w:highlight w:val="none"/>
          <w:u w:val="single"/>
          <w:lang w:eastAsia="zh-CN"/>
        </w:rPr>
        <w:t>转向伸缩轴总成工序能力提升项目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83B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4B9F47D">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6A7CE38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5956A4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73EA462">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464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1ED3751">
            <w:pPr>
              <w:jc w:val="center"/>
              <w:rPr>
                <w:rFonts w:ascii="Times New Roman" w:hAnsi="Times New Roman" w:eastAsia="宋体" w:cs="Times New Roman"/>
                <w:b/>
                <w:sz w:val="24"/>
                <w:szCs w:val="20"/>
              </w:rPr>
            </w:pPr>
          </w:p>
        </w:tc>
        <w:tc>
          <w:tcPr>
            <w:tcW w:w="3449" w:type="dxa"/>
          </w:tcPr>
          <w:p w14:paraId="06D74D73">
            <w:pPr>
              <w:jc w:val="center"/>
              <w:rPr>
                <w:rFonts w:ascii="Times New Roman" w:hAnsi="Times New Roman" w:eastAsia="宋体" w:cs="Times New Roman"/>
                <w:b/>
                <w:sz w:val="24"/>
                <w:szCs w:val="20"/>
              </w:rPr>
            </w:pPr>
          </w:p>
        </w:tc>
        <w:tc>
          <w:tcPr>
            <w:tcW w:w="2414" w:type="dxa"/>
          </w:tcPr>
          <w:p w14:paraId="7FE7BB77">
            <w:pPr>
              <w:jc w:val="center"/>
              <w:rPr>
                <w:rFonts w:ascii="Times New Roman" w:hAnsi="Times New Roman" w:eastAsia="宋体" w:cs="Times New Roman"/>
                <w:b/>
                <w:sz w:val="24"/>
                <w:szCs w:val="20"/>
              </w:rPr>
            </w:pPr>
          </w:p>
        </w:tc>
        <w:tc>
          <w:tcPr>
            <w:tcW w:w="1608" w:type="dxa"/>
          </w:tcPr>
          <w:p w14:paraId="074AEA31">
            <w:pPr>
              <w:jc w:val="center"/>
              <w:rPr>
                <w:rFonts w:ascii="Times New Roman" w:hAnsi="Times New Roman" w:eastAsia="宋体" w:cs="Times New Roman"/>
                <w:b/>
                <w:sz w:val="24"/>
                <w:szCs w:val="20"/>
              </w:rPr>
            </w:pPr>
          </w:p>
        </w:tc>
      </w:tr>
      <w:tr w14:paraId="2283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AC8CE13">
            <w:pPr>
              <w:jc w:val="center"/>
              <w:rPr>
                <w:rFonts w:ascii="Times New Roman" w:hAnsi="Times New Roman" w:eastAsia="宋体" w:cs="Times New Roman"/>
                <w:b/>
                <w:sz w:val="24"/>
                <w:szCs w:val="20"/>
              </w:rPr>
            </w:pPr>
          </w:p>
        </w:tc>
        <w:tc>
          <w:tcPr>
            <w:tcW w:w="3449" w:type="dxa"/>
          </w:tcPr>
          <w:p w14:paraId="64D812BD">
            <w:pPr>
              <w:jc w:val="center"/>
              <w:rPr>
                <w:rFonts w:ascii="Times New Roman" w:hAnsi="Times New Roman" w:eastAsia="宋体" w:cs="Times New Roman"/>
                <w:b/>
                <w:sz w:val="24"/>
                <w:szCs w:val="20"/>
              </w:rPr>
            </w:pPr>
          </w:p>
        </w:tc>
        <w:tc>
          <w:tcPr>
            <w:tcW w:w="2414" w:type="dxa"/>
          </w:tcPr>
          <w:p w14:paraId="2C14A651">
            <w:pPr>
              <w:jc w:val="center"/>
              <w:rPr>
                <w:rFonts w:ascii="Times New Roman" w:hAnsi="Times New Roman" w:eastAsia="宋体" w:cs="Times New Roman"/>
                <w:b/>
                <w:sz w:val="24"/>
                <w:szCs w:val="20"/>
              </w:rPr>
            </w:pPr>
          </w:p>
        </w:tc>
        <w:tc>
          <w:tcPr>
            <w:tcW w:w="1608" w:type="dxa"/>
          </w:tcPr>
          <w:p w14:paraId="1F90E585">
            <w:pPr>
              <w:jc w:val="center"/>
              <w:rPr>
                <w:rFonts w:ascii="Times New Roman" w:hAnsi="Times New Roman" w:eastAsia="宋体" w:cs="Times New Roman"/>
                <w:b/>
                <w:sz w:val="24"/>
                <w:szCs w:val="20"/>
              </w:rPr>
            </w:pPr>
          </w:p>
        </w:tc>
      </w:tr>
      <w:tr w14:paraId="75C0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AD812F1">
            <w:pPr>
              <w:jc w:val="center"/>
              <w:rPr>
                <w:rFonts w:ascii="Times New Roman" w:hAnsi="Times New Roman" w:eastAsia="宋体" w:cs="Times New Roman"/>
                <w:b/>
                <w:sz w:val="24"/>
                <w:szCs w:val="20"/>
              </w:rPr>
            </w:pPr>
          </w:p>
        </w:tc>
        <w:tc>
          <w:tcPr>
            <w:tcW w:w="3449" w:type="dxa"/>
          </w:tcPr>
          <w:p w14:paraId="24158B7E">
            <w:pPr>
              <w:jc w:val="center"/>
              <w:rPr>
                <w:rFonts w:ascii="Times New Roman" w:hAnsi="Times New Roman" w:eastAsia="宋体" w:cs="Times New Roman"/>
                <w:b/>
                <w:sz w:val="24"/>
                <w:szCs w:val="20"/>
              </w:rPr>
            </w:pPr>
          </w:p>
        </w:tc>
        <w:tc>
          <w:tcPr>
            <w:tcW w:w="2414" w:type="dxa"/>
          </w:tcPr>
          <w:p w14:paraId="23EBCB9E">
            <w:pPr>
              <w:jc w:val="center"/>
              <w:rPr>
                <w:rFonts w:ascii="Times New Roman" w:hAnsi="Times New Roman" w:eastAsia="宋体" w:cs="Times New Roman"/>
                <w:b/>
                <w:sz w:val="24"/>
                <w:szCs w:val="20"/>
              </w:rPr>
            </w:pPr>
          </w:p>
        </w:tc>
        <w:tc>
          <w:tcPr>
            <w:tcW w:w="1608" w:type="dxa"/>
          </w:tcPr>
          <w:p w14:paraId="63362BD3">
            <w:pPr>
              <w:jc w:val="center"/>
              <w:rPr>
                <w:rFonts w:ascii="Times New Roman" w:hAnsi="Times New Roman" w:eastAsia="宋体" w:cs="Times New Roman"/>
                <w:b/>
                <w:sz w:val="24"/>
                <w:szCs w:val="20"/>
              </w:rPr>
            </w:pPr>
          </w:p>
        </w:tc>
      </w:tr>
      <w:tr w14:paraId="251A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FFE4DB9">
            <w:pPr>
              <w:jc w:val="center"/>
              <w:rPr>
                <w:rFonts w:ascii="Times New Roman" w:hAnsi="Times New Roman" w:eastAsia="宋体" w:cs="Times New Roman"/>
                <w:b/>
                <w:sz w:val="24"/>
                <w:szCs w:val="20"/>
              </w:rPr>
            </w:pPr>
          </w:p>
        </w:tc>
        <w:tc>
          <w:tcPr>
            <w:tcW w:w="3449" w:type="dxa"/>
          </w:tcPr>
          <w:p w14:paraId="0EE7C0A5">
            <w:pPr>
              <w:jc w:val="center"/>
              <w:rPr>
                <w:rFonts w:ascii="Times New Roman" w:hAnsi="Times New Roman" w:eastAsia="宋体" w:cs="Times New Roman"/>
                <w:b/>
                <w:sz w:val="24"/>
                <w:szCs w:val="20"/>
              </w:rPr>
            </w:pPr>
          </w:p>
        </w:tc>
        <w:tc>
          <w:tcPr>
            <w:tcW w:w="2414" w:type="dxa"/>
          </w:tcPr>
          <w:p w14:paraId="33D2AE0F">
            <w:pPr>
              <w:jc w:val="center"/>
              <w:rPr>
                <w:rFonts w:ascii="Times New Roman" w:hAnsi="Times New Roman" w:eastAsia="宋体" w:cs="Times New Roman"/>
                <w:b/>
                <w:sz w:val="24"/>
                <w:szCs w:val="20"/>
              </w:rPr>
            </w:pPr>
          </w:p>
        </w:tc>
        <w:tc>
          <w:tcPr>
            <w:tcW w:w="1608" w:type="dxa"/>
          </w:tcPr>
          <w:p w14:paraId="15067503">
            <w:pPr>
              <w:jc w:val="center"/>
              <w:rPr>
                <w:rFonts w:ascii="Times New Roman" w:hAnsi="Times New Roman" w:eastAsia="宋体" w:cs="Times New Roman"/>
                <w:b/>
                <w:sz w:val="24"/>
                <w:szCs w:val="20"/>
              </w:rPr>
            </w:pPr>
          </w:p>
        </w:tc>
      </w:tr>
      <w:tr w14:paraId="19AF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B2B65A">
            <w:pPr>
              <w:jc w:val="center"/>
              <w:rPr>
                <w:rFonts w:ascii="Times New Roman" w:hAnsi="Times New Roman" w:eastAsia="宋体" w:cs="Times New Roman"/>
                <w:b/>
                <w:sz w:val="24"/>
                <w:szCs w:val="20"/>
              </w:rPr>
            </w:pPr>
          </w:p>
        </w:tc>
        <w:tc>
          <w:tcPr>
            <w:tcW w:w="3449" w:type="dxa"/>
          </w:tcPr>
          <w:p w14:paraId="4EA7B1E4">
            <w:pPr>
              <w:jc w:val="center"/>
              <w:rPr>
                <w:rFonts w:ascii="Times New Roman" w:hAnsi="Times New Roman" w:eastAsia="宋体" w:cs="Times New Roman"/>
                <w:b/>
                <w:sz w:val="24"/>
                <w:szCs w:val="20"/>
              </w:rPr>
            </w:pPr>
          </w:p>
        </w:tc>
        <w:tc>
          <w:tcPr>
            <w:tcW w:w="2414" w:type="dxa"/>
          </w:tcPr>
          <w:p w14:paraId="6199DCA9">
            <w:pPr>
              <w:jc w:val="center"/>
              <w:rPr>
                <w:rFonts w:ascii="Times New Roman" w:hAnsi="Times New Roman" w:eastAsia="宋体" w:cs="Times New Roman"/>
                <w:b/>
                <w:sz w:val="24"/>
                <w:szCs w:val="20"/>
              </w:rPr>
            </w:pPr>
          </w:p>
        </w:tc>
        <w:tc>
          <w:tcPr>
            <w:tcW w:w="1608" w:type="dxa"/>
          </w:tcPr>
          <w:p w14:paraId="58C95BB7">
            <w:pPr>
              <w:jc w:val="center"/>
              <w:rPr>
                <w:rFonts w:ascii="Times New Roman" w:hAnsi="Times New Roman" w:eastAsia="宋体" w:cs="Times New Roman"/>
                <w:b/>
                <w:sz w:val="24"/>
                <w:szCs w:val="20"/>
              </w:rPr>
            </w:pPr>
          </w:p>
        </w:tc>
      </w:tr>
      <w:tr w14:paraId="7F2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4DE4B0">
            <w:pPr>
              <w:jc w:val="center"/>
              <w:rPr>
                <w:rFonts w:ascii="Times New Roman" w:hAnsi="Times New Roman" w:eastAsia="宋体" w:cs="Times New Roman"/>
                <w:b/>
                <w:sz w:val="24"/>
                <w:szCs w:val="20"/>
              </w:rPr>
            </w:pPr>
          </w:p>
        </w:tc>
        <w:tc>
          <w:tcPr>
            <w:tcW w:w="3449" w:type="dxa"/>
          </w:tcPr>
          <w:p w14:paraId="036707FA">
            <w:pPr>
              <w:jc w:val="center"/>
              <w:rPr>
                <w:rFonts w:ascii="Times New Roman" w:hAnsi="Times New Roman" w:eastAsia="宋体" w:cs="Times New Roman"/>
                <w:b/>
                <w:sz w:val="24"/>
                <w:szCs w:val="20"/>
              </w:rPr>
            </w:pPr>
          </w:p>
        </w:tc>
        <w:tc>
          <w:tcPr>
            <w:tcW w:w="2414" w:type="dxa"/>
          </w:tcPr>
          <w:p w14:paraId="32CD09D3">
            <w:pPr>
              <w:jc w:val="center"/>
              <w:rPr>
                <w:rFonts w:ascii="Times New Roman" w:hAnsi="Times New Roman" w:eastAsia="宋体" w:cs="Times New Roman"/>
                <w:b/>
                <w:sz w:val="24"/>
                <w:szCs w:val="20"/>
              </w:rPr>
            </w:pPr>
          </w:p>
        </w:tc>
        <w:tc>
          <w:tcPr>
            <w:tcW w:w="1608" w:type="dxa"/>
          </w:tcPr>
          <w:p w14:paraId="409BE5C9">
            <w:pPr>
              <w:jc w:val="center"/>
              <w:rPr>
                <w:rFonts w:ascii="Times New Roman" w:hAnsi="Times New Roman" w:eastAsia="宋体" w:cs="Times New Roman"/>
                <w:b/>
                <w:sz w:val="24"/>
                <w:szCs w:val="20"/>
              </w:rPr>
            </w:pPr>
          </w:p>
        </w:tc>
      </w:tr>
      <w:tr w14:paraId="4CDE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49B6861">
            <w:pPr>
              <w:jc w:val="center"/>
              <w:rPr>
                <w:rFonts w:ascii="Times New Roman" w:hAnsi="Times New Roman" w:eastAsia="宋体" w:cs="Times New Roman"/>
                <w:b/>
                <w:sz w:val="24"/>
                <w:szCs w:val="20"/>
              </w:rPr>
            </w:pPr>
          </w:p>
        </w:tc>
        <w:tc>
          <w:tcPr>
            <w:tcW w:w="3449" w:type="dxa"/>
          </w:tcPr>
          <w:p w14:paraId="33C3E461">
            <w:pPr>
              <w:jc w:val="center"/>
              <w:rPr>
                <w:rFonts w:ascii="Times New Roman" w:hAnsi="Times New Roman" w:eastAsia="宋体" w:cs="Times New Roman"/>
                <w:b/>
                <w:sz w:val="24"/>
                <w:szCs w:val="20"/>
              </w:rPr>
            </w:pPr>
          </w:p>
        </w:tc>
        <w:tc>
          <w:tcPr>
            <w:tcW w:w="2414" w:type="dxa"/>
          </w:tcPr>
          <w:p w14:paraId="1CA23CF9">
            <w:pPr>
              <w:jc w:val="center"/>
              <w:rPr>
                <w:rFonts w:ascii="Times New Roman" w:hAnsi="Times New Roman" w:eastAsia="宋体" w:cs="Times New Roman"/>
                <w:b/>
                <w:sz w:val="24"/>
                <w:szCs w:val="20"/>
              </w:rPr>
            </w:pPr>
          </w:p>
        </w:tc>
        <w:tc>
          <w:tcPr>
            <w:tcW w:w="1608" w:type="dxa"/>
          </w:tcPr>
          <w:p w14:paraId="09733793">
            <w:pPr>
              <w:jc w:val="center"/>
              <w:rPr>
                <w:rFonts w:ascii="Times New Roman" w:hAnsi="Times New Roman" w:eastAsia="宋体" w:cs="Times New Roman"/>
                <w:b/>
                <w:sz w:val="24"/>
                <w:szCs w:val="20"/>
              </w:rPr>
            </w:pPr>
          </w:p>
        </w:tc>
      </w:tr>
      <w:tr w14:paraId="2FE3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EB5EEB">
            <w:pPr>
              <w:jc w:val="center"/>
              <w:rPr>
                <w:rFonts w:ascii="Times New Roman" w:hAnsi="Times New Roman" w:eastAsia="宋体" w:cs="Times New Roman"/>
                <w:b/>
                <w:sz w:val="24"/>
                <w:szCs w:val="20"/>
              </w:rPr>
            </w:pPr>
          </w:p>
        </w:tc>
        <w:tc>
          <w:tcPr>
            <w:tcW w:w="3449" w:type="dxa"/>
          </w:tcPr>
          <w:p w14:paraId="1943E96C">
            <w:pPr>
              <w:jc w:val="center"/>
              <w:rPr>
                <w:rFonts w:ascii="Times New Roman" w:hAnsi="Times New Roman" w:eastAsia="宋体" w:cs="Times New Roman"/>
                <w:b/>
                <w:sz w:val="24"/>
                <w:szCs w:val="20"/>
              </w:rPr>
            </w:pPr>
          </w:p>
        </w:tc>
        <w:tc>
          <w:tcPr>
            <w:tcW w:w="2414" w:type="dxa"/>
          </w:tcPr>
          <w:p w14:paraId="2BD024A3">
            <w:pPr>
              <w:jc w:val="center"/>
              <w:rPr>
                <w:rFonts w:ascii="Times New Roman" w:hAnsi="Times New Roman" w:eastAsia="宋体" w:cs="Times New Roman"/>
                <w:b/>
                <w:sz w:val="24"/>
                <w:szCs w:val="20"/>
              </w:rPr>
            </w:pPr>
          </w:p>
        </w:tc>
        <w:tc>
          <w:tcPr>
            <w:tcW w:w="1608" w:type="dxa"/>
          </w:tcPr>
          <w:p w14:paraId="67C2274E">
            <w:pPr>
              <w:jc w:val="center"/>
              <w:rPr>
                <w:rFonts w:ascii="Times New Roman" w:hAnsi="Times New Roman" w:eastAsia="宋体" w:cs="Times New Roman"/>
                <w:b/>
                <w:sz w:val="24"/>
                <w:szCs w:val="20"/>
              </w:rPr>
            </w:pPr>
          </w:p>
        </w:tc>
      </w:tr>
    </w:tbl>
    <w:p w14:paraId="7C1ABFF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64B2F05">
      <w:pPr>
        <w:spacing w:line="660" w:lineRule="exact"/>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747E19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none"/>
        </w:rPr>
        <w:t xml:space="preserve"> 202</w:t>
      </w:r>
      <w:r>
        <w:rPr>
          <w:rFonts w:hint="eastAsia"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rPr>
        <w:t>年1月1日</w:t>
      </w:r>
      <w:r>
        <w:rPr>
          <w:rFonts w:hint="eastAsia" w:ascii="Times New Roman" w:hAnsi="Times New Roman" w:eastAsia="宋体" w:cs="Times New Roman"/>
          <w:b/>
          <w:bCs/>
          <w:color w:val="000000"/>
          <w:sz w:val="24"/>
          <w:szCs w:val="24"/>
        </w:rPr>
        <w:t>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highlight w:val="none"/>
        </w:rPr>
        <w:t>：</w:t>
      </w:r>
      <w:r>
        <w:rPr>
          <w:rFonts w:hint="eastAsia" w:ascii="宋体" w:hAnsi="宋体" w:eastAsia="宋体" w:cs="Times New Roman"/>
          <w:b w:val="0"/>
          <w:bCs w:val="0"/>
          <w:color w:val="000000"/>
          <w:sz w:val="24"/>
          <w:szCs w:val="24"/>
          <w:highlight w:val="none"/>
          <w:u w:val="single"/>
          <w:lang w:eastAsia="zh-CN"/>
        </w:rPr>
        <w:t>转向伸缩轴总成工序能力提升项目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30"/>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7C283A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657C40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rPr>
            </w:pPr>
          </w:p>
        </w:tc>
        <w:tc>
          <w:tcPr>
            <w:tcW w:w="2082" w:type="dxa"/>
          </w:tcPr>
          <w:p w14:paraId="02E490BF">
            <w:pPr>
              <w:ind w:left="420" w:hanging="420"/>
              <w:rPr>
                <w:rFonts w:ascii="宋体" w:hAnsi="Times New Roman" w:eastAsia="宋体" w:cs="Times New Roman"/>
                <w:b/>
                <w:szCs w:val="20"/>
              </w:rPr>
            </w:pPr>
          </w:p>
        </w:tc>
        <w:tc>
          <w:tcPr>
            <w:tcW w:w="1355" w:type="dxa"/>
          </w:tcPr>
          <w:p w14:paraId="1591A809">
            <w:pPr>
              <w:ind w:left="420" w:hanging="420"/>
              <w:rPr>
                <w:rFonts w:ascii="宋体" w:hAnsi="Times New Roman" w:eastAsia="宋体" w:cs="Times New Roman"/>
                <w:b/>
                <w:szCs w:val="20"/>
              </w:rPr>
            </w:pPr>
          </w:p>
        </w:tc>
        <w:tc>
          <w:tcPr>
            <w:tcW w:w="1320" w:type="dxa"/>
          </w:tcPr>
          <w:p w14:paraId="0FE8210A">
            <w:pPr>
              <w:ind w:left="420" w:hanging="420"/>
              <w:rPr>
                <w:rFonts w:ascii="宋体" w:hAnsi="Times New Roman" w:eastAsia="宋体" w:cs="Times New Roman"/>
                <w:b/>
                <w:szCs w:val="20"/>
              </w:rPr>
            </w:pPr>
          </w:p>
        </w:tc>
        <w:tc>
          <w:tcPr>
            <w:tcW w:w="1023" w:type="dxa"/>
          </w:tcPr>
          <w:p w14:paraId="574836DA">
            <w:pPr>
              <w:ind w:left="420" w:hanging="420"/>
              <w:rPr>
                <w:rFonts w:ascii="宋体" w:hAnsi="Times New Roman" w:eastAsia="宋体" w:cs="Times New Roman"/>
                <w:b/>
                <w:szCs w:val="20"/>
              </w:rPr>
            </w:pPr>
          </w:p>
        </w:tc>
        <w:tc>
          <w:tcPr>
            <w:tcW w:w="1590" w:type="dxa"/>
          </w:tcPr>
          <w:p w14:paraId="086D2835">
            <w:pPr>
              <w:ind w:left="420" w:hanging="420"/>
              <w:rPr>
                <w:rFonts w:ascii="宋体" w:hAnsi="Times New Roman" w:eastAsia="宋体" w:cs="Times New Roman"/>
                <w:b/>
                <w:szCs w:val="20"/>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rPr>
            </w:pPr>
          </w:p>
        </w:tc>
        <w:tc>
          <w:tcPr>
            <w:tcW w:w="2082" w:type="dxa"/>
          </w:tcPr>
          <w:p w14:paraId="73AA90C4">
            <w:pPr>
              <w:ind w:left="420" w:hanging="420"/>
              <w:rPr>
                <w:rFonts w:ascii="宋体" w:hAnsi="Times New Roman" w:eastAsia="宋体" w:cs="Times New Roman"/>
                <w:b/>
                <w:szCs w:val="20"/>
              </w:rPr>
            </w:pPr>
          </w:p>
        </w:tc>
        <w:tc>
          <w:tcPr>
            <w:tcW w:w="1355" w:type="dxa"/>
          </w:tcPr>
          <w:p w14:paraId="71809481">
            <w:pPr>
              <w:ind w:left="420" w:hanging="420"/>
              <w:rPr>
                <w:rFonts w:ascii="宋体" w:hAnsi="Times New Roman" w:eastAsia="宋体" w:cs="Times New Roman"/>
                <w:b/>
                <w:szCs w:val="20"/>
              </w:rPr>
            </w:pPr>
          </w:p>
        </w:tc>
        <w:tc>
          <w:tcPr>
            <w:tcW w:w="1320" w:type="dxa"/>
          </w:tcPr>
          <w:p w14:paraId="6CCE08E1">
            <w:pPr>
              <w:ind w:left="420" w:hanging="420"/>
              <w:rPr>
                <w:rFonts w:ascii="宋体" w:hAnsi="Times New Roman" w:eastAsia="宋体" w:cs="Times New Roman"/>
                <w:b/>
                <w:szCs w:val="20"/>
              </w:rPr>
            </w:pPr>
          </w:p>
        </w:tc>
        <w:tc>
          <w:tcPr>
            <w:tcW w:w="1023" w:type="dxa"/>
          </w:tcPr>
          <w:p w14:paraId="37378EDC">
            <w:pPr>
              <w:ind w:left="420" w:hanging="420"/>
              <w:rPr>
                <w:rFonts w:ascii="宋体" w:hAnsi="Times New Roman" w:eastAsia="宋体" w:cs="Times New Roman"/>
                <w:b/>
                <w:szCs w:val="20"/>
              </w:rPr>
            </w:pPr>
          </w:p>
        </w:tc>
        <w:tc>
          <w:tcPr>
            <w:tcW w:w="1590" w:type="dxa"/>
          </w:tcPr>
          <w:p w14:paraId="69704FC8">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D7DFE6">
      <w:pPr>
        <w:rPr>
          <w:rFonts w:ascii="宋体" w:hAnsi="Calibri" w:eastAsia="宋体" w:cs="宋体"/>
          <w:b/>
          <w:bCs/>
          <w:color w:val="000000"/>
          <w:sz w:val="28"/>
        </w:rPr>
      </w:pPr>
    </w:p>
    <w:p w14:paraId="5E00A679">
      <w:pPr>
        <w:rPr>
          <w:rFonts w:ascii="宋体" w:hAnsi="Calibri" w:eastAsia="宋体" w:cs="宋体"/>
          <w:b/>
          <w:bCs/>
          <w:color w:val="000000"/>
          <w:sz w:val="28"/>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highlight w:val="none"/>
        </w:rPr>
      </w:pPr>
      <w:r>
        <w:rPr>
          <w:rFonts w:ascii="宋体" w:hAnsi="宋体" w:eastAsia="宋体" w:cs="Times New Roman"/>
          <w:szCs w:val="20"/>
        </w:rPr>
        <w:t xml:space="preserve">          </w:t>
      </w:r>
      <w:r>
        <w:rPr>
          <w:rFonts w:ascii="宋体" w:hAnsi="宋体" w:eastAsia="宋体" w:cs="Times New Roman"/>
          <w:szCs w:val="20"/>
          <w:highlight w:val="none"/>
        </w:rPr>
        <w:t xml:space="preserve">                                     </w:t>
      </w:r>
    </w:p>
    <w:p w14:paraId="3C0E09DE">
      <w:pPr>
        <w:spacing w:line="360" w:lineRule="auto"/>
        <w:rPr>
          <w:rFonts w:hint="eastAsia" w:ascii="宋体" w:hAnsi="宋体" w:eastAsia="宋体" w:cs="Times New Roman"/>
          <w:sz w:val="24"/>
          <w:szCs w:val="20"/>
          <w:highlight w:val="none"/>
          <w:u w:val="single"/>
          <w:lang w:eastAsia="zh-CN"/>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w:t>
      </w:r>
      <w:r>
        <w:rPr>
          <w:rFonts w:hint="eastAsia" w:ascii="宋体" w:hAnsi="宋体" w:eastAsia="宋体" w:cs="Times New Roman"/>
          <w:b w:val="0"/>
          <w:bCs w:val="0"/>
          <w:color w:val="000000"/>
          <w:sz w:val="24"/>
          <w:szCs w:val="24"/>
          <w:highlight w:val="none"/>
          <w:u w:val="single"/>
          <w:lang w:eastAsia="zh-CN"/>
        </w:rPr>
        <w:t>转向伸缩轴总成工序能力提升项目</w:t>
      </w:r>
    </w:p>
    <w:p w14:paraId="019D66F0">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中国重汽集团济南汽车部件有限公司：</w:t>
      </w:r>
    </w:p>
    <w:p w14:paraId="0E82BE2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EC178">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4D3EECA">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val="0"/>
          <w:bCs w:val="0"/>
          <w:color w:val="000000"/>
          <w:sz w:val="24"/>
          <w:szCs w:val="24"/>
          <w:highlight w:val="none"/>
          <w:u w:val="single"/>
          <w:lang w:eastAsia="zh-CN"/>
        </w:rPr>
        <w:t>转向伸缩轴总成工序能力提升项目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ascii="宋体" w:hAnsi="宋体" w:eastAsia="宋体" w:cs="Times New Roman"/>
                <w:b/>
                <w:bCs/>
                <w:color w:val="000000"/>
                <w:sz w:val="21"/>
                <w:szCs w:val="21"/>
                <w:highlight w:val="none"/>
                <w:u w:val="none"/>
                <w:lang w:eastAsia="zh-CN"/>
              </w:rPr>
              <w:t>转向伸缩轴总成工序能力提升项目</w:t>
            </w:r>
          </w:p>
        </w:tc>
        <w:tc>
          <w:tcPr>
            <w:tcW w:w="848" w:type="dxa"/>
            <w:vAlign w:val="center"/>
          </w:tcPr>
          <w:p w14:paraId="14B69725">
            <w:pPr>
              <w:jc w:val="center"/>
              <w:rPr>
                <w:rFonts w:ascii="Times New Roman" w:hAnsi="Times New Roman" w:eastAsia="宋体" w:cs="Times New Roman"/>
                <w:b/>
                <w:szCs w:val="20"/>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35"/>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35"/>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35"/>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164498C5">
      <w:pPr>
        <w:numPr>
          <w:ilvl w:val="0"/>
          <w:numId w:val="35"/>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14"/>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7002D457">
      <w:pPr>
        <w:pStyle w:val="14"/>
        <w:sectPr>
          <w:pgSz w:w="11906" w:h="16838"/>
          <w:pgMar w:top="1588" w:right="1418" w:bottom="1134" w:left="1418" w:header="851" w:footer="992" w:gutter="0"/>
          <w:cols w:space="720" w:num="1"/>
          <w:titlePg/>
          <w:docGrid w:type="lines" w:linePitch="312" w:charSpace="0"/>
        </w:sectPr>
      </w:pPr>
    </w:p>
    <w:p w14:paraId="266B1DB4">
      <w:pPr>
        <w:pStyle w:val="4"/>
        <w:spacing w:after="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附件9</w:t>
      </w:r>
      <w:r>
        <w:rPr>
          <w:rFonts w:hint="eastAsia" w:ascii="宋体" w:hAnsi="宋体" w:cs="宋体"/>
          <w:color w:val="000000"/>
          <w:sz w:val="24"/>
          <w:szCs w:val="24"/>
          <w:highlight w:val="none"/>
        </w:rPr>
        <w:t xml:space="preserve">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tbl>
      <w:tblPr>
        <w:tblStyle w:val="30"/>
        <w:tblW w:w="850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7"/>
        <w:gridCol w:w="1006"/>
        <w:gridCol w:w="1323"/>
        <w:gridCol w:w="1479"/>
        <w:gridCol w:w="1323"/>
        <w:gridCol w:w="1323"/>
        <w:gridCol w:w="1615"/>
        <w:gridCol w:w="694"/>
      </w:tblGrid>
      <w:tr w14:paraId="11636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26688"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5A60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钢球保持架装配专机报价单</w:t>
            </w:r>
          </w:p>
        </w:tc>
      </w:tr>
      <w:tr w14:paraId="49970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53D801">
            <w:pPr>
              <w:keepNext w:val="0"/>
              <w:keepLines w:val="0"/>
              <w:widowControl/>
              <w:suppressLineNumbers w:val="0"/>
              <w:jc w:val="center"/>
              <w:textAlignment w:val="center"/>
              <w:rPr>
                <w:rFonts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序号</w:t>
            </w:r>
          </w:p>
        </w:tc>
        <w:tc>
          <w:tcPr>
            <w:tcW w:w="2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BB62F7">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项目名称</w:t>
            </w:r>
          </w:p>
        </w:tc>
        <w:tc>
          <w:tcPr>
            <w:tcW w:w="39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C44C59">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规格型号</w:t>
            </w:r>
          </w:p>
        </w:tc>
        <w:tc>
          <w:tcPr>
            <w:tcW w:w="4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F46DF0">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具体参数</w:t>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t>（规格型号的描述）</w:t>
            </w:r>
          </w:p>
        </w:tc>
        <w:tc>
          <w:tcPr>
            <w:tcW w:w="39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F4158F">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品牌（参考）</w:t>
            </w:r>
          </w:p>
        </w:tc>
        <w:tc>
          <w:tcPr>
            <w:tcW w:w="88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528B13">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金额(元)</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75932">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备注</w:t>
            </w:r>
          </w:p>
        </w:tc>
      </w:tr>
      <w:tr w14:paraId="088E3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12C49">
            <w:pPr>
              <w:jc w:val="center"/>
              <w:rPr>
                <w:rFonts w:hint="eastAsia" w:ascii="黑体" w:hAnsi="宋体" w:eastAsia="黑体" w:cs="黑体"/>
                <w:i w:val="0"/>
                <w:iCs w:val="0"/>
                <w:color w:val="000000"/>
                <w:sz w:val="20"/>
                <w:szCs w:val="20"/>
                <w:u w:val="none"/>
              </w:rPr>
            </w:pPr>
          </w:p>
        </w:tc>
        <w:tc>
          <w:tcPr>
            <w:tcW w:w="2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54683">
            <w:pPr>
              <w:jc w:val="center"/>
              <w:rPr>
                <w:rFonts w:hint="eastAsia" w:ascii="黑体" w:hAnsi="宋体" w:eastAsia="黑体" w:cs="黑体"/>
                <w:i w:val="0"/>
                <w:iCs w:val="0"/>
                <w:color w:val="000000"/>
                <w:sz w:val="20"/>
                <w:szCs w:val="20"/>
                <w:u w:val="none"/>
              </w:rPr>
            </w:pPr>
          </w:p>
        </w:tc>
        <w:tc>
          <w:tcPr>
            <w:tcW w:w="3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C6001">
            <w:pPr>
              <w:jc w:val="center"/>
              <w:rPr>
                <w:rFonts w:hint="eastAsia" w:ascii="黑体" w:hAnsi="宋体" w:eastAsia="黑体" w:cs="黑体"/>
                <w:i w:val="0"/>
                <w:iCs w:val="0"/>
                <w:color w:val="000000"/>
                <w:sz w:val="20"/>
                <w:szCs w:val="20"/>
                <w:u w:val="none"/>
              </w:rPr>
            </w:pPr>
          </w:p>
        </w:tc>
        <w:tc>
          <w:tcPr>
            <w:tcW w:w="4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C9F4D">
            <w:pPr>
              <w:jc w:val="center"/>
              <w:rPr>
                <w:rFonts w:hint="eastAsia" w:ascii="黑体" w:hAnsi="宋体" w:eastAsia="黑体" w:cs="黑体"/>
                <w:i w:val="0"/>
                <w:iCs w:val="0"/>
                <w:color w:val="000000"/>
                <w:sz w:val="20"/>
                <w:szCs w:val="20"/>
                <w:u w:val="none"/>
              </w:rPr>
            </w:pPr>
          </w:p>
        </w:tc>
        <w:tc>
          <w:tcPr>
            <w:tcW w:w="3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0C22A">
            <w:pPr>
              <w:jc w:val="center"/>
              <w:rPr>
                <w:rFonts w:hint="eastAsia" w:ascii="黑体" w:hAnsi="宋体" w:eastAsia="黑体" w:cs="黑体"/>
                <w:i w:val="0"/>
                <w:iCs w:val="0"/>
                <w:color w:val="000000"/>
                <w:sz w:val="20"/>
                <w:szCs w:val="20"/>
                <w:u w:val="none"/>
              </w:rPr>
            </w:pP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97337">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未税金额</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B9AE">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含税金额</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1B21">
            <w:pPr>
              <w:jc w:val="center"/>
              <w:rPr>
                <w:rFonts w:hint="eastAsia" w:ascii="黑体" w:hAnsi="宋体" w:eastAsia="黑体" w:cs="黑体"/>
                <w:i w:val="0"/>
                <w:iCs w:val="0"/>
                <w:color w:val="000000"/>
                <w:sz w:val="20"/>
                <w:szCs w:val="20"/>
                <w:u w:val="none"/>
              </w:rPr>
            </w:pPr>
          </w:p>
        </w:tc>
      </w:tr>
      <w:tr w14:paraId="2D697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59198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63095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控制部分</w:t>
            </w: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5C6E1609">
            <w:pPr>
              <w:jc w:val="center"/>
              <w:rPr>
                <w:rFonts w:hint="eastAsia" w:ascii="宋体" w:hAnsi="宋体" w:eastAsia="宋体" w:cs="宋体"/>
                <w:i w:val="0"/>
                <w:iCs w:val="0"/>
                <w:color w:val="000000"/>
                <w:sz w:val="20"/>
                <w:szCs w:val="20"/>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2112832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74CAD2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F74847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E160ED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58535">
            <w:pPr>
              <w:rPr>
                <w:rFonts w:hint="eastAsia" w:ascii="宋体" w:hAnsi="宋体" w:eastAsia="宋体" w:cs="宋体"/>
                <w:i w:val="0"/>
                <w:iCs w:val="0"/>
                <w:color w:val="000000"/>
                <w:sz w:val="20"/>
                <w:szCs w:val="20"/>
                <w:u w:val="none"/>
              </w:rPr>
            </w:pPr>
          </w:p>
        </w:tc>
      </w:tr>
      <w:tr w14:paraId="07F52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C96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21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触摸显示屏</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3D9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HMI-GP100T</w:t>
            </w: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85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10寸</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56A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步科</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6F27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8252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D9274">
            <w:pPr>
              <w:rPr>
                <w:rFonts w:hint="eastAsia" w:ascii="宋体" w:hAnsi="宋体" w:eastAsia="宋体" w:cs="宋体"/>
                <w:i w:val="0"/>
                <w:iCs w:val="0"/>
                <w:color w:val="000000"/>
                <w:sz w:val="20"/>
                <w:szCs w:val="20"/>
                <w:u w:val="none"/>
              </w:rPr>
            </w:pPr>
          </w:p>
        </w:tc>
      </w:tr>
      <w:tr w14:paraId="5AD66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7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25B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广告机</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03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LY-21.5</w:t>
            </w: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7E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21.5寸</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358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40EA">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6800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9BC38">
            <w:pPr>
              <w:rPr>
                <w:rFonts w:hint="eastAsia" w:ascii="宋体" w:hAnsi="宋体" w:eastAsia="宋体" w:cs="宋体"/>
                <w:i w:val="0"/>
                <w:iCs w:val="0"/>
                <w:color w:val="000000"/>
                <w:sz w:val="20"/>
                <w:szCs w:val="20"/>
                <w:u w:val="none"/>
              </w:rPr>
            </w:pPr>
          </w:p>
        </w:tc>
      </w:tr>
      <w:tr w14:paraId="03F09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5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3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工业PLC及模块</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48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6ES7</w:t>
            </w: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85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6ES7</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7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03A34">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FC63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704F7">
            <w:pPr>
              <w:rPr>
                <w:rFonts w:hint="eastAsia" w:ascii="宋体" w:hAnsi="宋体" w:eastAsia="宋体" w:cs="宋体"/>
                <w:i w:val="0"/>
                <w:iCs w:val="0"/>
                <w:color w:val="000000"/>
                <w:sz w:val="20"/>
                <w:szCs w:val="20"/>
                <w:u w:val="none"/>
              </w:rPr>
            </w:pPr>
          </w:p>
        </w:tc>
      </w:tr>
      <w:tr w14:paraId="01791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77F426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FD3A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电气部分</w:t>
            </w:r>
          </w:p>
        </w:tc>
        <w:tc>
          <w:tcPr>
            <w:tcW w:w="0" w:type="auto"/>
            <w:tcBorders>
              <w:top w:val="single" w:color="000000" w:sz="4" w:space="0"/>
              <w:left w:val="single" w:color="000000" w:sz="4" w:space="0"/>
              <w:bottom w:val="nil"/>
              <w:right w:val="single" w:color="000000" w:sz="4" w:space="0"/>
            </w:tcBorders>
            <w:shd w:val="clear" w:color="auto" w:fill="FFFF00"/>
            <w:noWrap/>
            <w:vAlign w:val="center"/>
          </w:tcPr>
          <w:p w14:paraId="7157B3BA">
            <w:pPr>
              <w:jc w:val="center"/>
              <w:rPr>
                <w:rFonts w:hint="eastAsia" w:ascii="宋体" w:hAnsi="宋体" w:eastAsia="宋体" w:cs="宋体"/>
                <w:i w:val="0"/>
                <w:iCs w:val="0"/>
                <w:color w:val="000000"/>
                <w:sz w:val="20"/>
                <w:szCs w:val="20"/>
                <w:u w:val="none"/>
              </w:rPr>
            </w:pPr>
          </w:p>
        </w:tc>
        <w:tc>
          <w:tcPr>
            <w:tcW w:w="4440" w:type="dxa"/>
            <w:tcBorders>
              <w:top w:val="single" w:color="000000" w:sz="4" w:space="0"/>
              <w:left w:val="single" w:color="000000" w:sz="4" w:space="0"/>
              <w:bottom w:val="nil"/>
              <w:right w:val="single" w:color="000000" w:sz="4" w:space="0"/>
            </w:tcBorders>
            <w:shd w:val="clear" w:color="auto" w:fill="FFFF00"/>
            <w:vAlign w:val="center"/>
          </w:tcPr>
          <w:p w14:paraId="2ED74CF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nil"/>
              <w:right w:val="single" w:color="000000" w:sz="4" w:space="0"/>
            </w:tcBorders>
            <w:shd w:val="clear" w:color="auto" w:fill="FFFF00"/>
            <w:noWrap/>
            <w:vAlign w:val="center"/>
          </w:tcPr>
          <w:p w14:paraId="632FDC1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nil"/>
              <w:right w:val="single" w:color="000000" w:sz="4" w:space="0"/>
            </w:tcBorders>
            <w:shd w:val="clear" w:color="auto" w:fill="FFFF00"/>
            <w:noWrap/>
            <w:vAlign w:val="center"/>
          </w:tcPr>
          <w:p w14:paraId="623EB4A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95622B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DECC0">
            <w:pPr>
              <w:rPr>
                <w:rFonts w:hint="eastAsia" w:ascii="宋体" w:hAnsi="宋体" w:eastAsia="宋体" w:cs="宋体"/>
                <w:i w:val="0"/>
                <w:iCs w:val="0"/>
                <w:color w:val="000000"/>
                <w:sz w:val="20"/>
                <w:szCs w:val="20"/>
                <w:u w:val="none"/>
              </w:rPr>
            </w:pPr>
          </w:p>
        </w:tc>
      </w:tr>
      <w:tr w14:paraId="55B81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7D2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41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闭环控制电路，电器控制</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7B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6ES7，KF10</w:t>
            </w: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8F1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数字量模块6ES7，数字量输入模块6ES7，5口百兆交换机KF10</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DB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施耐德</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FF0E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A4EE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8F9DA">
            <w:pPr>
              <w:rPr>
                <w:rFonts w:hint="eastAsia" w:ascii="宋体" w:hAnsi="宋体" w:eastAsia="宋体" w:cs="宋体"/>
                <w:i w:val="0"/>
                <w:iCs w:val="0"/>
                <w:color w:val="000000"/>
                <w:sz w:val="20"/>
                <w:szCs w:val="20"/>
                <w:u w:val="none"/>
              </w:rPr>
            </w:pPr>
          </w:p>
        </w:tc>
      </w:tr>
      <w:tr w14:paraId="11405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B5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16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电器附件</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6D2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VCF，IC6，LC1，GV2，GVA，M2A，B2BW，B2BW，BD21，BVB3，VGB</w:t>
            </w: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B5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主控开关VCF，空气开关IC6，交流接触器LC1，马达保护器GV2，马达保护器触点GVA，中间继电器M2A，带灯按钮(绿）B2BW，带灯按钮（红）B2BW，手自动转换按钮BD21，信号指示灯(绿）BVB3，柱状信号灯VGB</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47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施耐德</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3AAEE">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E48B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5F5A8">
            <w:pPr>
              <w:rPr>
                <w:rFonts w:hint="eastAsia" w:ascii="宋体" w:hAnsi="宋体" w:eastAsia="宋体" w:cs="宋体"/>
                <w:i w:val="0"/>
                <w:iCs w:val="0"/>
                <w:color w:val="000000"/>
                <w:sz w:val="20"/>
                <w:szCs w:val="20"/>
                <w:u w:val="none"/>
              </w:rPr>
            </w:pPr>
          </w:p>
        </w:tc>
      </w:tr>
      <w:tr w14:paraId="419C8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C5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0C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光电开关</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98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E32-1 2M，E3NX-2 2M，EE-674，IME08-02L，DOLD-082M</w:t>
            </w: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95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欧姆龙/易福门/西克：E32-1 2M，E3NX-2 2M，EE-674，IME08-02L，DOLD-082M</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D65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欧姆龙/易福门</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3CE6">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5594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D0358">
            <w:pPr>
              <w:rPr>
                <w:rFonts w:hint="eastAsia" w:ascii="宋体" w:hAnsi="宋体" w:eastAsia="宋体" w:cs="宋体"/>
                <w:i w:val="0"/>
                <w:iCs w:val="0"/>
                <w:color w:val="000000"/>
                <w:sz w:val="20"/>
                <w:szCs w:val="20"/>
                <w:u w:val="none"/>
              </w:rPr>
            </w:pPr>
          </w:p>
        </w:tc>
      </w:tr>
      <w:tr w14:paraId="7D27C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C8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E7F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步进电机及驱动器</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F8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60CME30K</w:t>
            </w: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4F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雷赛：60CME30K(配区动器及电源、线缆5m）</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86C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雷赛</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304F">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EC24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9E3C3">
            <w:pPr>
              <w:rPr>
                <w:rFonts w:hint="eastAsia" w:ascii="宋体" w:hAnsi="宋体" w:eastAsia="宋体" w:cs="宋体"/>
                <w:i w:val="0"/>
                <w:iCs w:val="0"/>
                <w:color w:val="000000"/>
                <w:sz w:val="20"/>
                <w:szCs w:val="20"/>
                <w:u w:val="none"/>
              </w:rPr>
            </w:pPr>
          </w:p>
        </w:tc>
      </w:tr>
      <w:tr w14:paraId="2416D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21"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1F1D9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w:t>
            </w: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FBCA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机械部分</w:t>
            </w:r>
          </w:p>
        </w:tc>
        <w:tc>
          <w:tcPr>
            <w:tcW w:w="0" w:type="auto"/>
            <w:tcBorders>
              <w:top w:val="single" w:color="000000" w:sz="4" w:space="0"/>
              <w:left w:val="single" w:color="000000" w:sz="4" w:space="0"/>
              <w:bottom w:val="nil"/>
              <w:right w:val="single" w:color="000000" w:sz="4" w:space="0"/>
            </w:tcBorders>
            <w:shd w:val="clear" w:color="auto" w:fill="FFFF00"/>
            <w:noWrap/>
            <w:vAlign w:val="center"/>
          </w:tcPr>
          <w:p w14:paraId="0946FEC9">
            <w:pPr>
              <w:jc w:val="center"/>
              <w:rPr>
                <w:rFonts w:hint="eastAsia" w:ascii="宋体" w:hAnsi="宋体" w:eastAsia="宋体" w:cs="宋体"/>
                <w:i w:val="0"/>
                <w:iCs w:val="0"/>
                <w:color w:val="000000"/>
                <w:sz w:val="20"/>
                <w:szCs w:val="20"/>
                <w:u w:val="none"/>
              </w:rPr>
            </w:pPr>
          </w:p>
        </w:tc>
        <w:tc>
          <w:tcPr>
            <w:tcW w:w="4440" w:type="dxa"/>
            <w:tcBorders>
              <w:top w:val="single" w:color="000000" w:sz="4" w:space="0"/>
              <w:left w:val="single" w:color="000000" w:sz="4" w:space="0"/>
              <w:bottom w:val="nil"/>
              <w:right w:val="single" w:color="000000" w:sz="4" w:space="0"/>
            </w:tcBorders>
            <w:shd w:val="clear" w:color="auto" w:fill="FFFF00"/>
            <w:vAlign w:val="center"/>
          </w:tcPr>
          <w:p w14:paraId="4C8A7E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nil"/>
              <w:right w:val="single" w:color="000000" w:sz="4" w:space="0"/>
            </w:tcBorders>
            <w:shd w:val="clear" w:color="auto" w:fill="FFFF00"/>
            <w:noWrap/>
            <w:vAlign w:val="center"/>
          </w:tcPr>
          <w:p w14:paraId="742AFDF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nil"/>
              <w:right w:val="single" w:color="000000" w:sz="4" w:space="0"/>
            </w:tcBorders>
            <w:shd w:val="clear" w:color="auto" w:fill="FFFF00"/>
            <w:noWrap/>
            <w:vAlign w:val="center"/>
          </w:tcPr>
          <w:p w14:paraId="0A350BE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9409E6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7D991">
            <w:pPr>
              <w:rPr>
                <w:rFonts w:hint="eastAsia" w:ascii="宋体" w:hAnsi="宋体" w:eastAsia="宋体" w:cs="宋体"/>
                <w:i w:val="0"/>
                <w:iCs w:val="0"/>
                <w:color w:val="000000"/>
                <w:sz w:val="20"/>
                <w:szCs w:val="20"/>
                <w:u w:val="none"/>
              </w:rPr>
            </w:pPr>
          </w:p>
        </w:tc>
      </w:tr>
      <w:tr w14:paraId="65B70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FCA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6A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焊接安装平台（含钣金）</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DEA3">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D5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2mm钣金喷塑门，2mm钣金喷塑封板、电气板，焊接方管320KG,</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86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F60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3094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29880623">
            <w:pPr>
              <w:rPr>
                <w:rFonts w:hint="eastAsia" w:ascii="宋体" w:hAnsi="宋体" w:eastAsia="宋体" w:cs="宋体"/>
                <w:i w:val="0"/>
                <w:iCs w:val="0"/>
                <w:color w:val="000000"/>
                <w:sz w:val="20"/>
                <w:szCs w:val="20"/>
                <w:u w:val="none"/>
              </w:rPr>
            </w:pPr>
          </w:p>
        </w:tc>
      </w:tr>
      <w:tr w14:paraId="22497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29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13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铝型材架及附件</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BEAB">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A2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4040铝型材台架65m、铝合金铰链，亮银组合门拉手，铝型材专用门磁，80脚轮，5mm有机玻璃封板，扣件</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D3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D735E">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2BC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3D1E789E">
            <w:pPr>
              <w:jc w:val="center"/>
              <w:rPr>
                <w:rFonts w:hint="eastAsia" w:ascii="宋体" w:hAnsi="宋体" w:eastAsia="宋体" w:cs="宋体"/>
                <w:i w:val="0"/>
                <w:iCs w:val="0"/>
                <w:color w:val="000000"/>
                <w:sz w:val="20"/>
                <w:szCs w:val="20"/>
                <w:u w:val="none"/>
              </w:rPr>
            </w:pPr>
          </w:p>
        </w:tc>
      </w:tr>
      <w:tr w14:paraId="0760E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9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96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工作台面板</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1D0C1">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C02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1050*900*25mm镀铬钢板，820*900*20mm镀铬钢板，</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5B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72FB">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860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EF9351D">
            <w:pPr>
              <w:jc w:val="center"/>
              <w:rPr>
                <w:rFonts w:hint="eastAsia" w:ascii="宋体" w:hAnsi="宋体" w:eastAsia="宋体" w:cs="宋体"/>
                <w:i w:val="0"/>
                <w:iCs w:val="0"/>
                <w:color w:val="000000"/>
                <w:sz w:val="20"/>
                <w:szCs w:val="20"/>
                <w:u w:val="none"/>
              </w:rPr>
            </w:pPr>
          </w:p>
        </w:tc>
      </w:tr>
      <w:tr w14:paraId="26A35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27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82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振动盘含调整件</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C8B9D">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026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国产优质：直径650mm,含控制器</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776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984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5397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B7DA49C">
            <w:pPr>
              <w:jc w:val="center"/>
              <w:rPr>
                <w:rFonts w:hint="eastAsia" w:ascii="宋体" w:hAnsi="宋体" w:eastAsia="宋体" w:cs="宋体"/>
                <w:i w:val="0"/>
                <w:iCs w:val="0"/>
                <w:color w:val="000000"/>
                <w:sz w:val="20"/>
                <w:szCs w:val="20"/>
                <w:u w:val="none"/>
              </w:rPr>
            </w:pPr>
          </w:p>
        </w:tc>
      </w:tr>
      <w:tr w14:paraId="32E24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A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405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直线振动器含流道</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AF45">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08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国产优质：穿三甲、亿博、焦大，含控制器</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70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738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9C53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2B37C903">
            <w:pPr>
              <w:jc w:val="center"/>
              <w:rPr>
                <w:rFonts w:hint="eastAsia" w:ascii="宋体" w:hAnsi="宋体" w:eastAsia="宋体" w:cs="宋体"/>
                <w:i w:val="0"/>
                <w:iCs w:val="0"/>
                <w:color w:val="000000"/>
                <w:sz w:val="20"/>
                <w:szCs w:val="20"/>
                <w:u w:val="none"/>
              </w:rPr>
            </w:pPr>
          </w:p>
        </w:tc>
      </w:tr>
      <w:tr w14:paraId="7D1A0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364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E2C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分度盘</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0661">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39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6D带轮配200W刹车马达底部</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72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B5F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A507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6F1E058">
            <w:pPr>
              <w:jc w:val="center"/>
              <w:rPr>
                <w:rFonts w:hint="eastAsia" w:ascii="宋体" w:hAnsi="宋体" w:eastAsia="宋体" w:cs="宋体"/>
                <w:i w:val="0"/>
                <w:iCs w:val="0"/>
                <w:color w:val="000000"/>
                <w:sz w:val="20"/>
                <w:szCs w:val="20"/>
                <w:u w:val="none"/>
              </w:rPr>
            </w:pPr>
          </w:p>
        </w:tc>
      </w:tr>
      <w:tr w14:paraId="13671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81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A24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产品转盘与夹具</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5008B">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40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钢制安装座，钢制转轴，钢制夹具轴，轴承，弹簧，锁紧螺母</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55F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519F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FDA8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550688B">
            <w:pPr>
              <w:jc w:val="center"/>
              <w:rPr>
                <w:rFonts w:hint="eastAsia" w:ascii="宋体" w:hAnsi="宋体" w:eastAsia="宋体" w:cs="宋体"/>
                <w:i w:val="0"/>
                <w:iCs w:val="0"/>
                <w:color w:val="000000"/>
                <w:sz w:val="20"/>
                <w:szCs w:val="20"/>
                <w:u w:val="none"/>
              </w:rPr>
            </w:pPr>
          </w:p>
        </w:tc>
      </w:tr>
      <w:tr w14:paraId="1DF7C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F5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F0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钢珠送料与分料机构</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EF2A4">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7E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5mm有机玻璃板，340*160*20mm镀铬钢板，3根钢制导杆20*420mm，钢制传感器块，钢制气缸安装块，钢制导管座100*120mm，2mm304钣金料斗，钢制气缸连接块，轴承</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BEE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F33A">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0247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B65D748">
            <w:pPr>
              <w:jc w:val="center"/>
              <w:rPr>
                <w:rFonts w:hint="eastAsia" w:ascii="宋体" w:hAnsi="宋体" w:eastAsia="宋体" w:cs="宋体"/>
                <w:i w:val="0"/>
                <w:iCs w:val="0"/>
                <w:color w:val="000000"/>
                <w:sz w:val="20"/>
                <w:szCs w:val="20"/>
                <w:u w:val="none"/>
              </w:rPr>
            </w:pPr>
          </w:p>
        </w:tc>
      </w:tr>
      <w:tr w14:paraId="78F8F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71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A57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分度盘夹具与固定机构</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8D76">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3B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2mm钣金喷塑封板、钢制安装盘20*300mm，250*60*60mm镀铬钢制安装块</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75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AA67">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1CE7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7E8F3F3">
            <w:pPr>
              <w:jc w:val="center"/>
              <w:rPr>
                <w:rFonts w:hint="eastAsia" w:ascii="宋体" w:hAnsi="宋体" w:eastAsia="宋体" w:cs="宋体"/>
                <w:i w:val="0"/>
                <w:iCs w:val="0"/>
                <w:color w:val="000000"/>
                <w:sz w:val="20"/>
                <w:szCs w:val="20"/>
                <w:u w:val="none"/>
              </w:rPr>
            </w:pPr>
          </w:p>
        </w:tc>
      </w:tr>
      <w:tr w14:paraId="17C66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4DF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3.10 </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BA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工位一机构</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9AAF8">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268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150*40*100mm镀铬钢制安装块，160*50*50mm镀铬钢制底座，镀铬钢制限位块，镀铬钢制移动块，铝合金挡板，304挡板，</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20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F0854">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061F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0BECEAA8">
            <w:pPr>
              <w:jc w:val="center"/>
              <w:rPr>
                <w:rFonts w:hint="eastAsia" w:ascii="宋体" w:hAnsi="宋体" w:eastAsia="宋体" w:cs="宋体"/>
                <w:i w:val="0"/>
                <w:iCs w:val="0"/>
                <w:color w:val="000000"/>
                <w:sz w:val="20"/>
                <w:szCs w:val="20"/>
                <w:u w:val="none"/>
              </w:rPr>
            </w:pPr>
          </w:p>
        </w:tc>
      </w:tr>
      <w:tr w14:paraId="3BFE4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7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3.11 </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FC6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工位二机构</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C6F34">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ECC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260*60*60mm镀铬钢制安装块，铝合金笔座气缸板，铝合金笔夹，镀铬钢制气缸安装板，铝合金探针安装板，铝合金探针压板，</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4A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4F56">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176C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0527EBCD">
            <w:pPr>
              <w:jc w:val="center"/>
              <w:rPr>
                <w:rFonts w:hint="eastAsia" w:ascii="宋体" w:hAnsi="宋体" w:eastAsia="宋体" w:cs="宋体"/>
                <w:i w:val="0"/>
                <w:iCs w:val="0"/>
                <w:color w:val="000000"/>
                <w:sz w:val="20"/>
                <w:szCs w:val="20"/>
                <w:u w:val="none"/>
              </w:rPr>
            </w:pPr>
          </w:p>
        </w:tc>
      </w:tr>
      <w:tr w14:paraId="69460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18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3.12 </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F81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工位三机构</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45992">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C44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140*20mm镀铬钢制底座，240*140*20mm镀铬钢制安装，镀铬钢制上料滑板，镀铬钢制钢珠导向块，镀铬钢制旋转轴座，镀铬钢制电机座，镀铬钢制气缸安装板4，镀铬钢制转接料道，2mm钣金喷塑挡板，镀铬钢制防撞安装座</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440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DC5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DFC1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9C240F2">
            <w:pPr>
              <w:jc w:val="center"/>
              <w:rPr>
                <w:rFonts w:hint="eastAsia" w:ascii="宋体" w:hAnsi="宋体" w:eastAsia="宋体" w:cs="宋体"/>
                <w:i w:val="0"/>
                <w:iCs w:val="0"/>
                <w:color w:val="000000"/>
                <w:sz w:val="20"/>
                <w:szCs w:val="20"/>
                <w:u w:val="none"/>
              </w:rPr>
            </w:pPr>
          </w:p>
        </w:tc>
      </w:tr>
      <w:tr w14:paraId="5F288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C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3.13 </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2CE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工位四机构</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57234">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30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140*15mm镀铬钢制检测立板，200*160*15mm镀铬钢制检测底板，100*100*15mm镀铬钢制检测滑板，镀铬钢制旋转轴座，镀铬钢制旋转头，镀铬钢制电机座，镀铬钢制气缸安装板3，镀铬钢制检测滑块2，铝合金接近开关座2，镀铬钢制加强板，铝合金探针座，镀铬钢制气缸安装板，尼龙过度块，绝缘套，镀铬钢制缓冲器座，铝合金探针盖板，镀铬钢制限位垫片</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2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EAD7">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39F4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507A6BE">
            <w:pPr>
              <w:jc w:val="center"/>
              <w:rPr>
                <w:rFonts w:hint="eastAsia" w:ascii="宋体" w:hAnsi="宋体" w:eastAsia="宋体" w:cs="宋体"/>
                <w:i w:val="0"/>
                <w:iCs w:val="0"/>
                <w:color w:val="000000"/>
                <w:sz w:val="20"/>
                <w:szCs w:val="20"/>
                <w:u w:val="none"/>
              </w:rPr>
            </w:pPr>
          </w:p>
        </w:tc>
      </w:tr>
      <w:tr w14:paraId="66F0D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BC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3.14 </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71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工位五机构</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0176D">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D5F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200*100*60mm镀铬钢制底座，2mm钣金喷塑挡料板，镀铬钢制气缸过度板，镀铬钢制拨料块</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13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98E0C">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D527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B35E58E">
            <w:pPr>
              <w:jc w:val="center"/>
              <w:rPr>
                <w:rFonts w:hint="eastAsia" w:ascii="宋体" w:hAnsi="宋体" w:eastAsia="宋体" w:cs="宋体"/>
                <w:i w:val="0"/>
                <w:iCs w:val="0"/>
                <w:color w:val="000000"/>
                <w:sz w:val="20"/>
                <w:szCs w:val="20"/>
                <w:u w:val="none"/>
              </w:rPr>
            </w:pPr>
          </w:p>
        </w:tc>
      </w:tr>
      <w:tr w14:paraId="54889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0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3.15 </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16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工位六机构</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24642">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29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2mm钣金喷塑废料盒，200*100*60mm镀铬钢制底座，镀铬钢制气缸过度板，镀铬钢制拨料块</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20A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124B">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E15A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61BCBF2C">
            <w:pPr>
              <w:jc w:val="center"/>
              <w:rPr>
                <w:rFonts w:hint="eastAsia" w:ascii="宋体" w:hAnsi="宋体" w:eastAsia="宋体" w:cs="宋体"/>
                <w:i w:val="0"/>
                <w:iCs w:val="0"/>
                <w:color w:val="000000"/>
                <w:sz w:val="20"/>
                <w:szCs w:val="20"/>
                <w:u w:val="none"/>
              </w:rPr>
            </w:pPr>
          </w:p>
        </w:tc>
      </w:tr>
      <w:tr w14:paraId="25D6B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1C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3.16 </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289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下料流道结构</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3BD1B">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08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2mm钣金导料槽，2mm钣金下料挡板</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96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F77A8">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77DC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23A6E32">
            <w:pPr>
              <w:jc w:val="center"/>
              <w:rPr>
                <w:rFonts w:hint="eastAsia" w:ascii="宋体" w:hAnsi="宋体" w:eastAsia="宋体" w:cs="宋体"/>
                <w:i w:val="0"/>
                <w:iCs w:val="0"/>
                <w:color w:val="000000"/>
                <w:sz w:val="20"/>
                <w:szCs w:val="20"/>
                <w:u w:val="none"/>
              </w:rPr>
            </w:pPr>
          </w:p>
        </w:tc>
      </w:tr>
      <w:tr w14:paraId="593A0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2E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3.17 </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B7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气动元件及辅件</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D023">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B4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气缸，磁性开关，浮动接头，缓冲器，电磁阀4V210，手滑阀HSV10，三联件GFC300，节流阀ASL06，螺纹直通APC06，气枪AGL，透明气管外径φ8内径φ5</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26F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smc/亚德客</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B72A0">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FFDF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29347B0">
            <w:pPr>
              <w:jc w:val="center"/>
              <w:rPr>
                <w:rFonts w:hint="eastAsia" w:ascii="宋体" w:hAnsi="宋体" w:eastAsia="宋体" w:cs="宋体"/>
                <w:i w:val="0"/>
                <w:iCs w:val="0"/>
                <w:color w:val="000000"/>
                <w:sz w:val="20"/>
                <w:szCs w:val="20"/>
                <w:u w:val="none"/>
              </w:rPr>
            </w:pPr>
          </w:p>
        </w:tc>
      </w:tr>
      <w:tr w14:paraId="11E5A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52E9E7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20161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设计费用</w:t>
            </w: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FDF32C9">
            <w:pPr>
              <w:jc w:val="center"/>
              <w:rPr>
                <w:rFonts w:hint="eastAsia" w:ascii="宋体" w:hAnsi="宋体" w:eastAsia="宋体" w:cs="宋体"/>
                <w:i w:val="0"/>
                <w:iCs w:val="0"/>
                <w:color w:val="000000"/>
                <w:sz w:val="20"/>
                <w:szCs w:val="20"/>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12BBF32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1BFB82C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7243865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540A42B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E448E">
            <w:pPr>
              <w:rPr>
                <w:rFonts w:hint="eastAsia" w:ascii="宋体" w:hAnsi="宋体" w:eastAsia="宋体" w:cs="宋体"/>
                <w:i w:val="0"/>
                <w:iCs w:val="0"/>
                <w:color w:val="000000"/>
                <w:sz w:val="20"/>
                <w:szCs w:val="20"/>
                <w:u w:val="none"/>
              </w:rPr>
            </w:pPr>
          </w:p>
        </w:tc>
      </w:tr>
      <w:tr w14:paraId="56EC3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7F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D12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软件设计</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9845">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5DCD">
            <w:pPr>
              <w:jc w:val="center"/>
              <w:rPr>
                <w:rFonts w:hint="eastAsia" w:ascii="宋体" w:hAnsi="宋体" w:eastAsia="宋体" w:cs="宋体"/>
                <w:i w:val="0"/>
                <w:iCs w:val="0"/>
                <w:color w:val="000000"/>
                <w:sz w:val="18"/>
                <w:szCs w:val="18"/>
                <w:u w:val="none"/>
              </w:rPr>
            </w:pP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C0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FF4D">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388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C5678">
            <w:pPr>
              <w:rPr>
                <w:rFonts w:hint="eastAsia" w:ascii="宋体" w:hAnsi="宋体" w:eastAsia="宋体" w:cs="宋体"/>
                <w:i w:val="0"/>
                <w:iCs w:val="0"/>
                <w:color w:val="000000"/>
                <w:sz w:val="20"/>
                <w:szCs w:val="20"/>
                <w:u w:val="none"/>
              </w:rPr>
            </w:pPr>
          </w:p>
        </w:tc>
      </w:tr>
      <w:tr w14:paraId="3B16A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009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ED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机械设计</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B285">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9C18">
            <w:pPr>
              <w:jc w:val="center"/>
              <w:rPr>
                <w:rFonts w:hint="eastAsia" w:ascii="宋体" w:hAnsi="宋体" w:eastAsia="宋体" w:cs="宋体"/>
                <w:i w:val="0"/>
                <w:iCs w:val="0"/>
                <w:color w:val="000000"/>
                <w:sz w:val="18"/>
                <w:szCs w:val="18"/>
                <w:u w:val="none"/>
              </w:rPr>
            </w:pP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CE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9D27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6E23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0DF49">
            <w:pPr>
              <w:rPr>
                <w:rFonts w:hint="eastAsia" w:ascii="宋体" w:hAnsi="宋体" w:eastAsia="宋体" w:cs="宋体"/>
                <w:i w:val="0"/>
                <w:iCs w:val="0"/>
                <w:color w:val="000000"/>
                <w:sz w:val="20"/>
                <w:szCs w:val="20"/>
                <w:u w:val="none"/>
              </w:rPr>
            </w:pPr>
          </w:p>
        </w:tc>
      </w:tr>
      <w:tr w14:paraId="25E3D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4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4A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电气设计</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8945">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0AE6B">
            <w:pPr>
              <w:jc w:val="center"/>
              <w:rPr>
                <w:rFonts w:hint="eastAsia" w:ascii="宋体" w:hAnsi="宋体" w:eastAsia="宋体" w:cs="宋体"/>
                <w:i w:val="0"/>
                <w:iCs w:val="0"/>
                <w:color w:val="000000"/>
                <w:sz w:val="18"/>
                <w:szCs w:val="18"/>
                <w:u w:val="none"/>
              </w:rPr>
            </w:pP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DD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合肥百川</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91B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C52E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051C9">
            <w:pPr>
              <w:rPr>
                <w:rFonts w:hint="eastAsia" w:ascii="宋体" w:hAnsi="宋体" w:eastAsia="宋体" w:cs="宋体"/>
                <w:i w:val="0"/>
                <w:iCs w:val="0"/>
                <w:color w:val="000000"/>
                <w:sz w:val="20"/>
                <w:szCs w:val="20"/>
                <w:u w:val="none"/>
              </w:rPr>
            </w:pPr>
          </w:p>
        </w:tc>
      </w:tr>
      <w:tr w14:paraId="78CFD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004488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F2D75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13B736B">
            <w:pPr>
              <w:jc w:val="center"/>
              <w:rPr>
                <w:rFonts w:hint="eastAsia" w:ascii="宋体" w:hAnsi="宋体" w:eastAsia="宋体" w:cs="宋体"/>
                <w:i w:val="0"/>
                <w:iCs w:val="0"/>
                <w:color w:val="000000"/>
                <w:sz w:val="20"/>
                <w:szCs w:val="20"/>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5260D2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1A9EC20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4C328E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1B64531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1D7CA">
            <w:pPr>
              <w:rPr>
                <w:rFonts w:hint="eastAsia" w:ascii="宋体" w:hAnsi="宋体" w:eastAsia="宋体" w:cs="宋体"/>
                <w:i w:val="0"/>
                <w:iCs w:val="0"/>
                <w:color w:val="000000"/>
                <w:sz w:val="20"/>
                <w:szCs w:val="20"/>
                <w:u w:val="none"/>
              </w:rPr>
            </w:pPr>
          </w:p>
        </w:tc>
      </w:tr>
      <w:tr w14:paraId="598DF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14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02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包装木箱、运输、保险</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6B8E">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BECA">
            <w:pPr>
              <w:jc w:val="center"/>
              <w:rPr>
                <w:rFonts w:hint="eastAsia" w:ascii="宋体" w:hAnsi="宋体" w:eastAsia="宋体" w:cs="宋体"/>
                <w:i w:val="0"/>
                <w:iCs w:val="0"/>
                <w:color w:val="000000"/>
                <w:sz w:val="18"/>
                <w:szCs w:val="18"/>
                <w:u w:val="none"/>
              </w:rPr>
            </w:pP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0D3A9">
            <w:pPr>
              <w:jc w:val="center"/>
              <w:rPr>
                <w:rFonts w:hint="eastAsia" w:ascii="宋体" w:hAnsi="宋体" w:eastAsia="宋体" w:cs="宋体"/>
                <w:i w:val="0"/>
                <w:iCs w:val="0"/>
                <w:color w:val="000000"/>
                <w:sz w:val="18"/>
                <w:szCs w:val="18"/>
                <w:u w:val="none"/>
              </w:rPr>
            </w:pP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5076F">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0A34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22351">
            <w:pPr>
              <w:rPr>
                <w:rFonts w:hint="eastAsia" w:ascii="宋体" w:hAnsi="宋体" w:eastAsia="宋体" w:cs="宋体"/>
                <w:i w:val="0"/>
                <w:iCs w:val="0"/>
                <w:color w:val="000000"/>
                <w:sz w:val="20"/>
                <w:szCs w:val="20"/>
                <w:u w:val="none"/>
              </w:rPr>
            </w:pPr>
          </w:p>
        </w:tc>
      </w:tr>
      <w:tr w14:paraId="71E40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79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7B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内部安装、联合调试、预验收</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BEC6">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909D6">
            <w:pPr>
              <w:jc w:val="center"/>
              <w:rPr>
                <w:rFonts w:hint="eastAsia" w:ascii="宋体" w:hAnsi="宋体" w:eastAsia="宋体" w:cs="宋体"/>
                <w:i w:val="0"/>
                <w:iCs w:val="0"/>
                <w:color w:val="000000"/>
                <w:sz w:val="18"/>
                <w:szCs w:val="18"/>
                <w:u w:val="none"/>
              </w:rPr>
            </w:pP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FF706">
            <w:pPr>
              <w:jc w:val="center"/>
              <w:rPr>
                <w:rFonts w:hint="eastAsia" w:ascii="宋体" w:hAnsi="宋体" w:eastAsia="宋体" w:cs="宋体"/>
                <w:i w:val="0"/>
                <w:iCs w:val="0"/>
                <w:color w:val="000000"/>
                <w:sz w:val="18"/>
                <w:szCs w:val="18"/>
                <w:u w:val="none"/>
              </w:rPr>
            </w:pP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CB0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E26F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B8750">
            <w:pPr>
              <w:rPr>
                <w:rFonts w:hint="eastAsia" w:ascii="宋体" w:hAnsi="宋体" w:eastAsia="宋体" w:cs="宋体"/>
                <w:i w:val="0"/>
                <w:iCs w:val="0"/>
                <w:color w:val="000000"/>
                <w:sz w:val="20"/>
                <w:szCs w:val="20"/>
                <w:u w:val="none"/>
              </w:rPr>
            </w:pPr>
          </w:p>
        </w:tc>
      </w:tr>
      <w:tr w14:paraId="58D21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9D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B1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外部安装、调试、培训</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15F7">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C38A1">
            <w:pPr>
              <w:jc w:val="center"/>
              <w:rPr>
                <w:rFonts w:hint="eastAsia" w:ascii="宋体" w:hAnsi="宋体" w:eastAsia="宋体" w:cs="宋体"/>
                <w:i w:val="0"/>
                <w:iCs w:val="0"/>
                <w:color w:val="000000"/>
                <w:sz w:val="18"/>
                <w:szCs w:val="18"/>
                <w:u w:val="none"/>
              </w:rPr>
            </w:pP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579F">
            <w:pPr>
              <w:jc w:val="center"/>
              <w:rPr>
                <w:rFonts w:hint="eastAsia" w:ascii="宋体" w:hAnsi="宋体" w:eastAsia="宋体" w:cs="宋体"/>
                <w:i w:val="0"/>
                <w:iCs w:val="0"/>
                <w:color w:val="000000"/>
                <w:sz w:val="18"/>
                <w:szCs w:val="18"/>
                <w:u w:val="none"/>
              </w:rPr>
            </w:pP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3845">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2975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B1232">
            <w:pPr>
              <w:rPr>
                <w:rFonts w:hint="eastAsia" w:ascii="宋体" w:hAnsi="宋体" w:eastAsia="宋体" w:cs="宋体"/>
                <w:i w:val="0"/>
                <w:iCs w:val="0"/>
                <w:color w:val="000000"/>
                <w:sz w:val="20"/>
                <w:szCs w:val="20"/>
                <w:u w:val="none"/>
              </w:rPr>
            </w:pPr>
          </w:p>
        </w:tc>
      </w:tr>
      <w:tr w14:paraId="12A79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A4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96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公司管理费用</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D80C">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76C57">
            <w:pPr>
              <w:jc w:val="center"/>
              <w:rPr>
                <w:rFonts w:hint="eastAsia" w:ascii="宋体" w:hAnsi="宋体" w:eastAsia="宋体" w:cs="宋体"/>
                <w:i w:val="0"/>
                <w:iCs w:val="0"/>
                <w:color w:val="000000"/>
                <w:sz w:val="18"/>
                <w:szCs w:val="18"/>
                <w:u w:val="none"/>
              </w:rPr>
            </w:pP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9AAA">
            <w:pPr>
              <w:jc w:val="center"/>
              <w:rPr>
                <w:rFonts w:hint="eastAsia" w:ascii="宋体" w:hAnsi="宋体" w:eastAsia="宋体" w:cs="宋体"/>
                <w:i w:val="0"/>
                <w:iCs w:val="0"/>
                <w:color w:val="000000"/>
                <w:sz w:val="18"/>
                <w:szCs w:val="18"/>
                <w:u w:val="none"/>
              </w:rPr>
            </w:pP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44C6">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16C9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1B070">
            <w:pPr>
              <w:rPr>
                <w:rFonts w:hint="eastAsia" w:ascii="宋体" w:hAnsi="宋体" w:eastAsia="宋体" w:cs="宋体"/>
                <w:i w:val="0"/>
                <w:iCs w:val="0"/>
                <w:color w:val="000000"/>
                <w:sz w:val="20"/>
                <w:szCs w:val="20"/>
                <w:u w:val="none"/>
              </w:rPr>
            </w:pPr>
          </w:p>
        </w:tc>
      </w:tr>
      <w:tr w14:paraId="37974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2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10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公司毛利润</w:t>
            </w: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5D508">
            <w:pPr>
              <w:jc w:val="center"/>
              <w:rPr>
                <w:rFonts w:hint="eastAsia" w:ascii="宋体" w:hAnsi="宋体" w:eastAsia="宋体" w:cs="宋体"/>
                <w:i w:val="0"/>
                <w:iCs w:val="0"/>
                <w:color w:val="000000"/>
                <w:sz w:val="18"/>
                <w:szCs w:val="18"/>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FB83E">
            <w:pPr>
              <w:jc w:val="center"/>
              <w:rPr>
                <w:rFonts w:hint="eastAsia" w:ascii="宋体" w:hAnsi="宋体" w:eastAsia="宋体" w:cs="宋体"/>
                <w:i w:val="0"/>
                <w:iCs w:val="0"/>
                <w:color w:val="000000"/>
                <w:sz w:val="18"/>
                <w:szCs w:val="18"/>
                <w:u w:val="none"/>
              </w:rPr>
            </w:pP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6F49">
            <w:pPr>
              <w:jc w:val="center"/>
              <w:rPr>
                <w:rFonts w:hint="eastAsia" w:ascii="宋体" w:hAnsi="宋体" w:eastAsia="宋体" w:cs="宋体"/>
                <w:i w:val="0"/>
                <w:iCs w:val="0"/>
                <w:color w:val="000000"/>
                <w:sz w:val="18"/>
                <w:szCs w:val="18"/>
                <w:u w:val="none"/>
              </w:rPr>
            </w:pPr>
          </w:p>
        </w:tc>
        <w:tc>
          <w:tcPr>
            <w:tcW w:w="3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D492F">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0283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C8168">
            <w:pPr>
              <w:rPr>
                <w:rFonts w:hint="eastAsia" w:ascii="宋体" w:hAnsi="宋体" w:eastAsia="宋体" w:cs="宋体"/>
                <w:i w:val="0"/>
                <w:iCs w:val="0"/>
                <w:color w:val="000000"/>
                <w:sz w:val="20"/>
                <w:szCs w:val="20"/>
                <w:u w:val="none"/>
              </w:rPr>
            </w:pPr>
          </w:p>
        </w:tc>
      </w:tr>
      <w:tr w14:paraId="0CF01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3" w:hRule="atLeast"/>
        </w:trPr>
        <w:tc>
          <w:tcPr>
            <w:tcW w:w="3781" w:type="dxa"/>
            <w:gridSpan w:val="2"/>
            <w:tcBorders>
              <w:top w:val="single" w:color="000000" w:sz="4" w:space="0"/>
              <w:left w:val="single" w:color="000000" w:sz="4" w:space="0"/>
              <w:bottom w:val="single" w:color="000000" w:sz="4" w:space="0"/>
              <w:right w:val="single" w:color="000000" w:sz="4" w:space="0"/>
            </w:tcBorders>
            <w:shd w:val="clear" w:color="auto" w:fill="00B0F0"/>
            <w:vAlign w:val="center"/>
          </w:tcPr>
          <w:p w14:paraId="0913B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w:t>
            </w:r>
          </w:p>
        </w:tc>
        <w:tc>
          <w:tcPr>
            <w:tcW w:w="3919" w:type="dxa"/>
            <w:tcBorders>
              <w:top w:val="single" w:color="000000" w:sz="4" w:space="0"/>
              <w:left w:val="single" w:color="000000" w:sz="4" w:space="0"/>
              <w:bottom w:val="single" w:color="000000" w:sz="4" w:space="0"/>
              <w:right w:val="single" w:color="000000" w:sz="4" w:space="0"/>
            </w:tcBorders>
            <w:shd w:val="clear" w:color="auto" w:fill="00B0F0"/>
            <w:vAlign w:val="center"/>
          </w:tcPr>
          <w:p w14:paraId="585AA174">
            <w:pPr>
              <w:jc w:val="center"/>
              <w:rPr>
                <w:rFonts w:hint="eastAsia" w:ascii="宋体" w:hAnsi="宋体" w:eastAsia="宋体" w:cs="宋体"/>
                <w:i w:val="0"/>
                <w:iCs w:val="0"/>
                <w:color w:val="000000"/>
                <w:sz w:val="20"/>
                <w:szCs w:val="20"/>
                <w:u w:val="none"/>
              </w:rPr>
            </w:pPr>
          </w:p>
        </w:tc>
        <w:tc>
          <w:tcPr>
            <w:tcW w:w="4440" w:type="dxa"/>
            <w:tcBorders>
              <w:top w:val="single" w:color="000000" w:sz="4" w:space="0"/>
              <w:left w:val="single" w:color="000000" w:sz="4" w:space="0"/>
              <w:bottom w:val="single" w:color="000000" w:sz="4" w:space="0"/>
              <w:right w:val="single" w:color="000000" w:sz="4" w:space="0"/>
            </w:tcBorders>
            <w:shd w:val="clear" w:color="auto" w:fill="00B0F0"/>
            <w:vAlign w:val="center"/>
          </w:tcPr>
          <w:p w14:paraId="0B6D161B">
            <w:pPr>
              <w:jc w:val="center"/>
              <w:rPr>
                <w:rFonts w:hint="eastAsia" w:ascii="宋体" w:hAnsi="宋体" w:eastAsia="宋体" w:cs="宋体"/>
                <w:i w:val="0"/>
                <w:iCs w:val="0"/>
                <w:color w:val="000000"/>
                <w:sz w:val="20"/>
                <w:szCs w:val="20"/>
                <w:u w:val="none"/>
              </w:rPr>
            </w:pPr>
          </w:p>
        </w:tc>
        <w:tc>
          <w:tcPr>
            <w:tcW w:w="3919" w:type="dxa"/>
            <w:tcBorders>
              <w:top w:val="single" w:color="000000" w:sz="4" w:space="0"/>
              <w:left w:val="single" w:color="000000" w:sz="4" w:space="0"/>
              <w:bottom w:val="single" w:color="000000" w:sz="4" w:space="0"/>
              <w:right w:val="single" w:color="000000" w:sz="4" w:space="0"/>
            </w:tcBorders>
            <w:shd w:val="clear" w:color="auto" w:fill="00B0F0"/>
            <w:vAlign w:val="center"/>
          </w:tcPr>
          <w:p w14:paraId="3952520C">
            <w:pPr>
              <w:jc w:val="center"/>
              <w:rPr>
                <w:rFonts w:hint="eastAsia" w:ascii="宋体" w:hAnsi="宋体" w:eastAsia="宋体" w:cs="宋体"/>
                <w:i w:val="0"/>
                <w:iCs w:val="0"/>
                <w:color w:val="000000"/>
                <w:sz w:val="20"/>
                <w:szCs w:val="20"/>
                <w:u w:val="none"/>
              </w:rPr>
            </w:pPr>
          </w:p>
        </w:tc>
        <w:tc>
          <w:tcPr>
            <w:tcW w:w="3919" w:type="dxa"/>
            <w:tcBorders>
              <w:top w:val="single" w:color="000000" w:sz="4" w:space="0"/>
              <w:left w:val="single" w:color="000000" w:sz="4" w:space="0"/>
              <w:bottom w:val="single" w:color="000000" w:sz="4" w:space="0"/>
              <w:right w:val="single" w:color="000000" w:sz="4" w:space="0"/>
            </w:tcBorders>
            <w:shd w:val="clear" w:color="auto" w:fill="00B0F0"/>
            <w:vAlign w:val="center"/>
          </w:tcPr>
          <w:p w14:paraId="7A08140B">
            <w:pPr>
              <w:jc w:val="center"/>
              <w:rPr>
                <w:rFonts w:hint="eastAsia" w:ascii="宋体" w:hAnsi="宋体" w:eastAsia="宋体" w:cs="宋体"/>
                <w:i w:val="0"/>
                <w:iCs w:val="0"/>
                <w:color w:val="000000"/>
                <w:sz w:val="20"/>
                <w:szCs w:val="20"/>
                <w:u w:val="none"/>
              </w:rPr>
            </w:pPr>
          </w:p>
        </w:tc>
        <w:tc>
          <w:tcPr>
            <w:tcW w:w="4895" w:type="dxa"/>
            <w:tcBorders>
              <w:top w:val="single" w:color="000000" w:sz="4" w:space="0"/>
              <w:left w:val="single" w:color="000000" w:sz="4" w:space="0"/>
              <w:bottom w:val="single" w:color="000000" w:sz="4" w:space="0"/>
              <w:right w:val="single" w:color="000000" w:sz="4" w:space="0"/>
            </w:tcBorders>
            <w:shd w:val="clear" w:color="auto" w:fill="00B0F0"/>
            <w:vAlign w:val="center"/>
          </w:tcPr>
          <w:p w14:paraId="4D46CBB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42095">
            <w:pPr>
              <w:rPr>
                <w:rFonts w:hint="eastAsia" w:ascii="宋体" w:hAnsi="宋体" w:eastAsia="宋体" w:cs="宋体"/>
                <w:i w:val="0"/>
                <w:iCs w:val="0"/>
                <w:color w:val="000000"/>
                <w:sz w:val="20"/>
                <w:szCs w:val="20"/>
                <w:u w:val="none"/>
              </w:rPr>
            </w:pPr>
          </w:p>
        </w:tc>
      </w:tr>
    </w:tbl>
    <w:p w14:paraId="61EC531A"/>
    <w:p w14:paraId="55D4B2BC">
      <w:pPr>
        <w:rPr>
          <w:rFonts w:hint="eastAsia"/>
          <w:sz w:val="18"/>
          <w:szCs w:val="16"/>
          <w:lang w:eastAsia="zh-CN"/>
        </w:rPr>
      </w:pPr>
    </w:p>
    <w:p w14:paraId="4A76F9DA">
      <w:pPr>
        <w:pStyle w:val="11"/>
        <w:rPr>
          <w:rFonts w:hint="eastAsia"/>
          <w:lang w:eastAsia="zh-CN"/>
        </w:rPr>
      </w:pPr>
    </w:p>
    <w:p w14:paraId="38671D57">
      <w:pPr>
        <w:pStyle w:val="11"/>
        <w:rPr>
          <w:rFonts w:hint="eastAsia"/>
          <w:lang w:eastAsia="zh-CN"/>
        </w:rPr>
      </w:pPr>
    </w:p>
    <w:p w14:paraId="279A42E3">
      <w:pPr>
        <w:pStyle w:val="11"/>
        <w:rPr>
          <w:rFonts w:hint="eastAsia"/>
          <w:lang w:eastAsia="zh-CN"/>
        </w:rPr>
      </w:pPr>
    </w:p>
    <w:p w14:paraId="35605320">
      <w:pPr>
        <w:pStyle w:val="11"/>
        <w:rPr>
          <w:rFonts w:hint="eastAsia"/>
          <w:lang w:eastAsia="zh-CN"/>
        </w:rPr>
      </w:pPr>
    </w:p>
    <w:p w14:paraId="2008CBC5">
      <w:pPr>
        <w:pStyle w:val="11"/>
        <w:rPr>
          <w:rFonts w:hint="eastAsia"/>
          <w:lang w:eastAsia="zh-CN"/>
        </w:rPr>
      </w:pPr>
    </w:p>
    <w:p w14:paraId="3BF4C045">
      <w:pPr>
        <w:pStyle w:val="11"/>
        <w:rPr>
          <w:rFonts w:hint="eastAsia"/>
          <w:lang w:eastAsia="zh-CN"/>
        </w:rPr>
      </w:pPr>
    </w:p>
    <w:p w14:paraId="02132B77">
      <w:pPr>
        <w:pStyle w:val="11"/>
        <w:rPr>
          <w:rFonts w:hint="eastAsia"/>
          <w:lang w:eastAsia="zh-CN"/>
        </w:rPr>
      </w:pPr>
    </w:p>
    <w:p w14:paraId="02D678EF">
      <w:pPr>
        <w:pStyle w:val="11"/>
        <w:rPr>
          <w:rFonts w:hint="eastAsia"/>
          <w:lang w:eastAsia="zh-CN"/>
        </w:rPr>
      </w:pPr>
    </w:p>
    <w:p w14:paraId="487CC0CB">
      <w:pPr>
        <w:pStyle w:val="11"/>
        <w:rPr>
          <w:rFonts w:hint="eastAsia"/>
          <w:lang w:eastAsia="zh-CN"/>
        </w:rPr>
      </w:pPr>
    </w:p>
    <w:p w14:paraId="4995ADA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rPr>
          <w:rFonts w:ascii="Calibri" w:hAnsi="Calibri" w:eastAsia="宋体" w:cs="Times New Roman"/>
          <w:szCs w:val="20"/>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hint="eastAsia" w:ascii="Times New Roman" w:hAnsi="Times New Roman" w:eastAsia="宋体" w:cs="Times New Roman"/>
                <w:b/>
                <w:szCs w:val="20"/>
                <w:lang w:eastAsia="zh-CN"/>
              </w:rPr>
            </w:pPr>
            <w:r>
              <w:rPr>
                <w:rFonts w:hint="eastAsia" w:ascii="宋体" w:hAnsi="宋体" w:eastAsia="宋体" w:cs="Times New Roman"/>
                <w:b w:val="0"/>
                <w:bCs w:val="0"/>
                <w:color w:val="000000"/>
                <w:sz w:val="24"/>
                <w:szCs w:val="24"/>
                <w:highlight w:val="none"/>
                <w:u w:val="single"/>
                <w:lang w:eastAsia="zh-CN"/>
              </w:rPr>
              <w:t>转向伸缩轴总成工序能力提升项目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rPr>
            </w:pPr>
          </w:p>
          <w:p w14:paraId="53B87EF0">
            <w:pPr>
              <w:jc w:val="center"/>
              <w:rPr>
                <w:rFonts w:ascii="Times New Roman" w:hAnsi="Times New Roman" w:eastAsia="宋体" w:cs="Times New Roman"/>
                <w:b/>
                <w:szCs w:val="21"/>
              </w:rPr>
            </w:pPr>
          </w:p>
          <w:p w14:paraId="67EAB0BA">
            <w:pPr>
              <w:jc w:val="center"/>
              <w:rPr>
                <w:rFonts w:ascii="Times New Roman" w:hAnsi="Times New Roman" w:eastAsia="宋体" w:cs="Times New Roman"/>
                <w:b/>
                <w:szCs w:val="21"/>
              </w:rPr>
            </w:pPr>
          </w:p>
          <w:p w14:paraId="318AACDB">
            <w:pPr>
              <w:jc w:val="center"/>
              <w:rPr>
                <w:rFonts w:ascii="Times New Roman" w:hAnsi="Times New Roman" w:eastAsia="宋体" w:cs="Times New Roman"/>
                <w:b/>
                <w:szCs w:val="21"/>
              </w:rPr>
            </w:pPr>
          </w:p>
          <w:p w14:paraId="30162CDE">
            <w:pPr>
              <w:jc w:val="center"/>
              <w:rPr>
                <w:rFonts w:ascii="Times New Roman" w:hAnsi="Times New Roman" w:eastAsia="宋体" w:cs="Times New Roman"/>
                <w:b/>
                <w:szCs w:val="21"/>
              </w:rPr>
            </w:pPr>
          </w:p>
          <w:p w14:paraId="5DC41C49">
            <w:pPr>
              <w:jc w:val="center"/>
              <w:rPr>
                <w:rFonts w:ascii="Times New Roman" w:hAnsi="Times New Roman" w:eastAsia="宋体" w:cs="Times New Roman"/>
                <w:b/>
                <w:szCs w:val="21"/>
              </w:rPr>
            </w:pPr>
          </w:p>
          <w:p w14:paraId="477DFBFA">
            <w:pPr>
              <w:jc w:val="center"/>
              <w:rPr>
                <w:rFonts w:ascii="Times New Roman" w:hAnsi="Times New Roman" w:eastAsia="宋体" w:cs="Times New Roman"/>
                <w:b/>
                <w:szCs w:val="21"/>
              </w:rPr>
            </w:pPr>
          </w:p>
          <w:p w14:paraId="47388F65">
            <w:pPr>
              <w:jc w:val="center"/>
              <w:rPr>
                <w:rFonts w:ascii="Times New Roman" w:hAnsi="Times New Roman" w:eastAsia="宋体" w:cs="Times New Roman"/>
                <w:b/>
                <w:szCs w:val="21"/>
              </w:rPr>
            </w:pPr>
          </w:p>
          <w:p w14:paraId="5FE1ECE8">
            <w:pPr>
              <w:jc w:val="center"/>
              <w:rPr>
                <w:rFonts w:ascii="Times New Roman" w:hAnsi="Times New Roman" w:eastAsia="宋体" w:cs="Times New Roman"/>
                <w:b/>
                <w:szCs w:val="21"/>
              </w:rPr>
            </w:pPr>
          </w:p>
          <w:p w14:paraId="794A6A9A">
            <w:pPr>
              <w:jc w:val="center"/>
              <w:rPr>
                <w:rFonts w:ascii="Times New Roman" w:hAnsi="Times New Roman" w:eastAsia="宋体" w:cs="Times New Roman"/>
                <w:b/>
                <w:szCs w:val="21"/>
              </w:rPr>
            </w:pPr>
          </w:p>
          <w:p w14:paraId="36E88C7C">
            <w:pPr>
              <w:jc w:val="center"/>
              <w:rPr>
                <w:rFonts w:ascii="Times New Roman" w:hAnsi="Times New Roman" w:eastAsia="宋体" w:cs="Times New Roman"/>
                <w:b/>
                <w:szCs w:val="21"/>
              </w:rPr>
            </w:pPr>
          </w:p>
          <w:p w14:paraId="12623250">
            <w:pPr>
              <w:jc w:val="center"/>
              <w:rPr>
                <w:rFonts w:ascii="Times New Roman" w:hAnsi="Times New Roman" w:eastAsia="宋体" w:cs="Times New Roman"/>
                <w:b/>
                <w:szCs w:val="21"/>
              </w:rPr>
            </w:pPr>
          </w:p>
          <w:p w14:paraId="5C30E28E">
            <w:pPr>
              <w:jc w:val="center"/>
              <w:rPr>
                <w:rFonts w:ascii="Times New Roman" w:hAnsi="Times New Roman" w:eastAsia="宋体" w:cs="Times New Roman"/>
                <w:b/>
                <w:szCs w:val="21"/>
              </w:rPr>
            </w:pPr>
          </w:p>
          <w:p w14:paraId="5A7043F7">
            <w:pPr>
              <w:jc w:val="center"/>
              <w:rPr>
                <w:rFonts w:ascii="Times New Roman" w:hAnsi="Times New Roman" w:eastAsia="宋体" w:cs="Times New Roman"/>
                <w:b/>
                <w:szCs w:val="21"/>
              </w:rPr>
            </w:pPr>
          </w:p>
          <w:p w14:paraId="1FEC4787">
            <w:pPr>
              <w:jc w:val="center"/>
              <w:rPr>
                <w:rFonts w:ascii="Times New Roman" w:hAnsi="Times New Roman" w:eastAsia="宋体" w:cs="Times New Roman"/>
                <w:b/>
                <w:szCs w:val="21"/>
              </w:rPr>
            </w:pPr>
          </w:p>
          <w:p w14:paraId="4680D5FE">
            <w:pPr>
              <w:jc w:val="center"/>
              <w:rPr>
                <w:rFonts w:ascii="Times New Roman" w:hAnsi="Times New Roman" w:eastAsia="宋体" w:cs="Times New Roman"/>
                <w:b/>
                <w:szCs w:val="21"/>
              </w:rPr>
            </w:pPr>
          </w:p>
          <w:p w14:paraId="579E43D8">
            <w:pPr>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rPr>
            </w:pPr>
          </w:p>
        </w:tc>
      </w:tr>
    </w:tbl>
    <w:p w14:paraId="25ACA4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rPr>
          <w:rFonts w:ascii="宋体" w:hAnsi="Calibri" w:eastAsia="宋体" w:cs="Times New Roman"/>
          <w:szCs w:val="20"/>
        </w:rPr>
      </w:pPr>
    </w:p>
    <w:p w14:paraId="68211D49">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771B4E0">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highlight w:val="none"/>
        </w:rPr>
        <w:t>附件11</w:t>
      </w:r>
      <w:r>
        <w:rPr>
          <w:rFonts w:hint="eastAsia" w:ascii="Times New Roman" w:hAnsi="Times New Roman" w:eastAsia="宋体" w:cs="Times New Roman"/>
          <w:b/>
          <w:bCs/>
          <w:color w:val="000000"/>
          <w:sz w:val="24"/>
          <w:szCs w:val="24"/>
        </w:rPr>
        <w:t xml:space="preserve"> 投标人承诺</w:t>
      </w:r>
    </w:p>
    <w:p w14:paraId="30FA5F6F">
      <w:pPr>
        <w:spacing w:line="272" w:lineRule="auto"/>
        <w:rPr>
          <w:rFonts w:ascii="Arial"/>
        </w:rPr>
      </w:pPr>
    </w:p>
    <w:p w14:paraId="6A531345">
      <w:pPr>
        <w:spacing w:before="75" w:line="228" w:lineRule="auto"/>
        <w:ind w:left="134"/>
        <w:rPr>
          <w:rFonts w:hint="eastAsia" w:ascii="宋体" w:hAnsi="宋体" w:eastAsia="宋体" w:cs="宋体"/>
          <w:b/>
          <w:bCs/>
          <w:sz w:val="24"/>
          <w:szCs w:val="24"/>
          <w:highlight w:val="none"/>
          <w:u w:val="single"/>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val="0"/>
          <w:bCs w:val="0"/>
          <w:color w:val="000000"/>
          <w:sz w:val="24"/>
          <w:szCs w:val="24"/>
          <w:highlight w:val="none"/>
          <w:u w:val="single"/>
          <w:lang w:eastAsia="zh-CN"/>
        </w:rPr>
        <w:t>转向伸缩轴总成工序能力提升项目</w:t>
      </w:r>
    </w:p>
    <w:p w14:paraId="665B3FE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5330119"/>
    <w:p w14:paraId="5F6C6BED">
      <w:pPr>
        <w:spacing w:line="109" w:lineRule="exact"/>
      </w:pPr>
    </w:p>
    <w:tbl>
      <w:tblPr>
        <w:tblStyle w:val="116"/>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BED8E3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60AD6E9">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6A5CD3E">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707980F">
      <w:pPr>
        <w:keepNext/>
        <w:keepLines/>
        <w:rPr>
          <w:rFonts w:ascii="Times New Roman" w:hAnsi="Times New Roman" w:eastAsia="宋体" w:cs="Times New Roman"/>
          <w:b/>
          <w:bCs/>
          <w:color w:val="000000"/>
          <w:sz w:val="24"/>
          <w:szCs w:val="24"/>
        </w:rPr>
      </w:pPr>
    </w:p>
    <w:p w14:paraId="55040DA2">
      <w:pPr>
        <w:spacing w:before="75" w:line="227" w:lineRule="auto"/>
        <w:ind w:left="135"/>
        <w:rPr>
          <w:rFonts w:ascii="宋体" w:hAnsi="宋体" w:eastAsia="宋体" w:cs="宋体"/>
          <w:spacing w:val="-2"/>
          <w:sz w:val="24"/>
          <w:szCs w:val="24"/>
        </w:rPr>
      </w:pPr>
    </w:p>
    <w:p w14:paraId="2E2B9149">
      <w:pPr>
        <w:spacing w:before="75" w:line="227" w:lineRule="auto"/>
        <w:ind w:left="135"/>
        <w:rPr>
          <w:rFonts w:ascii="宋体" w:hAnsi="宋体" w:eastAsia="宋体" w:cs="宋体"/>
          <w:spacing w:val="-2"/>
          <w:sz w:val="24"/>
          <w:szCs w:val="24"/>
        </w:rPr>
      </w:pPr>
    </w:p>
    <w:p w14:paraId="53C73AD0">
      <w:pPr>
        <w:spacing w:before="75" w:line="227" w:lineRule="auto"/>
        <w:ind w:left="135"/>
        <w:rPr>
          <w:rFonts w:eastAsia="宋体"/>
          <w:sz w:val="24"/>
          <w:szCs w:val="24"/>
        </w:rPr>
        <w:sectPr>
          <w:footerReference r:id="rId25"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E32ED7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9B81925">
      <w:pPr>
        <w:spacing w:line="240" w:lineRule="exact"/>
        <w:jc w:val="center"/>
        <w:rPr>
          <w:rFonts w:ascii="宋体" w:hAnsi="Calibri" w:eastAsia="宋体" w:cs="Times New Roman"/>
          <w:b/>
          <w:bCs/>
          <w:sz w:val="36"/>
          <w:szCs w:val="20"/>
        </w:rPr>
      </w:pPr>
    </w:p>
    <w:p w14:paraId="5CB39764">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rPr>
        <w:t>项目名</w:t>
      </w:r>
      <w:r>
        <w:rPr>
          <w:rFonts w:hint="eastAsia" w:ascii="宋体" w:hAnsi="宋体" w:eastAsia="宋体" w:cs="Times New Roman"/>
          <w:sz w:val="24"/>
          <w:szCs w:val="20"/>
          <w:highlight w:val="none"/>
        </w:rPr>
        <w:t>称：</w:t>
      </w:r>
      <w:r>
        <w:rPr>
          <w:rFonts w:hint="eastAsia" w:ascii="宋体" w:hAnsi="宋体" w:eastAsia="宋体" w:cs="Times New Roman"/>
          <w:b w:val="0"/>
          <w:bCs w:val="0"/>
          <w:color w:val="000000"/>
          <w:sz w:val="24"/>
          <w:szCs w:val="24"/>
          <w:highlight w:val="none"/>
          <w:u w:val="single"/>
          <w:lang w:eastAsia="zh-CN"/>
        </w:rPr>
        <w:t>转向伸缩轴总成工序能力提升项目</w:t>
      </w:r>
    </w:p>
    <w:p w14:paraId="3DFBD896">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中国重汽集团济南汽车部件有限公司：</w:t>
      </w:r>
    </w:p>
    <w:p w14:paraId="7E8A84F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51554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9DF7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8C59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24E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E43F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EFAB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760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D0A3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F208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96E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59C2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8C0B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A8D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7CB6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BA1B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A2CA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E527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CCF55B">
      <w:pPr>
        <w:spacing w:line="360" w:lineRule="auto"/>
        <w:ind w:firstLine="480" w:firstLineChars="200"/>
        <w:rPr>
          <w:rFonts w:ascii="宋体" w:hAnsi="宋体" w:eastAsia="宋体" w:cs="Times New Roman"/>
          <w:sz w:val="24"/>
          <w:szCs w:val="20"/>
          <w:u w:val="single"/>
        </w:rPr>
      </w:pPr>
    </w:p>
    <w:p w14:paraId="77DBD7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D547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8669DBD">
      <w:pPr>
        <w:spacing w:line="360" w:lineRule="auto"/>
        <w:ind w:firstLine="480" w:firstLineChars="200"/>
        <w:rPr>
          <w:rFonts w:ascii="宋体" w:hAnsi="宋体" w:eastAsia="宋体" w:cs="Times New Roman"/>
          <w:color w:val="000000"/>
          <w:sz w:val="24"/>
          <w:szCs w:val="24"/>
        </w:rPr>
        <w:sectPr>
          <w:headerReference r:id="rId27" w:type="first"/>
          <w:footerReference r:id="rId29" w:type="first"/>
          <w:headerReference r:id="rId26" w:type="default"/>
          <w:footerReference r:id="rId2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F7233A4">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green"/>
        </w:rPr>
        <w:t>附件1</w:t>
      </w:r>
      <w:r>
        <w:rPr>
          <w:rFonts w:hint="eastAsia" w:hAnsi="宋体" w:cs="宋体"/>
          <w:b/>
          <w:bCs/>
          <w:color w:val="000000"/>
          <w:sz w:val="24"/>
          <w:szCs w:val="24"/>
          <w:highlight w:val="green"/>
          <w:lang w:val="en-US" w:eastAsia="zh-CN"/>
        </w:rPr>
        <w:t>3</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34"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35"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36"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37" cstate="print"/>
                    <a:srcRect/>
                    <a:stretch>
                      <a:fillRect/>
                    </a:stretch>
                  </pic:blipFill>
                  <pic:spPr>
                    <a:xfrm>
                      <a:off x="0" y="0"/>
                      <a:ext cx="5760085" cy="2853055"/>
                    </a:xfrm>
                    <a:prstGeom prst="rect">
                      <a:avLst/>
                    </a:prstGeom>
                  </pic:spPr>
                </pic:pic>
              </a:graphicData>
            </a:graphic>
          </wp:inline>
        </w:drawing>
      </w:r>
    </w:p>
    <w:p w14:paraId="17346439">
      <w:pPr>
        <w:numPr>
          <w:ilvl w:val="0"/>
          <w:numId w:val="36"/>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8"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39"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hint="default" w:ascii="宋体"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招标公告内容。</w:t>
      </w:r>
    </w:p>
    <w:p w14:paraId="7A367765">
      <w:pPr>
        <w:pStyle w:val="14"/>
        <w:rPr>
          <w:highlight w:val="none"/>
        </w:rPr>
      </w:pPr>
      <w:r>
        <w:rPr>
          <w:rFonts w:hint="eastAsia" w:hAnsi="宋体" w:eastAsia="宋体" w:cs="宋体"/>
          <w:b/>
          <w:bCs/>
          <w:color w:val="000000"/>
          <w:sz w:val="24"/>
          <w:szCs w:val="28"/>
          <w:highlight w:val="none"/>
        </w:rPr>
        <w:t>2.配套能力“供货类别”填“</w:t>
      </w:r>
      <w:r>
        <w:rPr>
          <w:rFonts w:hint="eastAsia" w:hAnsi="宋体" w:cs="宋体"/>
          <w:b/>
          <w:bCs/>
          <w:color w:val="000000"/>
          <w:sz w:val="24"/>
          <w:szCs w:val="28"/>
          <w:highlight w:val="cyan"/>
          <w:lang w:val="en-US" w:eastAsia="zh-CN"/>
        </w:rPr>
        <w:t>直管单位非生产招标 / 工艺设备 / 工艺设备</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cyan"/>
          <w:lang w:val="en-US" w:eastAsia="zh-CN"/>
        </w:rPr>
        <w:t>工艺研究院</w:t>
      </w:r>
      <w:r>
        <w:rPr>
          <w:rFonts w:hint="eastAsia" w:hAnsi="宋体" w:eastAsia="宋体" w:cs="宋体"/>
          <w:b/>
          <w:bCs/>
          <w:color w:val="000000"/>
          <w:sz w:val="24"/>
          <w:szCs w:val="28"/>
          <w:highlight w:val="none"/>
        </w:rPr>
        <w:t>”。</w:t>
      </w:r>
    </w:p>
    <w:p w14:paraId="1463D94A">
      <w:pPr>
        <w:pStyle w:val="14"/>
        <w:sectPr>
          <w:pgSz w:w="11906" w:h="16838"/>
          <w:pgMar w:top="1588" w:right="1418" w:bottom="1134" w:left="1418" w:header="851" w:footer="992" w:gutter="0"/>
          <w:cols w:space="720" w:num="1"/>
          <w:titlePg/>
          <w:docGrid w:type="lines" w:linePitch="312" w:charSpace="0"/>
        </w:sectPr>
      </w:pPr>
    </w:p>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cs="宋体"/>
          <w:b/>
          <w:bCs/>
          <w:color w:val="000000"/>
          <w:sz w:val="24"/>
          <w:szCs w:val="24"/>
          <w:lang w:val="en-US" w:eastAsia="zh-CN"/>
        </w:rPr>
        <w:t>4</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40"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41"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bookmarkEnd w:id="44"/>
    <w:bookmarkEnd w:id="45"/>
    <w:p w14:paraId="23E75332">
      <w:pPr>
        <w:pStyle w:val="76"/>
        <w:rPr>
          <w:rFonts w:hint="default" w:hAnsi="宋体"/>
          <w:sz w:val="24"/>
          <w:lang w:val="en-US"/>
        </w:rPr>
      </w:pPr>
    </w:p>
    <w:sectPr>
      <w:headerReference r:id="rId30" w:type="first"/>
      <w:footerReference r:id="rId31"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8"/>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D8B5">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361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EFA6">
    <w:pPr>
      <w:pStyle w:val="18"/>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6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6A526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18"/>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95E">
    <w:pPr>
      <w:pStyle w:val="1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B06A1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C893">
    <w:pPr>
      <w:pStyle w:val="18"/>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88442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772FC">
    <w:pPr>
      <w:spacing w:line="179" w:lineRule="auto"/>
      <w:ind w:left="6868"/>
      <w:rPr>
        <w:rFonts w:ascii="宋体" w:hAnsi="宋体" w:eastAsia="宋体" w:cs="宋体"/>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5C4C18">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14:paraId="525C4C18">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E9592">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4C455">
                          <w:pPr>
                            <w:pStyle w:val="18"/>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65C4C455">
                    <w:pPr>
                      <w:pStyle w:val="18"/>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FAAAE">
    <w:pPr>
      <w:pStyle w:val="18"/>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1ADFD">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761ADFD">
                    <w:pPr>
                      <w:pStyle w:val="18"/>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5CF7A">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57DEC">
                          <w:pPr>
                            <w:pStyle w:val="18"/>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75857DEC">
                    <w:pPr>
                      <w:pStyle w:val="18"/>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5B05D">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F3678">
                          <w:pPr>
                            <w:pStyle w:val="1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5AF3678">
                    <w:pPr>
                      <w:pStyle w:val="1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62CAB">
    <w:pPr>
      <w:pStyle w:val="1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96756">
                          <w:pPr>
                            <w:pStyle w:val="18"/>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65296756">
                    <w:pPr>
                      <w:pStyle w:val="18"/>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C8246">
    <w:pPr>
      <w:pStyle w:val="18"/>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7D8B1">
                          <w:pPr>
                            <w:pStyle w:val="18"/>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0157D8B1">
                    <w:pPr>
                      <w:pStyle w:val="18"/>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91B3AF5"/>
    <w:multiLevelType w:val="singleLevel"/>
    <w:tmpl w:val="891B3AF5"/>
    <w:lvl w:ilvl="0" w:tentative="0">
      <w:start w:val="1"/>
      <w:numFmt w:val="decimal"/>
      <w:lvlText w:val="%1."/>
      <w:lvlJc w:val="left"/>
      <w:pPr>
        <w:tabs>
          <w:tab w:val="left" w:pos="312"/>
        </w:tabs>
      </w:p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A344C351"/>
    <w:multiLevelType w:val="singleLevel"/>
    <w:tmpl w:val="A344C351"/>
    <w:lvl w:ilvl="0" w:tentative="0">
      <w:start w:val="1"/>
      <w:numFmt w:val="decimal"/>
      <w:lvlText w:val="%1."/>
      <w:lvlJc w:val="left"/>
      <w:pPr>
        <w:tabs>
          <w:tab w:val="left" w:pos="312"/>
        </w:tabs>
      </w:pPr>
    </w:lvl>
  </w:abstractNum>
  <w:abstractNum w:abstractNumId="5">
    <w:nsid w:val="B046EFF9"/>
    <w:multiLevelType w:val="singleLevel"/>
    <w:tmpl w:val="B046EFF9"/>
    <w:lvl w:ilvl="0" w:tentative="0">
      <w:start w:val="6"/>
      <w:numFmt w:val="chineseCounting"/>
      <w:suff w:val="space"/>
      <w:lvlText w:val="第%1章"/>
      <w:lvlJc w:val="left"/>
      <w:rPr>
        <w:rFonts w:hint="eastAsia"/>
      </w:rPr>
    </w:lvl>
  </w:abstractNum>
  <w:abstractNum w:abstractNumId="6">
    <w:nsid w:val="B0980F3B"/>
    <w:multiLevelType w:val="singleLevel"/>
    <w:tmpl w:val="B0980F3B"/>
    <w:lvl w:ilvl="0" w:tentative="0">
      <w:start w:val="3"/>
      <w:numFmt w:val="chineseCounting"/>
      <w:suff w:val="nothing"/>
      <w:lvlText w:val="第%1部分　"/>
      <w:lvlJc w:val="left"/>
      <w:rPr>
        <w:rFonts w:hint="eastAsia"/>
      </w:rPr>
    </w:lvl>
  </w:abstractNum>
  <w:abstractNum w:abstractNumId="7">
    <w:nsid w:val="B12C4597"/>
    <w:multiLevelType w:val="singleLevel"/>
    <w:tmpl w:val="B12C4597"/>
    <w:lvl w:ilvl="0" w:tentative="0">
      <w:start w:val="1"/>
      <w:numFmt w:val="decimal"/>
      <w:lvlText w:val="%1."/>
      <w:lvlJc w:val="left"/>
      <w:pPr>
        <w:ind w:left="425" w:hanging="425"/>
      </w:pPr>
      <w:rPr>
        <w:rFonts w:hint="default"/>
      </w:rPr>
    </w:lvl>
  </w:abstractNum>
  <w:abstractNum w:abstractNumId="8">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9">
    <w:nsid w:val="BD4C6742"/>
    <w:multiLevelType w:val="singleLevel"/>
    <w:tmpl w:val="BD4C6742"/>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6CE0C29"/>
    <w:multiLevelType w:val="singleLevel"/>
    <w:tmpl w:val="F6CE0C29"/>
    <w:lvl w:ilvl="0" w:tentative="0">
      <w:start w:val="1"/>
      <w:numFmt w:val="decimal"/>
      <w:suff w:val="nothing"/>
      <w:lvlText w:val="（%1）"/>
      <w:lvlJc w:val="left"/>
    </w:lvl>
  </w:abstractNum>
  <w:abstractNum w:abstractNumId="13">
    <w:nsid w:val="00000003"/>
    <w:multiLevelType w:val="singleLevel"/>
    <w:tmpl w:val="00000003"/>
    <w:lvl w:ilvl="0" w:tentative="0">
      <w:start w:val="5"/>
      <w:numFmt w:val="decimal"/>
      <w:lvlText w:val="%1."/>
      <w:lvlJc w:val="left"/>
      <w:pPr>
        <w:tabs>
          <w:tab w:val="left" w:pos="312"/>
        </w:tabs>
      </w:pPr>
    </w:lvl>
  </w:abstractNum>
  <w:abstractNum w:abstractNumId="1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954A2AD"/>
    <w:multiLevelType w:val="singleLevel"/>
    <w:tmpl w:val="3954A2AD"/>
    <w:lvl w:ilvl="0" w:tentative="0">
      <w:start w:val="1"/>
      <w:numFmt w:val="decimal"/>
      <w:suff w:val="nothing"/>
      <w:lvlText w:val="（%1）"/>
      <w:lvlJc w:val="left"/>
    </w:lvl>
  </w:abstractNum>
  <w:abstractNum w:abstractNumId="18">
    <w:nsid w:val="3CF6EF77"/>
    <w:multiLevelType w:val="singleLevel"/>
    <w:tmpl w:val="3CF6EF77"/>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6EB0FDCE"/>
    <w:multiLevelType w:val="singleLevel"/>
    <w:tmpl w:val="6EB0FDCE"/>
    <w:lvl w:ilvl="0" w:tentative="0">
      <w:start w:val="1"/>
      <w:numFmt w:val="decimal"/>
      <w:lvlText w:val="%1."/>
      <w:lvlJc w:val="left"/>
      <w:pPr>
        <w:tabs>
          <w:tab w:val="left" w:pos="312"/>
        </w:tabs>
      </w:p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7">
    <w:nsid w:val="7CE20C09"/>
    <w:multiLevelType w:val="singleLevel"/>
    <w:tmpl w:val="7CE20C09"/>
    <w:lvl w:ilvl="0" w:tentative="0">
      <w:start w:val="1"/>
      <w:numFmt w:val="decimal"/>
      <w:lvlText w:val="%1."/>
      <w:lvlJc w:val="left"/>
      <w:pPr>
        <w:tabs>
          <w:tab w:val="left" w:pos="312"/>
        </w:tabs>
      </w:pPr>
    </w:lvl>
  </w:abstractNum>
  <w:num w:numId="1">
    <w:abstractNumId w:val="20"/>
  </w:num>
  <w:num w:numId="2">
    <w:abstractNumId w:val="24"/>
  </w:num>
  <w:num w:numId="3">
    <w:abstractNumId w:val="23"/>
  </w:num>
  <w:num w:numId="4">
    <w:abstractNumId w:val="21"/>
  </w:num>
  <w:num w:numId="5">
    <w:abstractNumId w:val="14"/>
  </w:num>
  <w:num w:numId="6">
    <w:abstractNumId w:val="15"/>
  </w:num>
  <w:num w:numId="7">
    <w:abstractNumId w:val="16"/>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0"/>
  </w:num>
  <w:num w:numId="19">
    <w:abstractNumId w:val="2"/>
  </w:num>
  <w:num w:numId="20">
    <w:abstractNumId w:val="17"/>
  </w:num>
  <w:num w:numId="21">
    <w:abstractNumId w:val="26"/>
  </w:num>
  <w:num w:numId="22">
    <w:abstractNumId w:val="12"/>
  </w:num>
  <w:num w:numId="23">
    <w:abstractNumId w:val="10"/>
  </w:num>
  <w:num w:numId="24">
    <w:abstractNumId w:val="27"/>
  </w:num>
  <w:num w:numId="25">
    <w:abstractNumId w:val="3"/>
  </w:num>
  <w:num w:numId="26">
    <w:abstractNumId w:val="8"/>
  </w:num>
  <w:num w:numId="27">
    <w:abstractNumId w:val="4"/>
  </w:num>
  <w:num w:numId="28">
    <w:abstractNumId w:val="11"/>
  </w:num>
  <w:num w:numId="29">
    <w:abstractNumId w:val="19"/>
  </w:num>
  <w:num w:numId="30">
    <w:abstractNumId w:val="18"/>
  </w:num>
  <w:num w:numId="31">
    <w:abstractNumId w:val="25"/>
  </w:num>
  <w:num w:numId="32">
    <w:abstractNumId w:val="5"/>
  </w:num>
  <w:num w:numId="33">
    <w:abstractNumId w:val="6"/>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6755B"/>
    <w:rsid w:val="02CC3DCA"/>
    <w:rsid w:val="02FB2420"/>
    <w:rsid w:val="02FE76EF"/>
    <w:rsid w:val="03343D40"/>
    <w:rsid w:val="03BA1683"/>
    <w:rsid w:val="03E72B61"/>
    <w:rsid w:val="03F033B0"/>
    <w:rsid w:val="04446205"/>
    <w:rsid w:val="04E62E18"/>
    <w:rsid w:val="0543236E"/>
    <w:rsid w:val="057C1D39"/>
    <w:rsid w:val="05891259"/>
    <w:rsid w:val="05E76E48"/>
    <w:rsid w:val="068F128E"/>
    <w:rsid w:val="08633479"/>
    <w:rsid w:val="0BBA4FFF"/>
    <w:rsid w:val="0C525237"/>
    <w:rsid w:val="0CB51572"/>
    <w:rsid w:val="0CFB1178"/>
    <w:rsid w:val="0E4D31E3"/>
    <w:rsid w:val="0E76345F"/>
    <w:rsid w:val="0F7200CA"/>
    <w:rsid w:val="10DC2AA3"/>
    <w:rsid w:val="10FA7C8C"/>
    <w:rsid w:val="12114C8F"/>
    <w:rsid w:val="12B61883"/>
    <w:rsid w:val="12EA7F78"/>
    <w:rsid w:val="130B198F"/>
    <w:rsid w:val="135A334F"/>
    <w:rsid w:val="145205A8"/>
    <w:rsid w:val="16A918E4"/>
    <w:rsid w:val="17D966D6"/>
    <w:rsid w:val="18952734"/>
    <w:rsid w:val="198C1722"/>
    <w:rsid w:val="1A11228E"/>
    <w:rsid w:val="1A381F10"/>
    <w:rsid w:val="1ABF7F3C"/>
    <w:rsid w:val="1B6603B7"/>
    <w:rsid w:val="1B824429"/>
    <w:rsid w:val="1BC71D3B"/>
    <w:rsid w:val="1C59115B"/>
    <w:rsid w:val="1C8C02F2"/>
    <w:rsid w:val="1CD00D9F"/>
    <w:rsid w:val="1D216C8C"/>
    <w:rsid w:val="1DD15066"/>
    <w:rsid w:val="1F5E5F75"/>
    <w:rsid w:val="1F672950"/>
    <w:rsid w:val="1FB23E60"/>
    <w:rsid w:val="20E64474"/>
    <w:rsid w:val="20F46465"/>
    <w:rsid w:val="21F91F85"/>
    <w:rsid w:val="22A7378F"/>
    <w:rsid w:val="22C5630B"/>
    <w:rsid w:val="23EC0BA6"/>
    <w:rsid w:val="24701A48"/>
    <w:rsid w:val="25B508B9"/>
    <w:rsid w:val="25DC2738"/>
    <w:rsid w:val="262638A3"/>
    <w:rsid w:val="26306192"/>
    <w:rsid w:val="268B0052"/>
    <w:rsid w:val="26FE1DEC"/>
    <w:rsid w:val="27743C90"/>
    <w:rsid w:val="27CC3FD4"/>
    <w:rsid w:val="28F214DC"/>
    <w:rsid w:val="28F811E9"/>
    <w:rsid w:val="292673D8"/>
    <w:rsid w:val="29B844D4"/>
    <w:rsid w:val="29CA2459"/>
    <w:rsid w:val="2ACD0453"/>
    <w:rsid w:val="2B0F6376"/>
    <w:rsid w:val="2B271A58"/>
    <w:rsid w:val="2B6304A7"/>
    <w:rsid w:val="2B8A0ED3"/>
    <w:rsid w:val="2BB138D1"/>
    <w:rsid w:val="2CF6734C"/>
    <w:rsid w:val="2D2E5EBF"/>
    <w:rsid w:val="2D663463"/>
    <w:rsid w:val="2E204D3E"/>
    <w:rsid w:val="2E4E18AB"/>
    <w:rsid w:val="2EF96EE4"/>
    <w:rsid w:val="30006BD5"/>
    <w:rsid w:val="308A40C6"/>
    <w:rsid w:val="30B31E99"/>
    <w:rsid w:val="32146967"/>
    <w:rsid w:val="32C06917"/>
    <w:rsid w:val="33304827"/>
    <w:rsid w:val="337E22EA"/>
    <w:rsid w:val="34572B3B"/>
    <w:rsid w:val="35CF7EC5"/>
    <w:rsid w:val="36254FE4"/>
    <w:rsid w:val="36A55DE0"/>
    <w:rsid w:val="372F61E0"/>
    <w:rsid w:val="37F45D2A"/>
    <w:rsid w:val="39322FCA"/>
    <w:rsid w:val="39DC4F34"/>
    <w:rsid w:val="3A6B11C5"/>
    <w:rsid w:val="3AB90991"/>
    <w:rsid w:val="3ABB02C8"/>
    <w:rsid w:val="3B706131"/>
    <w:rsid w:val="3C681D8A"/>
    <w:rsid w:val="3D2008B6"/>
    <w:rsid w:val="3D29776B"/>
    <w:rsid w:val="3DAE3D38"/>
    <w:rsid w:val="3DFB03D8"/>
    <w:rsid w:val="3E6F041E"/>
    <w:rsid w:val="3FBB6674"/>
    <w:rsid w:val="3FCC6AD3"/>
    <w:rsid w:val="405D597D"/>
    <w:rsid w:val="4081341A"/>
    <w:rsid w:val="411C3143"/>
    <w:rsid w:val="41582A5C"/>
    <w:rsid w:val="41CC2DBB"/>
    <w:rsid w:val="421A0352"/>
    <w:rsid w:val="4275481E"/>
    <w:rsid w:val="428B617A"/>
    <w:rsid w:val="433D7BDC"/>
    <w:rsid w:val="437E1813"/>
    <w:rsid w:val="43EF0FE2"/>
    <w:rsid w:val="44CA7C7F"/>
    <w:rsid w:val="45BD47FC"/>
    <w:rsid w:val="45CC5FB2"/>
    <w:rsid w:val="464529FA"/>
    <w:rsid w:val="46B75BA8"/>
    <w:rsid w:val="46DC75FC"/>
    <w:rsid w:val="487970CD"/>
    <w:rsid w:val="48C97955"/>
    <w:rsid w:val="48E24BBA"/>
    <w:rsid w:val="49184B37"/>
    <w:rsid w:val="494F67AB"/>
    <w:rsid w:val="49880C8F"/>
    <w:rsid w:val="4A8561FD"/>
    <w:rsid w:val="4A8835F7"/>
    <w:rsid w:val="4B592E71"/>
    <w:rsid w:val="4CE74F4D"/>
    <w:rsid w:val="4CF539DF"/>
    <w:rsid w:val="4D2E0486"/>
    <w:rsid w:val="4D371A30"/>
    <w:rsid w:val="4DD45540"/>
    <w:rsid w:val="4DDA060D"/>
    <w:rsid w:val="4F195165"/>
    <w:rsid w:val="501C6CBB"/>
    <w:rsid w:val="50615016"/>
    <w:rsid w:val="52650D16"/>
    <w:rsid w:val="526B3F2A"/>
    <w:rsid w:val="52B9239A"/>
    <w:rsid w:val="52CF270B"/>
    <w:rsid w:val="53422EDD"/>
    <w:rsid w:val="539D6365"/>
    <w:rsid w:val="53C34BA7"/>
    <w:rsid w:val="54BD78FD"/>
    <w:rsid w:val="552D196B"/>
    <w:rsid w:val="572A3CDF"/>
    <w:rsid w:val="580C557C"/>
    <w:rsid w:val="58A86DDE"/>
    <w:rsid w:val="58C6010C"/>
    <w:rsid w:val="59154AD7"/>
    <w:rsid w:val="593D49CE"/>
    <w:rsid w:val="59CF4D9E"/>
    <w:rsid w:val="5A9A35FE"/>
    <w:rsid w:val="5ADF548D"/>
    <w:rsid w:val="5C68504C"/>
    <w:rsid w:val="5C814A76"/>
    <w:rsid w:val="5CC42BB4"/>
    <w:rsid w:val="5D5C60B4"/>
    <w:rsid w:val="5E08087F"/>
    <w:rsid w:val="5E135BA1"/>
    <w:rsid w:val="5FD316B9"/>
    <w:rsid w:val="60031C46"/>
    <w:rsid w:val="60DD58EC"/>
    <w:rsid w:val="6332073E"/>
    <w:rsid w:val="639826A5"/>
    <w:rsid w:val="63E1229E"/>
    <w:rsid w:val="63F04A69"/>
    <w:rsid w:val="642B176B"/>
    <w:rsid w:val="643C1282"/>
    <w:rsid w:val="652561BA"/>
    <w:rsid w:val="652811A1"/>
    <w:rsid w:val="66A50B1E"/>
    <w:rsid w:val="674A015A"/>
    <w:rsid w:val="676C6322"/>
    <w:rsid w:val="67B2063C"/>
    <w:rsid w:val="67C97AC3"/>
    <w:rsid w:val="67E30EC1"/>
    <w:rsid w:val="68534DEC"/>
    <w:rsid w:val="68CA77A4"/>
    <w:rsid w:val="68F3328F"/>
    <w:rsid w:val="695F613F"/>
    <w:rsid w:val="69620955"/>
    <w:rsid w:val="6A06480C"/>
    <w:rsid w:val="6A4E3B2B"/>
    <w:rsid w:val="6B481C3B"/>
    <w:rsid w:val="6B8E2D0B"/>
    <w:rsid w:val="6B99345E"/>
    <w:rsid w:val="6B9E0A74"/>
    <w:rsid w:val="6BF1329A"/>
    <w:rsid w:val="6C1331A3"/>
    <w:rsid w:val="6CA64BAD"/>
    <w:rsid w:val="6CA84BC1"/>
    <w:rsid w:val="6D3E4756"/>
    <w:rsid w:val="6D940381"/>
    <w:rsid w:val="6F0E5A30"/>
    <w:rsid w:val="6FC523EB"/>
    <w:rsid w:val="700532A9"/>
    <w:rsid w:val="714D0F73"/>
    <w:rsid w:val="72895F2E"/>
    <w:rsid w:val="72C02EBE"/>
    <w:rsid w:val="72C507AD"/>
    <w:rsid w:val="72D028D8"/>
    <w:rsid w:val="73100ED3"/>
    <w:rsid w:val="732E0930"/>
    <w:rsid w:val="7399742F"/>
    <w:rsid w:val="745D47C3"/>
    <w:rsid w:val="750E1F95"/>
    <w:rsid w:val="76AC3757"/>
    <w:rsid w:val="77E84083"/>
    <w:rsid w:val="78A51694"/>
    <w:rsid w:val="78E73A5B"/>
    <w:rsid w:val="79676168"/>
    <w:rsid w:val="7BB51BEE"/>
    <w:rsid w:val="7C2428D0"/>
    <w:rsid w:val="7CB93F8E"/>
    <w:rsid w:val="7CF66B46"/>
    <w:rsid w:val="7D1E1A15"/>
    <w:rsid w:val="7D276B1C"/>
    <w:rsid w:val="7D9341B1"/>
    <w:rsid w:val="7DBD28BA"/>
    <w:rsid w:val="7E755665"/>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line="240" w:lineRule="auto"/>
      <w:jc w:val="left"/>
    </w:pPr>
    <w:rPr>
      <w:rFonts w:ascii="宋体" w:hAnsi="宋体" w:eastAsia="黑体"/>
      <w:b w:val="0"/>
      <w:sz w:val="28"/>
      <w:szCs w:val="30"/>
    </w:rPr>
  </w:style>
  <w:style w:type="paragraph" w:customStyle="1" w:styleId="112">
    <w:name w:val="标书三级标题"/>
    <w:basedOn w:val="4"/>
    <w:next w:val="113"/>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113">
    <w:name w:val="标书正文格式"/>
    <w:basedOn w:val="14"/>
    <w:qFormat/>
    <w:uiPriority w:val="0"/>
    <w:pPr>
      <w:spacing w:line="360" w:lineRule="auto"/>
      <w:ind w:firstLine="200" w:firstLineChars="200"/>
    </w:pPr>
    <w:rPr>
      <w:rFonts w:hAnsi="宋体"/>
      <w:color w:val="000000"/>
      <w:sz w:val="24"/>
      <w:szCs w:val="24"/>
    </w:rPr>
  </w:style>
  <w:style w:type="paragraph" w:customStyle="1" w:styleId="114">
    <w:name w:val="标书一级标题"/>
    <w:basedOn w:val="2"/>
    <w:qFormat/>
    <w:uiPriority w:val="0"/>
    <w:rPr>
      <w:rFonts w:eastAsia="黑体"/>
      <w:b w:val="0"/>
      <w:color w:val="000000"/>
      <w:sz w:val="30"/>
      <w:szCs w:val="24"/>
    </w:rPr>
  </w:style>
  <w:style w:type="paragraph" w:customStyle="1" w:styleId="115">
    <w:name w:val="Table Paragraph"/>
    <w:basedOn w:val="1"/>
    <w:autoRedefine/>
    <w:qFormat/>
    <w:uiPriority w:val="1"/>
    <w:rPr>
      <w:rFonts w:ascii="宋体" w:hAnsi="宋体" w:eastAsia="宋体" w:cs="宋体"/>
    </w:rPr>
  </w:style>
  <w:style w:type="table" w:customStyle="1" w:styleId="116">
    <w:name w:val="Table Normal"/>
    <w:semiHidden/>
    <w:unhideWhenUsed/>
    <w:qFormat/>
    <w:uiPriority w:val="0"/>
    <w:tblPr>
      <w:tblCellMar>
        <w:top w:w="0" w:type="dxa"/>
        <w:left w:w="0" w:type="dxa"/>
        <w:bottom w:w="0" w:type="dxa"/>
        <w:right w:w="0" w:type="dxa"/>
      </w:tblCellMar>
    </w:tblPr>
  </w:style>
  <w:style w:type="character" w:customStyle="1" w:styleId="117">
    <w:name w:val="font112"/>
    <w:basedOn w:val="32"/>
    <w:qFormat/>
    <w:uiPriority w:val="0"/>
    <w:rPr>
      <w:rFonts w:hint="eastAsia" w:ascii="宋体" w:hAnsi="宋体" w:eastAsia="宋体" w:cs="宋体"/>
      <w:color w:val="000000"/>
      <w:sz w:val="21"/>
      <w:szCs w:val="21"/>
      <w:u w:val="none"/>
    </w:rPr>
  </w:style>
  <w:style w:type="character" w:customStyle="1" w:styleId="118">
    <w:name w:val="font121"/>
    <w:basedOn w:val="32"/>
    <w:qFormat/>
    <w:uiPriority w:val="0"/>
    <w:rPr>
      <w:rFonts w:ascii="Arial" w:hAnsi="Arial" w:cs="Arial"/>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9.png"/><Relationship Id="rId40" Type="http://schemas.openxmlformats.org/officeDocument/2006/relationships/image" Target="media/image8.png"/><Relationship Id="rId4" Type="http://schemas.openxmlformats.org/officeDocument/2006/relationships/footer" Target="footer2.xml"/><Relationship Id="rId39" Type="http://schemas.openxmlformats.org/officeDocument/2006/relationships/image" Target="media/image7.png"/><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png"/><Relationship Id="rId33" Type="http://schemas.openxmlformats.org/officeDocument/2006/relationships/image" Target="media/image1.jpeg"/><Relationship Id="rId32" Type="http://schemas.openxmlformats.org/officeDocument/2006/relationships/theme" Target="theme/theme1.xml"/><Relationship Id="rId31" Type="http://schemas.openxmlformats.org/officeDocument/2006/relationships/footer" Target="footer25.xml"/><Relationship Id="rId30" Type="http://schemas.openxmlformats.org/officeDocument/2006/relationships/header" Target="header4.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header" Target="header3.xml"/><Relationship Id="rId26" Type="http://schemas.openxmlformats.org/officeDocument/2006/relationships/header" Target="header2.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header" Target="header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57</Pages>
  <Words>11872</Words>
  <Characters>12565</Characters>
  <Lines>127</Lines>
  <Paragraphs>35</Paragraphs>
  <TotalTime>2</TotalTime>
  <ScaleCrop>false</ScaleCrop>
  <LinksUpToDate>false</LinksUpToDate>
  <CharactersWithSpaces>12625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2025-11-26T08:45:28Z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