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44"/>
          <w:szCs w:val="48"/>
        </w:rPr>
      </w:pPr>
    </w:p>
    <w:p>
      <w:pPr>
        <w:jc w:val="center"/>
        <w:rPr>
          <w:rFonts w:ascii="宋体" w:hAnsi="宋体"/>
          <w:sz w:val="44"/>
          <w:szCs w:val="48"/>
        </w:rPr>
      </w:pPr>
    </w:p>
    <w:p>
      <w:pPr>
        <w:snapToGrid w:val="0"/>
        <w:jc w:val="center"/>
        <w:rPr>
          <w:rFonts w:ascii="宋体" w:hAnsi="宋体"/>
          <w:sz w:val="48"/>
          <w:szCs w:val="48"/>
        </w:rPr>
      </w:pPr>
      <w:r>
        <w:rPr>
          <w:rFonts w:hint="eastAsia" w:ascii="宋体" w:hAnsi="宋体"/>
          <w:sz w:val="48"/>
          <w:szCs w:val="48"/>
        </w:rPr>
        <w:t>中国重汽集团杭州发动机有限公司</w:t>
      </w:r>
    </w:p>
    <w:p>
      <w:pPr>
        <w:snapToGrid w:val="0"/>
        <w:jc w:val="center"/>
        <w:rPr>
          <w:rFonts w:ascii="宋体" w:hAnsi="宋体"/>
          <w:sz w:val="48"/>
          <w:szCs w:val="48"/>
        </w:rPr>
      </w:pPr>
      <w:r>
        <w:rPr>
          <w:rFonts w:hint="eastAsia" w:ascii="宋体" w:hAnsi="宋体"/>
          <w:sz w:val="48"/>
          <w:szCs w:val="48"/>
        </w:rPr>
        <w:t>污水站委托运营项目</w:t>
      </w:r>
    </w:p>
    <w:p>
      <w:pPr>
        <w:snapToGrid w:val="0"/>
        <w:jc w:val="center"/>
        <w:rPr>
          <w:rFonts w:ascii="宋体" w:hAnsi="宋体"/>
          <w:sz w:val="48"/>
          <w:szCs w:val="48"/>
        </w:rPr>
      </w:pPr>
    </w:p>
    <w:p>
      <w:pPr>
        <w:snapToGrid w:val="0"/>
        <w:jc w:val="center"/>
        <w:rPr>
          <w:rFonts w:ascii="宋体" w:hAnsi="宋体"/>
          <w:sz w:val="48"/>
          <w:szCs w:val="48"/>
        </w:rPr>
      </w:pPr>
    </w:p>
    <w:p>
      <w:pPr>
        <w:snapToGrid w:val="0"/>
        <w:jc w:val="center"/>
        <w:rPr>
          <w:rFonts w:ascii="黑体" w:hAnsi="宋体" w:eastAsia="黑体"/>
          <w:sz w:val="56"/>
          <w:szCs w:val="84"/>
        </w:rPr>
      </w:pPr>
      <w:r>
        <w:rPr>
          <w:rFonts w:hint="eastAsia" w:ascii="黑体" w:hAnsi="宋体" w:eastAsia="黑体"/>
          <w:sz w:val="56"/>
          <w:szCs w:val="84"/>
        </w:rPr>
        <w:t>招</w:t>
      </w:r>
    </w:p>
    <w:p>
      <w:pPr>
        <w:snapToGrid w:val="0"/>
        <w:jc w:val="center"/>
        <w:rPr>
          <w:rFonts w:ascii="黑体" w:hAnsi="宋体" w:eastAsia="黑体"/>
          <w:sz w:val="32"/>
          <w:szCs w:val="40"/>
        </w:rPr>
      </w:pPr>
    </w:p>
    <w:p>
      <w:pPr>
        <w:snapToGrid w:val="0"/>
        <w:jc w:val="center"/>
        <w:rPr>
          <w:rFonts w:ascii="黑体" w:hAnsi="宋体" w:eastAsia="黑体"/>
          <w:sz w:val="56"/>
          <w:szCs w:val="84"/>
        </w:rPr>
      </w:pPr>
      <w:r>
        <w:rPr>
          <w:rFonts w:hint="eastAsia" w:ascii="黑体" w:hAnsi="宋体" w:eastAsia="黑体"/>
          <w:sz w:val="56"/>
          <w:szCs w:val="84"/>
        </w:rPr>
        <w:t>标</w:t>
      </w:r>
    </w:p>
    <w:p>
      <w:pPr>
        <w:snapToGrid w:val="0"/>
        <w:jc w:val="center"/>
        <w:rPr>
          <w:rFonts w:ascii="黑体" w:hAnsi="宋体" w:eastAsia="黑体"/>
          <w:sz w:val="32"/>
          <w:szCs w:val="40"/>
        </w:rPr>
      </w:pPr>
    </w:p>
    <w:p>
      <w:pPr>
        <w:snapToGrid w:val="0"/>
        <w:jc w:val="center"/>
        <w:rPr>
          <w:rFonts w:ascii="宋体" w:hAnsi="宋体"/>
          <w:sz w:val="52"/>
          <w:szCs w:val="72"/>
        </w:rPr>
      </w:pPr>
      <w:r>
        <w:rPr>
          <w:rFonts w:hint="eastAsia" w:ascii="黑体" w:hAnsi="宋体" w:eastAsia="黑体"/>
          <w:sz w:val="56"/>
          <w:szCs w:val="84"/>
        </w:rPr>
        <w:t>书</w:t>
      </w:r>
    </w:p>
    <w:p>
      <w:pPr>
        <w:jc w:val="center"/>
        <w:rPr>
          <w:rFonts w:ascii="宋体" w:hAnsi="宋体"/>
          <w:sz w:val="28"/>
          <w:szCs w:val="28"/>
        </w:rPr>
      </w:pPr>
    </w:p>
    <w:p>
      <w:pPr>
        <w:jc w:val="left"/>
        <w:rPr>
          <w:rFonts w:ascii="华文仿宋" w:hAnsi="华文仿宋" w:eastAsia="华文仿宋"/>
          <w:sz w:val="32"/>
          <w:szCs w:val="28"/>
        </w:rPr>
      </w:pPr>
    </w:p>
    <w:p>
      <w:pPr>
        <w:jc w:val="left"/>
        <w:rPr>
          <w:rFonts w:ascii="华文仿宋" w:hAnsi="华文仿宋" w:eastAsia="华文仿宋"/>
          <w:sz w:val="32"/>
          <w:szCs w:val="28"/>
        </w:rPr>
      </w:pPr>
    </w:p>
    <w:p>
      <w:pPr>
        <w:jc w:val="left"/>
        <w:rPr>
          <w:rFonts w:ascii="华文仿宋" w:hAnsi="华文仿宋" w:eastAsia="华文仿宋"/>
          <w:sz w:val="32"/>
          <w:szCs w:val="28"/>
        </w:rPr>
      </w:pPr>
    </w:p>
    <w:p>
      <w:pPr>
        <w:jc w:val="left"/>
        <w:rPr>
          <w:rFonts w:ascii="华文仿宋" w:hAnsi="华文仿宋" w:eastAsia="华文仿宋"/>
          <w:sz w:val="32"/>
          <w:szCs w:val="28"/>
        </w:rPr>
      </w:pPr>
    </w:p>
    <w:p>
      <w:pPr>
        <w:jc w:val="left"/>
        <w:rPr>
          <w:rFonts w:ascii="宋体" w:hAnsi="宋体"/>
          <w:sz w:val="28"/>
          <w:szCs w:val="28"/>
        </w:rPr>
      </w:pPr>
      <w:r>
        <w:rPr>
          <w:rFonts w:hint="eastAsia" w:ascii="宋体" w:hAnsi="宋体"/>
          <w:sz w:val="28"/>
          <w:szCs w:val="28"/>
        </w:rPr>
        <w:t xml:space="preserve">       </w:t>
      </w: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r>
        <w:rPr>
          <w:rFonts w:hint="eastAsia" w:ascii="宋体" w:hAnsi="宋体"/>
          <w:sz w:val="28"/>
          <w:szCs w:val="28"/>
        </w:rPr>
        <w:t>招 标 单 位：中国重汽集团济南动力有限公司</w:t>
      </w:r>
    </w:p>
    <w:p>
      <w:pPr>
        <w:jc w:val="center"/>
        <w:rPr>
          <w:rFonts w:ascii="宋体" w:hAnsi="宋体"/>
          <w:sz w:val="28"/>
          <w:szCs w:val="28"/>
        </w:rPr>
      </w:pPr>
    </w:p>
    <w:p>
      <w:pPr>
        <w:spacing w:line="480" w:lineRule="auto"/>
        <w:jc w:val="center"/>
        <w:rPr>
          <w:rFonts w:ascii="宋体" w:hAnsi="宋体"/>
          <w:b/>
          <w:bCs/>
          <w:sz w:val="52"/>
          <w:szCs w:val="52"/>
        </w:rPr>
      </w:pPr>
      <w:r>
        <w:rPr>
          <w:rFonts w:ascii="宋体" w:hAnsi="宋体"/>
          <w:sz w:val="28"/>
          <w:szCs w:val="28"/>
          <w:u w:val="single"/>
        </w:rPr>
        <w:t>202</w:t>
      </w:r>
      <w:r>
        <w:rPr>
          <w:rFonts w:hint="eastAsia" w:ascii="宋体" w:hAnsi="宋体"/>
          <w:sz w:val="28"/>
          <w:szCs w:val="28"/>
          <w:u w:val="single"/>
        </w:rPr>
        <w:t>5</w:t>
      </w:r>
      <w:r>
        <w:rPr>
          <w:rFonts w:hint="eastAsia" w:ascii="宋体" w:hAnsi="宋体"/>
          <w:sz w:val="28"/>
          <w:szCs w:val="28"/>
        </w:rPr>
        <w:t>年</w:t>
      </w:r>
      <w:r>
        <w:rPr>
          <w:rFonts w:hint="eastAsia" w:ascii="宋体" w:hAnsi="宋体"/>
          <w:sz w:val="28"/>
          <w:szCs w:val="28"/>
          <w:u w:val="single"/>
        </w:rPr>
        <w:t>1</w:t>
      </w:r>
      <w:r>
        <w:rPr>
          <w:rFonts w:ascii="宋体" w:hAnsi="宋体"/>
          <w:sz w:val="28"/>
          <w:szCs w:val="28"/>
          <w:u w:val="single"/>
        </w:rPr>
        <w:t>1</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p>
      <w:pPr>
        <w:pStyle w:val="9"/>
        <w:spacing w:line="360" w:lineRule="auto"/>
        <w:jc w:val="center"/>
        <w:rPr>
          <w:rFonts w:hAnsi="宋体"/>
          <w:b/>
          <w:bCs/>
          <w:sz w:val="24"/>
        </w:rPr>
      </w:pPr>
      <w:r>
        <w:rPr>
          <w:rFonts w:hAnsi="宋体"/>
          <w:b/>
          <w:bCs/>
          <w:sz w:val="24"/>
        </w:rPr>
        <w:tab/>
      </w:r>
    </w:p>
    <w:p>
      <w:pPr>
        <w:pStyle w:val="11"/>
        <w:tabs>
          <w:tab w:val="right" w:leader="dot" w:pos="9071"/>
          <w:tab w:val="clear" w:pos="8729"/>
        </w:tabs>
        <w:rPr>
          <w:sz w:val="32"/>
          <w:szCs w:val="32"/>
        </w:rPr>
      </w:pPr>
      <w:r>
        <w:rPr>
          <w:b w:val="0"/>
          <w:bCs/>
          <w:sz w:val="32"/>
          <w:szCs w:val="32"/>
        </w:rPr>
        <w:fldChar w:fldCharType="begin"/>
      </w:r>
      <w:r>
        <w:rPr>
          <w:b w:val="0"/>
          <w:bCs/>
          <w:sz w:val="32"/>
          <w:szCs w:val="32"/>
        </w:rPr>
        <w:instrText xml:space="preserve">TOC \o "1-1" \h \u </w:instrText>
      </w:r>
      <w:r>
        <w:rPr>
          <w:b w:val="0"/>
          <w:bCs/>
          <w:sz w:val="32"/>
          <w:szCs w:val="32"/>
        </w:rPr>
        <w:fldChar w:fldCharType="separate"/>
      </w:r>
      <w:r>
        <w:fldChar w:fldCharType="begin"/>
      </w:r>
      <w:r>
        <w:instrText xml:space="preserve"> HYPERLINK \l "_Toc8339" </w:instrText>
      </w:r>
      <w:r>
        <w:fldChar w:fldCharType="separate"/>
      </w:r>
      <w:r>
        <w:rPr>
          <w:rFonts w:hint="eastAsia" w:ascii="黑体" w:eastAsia="黑体"/>
          <w:bCs/>
          <w:sz w:val="32"/>
          <w:szCs w:val="32"/>
        </w:rPr>
        <w:t>第一章  招标公告</w:t>
      </w:r>
      <w:r>
        <w:rPr>
          <w:sz w:val="32"/>
          <w:szCs w:val="32"/>
        </w:rPr>
        <w:tab/>
      </w:r>
      <w:r>
        <w:rPr>
          <w:sz w:val="32"/>
          <w:szCs w:val="32"/>
        </w:rPr>
        <w:fldChar w:fldCharType="begin"/>
      </w:r>
      <w:r>
        <w:rPr>
          <w:sz w:val="32"/>
          <w:szCs w:val="32"/>
        </w:rPr>
        <w:instrText xml:space="preserve"> PAGEREF _Toc8339 \h </w:instrText>
      </w:r>
      <w:r>
        <w:rPr>
          <w:sz w:val="32"/>
          <w:szCs w:val="32"/>
        </w:rPr>
        <w:fldChar w:fldCharType="separate"/>
      </w:r>
      <w:r>
        <w:rPr>
          <w:sz w:val="32"/>
          <w:szCs w:val="32"/>
        </w:rPr>
        <w:t>3</w:t>
      </w:r>
      <w:r>
        <w:rPr>
          <w:sz w:val="32"/>
          <w:szCs w:val="32"/>
        </w:rPr>
        <w:fldChar w:fldCharType="end"/>
      </w:r>
      <w:r>
        <w:rPr>
          <w:sz w:val="32"/>
          <w:szCs w:val="32"/>
        </w:rPr>
        <w:fldChar w:fldCharType="end"/>
      </w:r>
    </w:p>
    <w:p>
      <w:pPr>
        <w:pStyle w:val="11"/>
        <w:tabs>
          <w:tab w:val="right" w:leader="dot" w:pos="9071"/>
          <w:tab w:val="clear" w:pos="8729"/>
        </w:tabs>
        <w:rPr>
          <w:sz w:val="32"/>
          <w:szCs w:val="32"/>
        </w:rPr>
      </w:pPr>
      <w:r>
        <w:fldChar w:fldCharType="begin"/>
      </w:r>
      <w:r>
        <w:instrText xml:space="preserve"> HYPERLINK \l "_Toc20620" </w:instrText>
      </w:r>
      <w:r>
        <w:fldChar w:fldCharType="separate"/>
      </w:r>
      <w:r>
        <w:rPr>
          <w:rFonts w:hint="eastAsia" w:ascii="黑体" w:hAnsi="Courier New" w:eastAsia="黑体"/>
          <w:bCs/>
          <w:sz w:val="32"/>
          <w:szCs w:val="32"/>
        </w:rPr>
        <w:t>第二章  投标文件编制</w:t>
      </w:r>
      <w:r>
        <w:rPr>
          <w:sz w:val="32"/>
          <w:szCs w:val="32"/>
        </w:rPr>
        <w:tab/>
      </w:r>
      <w:r>
        <w:rPr>
          <w:sz w:val="32"/>
          <w:szCs w:val="32"/>
        </w:rPr>
        <w:fldChar w:fldCharType="begin"/>
      </w:r>
      <w:r>
        <w:rPr>
          <w:sz w:val="32"/>
          <w:szCs w:val="32"/>
        </w:rPr>
        <w:instrText xml:space="preserve"> PAGEREF _Toc20620 \h </w:instrText>
      </w:r>
      <w:r>
        <w:rPr>
          <w:sz w:val="32"/>
          <w:szCs w:val="32"/>
        </w:rPr>
        <w:fldChar w:fldCharType="separate"/>
      </w:r>
      <w:r>
        <w:rPr>
          <w:sz w:val="32"/>
          <w:szCs w:val="32"/>
        </w:rPr>
        <w:t>11</w:t>
      </w:r>
      <w:r>
        <w:rPr>
          <w:sz w:val="32"/>
          <w:szCs w:val="32"/>
        </w:rPr>
        <w:fldChar w:fldCharType="end"/>
      </w:r>
      <w:r>
        <w:rPr>
          <w:sz w:val="32"/>
          <w:szCs w:val="32"/>
        </w:rPr>
        <w:fldChar w:fldCharType="end"/>
      </w:r>
    </w:p>
    <w:p>
      <w:pPr>
        <w:pStyle w:val="11"/>
        <w:tabs>
          <w:tab w:val="right" w:leader="dot" w:pos="9071"/>
          <w:tab w:val="clear" w:pos="8729"/>
        </w:tabs>
        <w:rPr>
          <w:sz w:val="32"/>
          <w:szCs w:val="32"/>
        </w:rPr>
      </w:pPr>
      <w:r>
        <w:fldChar w:fldCharType="begin"/>
      </w:r>
      <w:r>
        <w:instrText xml:space="preserve"> HYPERLINK \l "_Toc424" </w:instrText>
      </w:r>
      <w:r>
        <w:fldChar w:fldCharType="separate"/>
      </w:r>
      <w:r>
        <w:rPr>
          <w:rFonts w:hint="eastAsia" w:ascii="黑体" w:eastAsia="黑体"/>
          <w:bCs/>
          <w:sz w:val="32"/>
          <w:szCs w:val="32"/>
        </w:rPr>
        <w:t xml:space="preserve">第三章 </w:t>
      </w:r>
      <w:r>
        <w:rPr>
          <w:rFonts w:ascii="黑体" w:eastAsia="黑体"/>
          <w:bCs/>
          <w:sz w:val="32"/>
          <w:szCs w:val="32"/>
        </w:rPr>
        <w:t>技术</w:t>
      </w:r>
      <w:r>
        <w:rPr>
          <w:rFonts w:hint="eastAsia" w:ascii="黑体" w:eastAsia="黑体"/>
          <w:bCs/>
          <w:sz w:val="32"/>
          <w:szCs w:val="32"/>
        </w:rPr>
        <w:t>要求</w:t>
      </w:r>
      <w:r>
        <w:rPr>
          <w:sz w:val="32"/>
          <w:szCs w:val="32"/>
        </w:rPr>
        <w:tab/>
      </w:r>
      <w:r>
        <w:rPr>
          <w:sz w:val="32"/>
          <w:szCs w:val="32"/>
        </w:rPr>
        <w:fldChar w:fldCharType="begin"/>
      </w:r>
      <w:r>
        <w:rPr>
          <w:sz w:val="32"/>
          <w:szCs w:val="32"/>
        </w:rPr>
        <w:instrText xml:space="preserve"> PAGEREF _Toc424 \h </w:instrText>
      </w:r>
      <w:r>
        <w:rPr>
          <w:sz w:val="32"/>
          <w:szCs w:val="32"/>
        </w:rPr>
        <w:fldChar w:fldCharType="separate"/>
      </w:r>
      <w:r>
        <w:rPr>
          <w:sz w:val="32"/>
          <w:szCs w:val="32"/>
        </w:rPr>
        <w:t>13</w:t>
      </w:r>
      <w:r>
        <w:rPr>
          <w:sz w:val="32"/>
          <w:szCs w:val="32"/>
        </w:rPr>
        <w:fldChar w:fldCharType="end"/>
      </w:r>
      <w:r>
        <w:rPr>
          <w:sz w:val="32"/>
          <w:szCs w:val="32"/>
        </w:rPr>
        <w:fldChar w:fldCharType="end"/>
      </w:r>
    </w:p>
    <w:p>
      <w:r>
        <w:rPr>
          <w:bCs/>
          <w:sz w:val="32"/>
          <w:szCs w:val="32"/>
        </w:rPr>
        <w:fldChar w:fldCharType="end"/>
      </w:r>
    </w:p>
    <w:p>
      <w:pPr>
        <w:pStyle w:val="9"/>
        <w:spacing w:line="360" w:lineRule="auto"/>
        <w:jc w:val="center"/>
        <w:outlineLvl w:val="0"/>
        <w:rPr>
          <w:rFonts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p>
    <w:p>
      <w:pPr>
        <w:pStyle w:val="9"/>
        <w:spacing w:line="360" w:lineRule="auto"/>
        <w:jc w:val="center"/>
        <w:outlineLvl w:val="0"/>
        <w:rPr>
          <w:rFonts w:ascii="黑体" w:eastAsia="黑体"/>
          <w:b/>
          <w:bCs/>
          <w:sz w:val="36"/>
          <w:szCs w:val="36"/>
        </w:rPr>
      </w:pPr>
      <w:bookmarkStart w:id="0" w:name="_Toc8339"/>
      <w:r>
        <w:rPr>
          <w:rFonts w:hint="eastAsia" w:ascii="黑体" w:eastAsia="黑体"/>
          <w:b/>
          <w:bCs/>
          <w:sz w:val="36"/>
          <w:szCs w:val="36"/>
        </w:rPr>
        <w:t>第一章  招标公告</w:t>
      </w:r>
      <w:bookmarkEnd w:id="0"/>
    </w:p>
    <w:p>
      <w:pPr>
        <w:pStyle w:val="9"/>
        <w:spacing w:line="360" w:lineRule="auto"/>
        <w:outlineLvl w:val="1"/>
        <w:rPr>
          <w:rFonts w:ascii="黑体" w:eastAsia="黑体"/>
          <w:b/>
          <w:bCs/>
          <w:sz w:val="28"/>
        </w:rPr>
      </w:pPr>
      <w:r>
        <w:rPr>
          <w:rFonts w:hint="eastAsia" w:ascii="黑体" w:eastAsia="黑体"/>
          <w:b/>
          <w:bCs/>
          <w:sz w:val="28"/>
        </w:rPr>
        <w:t>一、项目名称</w:t>
      </w:r>
    </w:p>
    <w:p>
      <w:pPr>
        <w:pStyle w:val="9"/>
        <w:spacing w:line="360" w:lineRule="auto"/>
        <w:ind w:firstLine="420" w:firstLineChars="200"/>
      </w:pPr>
      <w:r>
        <w:rPr>
          <w:rFonts w:hint="eastAsia"/>
        </w:rPr>
        <w:t>项目名称：中国重汽杭发公司污水站委托运营项目</w:t>
      </w:r>
    </w:p>
    <w:p>
      <w:pPr>
        <w:pStyle w:val="9"/>
        <w:spacing w:line="360" w:lineRule="auto"/>
        <w:ind w:firstLine="420" w:firstLineChars="200"/>
        <w:rPr>
          <w:rFonts w:hAnsi="宋体"/>
        </w:rPr>
      </w:pPr>
      <w:r>
        <w:rPr>
          <w:rFonts w:hint="eastAsia"/>
        </w:rPr>
        <w:t>项目编号：</w:t>
      </w:r>
      <w:r>
        <w:rPr>
          <w:rFonts w:hint="eastAsia"/>
          <w:highlight w:val="yellow"/>
        </w:rPr>
        <w:t>FSCZB2025110240</w:t>
      </w:r>
    </w:p>
    <w:p>
      <w:pPr>
        <w:pStyle w:val="9"/>
        <w:spacing w:line="360" w:lineRule="auto"/>
        <w:outlineLvl w:val="1"/>
        <w:rPr>
          <w:rFonts w:ascii="黑体" w:eastAsia="黑体"/>
          <w:b/>
          <w:bCs/>
          <w:sz w:val="28"/>
        </w:rPr>
      </w:pPr>
      <w:r>
        <w:rPr>
          <w:rFonts w:hint="eastAsia" w:ascii="黑体" w:eastAsia="黑体"/>
          <w:b/>
          <w:bCs/>
          <w:sz w:val="28"/>
        </w:rPr>
        <w:t>二、招标内容及形式</w:t>
      </w:r>
    </w:p>
    <w:p>
      <w:pPr>
        <w:pStyle w:val="9"/>
        <w:spacing w:line="360" w:lineRule="auto"/>
        <w:ind w:firstLine="420" w:firstLineChars="200"/>
      </w:pPr>
      <w:r>
        <w:rPr>
          <w:rFonts w:hint="eastAsia"/>
        </w:rPr>
        <w:t>针对中国重汽集团杭州发动机有限公司两个污水处理站运营的业务进行外包；</w:t>
      </w:r>
    </w:p>
    <w:p>
      <w:pPr>
        <w:pStyle w:val="9"/>
        <w:spacing w:line="360" w:lineRule="auto"/>
        <w:ind w:firstLine="422" w:firstLineChars="200"/>
      </w:pPr>
      <w:r>
        <w:rPr>
          <w:rFonts w:hint="eastAsia"/>
          <w:b/>
        </w:rPr>
        <w:t>1、招标期限</w:t>
      </w:r>
      <w:r>
        <w:rPr>
          <w:rFonts w:hint="eastAsia"/>
        </w:rPr>
        <w:t>：两年，从202</w:t>
      </w:r>
      <w:r>
        <w:t>6</w:t>
      </w:r>
      <w:r>
        <w:rPr>
          <w:rFonts w:hint="eastAsia"/>
        </w:rPr>
        <w:t>年1月1日至202</w:t>
      </w:r>
      <w:r>
        <w:t>7</w:t>
      </w:r>
      <w:r>
        <w:rPr>
          <w:rFonts w:hint="eastAsia"/>
        </w:rPr>
        <w:t>年12月31日止。</w:t>
      </w:r>
    </w:p>
    <w:p>
      <w:pPr>
        <w:pStyle w:val="9"/>
        <w:ind w:firstLine="422" w:firstLineChars="200"/>
        <w:rPr>
          <w:b/>
          <w:bCs/>
        </w:rPr>
      </w:pPr>
      <w:r>
        <w:rPr>
          <w:rFonts w:hint="eastAsia"/>
          <w:b/>
          <w:bCs/>
        </w:rPr>
        <w:t>2、招标内容：</w:t>
      </w:r>
    </w:p>
    <w:tbl>
      <w:tblPr>
        <w:tblStyle w:val="14"/>
        <w:tblpPr w:leftFromText="180" w:rightFromText="180" w:vertAnchor="text" w:horzAnchor="page" w:tblpXSpec="center" w:tblpY="103"/>
        <w:tblOverlap w:val="never"/>
        <w:tblW w:w="8379" w:type="dxa"/>
        <w:tblInd w:w="0" w:type="dxa"/>
        <w:tblLayout w:type="fixed"/>
        <w:tblCellMar>
          <w:top w:w="0" w:type="dxa"/>
          <w:left w:w="0" w:type="dxa"/>
          <w:bottom w:w="0" w:type="dxa"/>
          <w:right w:w="0" w:type="dxa"/>
        </w:tblCellMar>
      </w:tblPr>
      <w:tblGrid>
        <w:gridCol w:w="615"/>
        <w:gridCol w:w="2259"/>
        <w:gridCol w:w="4350"/>
        <w:gridCol w:w="1155"/>
      </w:tblGrid>
      <w:tr>
        <w:tblPrEx>
          <w:tblCellMar>
            <w:top w:w="0" w:type="dxa"/>
            <w:left w:w="0" w:type="dxa"/>
            <w:bottom w:w="0" w:type="dxa"/>
            <w:right w:w="0" w:type="dxa"/>
          </w:tblCellMar>
        </w:tblPrEx>
        <w:trPr>
          <w:trHeight w:val="255" w:hRule="atLeast"/>
        </w:trPr>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tcPr>
          <w:p>
            <w:pPr>
              <w:jc w:val="center"/>
              <w:rPr>
                <w:szCs w:val="22"/>
              </w:rPr>
            </w:pPr>
            <w:r>
              <w:rPr>
                <w:rFonts w:hint="eastAsia"/>
                <w:szCs w:val="22"/>
              </w:rPr>
              <w:t>序号</w:t>
            </w:r>
          </w:p>
        </w:tc>
        <w:tc>
          <w:tcPr>
            <w:tcW w:w="2259" w:type="dxa"/>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tcPr>
          <w:p>
            <w:pPr>
              <w:jc w:val="center"/>
              <w:rPr>
                <w:szCs w:val="22"/>
              </w:rPr>
            </w:pPr>
            <w:r>
              <w:rPr>
                <w:rFonts w:hint="eastAsia"/>
                <w:szCs w:val="22"/>
              </w:rPr>
              <w:t>污水处理站名称</w:t>
            </w:r>
          </w:p>
        </w:tc>
        <w:tc>
          <w:tcPr>
            <w:tcW w:w="4350" w:type="dxa"/>
            <w:tcBorders>
              <w:top w:val="single" w:color="000000" w:sz="4" w:space="0"/>
              <w:left w:val="single" w:color="000000" w:sz="4" w:space="0"/>
              <w:bottom w:val="single" w:color="000000" w:sz="4" w:space="0"/>
              <w:right w:val="single" w:color="000000" w:sz="4" w:space="0"/>
            </w:tcBorders>
          </w:tcPr>
          <w:p>
            <w:pPr>
              <w:jc w:val="center"/>
              <w:rPr>
                <w:szCs w:val="22"/>
              </w:rPr>
            </w:pPr>
            <w:r>
              <w:rPr>
                <w:szCs w:val="22"/>
              </w:rPr>
              <w:t>业务内容</w:t>
            </w:r>
          </w:p>
        </w:tc>
        <w:tc>
          <w:tcPr>
            <w:tcW w:w="1155" w:type="dxa"/>
            <w:tcBorders>
              <w:top w:val="single" w:color="000000" w:sz="4" w:space="0"/>
              <w:left w:val="single" w:color="000000" w:sz="4" w:space="0"/>
              <w:bottom w:val="single" w:color="auto" w:sz="4" w:space="0"/>
              <w:right w:val="single" w:color="000000" w:sz="4" w:space="0"/>
            </w:tcBorders>
            <w:noWrap/>
            <w:tcMar>
              <w:top w:w="15" w:type="dxa"/>
              <w:left w:w="15" w:type="dxa"/>
              <w:bottom w:w="0" w:type="dxa"/>
              <w:right w:w="15" w:type="dxa"/>
            </w:tcMar>
          </w:tcPr>
          <w:p>
            <w:pPr>
              <w:jc w:val="center"/>
              <w:rPr>
                <w:szCs w:val="22"/>
              </w:rPr>
            </w:pPr>
            <w:r>
              <w:rPr>
                <w:rFonts w:hint="eastAsia"/>
                <w:szCs w:val="22"/>
              </w:rPr>
              <w:t>计价</w:t>
            </w:r>
          </w:p>
        </w:tc>
      </w:tr>
      <w:tr>
        <w:tblPrEx>
          <w:tblCellMar>
            <w:top w:w="0" w:type="dxa"/>
            <w:left w:w="0" w:type="dxa"/>
            <w:bottom w:w="0" w:type="dxa"/>
            <w:right w:w="0" w:type="dxa"/>
          </w:tblCellMar>
        </w:tblPrEx>
        <w:trPr>
          <w:trHeight w:val="255" w:hRule="atLeast"/>
        </w:trPr>
        <w:tc>
          <w:tcPr>
            <w:tcW w:w="615" w:type="dxa"/>
            <w:tcBorders>
              <w:top w:val="single" w:color="000000" w:sz="4" w:space="0"/>
              <w:left w:val="single" w:color="000000" w:sz="4" w:space="0"/>
              <w:bottom w:val="single" w:color="auto" w:sz="4" w:space="0"/>
              <w:right w:val="single" w:color="000000" w:sz="4" w:space="0"/>
            </w:tcBorders>
            <w:noWrap/>
            <w:tcMar>
              <w:top w:w="15" w:type="dxa"/>
              <w:left w:w="15" w:type="dxa"/>
              <w:bottom w:w="0" w:type="dxa"/>
              <w:right w:w="15" w:type="dxa"/>
            </w:tcMar>
            <w:vAlign w:val="center"/>
          </w:tcPr>
          <w:p>
            <w:pPr>
              <w:jc w:val="center"/>
              <w:rPr>
                <w:szCs w:val="22"/>
              </w:rPr>
            </w:pPr>
            <w:r>
              <w:rPr>
                <w:szCs w:val="22"/>
              </w:rPr>
              <w:t>1</w:t>
            </w:r>
          </w:p>
        </w:tc>
        <w:tc>
          <w:tcPr>
            <w:tcW w:w="2259" w:type="dxa"/>
            <w:tcBorders>
              <w:top w:val="single" w:color="000000" w:sz="4" w:space="0"/>
              <w:left w:val="single" w:color="000000" w:sz="4" w:space="0"/>
              <w:bottom w:val="single" w:color="auto" w:sz="4" w:space="0"/>
              <w:right w:val="single" w:color="000000" w:sz="4" w:space="0"/>
            </w:tcBorders>
            <w:noWrap/>
            <w:tcMar>
              <w:top w:w="15" w:type="dxa"/>
              <w:left w:w="15" w:type="dxa"/>
              <w:bottom w:w="0" w:type="dxa"/>
              <w:right w:w="15" w:type="dxa"/>
            </w:tcMar>
            <w:vAlign w:val="center"/>
          </w:tcPr>
          <w:p>
            <w:pPr>
              <w:jc w:val="center"/>
            </w:pPr>
            <w:r>
              <w:rPr>
                <w:rFonts w:hint="eastAsia"/>
              </w:rPr>
              <w:t>污水处理总站</w:t>
            </w:r>
          </w:p>
        </w:tc>
        <w:tc>
          <w:tcPr>
            <w:tcW w:w="4350" w:type="dxa"/>
            <w:vMerge w:val="restart"/>
            <w:tcBorders>
              <w:top w:val="single" w:color="000000" w:sz="4" w:space="0"/>
              <w:left w:val="single" w:color="000000" w:sz="4" w:space="0"/>
              <w:right w:val="single" w:color="000000" w:sz="4" w:space="0"/>
            </w:tcBorders>
          </w:tcPr>
          <w:p>
            <w:pPr>
              <w:widowControl/>
              <w:jc w:val="left"/>
              <w:textAlignment w:val="center"/>
              <w:rPr>
                <w:rFonts w:ascii="宋体" w:hAnsi="宋体" w:cs="宋体"/>
                <w:szCs w:val="21"/>
              </w:rPr>
            </w:pPr>
            <w:r>
              <w:rPr>
                <w:rFonts w:hint="eastAsia" w:ascii="宋体" w:hAnsi="宋体" w:cs="宋体"/>
                <w:spacing w:val="2"/>
                <w:szCs w:val="21"/>
              </w:rPr>
              <w:t>负责污水处理站的运行及日常管理，确保废水达标排放。</w:t>
            </w:r>
          </w:p>
        </w:tc>
        <w:tc>
          <w:tcPr>
            <w:tcW w:w="1155" w:type="dxa"/>
            <w:vMerge w:val="restart"/>
            <w:tcBorders>
              <w:top w:val="single" w:color="auto"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jc w:val="center"/>
              <w:rPr>
                <w:szCs w:val="22"/>
              </w:rPr>
            </w:pPr>
            <w:r>
              <w:rPr>
                <w:rFonts w:hint="eastAsia"/>
                <w:szCs w:val="22"/>
              </w:rPr>
              <w:t>按量份结算</w:t>
            </w:r>
          </w:p>
        </w:tc>
      </w:tr>
      <w:tr>
        <w:tblPrEx>
          <w:tblCellMar>
            <w:top w:w="0" w:type="dxa"/>
            <w:left w:w="0" w:type="dxa"/>
            <w:bottom w:w="0" w:type="dxa"/>
            <w:right w:w="0" w:type="dxa"/>
          </w:tblCellMar>
        </w:tblPrEx>
        <w:trPr>
          <w:trHeight w:val="90" w:hRule="atLeast"/>
        </w:trPr>
        <w:tc>
          <w:tcPr>
            <w:tcW w:w="615" w:type="dxa"/>
            <w:tcBorders>
              <w:top w:val="single" w:color="auto" w:sz="4" w:space="0"/>
              <w:left w:val="single" w:color="000000" w:sz="4" w:space="0"/>
              <w:bottom w:val="single" w:color="auto" w:sz="4" w:space="0"/>
              <w:right w:val="single" w:color="000000" w:sz="4" w:space="0"/>
            </w:tcBorders>
            <w:vAlign w:val="center"/>
          </w:tcPr>
          <w:p>
            <w:pPr>
              <w:jc w:val="center"/>
              <w:rPr>
                <w:szCs w:val="22"/>
              </w:rPr>
            </w:pPr>
            <w:r>
              <w:rPr>
                <w:rFonts w:hint="eastAsia"/>
                <w:szCs w:val="22"/>
              </w:rPr>
              <w:t>2</w:t>
            </w:r>
          </w:p>
        </w:tc>
        <w:tc>
          <w:tcPr>
            <w:tcW w:w="2259" w:type="dxa"/>
            <w:tcBorders>
              <w:top w:val="single" w:color="auto" w:sz="4" w:space="0"/>
              <w:left w:val="single" w:color="000000" w:sz="4" w:space="0"/>
              <w:bottom w:val="single" w:color="auto" w:sz="4" w:space="0"/>
              <w:right w:val="single" w:color="000000" w:sz="4" w:space="0"/>
            </w:tcBorders>
            <w:noWrap/>
            <w:tcMar>
              <w:top w:w="15" w:type="dxa"/>
              <w:left w:w="15" w:type="dxa"/>
              <w:bottom w:w="0" w:type="dxa"/>
              <w:right w:w="15" w:type="dxa"/>
            </w:tcMar>
            <w:vAlign w:val="center"/>
          </w:tcPr>
          <w:p>
            <w:pPr>
              <w:jc w:val="center"/>
            </w:pPr>
            <w:r>
              <w:rPr>
                <w:rFonts w:hint="eastAsia"/>
              </w:rPr>
              <w:t>油漆水预处理站</w:t>
            </w:r>
          </w:p>
        </w:tc>
        <w:tc>
          <w:tcPr>
            <w:tcW w:w="4350" w:type="dxa"/>
            <w:vMerge w:val="continue"/>
            <w:tcBorders>
              <w:left w:val="single" w:color="000000" w:sz="4" w:space="0"/>
              <w:bottom w:val="single" w:color="000000" w:sz="4" w:space="0"/>
              <w:right w:val="single" w:color="000000" w:sz="4" w:space="0"/>
            </w:tcBorders>
          </w:tcPr>
          <w:p>
            <w:pPr>
              <w:widowControl/>
              <w:jc w:val="left"/>
              <w:textAlignment w:val="center"/>
              <w:rPr>
                <w:rFonts w:ascii="宋体" w:hAnsi="宋体" w:cs="宋体"/>
                <w:szCs w:val="21"/>
              </w:rPr>
            </w:pPr>
          </w:p>
        </w:tc>
        <w:tc>
          <w:tcPr>
            <w:tcW w:w="1155" w:type="dxa"/>
            <w:vMerge w:val="continue"/>
            <w:tcBorders>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jc w:val="center"/>
              <w:rPr>
                <w:szCs w:val="22"/>
              </w:rPr>
            </w:pPr>
          </w:p>
        </w:tc>
      </w:tr>
    </w:tbl>
    <w:p>
      <w:pPr>
        <w:ind w:left="420" w:leftChars="200"/>
        <w:rPr>
          <w:rFonts w:ascii="宋体" w:hAnsi="宋体"/>
          <w:b/>
          <w:bCs/>
          <w:szCs w:val="21"/>
        </w:rPr>
      </w:pPr>
      <w:r>
        <w:rPr>
          <w:rFonts w:hint="eastAsia" w:ascii="宋体" w:hAnsi="宋体"/>
          <w:b/>
          <w:bCs/>
          <w:szCs w:val="21"/>
        </w:rPr>
        <w:t>3、现有设备设施及能力</w:t>
      </w:r>
    </w:p>
    <w:p>
      <w:pPr>
        <w:pStyle w:val="8"/>
        <w:ind w:left="420" w:leftChars="200"/>
        <w:rPr>
          <w:rFonts w:ascii="宋体" w:hAnsi="宋体" w:eastAsia="宋体"/>
          <w:sz w:val="21"/>
          <w:szCs w:val="21"/>
        </w:rPr>
      </w:pPr>
      <w:r>
        <w:rPr>
          <w:rFonts w:hint="eastAsia" w:ascii="宋体" w:hAnsi="宋体" w:eastAsia="宋体"/>
          <w:sz w:val="21"/>
          <w:szCs w:val="21"/>
        </w:rPr>
        <w:t>3.1污水处理站工艺处理设备明细</w:t>
      </w:r>
    </w:p>
    <w:tbl>
      <w:tblPr>
        <w:tblStyle w:val="14"/>
        <w:tblW w:w="8514" w:type="dxa"/>
        <w:jc w:val="center"/>
        <w:tblLayout w:type="fixed"/>
        <w:tblCellMar>
          <w:top w:w="0" w:type="dxa"/>
          <w:left w:w="108" w:type="dxa"/>
          <w:bottom w:w="0" w:type="dxa"/>
          <w:right w:w="108" w:type="dxa"/>
        </w:tblCellMar>
      </w:tblPr>
      <w:tblGrid>
        <w:gridCol w:w="670"/>
        <w:gridCol w:w="1064"/>
        <w:gridCol w:w="2554"/>
        <w:gridCol w:w="667"/>
        <w:gridCol w:w="1173"/>
        <w:gridCol w:w="2386"/>
      </w:tblGrid>
      <w:tr>
        <w:tblPrEx>
          <w:tblCellMar>
            <w:top w:w="0" w:type="dxa"/>
            <w:left w:w="108" w:type="dxa"/>
            <w:bottom w:w="0" w:type="dxa"/>
            <w:right w:w="108" w:type="dxa"/>
          </w:tblCellMar>
        </w:tblPrEx>
        <w:trPr>
          <w:trHeight w:val="270" w:hRule="atLeast"/>
          <w:jc w:val="center"/>
        </w:trPr>
        <w:tc>
          <w:tcPr>
            <w:tcW w:w="4288"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rPr>
              <w:t>污水处理总站</w:t>
            </w:r>
          </w:p>
        </w:tc>
        <w:tc>
          <w:tcPr>
            <w:tcW w:w="422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rPr>
              <w:t>油漆水预处理站</w:t>
            </w:r>
          </w:p>
        </w:tc>
      </w:tr>
      <w:tr>
        <w:tblPrEx>
          <w:tblCellMar>
            <w:top w:w="0" w:type="dxa"/>
            <w:left w:w="108" w:type="dxa"/>
            <w:bottom w:w="0" w:type="dxa"/>
            <w:right w:w="108" w:type="dxa"/>
          </w:tblCellMar>
        </w:tblPrEx>
        <w:trPr>
          <w:trHeight w:val="270" w:hRule="atLeast"/>
          <w:jc w:val="center"/>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序号</w:t>
            </w:r>
          </w:p>
        </w:tc>
        <w:tc>
          <w:tcPr>
            <w:tcW w:w="3618"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处理设备及检测仪器</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序号</w:t>
            </w:r>
          </w:p>
        </w:tc>
        <w:tc>
          <w:tcPr>
            <w:tcW w:w="3559"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处理设备及检测仪器</w:t>
            </w:r>
          </w:p>
        </w:tc>
      </w:tr>
      <w:tr>
        <w:tblPrEx>
          <w:tblCellMar>
            <w:top w:w="0" w:type="dxa"/>
            <w:left w:w="108" w:type="dxa"/>
            <w:bottom w:w="0" w:type="dxa"/>
            <w:right w:w="108" w:type="dxa"/>
          </w:tblCellMar>
        </w:tblPrEx>
        <w:trPr>
          <w:trHeight w:val="270"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106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乳化液、清洗液处理线</w:t>
            </w: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加药装置</w:t>
            </w:r>
          </w:p>
        </w:tc>
        <w:tc>
          <w:tcPr>
            <w:tcW w:w="66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117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污水综合处理线</w:t>
            </w: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加药装置</w:t>
            </w:r>
          </w:p>
        </w:tc>
      </w:tr>
      <w:tr>
        <w:trPr>
          <w:trHeight w:val="27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06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一次反应搅拌槽</w:t>
            </w:r>
          </w:p>
        </w:tc>
        <w:tc>
          <w:tcPr>
            <w:tcW w:w="66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17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一次反应搅拌槽</w:t>
            </w:r>
          </w:p>
        </w:tc>
      </w:tr>
      <w:tr>
        <w:tblPrEx>
          <w:tblCellMar>
            <w:top w:w="0" w:type="dxa"/>
            <w:left w:w="108" w:type="dxa"/>
            <w:bottom w:w="0" w:type="dxa"/>
            <w:right w:w="108" w:type="dxa"/>
          </w:tblCellMar>
        </w:tblPrEx>
        <w:trPr>
          <w:trHeight w:val="27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06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斜管沉淀装置</w:t>
            </w:r>
          </w:p>
        </w:tc>
        <w:tc>
          <w:tcPr>
            <w:tcW w:w="66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17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斜管沉淀装置</w:t>
            </w:r>
          </w:p>
        </w:tc>
      </w:tr>
      <w:tr>
        <w:tblPrEx>
          <w:tblCellMar>
            <w:top w:w="0" w:type="dxa"/>
            <w:left w:w="108" w:type="dxa"/>
            <w:bottom w:w="0" w:type="dxa"/>
            <w:right w:w="108" w:type="dxa"/>
          </w:tblCellMar>
        </w:tblPrEx>
        <w:trPr>
          <w:trHeight w:val="27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06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二次反应搅拌槽</w:t>
            </w:r>
          </w:p>
        </w:tc>
        <w:tc>
          <w:tcPr>
            <w:tcW w:w="66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17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二次反应搅拌槽</w:t>
            </w:r>
          </w:p>
        </w:tc>
      </w:tr>
      <w:tr>
        <w:tblPrEx>
          <w:tblCellMar>
            <w:top w:w="0" w:type="dxa"/>
            <w:left w:w="108" w:type="dxa"/>
            <w:bottom w:w="0" w:type="dxa"/>
            <w:right w:w="108" w:type="dxa"/>
          </w:tblCellMar>
        </w:tblPrEx>
        <w:trPr>
          <w:trHeight w:val="27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06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气浮装置</w:t>
            </w:r>
          </w:p>
        </w:tc>
        <w:tc>
          <w:tcPr>
            <w:tcW w:w="66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17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气浮装置</w:t>
            </w:r>
          </w:p>
        </w:tc>
      </w:tr>
      <w:tr>
        <w:tblPrEx>
          <w:tblCellMar>
            <w:top w:w="0" w:type="dxa"/>
            <w:left w:w="108" w:type="dxa"/>
            <w:bottom w:w="0" w:type="dxa"/>
            <w:right w:w="108" w:type="dxa"/>
          </w:tblCellMar>
        </w:tblPrEx>
        <w:trPr>
          <w:trHeight w:val="27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06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活性炭滤装置</w:t>
            </w:r>
          </w:p>
        </w:tc>
        <w:tc>
          <w:tcPr>
            <w:tcW w:w="66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17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szCs w:val="21"/>
              </w:rPr>
            </w:pPr>
          </w:p>
        </w:tc>
      </w:tr>
      <w:tr>
        <w:tblPrEx>
          <w:tblCellMar>
            <w:top w:w="0" w:type="dxa"/>
            <w:left w:w="108" w:type="dxa"/>
            <w:bottom w:w="0" w:type="dxa"/>
            <w:right w:w="108" w:type="dxa"/>
          </w:tblCellMar>
        </w:tblPrEx>
        <w:trPr>
          <w:trHeight w:val="27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06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砂滤装置</w:t>
            </w:r>
          </w:p>
        </w:tc>
        <w:tc>
          <w:tcPr>
            <w:tcW w:w="66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17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p>
        </w:tc>
      </w:tr>
      <w:tr>
        <w:tblPrEx>
          <w:tblCellMar>
            <w:top w:w="0" w:type="dxa"/>
            <w:left w:w="108" w:type="dxa"/>
            <w:bottom w:w="0" w:type="dxa"/>
            <w:right w:w="108" w:type="dxa"/>
          </w:tblCellMar>
        </w:tblPrEx>
        <w:trPr>
          <w:trHeight w:val="270" w:hRule="atLeast"/>
          <w:jc w:val="center"/>
        </w:trPr>
        <w:tc>
          <w:tcPr>
            <w:tcW w:w="67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106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szCs w:val="21"/>
              </w:rPr>
              <w:t>高浓度废水处理线</w:t>
            </w: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加药装置</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szCs w:val="21"/>
              </w:rPr>
              <w:t>2</w:t>
            </w:r>
          </w:p>
        </w:tc>
        <w:tc>
          <w:tcPr>
            <w:tcW w:w="11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污泥处理</w:t>
            </w: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叠螺机</w:t>
            </w:r>
          </w:p>
        </w:tc>
      </w:tr>
      <w:tr>
        <w:tblPrEx>
          <w:tblCellMar>
            <w:top w:w="0" w:type="dxa"/>
            <w:left w:w="108" w:type="dxa"/>
            <w:bottom w:w="0" w:type="dxa"/>
            <w:right w:w="108" w:type="dxa"/>
          </w:tblCellMar>
        </w:tblPrEx>
        <w:trPr>
          <w:trHeight w:val="27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06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一次反应搅拌槽</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1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p>
        </w:tc>
      </w:tr>
      <w:tr>
        <w:tblPrEx>
          <w:tblCellMar>
            <w:top w:w="0" w:type="dxa"/>
            <w:left w:w="108" w:type="dxa"/>
            <w:bottom w:w="0" w:type="dxa"/>
            <w:right w:w="108" w:type="dxa"/>
          </w:tblCellMar>
        </w:tblPrEx>
        <w:trPr>
          <w:trHeight w:val="27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06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斜管沉淀装置</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1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p>
        </w:tc>
      </w:tr>
      <w:tr>
        <w:tblPrEx>
          <w:tblCellMar>
            <w:top w:w="0" w:type="dxa"/>
            <w:left w:w="108" w:type="dxa"/>
            <w:bottom w:w="0" w:type="dxa"/>
            <w:right w:w="108" w:type="dxa"/>
          </w:tblCellMar>
        </w:tblPrEx>
        <w:trPr>
          <w:trHeight w:val="27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06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二次反应搅拌槽</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1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p>
        </w:tc>
      </w:tr>
      <w:tr>
        <w:tblPrEx>
          <w:tblCellMar>
            <w:top w:w="0" w:type="dxa"/>
            <w:left w:w="108" w:type="dxa"/>
            <w:bottom w:w="0" w:type="dxa"/>
            <w:right w:w="108" w:type="dxa"/>
          </w:tblCellMar>
        </w:tblPrEx>
        <w:trPr>
          <w:trHeight w:val="270" w:hRule="atLeast"/>
          <w:jc w:val="center"/>
        </w:trPr>
        <w:tc>
          <w:tcPr>
            <w:tcW w:w="67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06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气浮装置</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11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p>
        </w:tc>
      </w:tr>
      <w:tr>
        <w:tblPrEx>
          <w:tblCellMar>
            <w:top w:w="0" w:type="dxa"/>
            <w:left w:w="108" w:type="dxa"/>
            <w:bottom w:w="0" w:type="dxa"/>
            <w:right w:w="108" w:type="dxa"/>
          </w:tblCellMar>
        </w:tblPrEx>
        <w:trPr>
          <w:trHeight w:val="270" w:hRule="atLeast"/>
          <w:jc w:val="center"/>
        </w:trPr>
        <w:tc>
          <w:tcPr>
            <w:tcW w:w="670"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1064"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综合废水处理线</w:t>
            </w:r>
          </w:p>
        </w:tc>
        <w:tc>
          <w:tcPr>
            <w:tcW w:w="25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加药装置</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p>
        </w:tc>
        <w:tc>
          <w:tcPr>
            <w:tcW w:w="117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r>
      <w:tr>
        <w:trPr>
          <w:trHeight w:val="270" w:hRule="atLeast"/>
          <w:jc w:val="center"/>
        </w:trPr>
        <w:tc>
          <w:tcPr>
            <w:tcW w:w="670" w:type="dxa"/>
            <w:vMerge w:val="continue"/>
            <w:tcBorders>
              <w:left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1064" w:type="dxa"/>
            <w:vMerge w:val="continue"/>
            <w:tcBorders>
              <w:left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25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一次反应搅拌槽</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117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270" w:hRule="atLeast"/>
          <w:jc w:val="center"/>
        </w:trPr>
        <w:tc>
          <w:tcPr>
            <w:tcW w:w="670" w:type="dxa"/>
            <w:vMerge w:val="continue"/>
            <w:tcBorders>
              <w:left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1064" w:type="dxa"/>
            <w:vMerge w:val="continue"/>
            <w:tcBorders>
              <w:left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25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斜管沉淀装置</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117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270" w:hRule="atLeast"/>
          <w:jc w:val="center"/>
        </w:trPr>
        <w:tc>
          <w:tcPr>
            <w:tcW w:w="670" w:type="dxa"/>
            <w:vMerge w:val="continue"/>
            <w:tcBorders>
              <w:left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1064" w:type="dxa"/>
            <w:vMerge w:val="continue"/>
            <w:tcBorders>
              <w:left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25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二次反应搅拌槽</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117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270" w:hRule="atLeast"/>
          <w:jc w:val="center"/>
        </w:trPr>
        <w:tc>
          <w:tcPr>
            <w:tcW w:w="670"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1064"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25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气浮装置</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117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270" w:hRule="atLeast"/>
          <w:jc w:val="center"/>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污泥处理</w:t>
            </w: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叠螺机</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p>
        </w:tc>
        <w:tc>
          <w:tcPr>
            <w:tcW w:w="1173"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szCs w:val="21"/>
              </w:rPr>
            </w:pP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szCs w:val="21"/>
              </w:rPr>
            </w:pPr>
          </w:p>
        </w:tc>
      </w:tr>
      <w:tr>
        <w:trPr>
          <w:trHeight w:val="561" w:hRule="atLeast"/>
          <w:jc w:val="center"/>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5</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生化处理</w:t>
            </w:r>
          </w:p>
        </w:tc>
        <w:tc>
          <w:tcPr>
            <w:tcW w:w="2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生化池</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117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2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r>
      <w:tr>
        <w:tblPrEx>
          <w:tblCellMar>
            <w:top w:w="0" w:type="dxa"/>
            <w:left w:w="108" w:type="dxa"/>
            <w:bottom w:w="0" w:type="dxa"/>
            <w:right w:w="108" w:type="dxa"/>
          </w:tblCellMar>
        </w:tblPrEx>
        <w:trPr>
          <w:trHeight w:val="270" w:hRule="atLeast"/>
          <w:jc w:val="center"/>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r>
              <w:rPr>
                <w:rFonts w:ascii="宋体" w:hAnsi="宋体" w:cs="宋体"/>
                <w:kern w:val="0"/>
                <w:szCs w:val="21"/>
                <w:lang w:bidi="ar"/>
              </w:rPr>
              <w:t>6</w:t>
            </w:r>
          </w:p>
        </w:tc>
        <w:tc>
          <w:tcPr>
            <w:tcW w:w="3618"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地上备用污水蓄水池</w:t>
            </w:r>
          </w:p>
        </w:tc>
        <w:tc>
          <w:tcPr>
            <w:tcW w:w="6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c>
          <w:tcPr>
            <w:tcW w:w="3559"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p>
        </w:tc>
      </w:tr>
    </w:tbl>
    <w:p>
      <w:pPr>
        <w:pStyle w:val="8"/>
        <w:ind w:firstLine="420" w:firstLineChars="200"/>
      </w:pPr>
      <w:r>
        <w:rPr>
          <w:rFonts w:hint="eastAsia" w:ascii="宋体" w:hAnsi="宋体" w:eastAsia="宋体" w:cs="宋体"/>
          <w:kern w:val="0"/>
          <w:sz w:val="21"/>
          <w:szCs w:val="21"/>
          <w:lang w:bidi="ar"/>
        </w:rPr>
        <w:t>3.2化验设备</w:t>
      </w:r>
    </w:p>
    <w:tbl>
      <w:tblPr>
        <w:tblStyle w:val="14"/>
        <w:tblW w:w="8506" w:type="dxa"/>
        <w:jc w:val="center"/>
        <w:tblLayout w:type="fixed"/>
        <w:tblCellMar>
          <w:top w:w="0" w:type="dxa"/>
          <w:left w:w="108" w:type="dxa"/>
          <w:bottom w:w="0" w:type="dxa"/>
          <w:right w:w="108" w:type="dxa"/>
        </w:tblCellMar>
      </w:tblPr>
      <w:tblGrid>
        <w:gridCol w:w="1167"/>
        <w:gridCol w:w="2962"/>
        <w:gridCol w:w="2242"/>
        <w:gridCol w:w="2135"/>
      </w:tblGrid>
      <w:tr>
        <w:tblPrEx>
          <w:tblCellMar>
            <w:top w:w="0" w:type="dxa"/>
            <w:left w:w="108" w:type="dxa"/>
            <w:bottom w:w="0" w:type="dxa"/>
            <w:right w:w="108" w:type="dxa"/>
          </w:tblCellMar>
        </w:tblPrEx>
        <w:trPr>
          <w:trHeight w:val="270" w:hRule="atLeast"/>
          <w:jc w:val="center"/>
        </w:trPr>
        <w:tc>
          <w:tcPr>
            <w:tcW w:w="11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序号</w:t>
            </w:r>
          </w:p>
        </w:tc>
        <w:tc>
          <w:tcPr>
            <w:tcW w:w="29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名称</w:t>
            </w:r>
          </w:p>
        </w:tc>
        <w:tc>
          <w:tcPr>
            <w:tcW w:w="224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型号</w:t>
            </w:r>
          </w:p>
        </w:tc>
        <w:tc>
          <w:tcPr>
            <w:tcW w:w="21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数量</w:t>
            </w:r>
          </w:p>
        </w:tc>
      </w:tr>
      <w:tr>
        <w:tblPrEx>
          <w:tblCellMar>
            <w:top w:w="0" w:type="dxa"/>
            <w:left w:w="108" w:type="dxa"/>
            <w:bottom w:w="0" w:type="dxa"/>
            <w:right w:w="108" w:type="dxa"/>
          </w:tblCellMar>
        </w:tblPrEx>
        <w:trPr>
          <w:trHeight w:val="270" w:hRule="atLeast"/>
          <w:jc w:val="center"/>
        </w:trPr>
        <w:tc>
          <w:tcPr>
            <w:tcW w:w="11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29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消解器</w:t>
            </w:r>
          </w:p>
        </w:tc>
        <w:tc>
          <w:tcPr>
            <w:tcW w:w="224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DRB200</w:t>
            </w:r>
          </w:p>
        </w:tc>
        <w:tc>
          <w:tcPr>
            <w:tcW w:w="21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1台</w:t>
            </w:r>
          </w:p>
        </w:tc>
      </w:tr>
      <w:tr>
        <w:tblPrEx>
          <w:tblCellMar>
            <w:top w:w="0" w:type="dxa"/>
            <w:left w:w="108" w:type="dxa"/>
            <w:bottom w:w="0" w:type="dxa"/>
            <w:right w:w="108" w:type="dxa"/>
          </w:tblCellMar>
        </w:tblPrEx>
        <w:trPr>
          <w:trHeight w:val="270" w:hRule="atLeast"/>
          <w:jc w:val="center"/>
        </w:trPr>
        <w:tc>
          <w:tcPr>
            <w:tcW w:w="11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2</w:t>
            </w:r>
          </w:p>
        </w:tc>
        <w:tc>
          <w:tcPr>
            <w:tcW w:w="29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水质多参数分析仪</w:t>
            </w:r>
          </w:p>
        </w:tc>
        <w:tc>
          <w:tcPr>
            <w:tcW w:w="224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DR3900</w:t>
            </w:r>
          </w:p>
        </w:tc>
        <w:tc>
          <w:tcPr>
            <w:tcW w:w="21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1台</w:t>
            </w:r>
          </w:p>
        </w:tc>
      </w:tr>
      <w:tr>
        <w:tblPrEx>
          <w:tblCellMar>
            <w:top w:w="0" w:type="dxa"/>
            <w:left w:w="108" w:type="dxa"/>
            <w:bottom w:w="0" w:type="dxa"/>
            <w:right w:w="108" w:type="dxa"/>
          </w:tblCellMar>
        </w:tblPrEx>
        <w:trPr>
          <w:trHeight w:val="270" w:hRule="atLeast"/>
          <w:jc w:val="center"/>
        </w:trPr>
        <w:tc>
          <w:tcPr>
            <w:tcW w:w="116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3</w:t>
            </w:r>
          </w:p>
        </w:tc>
        <w:tc>
          <w:tcPr>
            <w:tcW w:w="29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悬浮物测定仪</w:t>
            </w:r>
          </w:p>
        </w:tc>
        <w:tc>
          <w:tcPr>
            <w:tcW w:w="224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SS-2Z</w:t>
            </w:r>
          </w:p>
        </w:tc>
        <w:tc>
          <w:tcPr>
            <w:tcW w:w="21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1台</w:t>
            </w:r>
          </w:p>
        </w:tc>
      </w:tr>
    </w:tbl>
    <w:p>
      <w:pPr>
        <w:pStyle w:val="9"/>
        <w:spacing w:line="360" w:lineRule="auto"/>
        <w:ind w:firstLine="420" w:firstLineChars="200"/>
      </w:pPr>
      <w:r>
        <w:rPr>
          <w:rFonts w:hint="eastAsia"/>
        </w:rPr>
        <w:t>3.3处理药剂种类</w:t>
      </w:r>
    </w:p>
    <w:p>
      <w:pPr>
        <w:pStyle w:val="9"/>
        <w:spacing w:line="360" w:lineRule="auto"/>
        <w:ind w:firstLine="420" w:firstLineChars="200"/>
      </w:pPr>
      <w:r>
        <w:rPr>
          <w:rFonts w:hint="eastAsia"/>
        </w:rPr>
        <w:t>主要的日常处理药剂有：聚合氯化铝PAC、聚炳烯酰胺PAM（阴、阳离子）、氯化钙、盐酸、氢氧化钠、葡萄糖（用于生化池）等。</w:t>
      </w:r>
    </w:p>
    <w:p>
      <w:pPr>
        <w:pStyle w:val="9"/>
        <w:spacing w:line="360" w:lineRule="auto"/>
        <w:ind w:firstLine="420" w:firstLineChars="200"/>
      </w:pPr>
      <w:r>
        <w:rPr>
          <w:rFonts w:hint="eastAsia"/>
        </w:rPr>
        <w:t>3.4污水处理效率</w:t>
      </w:r>
    </w:p>
    <w:p>
      <w:pPr>
        <w:pStyle w:val="9"/>
        <w:spacing w:line="360" w:lineRule="auto"/>
        <w:ind w:firstLine="420" w:firstLineChars="200"/>
      </w:pPr>
      <w:r>
        <w:rPr>
          <w:rFonts w:hint="eastAsia"/>
        </w:rPr>
        <w:t>污水处理总站处理能力</w:t>
      </w:r>
      <w:r>
        <w:t>25</w:t>
      </w:r>
      <w:r>
        <w:rPr>
          <w:rFonts w:hint="eastAsia"/>
        </w:rPr>
        <w:t>-40m³/小时；油漆水预处理站处理能力</w:t>
      </w:r>
      <w:r>
        <w:t>2</w:t>
      </w:r>
      <w:r>
        <w:rPr>
          <w:rFonts w:hint="eastAsia"/>
        </w:rPr>
        <w:t>-</w:t>
      </w:r>
      <w:r>
        <w:t>5</w:t>
      </w:r>
      <w:r>
        <w:rPr>
          <w:rFonts w:hint="eastAsia"/>
        </w:rPr>
        <w:t>m³/小时。</w:t>
      </w:r>
    </w:p>
    <w:p>
      <w:pPr>
        <w:pStyle w:val="9"/>
        <w:ind w:firstLine="422" w:firstLineChars="200"/>
        <w:rPr>
          <w:b/>
          <w:bCs/>
        </w:rPr>
      </w:pPr>
      <w:r>
        <w:rPr>
          <w:rFonts w:hint="eastAsia"/>
          <w:b/>
          <w:bCs/>
        </w:rPr>
        <w:t>4、污水来源及产量</w:t>
      </w:r>
    </w:p>
    <w:p>
      <w:pPr>
        <w:pStyle w:val="9"/>
        <w:spacing w:line="360" w:lineRule="auto"/>
        <w:ind w:firstLine="420" w:firstLineChars="200"/>
      </w:pPr>
      <w:r>
        <w:rPr>
          <w:rFonts w:hint="eastAsia"/>
        </w:rPr>
        <w:t>4.1污水主要来源</w:t>
      </w:r>
    </w:p>
    <w:p>
      <w:pPr>
        <w:pStyle w:val="9"/>
        <w:spacing w:line="360" w:lineRule="auto"/>
        <w:ind w:firstLine="420" w:firstLineChars="200"/>
      </w:pPr>
      <w:r>
        <w:rPr>
          <w:rFonts w:hint="eastAsia"/>
        </w:rPr>
        <w:t>机械加工部：6</w:t>
      </w:r>
      <w:r>
        <w:t>15</w:t>
      </w:r>
      <w:r>
        <w:rPr>
          <w:rFonts w:hint="eastAsia"/>
        </w:rPr>
        <w:t>加工线、MC加工线大流量产生的废乳化液和清洗机产生的废清洗液等；</w:t>
      </w:r>
    </w:p>
    <w:p>
      <w:pPr>
        <w:pStyle w:val="9"/>
        <w:spacing w:line="360" w:lineRule="auto"/>
        <w:ind w:firstLine="420" w:firstLineChars="200"/>
      </w:pPr>
      <w:r>
        <w:rPr>
          <w:rFonts w:hint="eastAsia"/>
        </w:rPr>
        <w:t>装配调试部：涂装线喷漆产生的油漆水、清洗吹气点产生的防冻液和试车冲洗废水等；</w:t>
      </w:r>
    </w:p>
    <w:p>
      <w:pPr>
        <w:pStyle w:val="9"/>
        <w:spacing w:line="360" w:lineRule="auto"/>
        <w:ind w:firstLine="420" w:firstLineChars="200"/>
      </w:pPr>
      <w:r>
        <w:rPr>
          <w:rFonts w:hint="eastAsia"/>
        </w:rPr>
        <w:t>铸件铸造部：清理线产生的油漆水、制芯线产生的涂料废水等</w:t>
      </w:r>
    </w:p>
    <w:p>
      <w:pPr>
        <w:pStyle w:val="9"/>
        <w:spacing w:line="360" w:lineRule="auto"/>
        <w:ind w:firstLine="420" w:firstLineChars="200"/>
      </w:pPr>
      <w:r>
        <w:rPr>
          <w:rFonts w:hint="eastAsia"/>
        </w:rPr>
        <w:t>质量部：日常化验产生的试验废液等；</w:t>
      </w:r>
    </w:p>
    <w:p>
      <w:pPr>
        <w:pStyle w:val="9"/>
        <w:spacing w:line="360" w:lineRule="auto"/>
        <w:outlineLvl w:val="1"/>
        <w:rPr>
          <w:rFonts w:ascii="黑体" w:eastAsia="黑体"/>
          <w:b/>
          <w:bCs/>
          <w:sz w:val="28"/>
        </w:rPr>
      </w:pPr>
      <w:r>
        <w:rPr>
          <w:rFonts w:hint="eastAsia" w:ascii="黑体" w:eastAsia="黑体"/>
          <w:b/>
          <w:bCs/>
          <w:sz w:val="28"/>
        </w:rPr>
        <w:t>三、交货及付款</w:t>
      </w:r>
    </w:p>
    <w:p>
      <w:pPr>
        <w:pStyle w:val="21"/>
        <w:numPr>
          <w:ilvl w:val="0"/>
          <w:numId w:val="0"/>
        </w:numPr>
        <w:ind w:firstLine="422" w:firstLineChars="200"/>
        <w:rPr>
          <w:rFonts w:ascii="宋体" w:hAnsi="宋体" w:eastAsia="宋体"/>
          <w:b w:val="0"/>
          <w:bCs w:val="0"/>
          <w:spacing w:val="2"/>
          <w:sz w:val="21"/>
        </w:rPr>
      </w:pPr>
      <w:r>
        <w:rPr>
          <w:rFonts w:hint="eastAsia" w:ascii="宋体" w:hAnsi="宋体" w:eastAsia="宋体" w:cs="宋体"/>
          <w:sz w:val="21"/>
          <w:szCs w:val="21"/>
        </w:rPr>
        <w:t>1、交货地点</w:t>
      </w:r>
      <w:r>
        <w:rPr>
          <w:rFonts w:hint="eastAsia" w:ascii="宋体" w:hAnsi="宋体" w:eastAsia="宋体" w:cs="宋体"/>
          <w:b w:val="0"/>
          <w:bCs w:val="0"/>
          <w:sz w:val="21"/>
          <w:szCs w:val="21"/>
        </w:rPr>
        <w:t>：</w:t>
      </w:r>
      <w:r>
        <w:rPr>
          <w:rFonts w:hint="eastAsia" w:ascii="宋体" w:hAnsi="宋体" w:eastAsia="宋体"/>
          <w:b w:val="0"/>
          <w:bCs w:val="0"/>
          <w:spacing w:val="2"/>
          <w:sz w:val="21"/>
        </w:rPr>
        <w:t>中国重汽集团杭州发动机有限公司（浙江省杭州市萧山经济技术开发区红泰六路699号）</w:t>
      </w:r>
    </w:p>
    <w:p>
      <w:pPr>
        <w:pStyle w:val="9"/>
        <w:spacing w:line="360" w:lineRule="auto"/>
        <w:ind w:firstLine="422" w:firstLineChars="200"/>
        <w:rPr>
          <w:rFonts w:ascii="Calibri" w:hAnsi="Calibri"/>
        </w:rPr>
      </w:pPr>
      <w:r>
        <w:rPr>
          <w:rFonts w:hAnsi="宋体" w:cs="宋体"/>
          <w:b/>
          <w:bCs/>
          <w:szCs w:val="21"/>
        </w:rPr>
        <w:t>2</w:t>
      </w:r>
      <w:r>
        <w:rPr>
          <w:rFonts w:hint="eastAsia" w:hAnsi="宋体" w:cs="宋体"/>
          <w:b/>
          <w:bCs/>
          <w:szCs w:val="21"/>
        </w:rPr>
        <w:t>、付款方式</w:t>
      </w:r>
      <w:r>
        <w:rPr>
          <w:rFonts w:hint="eastAsia" w:hAnsi="宋体" w:cs="宋体"/>
          <w:szCs w:val="21"/>
        </w:rPr>
        <w:t>：</w:t>
      </w:r>
      <w:r>
        <w:rPr>
          <w:rFonts w:hint="eastAsia" w:hAnsi="宋体"/>
          <w:spacing w:val="2"/>
          <w:u w:val="single"/>
        </w:rPr>
        <w:t>半年期商业汇票</w:t>
      </w:r>
    </w:p>
    <w:p>
      <w:pPr>
        <w:pStyle w:val="9"/>
        <w:spacing w:line="360" w:lineRule="auto"/>
        <w:ind w:firstLine="428" w:firstLineChars="200"/>
        <w:rPr>
          <w:rFonts w:hAnsi="宋体"/>
          <w:spacing w:val="2"/>
        </w:rPr>
      </w:pPr>
      <w:r>
        <w:rPr>
          <w:rFonts w:hint="eastAsia" w:hAnsi="宋体"/>
          <w:spacing w:val="2"/>
        </w:rPr>
        <w:t>根据每月发动机实际产量计算运维费用后，开具 6%的增值税专用发票，入账后</w:t>
      </w:r>
      <w:r>
        <w:rPr>
          <w:rFonts w:hAnsi="宋体"/>
          <w:spacing w:val="2"/>
        </w:rPr>
        <w:t>3</w:t>
      </w:r>
      <w:r>
        <w:rPr>
          <w:rFonts w:hint="eastAsia" w:hAnsi="宋体"/>
          <w:spacing w:val="2"/>
        </w:rPr>
        <w:t>0日以半年期商业汇票（包括银行承兑汇票和商业承兑汇票）结算，一月一结。</w:t>
      </w:r>
    </w:p>
    <w:p>
      <w:pPr>
        <w:pStyle w:val="21"/>
        <w:numPr>
          <w:ilvl w:val="0"/>
          <w:numId w:val="0"/>
        </w:numPr>
        <w:ind w:firstLine="428" w:firstLineChars="200"/>
        <w:rPr>
          <w:rFonts w:ascii="宋体" w:hAnsi="宋体" w:eastAsia="宋体"/>
          <w:b w:val="0"/>
          <w:bCs w:val="0"/>
          <w:spacing w:val="2"/>
          <w:sz w:val="21"/>
        </w:rPr>
      </w:pPr>
      <w:r>
        <w:rPr>
          <w:rFonts w:hint="eastAsia" w:ascii="宋体" w:hAnsi="宋体" w:eastAsia="宋体"/>
          <w:b w:val="0"/>
          <w:bCs w:val="0"/>
          <w:spacing w:val="2"/>
          <w:sz w:val="21"/>
        </w:rPr>
        <w:t>*注：付款方式及付款比例不允许偏离。</w:t>
      </w:r>
    </w:p>
    <w:p>
      <w:pPr>
        <w:pStyle w:val="9"/>
        <w:spacing w:line="360" w:lineRule="auto"/>
        <w:outlineLvl w:val="1"/>
        <w:rPr>
          <w:rFonts w:ascii="黑体" w:eastAsia="黑体"/>
          <w:b/>
          <w:bCs/>
          <w:sz w:val="28"/>
        </w:rPr>
      </w:pPr>
      <w:r>
        <w:rPr>
          <w:rFonts w:hint="eastAsia" w:ascii="黑体" w:eastAsia="黑体"/>
          <w:b/>
          <w:bCs/>
          <w:sz w:val="28"/>
        </w:rPr>
        <w:t xml:space="preserve">四、议程安排 </w:t>
      </w:r>
    </w:p>
    <w:p>
      <w:pPr>
        <w:pStyle w:val="9"/>
        <w:numPr>
          <w:ilvl w:val="0"/>
          <w:numId w:val="2"/>
        </w:numPr>
        <w:spacing w:line="360" w:lineRule="auto"/>
      </w:pPr>
      <w:r>
        <w:rPr>
          <w:rFonts w:hint="eastAsia"/>
        </w:rPr>
        <w:t>报名截止时间：</w:t>
      </w:r>
      <w:r>
        <w:t xml:space="preserve"> </w:t>
      </w:r>
    </w:p>
    <w:p>
      <w:pPr>
        <w:pStyle w:val="9"/>
        <w:numPr>
          <w:ilvl w:val="0"/>
          <w:numId w:val="2"/>
        </w:numPr>
        <w:spacing w:line="360" w:lineRule="auto"/>
      </w:pPr>
      <w:r>
        <w:rPr>
          <w:rFonts w:hint="eastAsia"/>
          <w:highlight w:val="yellow"/>
        </w:rPr>
        <w:t>开标时间：</w:t>
      </w:r>
      <w:r>
        <w:rPr>
          <w:rFonts w:hint="eastAsia"/>
          <w:highlight w:val="yellow"/>
          <w:lang w:val="en-US" w:eastAsia="zh-CN"/>
        </w:rPr>
        <w:t>2025</w:t>
      </w:r>
      <w:r>
        <w:rPr>
          <w:rFonts w:hint="eastAsia"/>
          <w:highlight w:val="yellow"/>
        </w:rPr>
        <w:t>年</w:t>
      </w:r>
      <w:r>
        <w:rPr>
          <w:rFonts w:hint="eastAsia"/>
          <w:highlight w:val="yellow"/>
          <w:lang w:val="en-US" w:eastAsia="zh-CN"/>
        </w:rPr>
        <w:t>12</w:t>
      </w:r>
      <w:r>
        <w:rPr>
          <w:rFonts w:hint="eastAsia"/>
          <w:highlight w:val="yellow"/>
        </w:rPr>
        <w:t>月</w:t>
      </w:r>
      <w:r>
        <w:rPr>
          <w:rFonts w:hint="eastAsia"/>
          <w:highlight w:val="yellow"/>
          <w:lang w:val="en-US" w:eastAsia="zh-CN"/>
        </w:rPr>
        <w:t>14</w:t>
      </w:r>
      <w:r>
        <w:rPr>
          <w:rFonts w:hint="eastAsia"/>
          <w:highlight w:val="yellow"/>
        </w:rPr>
        <w:t>日上午</w:t>
      </w:r>
      <w:r>
        <w:rPr>
          <w:rFonts w:hint="eastAsia"/>
          <w:highlight w:val="yellow"/>
          <w:lang w:val="en-US" w:eastAsia="zh-CN"/>
        </w:rPr>
        <w:t>9</w:t>
      </w:r>
      <w:r>
        <w:rPr>
          <w:rFonts w:hint="eastAsia"/>
          <w:highlight w:val="yellow"/>
        </w:rPr>
        <w:t>时（</w:t>
      </w:r>
      <w:r>
        <w:rPr>
          <w:rFonts w:hint="eastAsia"/>
          <w:highlight w:val="yellow"/>
          <w:lang w:val="en-US" w:eastAsia="zh-CN"/>
        </w:rPr>
        <w:t>具体时间地点</w:t>
      </w:r>
      <w:r>
        <w:rPr>
          <w:rFonts w:hint="eastAsia"/>
          <w:highlight w:val="yellow"/>
        </w:rPr>
        <w:t>另行通知）</w:t>
      </w:r>
      <w:r>
        <w:rPr>
          <w:rFonts w:hint="eastAsia"/>
        </w:rPr>
        <w:t>。</w:t>
      </w:r>
    </w:p>
    <w:p>
      <w:pPr>
        <w:pStyle w:val="9"/>
        <w:numPr>
          <w:ilvl w:val="0"/>
          <w:numId w:val="2"/>
        </w:numPr>
        <w:spacing w:line="360" w:lineRule="auto"/>
      </w:pPr>
      <w:r>
        <w:rPr>
          <w:rFonts w:hint="eastAsia"/>
        </w:rPr>
        <w:t>开标地点：线上。（待定）</w:t>
      </w:r>
    </w:p>
    <w:p>
      <w:pPr>
        <w:pStyle w:val="9"/>
        <w:spacing w:line="360" w:lineRule="auto"/>
        <w:outlineLvl w:val="1"/>
        <w:rPr>
          <w:rFonts w:ascii="黑体" w:eastAsia="黑体"/>
          <w:b/>
          <w:bCs/>
          <w:sz w:val="28"/>
        </w:rPr>
      </w:pPr>
      <w:r>
        <w:rPr>
          <w:rFonts w:hint="eastAsia" w:ascii="黑体" w:eastAsia="黑体"/>
          <w:b/>
          <w:bCs/>
          <w:sz w:val="28"/>
        </w:rPr>
        <w:t>五、招标文件的领取、答疑、应标及投标报名</w:t>
      </w:r>
    </w:p>
    <w:p>
      <w:pPr>
        <w:pStyle w:val="22"/>
        <w:numPr>
          <w:ilvl w:val="0"/>
          <w:numId w:val="3"/>
        </w:numPr>
        <w:jc w:val="both"/>
        <w:rPr>
          <w:highlight w:val="yellow"/>
        </w:rPr>
      </w:pPr>
      <w:r>
        <w:rPr>
          <w:rFonts w:hint="eastAsia"/>
          <w:b/>
          <w:bCs/>
          <w:highlight w:val="yellow"/>
        </w:rPr>
        <w:t>发标时间</w:t>
      </w:r>
      <w:r>
        <w:rPr>
          <w:rFonts w:hint="eastAsia"/>
          <w:highlight w:val="yellow"/>
        </w:rPr>
        <w:t>：</w:t>
      </w:r>
      <w:r>
        <w:rPr>
          <w:rFonts w:hint="eastAsia"/>
          <w:highlight w:val="yellow"/>
          <w:lang w:val="en-US" w:eastAsia="zh-CN"/>
        </w:rPr>
        <w:t>2025</w:t>
      </w:r>
      <w:r>
        <w:rPr>
          <w:rFonts w:hint="eastAsia"/>
          <w:highlight w:val="yellow"/>
        </w:rPr>
        <w:t>年</w:t>
      </w:r>
      <w:r>
        <w:rPr>
          <w:rFonts w:hint="eastAsia"/>
          <w:highlight w:val="yellow"/>
          <w:lang w:val="en-US" w:eastAsia="zh-CN"/>
        </w:rPr>
        <w:t>11</w:t>
      </w:r>
      <w:r>
        <w:rPr>
          <w:rFonts w:hint="eastAsia"/>
          <w:highlight w:val="yellow"/>
        </w:rPr>
        <w:t>月</w:t>
      </w:r>
      <w:r>
        <w:rPr>
          <w:rFonts w:hint="eastAsia"/>
          <w:highlight w:val="yellow"/>
          <w:lang w:val="en-US" w:eastAsia="zh-CN"/>
        </w:rPr>
        <w:t>18</w:t>
      </w:r>
      <w:r>
        <w:rPr>
          <w:rFonts w:hint="eastAsia"/>
          <w:highlight w:val="yellow"/>
        </w:rPr>
        <w:t>日</w:t>
      </w:r>
    </w:p>
    <w:p>
      <w:pPr>
        <w:pStyle w:val="22"/>
        <w:numPr>
          <w:ilvl w:val="0"/>
          <w:numId w:val="3"/>
        </w:numPr>
        <w:jc w:val="both"/>
      </w:pPr>
      <w:r>
        <w:rPr>
          <w:rFonts w:hint="eastAsia"/>
          <w:b/>
          <w:bCs/>
        </w:rPr>
        <w:t>招标公告</w:t>
      </w:r>
      <w:r>
        <w:rPr>
          <w:rFonts w:hint="eastAsia"/>
        </w:rPr>
        <w:t>：中国重汽官网</w:t>
      </w:r>
    </w:p>
    <w:p>
      <w:pPr>
        <w:pStyle w:val="22"/>
        <w:numPr>
          <w:ilvl w:val="0"/>
          <w:numId w:val="3"/>
        </w:numPr>
        <w:jc w:val="both"/>
      </w:pPr>
      <w:r>
        <w:rPr>
          <w:rFonts w:hint="eastAsia"/>
          <w:b/>
          <w:bCs/>
        </w:rPr>
        <w:t>招标文件</w:t>
      </w:r>
      <w:r>
        <w:rPr>
          <w:rFonts w:hint="eastAsia"/>
        </w:rPr>
        <w:t>：应标审核通过后，在投标页面附件下载</w:t>
      </w:r>
    </w:p>
    <w:p>
      <w:pPr>
        <w:pStyle w:val="22"/>
        <w:numPr>
          <w:ilvl w:val="0"/>
          <w:numId w:val="3"/>
        </w:numPr>
        <w:jc w:val="both"/>
      </w:pPr>
      <w:r>
        <w:rPr>
          <w:rFonts w:hint="eastAsia"/>
          <w:b/>
          <w:bCs/>
        </w:rPr>
        <w:t>报名方式</w:t>
      </w:r>
      <w:r>
        <w:rPr>
          <w:rFonts w:hint="eastAsia"/>
        </w:rPr>
        <w:t>：</w:t>
      </w:r>
    </w:p>
    <w:p>
      <w:pPr>
        <w:pStyle w:val="22"/>
        <w:ind w:firstLine="420" w:firstLineChars="200"/>
        <w:jc w:val="both"/>
        <w:rPr>
          <w:szCs w:val="21"/>
        </w:rPr>
      </w:pPr>
      <w:r>
        <w:rPr>
          <w:rFonts w:hint="eastAsia" w:cs="宋体"/>
          <w:szCs w:val="21"/>
        </w:rPr>
        <w:t>拟投标人根据招标人在中国重汽官网公开媒体上发布的招标信息，</w:t>
      </w:r>
      <w:r>
        <w:rPr>
          <w:rFonts w:hint="eastAsia"/>
          <w:color w:val="000000"/>
          <w:szCs w:val="21"/>
        </w:rPr>
        <w:t>在“中国重汽e采通”平台报名</w:t>
      </w:r>
      <w:r>
        <w:rPr>
          <w:rFonts w:hint="eastAsia" w:cs="宋体"/>
          <w:szCs w:val="21"/>
        </w:rPr>
        <w:t>。</w:t>
      </w:r>
      <w:r>
        <w:rPr>
          <w:rFonts w:hint="eastAsia"/>
          <w:b/>
          <w:bCs/>
          <w:szCs w:val="21"/>
        </w:rPr>
        <w:t>按照中国重汽e采通“SRM非生产供应商注册手册”（附件</w:t>
      </w:r>
      <w:r>
        <w:rPr>
          <w:rFonts w:hint="eastAsia"/>
          <w:b/>
          <w:bCs/>
          <w:szCs w:val="21"/>
          <w:lang w:val="en-US" w:eastAsia="zh-CN"/>
        </w:rPr>
        <w:t>12</w:t>
      </w:r>
      <w:r>
        <w:rPr>
          <w:rFonts w:hint="eastAsia"/>
          <w:b/>
          <w:bCs/>
          <w:szCs w:val="21"/>
        </w:rPr>
        <w:t>）进行注册</w:t>
      </w:r>
      <w:r>
        <w:rPr>
          <w:rFonts w:hint="eastAsia"/>
          <w:szCs w:val="21"/>
        </w:rPr>
        <w:t>，</w:t>
      </w:r>
      <w:r>
        <w:rPr>
          <w:rFonts w:hint="eastAsia"/>
          <w:color w:val="000000"/>
          <w:szCs w:val="21"/>
        </w:rPr>
        <w:t>注册完毕后按照</w:t>
      </w:r>
      <w:r>
        <w:rPr>
          <w:rFonts w:hint="eastAsia" w:hAnsi="宋体" w:cs="宋体"/>
          <w:b/>
          <w:color w:val="000000"/>
          <w:szCs w:val="21"/>
        </w:rPr>
        <w:t>“SRM系统供应商用户手册（附件</w:t>
      </w:r>
      <w:r>
        <w:rPr>
          <w:rFonts w:hint="eastAsia" w:hAnsi="宋体" w:cs="宋体"/>
          <w:b/>
          <w:color w:val="000000"/>
          <w:szCs w:val="21"/>
          <w:lang w:val="en-US" w:eastAsia="zh-CN"/>
        </w:rPr>
        <w:t>13</w:t>
      </w:r>
      <w:r>
        <w:rPr>
          <w:rFonts w:hint="eastAsia" w:hAnsi="宋体" w:cs="宋体"/>
          <w:b/>
          <w:color w:val="000000"/>
          <w:szCs w:val="21"/>
        </w:rPr>
        <w:t>）”，</w:t>
      </w:r>
      <w:r>
        <w:rPr>
          <w:rFonts w:hint="eastAsia" w:hAnsi="宋体"/>
          <w:color w:val="000000"/>
          <w:szCs w:val="21"/>
        </w:rPr>
        <w:t>登录</w:t>
      </w:r>
      <w:r>
        <w:rPr>
          <w:rFonts w:hint="eastAsia" w:hAnsi="宋体" w:cs="宋体"/>
          <w:b/>
          <w:color w:val="000000"/>
          <w:szCs w:val="21"/>
        </w:rPr>
        <w:t>重汽e采通平台</w:t>
      </w:r>
      <w:r>
        <w:rPr>
          <w:rFonts w:hint="eastAsia" w:hAnsi="宋体"/>
          <w:color w:val="000000"/>
          <w:szCs w:val="21"/>
        </w:rPr>
        <w:t>后</w:t>
      </w:r>
      <w:r>
        <w:rPr>
          <w:rFonts w:hint="eastAsia"/>
          <w:color w:val="000000"/>
          <w:szCs w:val="21"/>
        </w:rPr>
        <w:t>进入“供应商应标”，</w:t>
      </w:r>
      <w:r>
        <w:rPr>
          <w:rFonts w:hint="eastAsia" w:hAnsi="宋体"/>
          <w:color w:val="000000"/>
          <w:szCs w:val="21"/>
        </w:rPr>
        <w:t>选择对应的项目，点击</w:t>
      </w:r>
      <w:r>
        <w:rPr>
          <w:rFonts w:hint="eastAsia"/>
          <w:color w:val="000000"/>
          <w:szCs w:val="21"/>
        </w:rPr>
        <w:t>“</w:t>
      </w:r>
      <w:r>
        <w:rPr>
          <w:rFonts w:hint="eastAsia" w:hAnsi="宋体"/>
          <w:b/>
          <w:bCs/>
          <w:color w:val="000000"/>
          <w:szCs w:val="21"/>
        </w:rPr>
        <w:t>应标</w:t>
      </w:r>
      <w:r>
        <w:rPr>
          <w:rFonts w:hint="eastAsia"/>
          <w:color w:val="000000"/>
          <w:szCs w:val="21"/>
        </w:rPr>
        <w:t>”</w:t>
      </w:r>
      <w:r>
        <w:rPr>
          <w:rFonts w:hint="eastAsia" w:hAnsi="宋体"/>
          <w:b/>
          <w:bCs/>
          <w:color w:val="000000"/>
          <w:szCs w:val="21"/>
        </w:rPr>
        <w:t>后按照</w:t>
      </w:r>
      <w:r>
        <w:rPr>
          <w:rFonts w:hint="eastAsia"/>
          <w:b/>
          <w:bCs/>
          <w:color w:val="000000"/>
          <w:szCs w:val="21"/>
        </w:rPr>
        <w:t>招标公告中应标文件编制的</w:t>
      </w:r>
      <w:r>
        <w:rPr>
          <w:rFonts w:hint="eastAsia" w:hAnsi="宋体"/>
          <w:b/>
          <w:bCs/>
          <w:color w:val="000000"/>
          <w:szCs w:val="21"/>
        </w:rPr>
        <w:t>资质文件中的要求准备资料</w:t>
      </w:r>
      <w:r>
        <w:rPr>
          <w:rFonts w:hint="eastAsia"/>
          <w:b/>
          <w:bCs/>
          <w:color w:val="000000"/>
          <w:szCs w:val="21"/>
        </w:rPr>
        <w:t>并</w:t>
      </w:r>
      <w:r>
        <w:rPr>
          <w:rFonts w:hint="eastAsia" w:hAnsi="宋体"/>
          <w:color w:val="000000"/>
          <w:szCs w:val="21"/>
        </w:rPr>
        <w:t>上传，资质审查通过即为报名</w:t>
      </w:r>
      <w:r>
        <w:rPr>
          <w:rFonts w:hint="eastAsia"/>
          <w:color w:val="000000"/>
          <w:szCs w:val="21"/>
        </w:rPr>
        <w:t>成功；公示期间请尽快报名</w:t>
      </w:r>
      <w:r>
        <w:rPr>
          <w:rFonts w:hint="eastAsia" w:cs="宋体"/>
          <w:szCs w:val="21"/>
        </w:rPr>
        <w:t>。</w:t>
      </w:r>
    </w:p>
    <w:p>
      <w:pPr>
        <w:pStyle w:val="22"/>
        <w:numPr>
          <w:ilvl w:val="0"/>
          <w:numId w:val="3"/>
        </w:numPr>
        <w:jc w:val="both"/>
        <w:rPr>
          <w:b/>
          <w:bCs/>
        </w:rPr>
      </w:pPr>
      <w:r>
        <w:rPr>
          <w:rFonts w:hint="eastAsia"/>
          <w:b/>
          <w:bCs/>
        </w:rPr>
        <w:t>现场勘察：为确保投标方对项目有充分的了解，投标方需前往项目实地勘察，并填写附件1</w:t>
      </w:r>
      <w:r>
        <w:rPr>
          <w:b/>
          <w:bCs/>
        </w:rPr>
        <w:t>1</w:t>
      </w:r>
      <w:r>
        <w:rPr>
          <w:rFonts w:hint="eastAsia"/>
          <w:b/>
          <w:bCs/>
        </w:rPr>
        <w:t>《污水站委托运营项目现场勘察记录表》。</w:t>
      </w:r>
    </w:p>
    <w:p>
      <w:pPr>
        <w:pStyle w:val="22"/>
        <w:numPr>
          <w:ilvl w:val="0"/>
          <w:numId w:val="3"/>
        </w:numPr>
        <w:jc w:val="both"/>
        <w:rPr>
          <w:highlight w:val="yellow"/>
        </w:rPr>
      </w:pPr>
      <w:r>
        <w:rPr>
          <w:rFonts w:hint="eastAsia"/>
          <w:b/>
          <w:bCs/>
          <w:highlight w:val="yellow"/>
        </w:rPr>
        <w:t>应标截止时间</w:t>
      </w:r>
      <w:r>
        <w:rPr>
          <w:rFonts w:hint="eastAsia"/>
          <w:highlight w:val="yellow"/>
        </w:rPr>
        <w:t>：</w:t>
      </w:r>
      <w:r>
        <w:rPr>
          <w:rFonts w:hint="eastAsia"/>
          <w:highlight w:val="yellow"/>
          <w:lang w:val="en-US" w:eastAsia="zh-CN"/>
        </w:rPr>
        <w:t>2025</w:t>
      </w:r>
      <w:r>
        <w:rPr>
          <w:rFonts w:hint="eastAsia" w:cs="宋体"/>
          <w:highlight w:val="yellow"/>
        </w:rPr>
        <w:t>年</w:t>
      </w:r>
      <w:r>
        <w:rPr>
          <w:rFonts w:hint="eastAsia" w:cs="宋体"/>
          <w:highlight w:val="yellow"/>
          <w:lang w:val="en-US" w:eastAsia="zh-CN"/>
        </w:rPr>
        <w:t>11</w:t>
      </w:r>
      <w:r>
        <w:rPr>
          <w:rFonts w:hint="eastAsia" w:cs="宋体"/>
          <w:highlight w:val="yellow"/>
        </w:rPr>
        <w:t>月</w:t>
      </w:r>
      <w:r>
        <w:rPr>
          <w:rFonts w:hint="eastAsia" w:cs="宋体"/>
          <w:highlight w:val="yellow"/>
          <w:lang w:val="en-US" w:eastAsia="zh-CN"/>
        </w:rPr>
        <w:t>23</w:t>
      </w:r>
      <w:r>
        <w:rPr>
          <w:rFonts w:hint="eastAsia" w:cs="宋体"/>
          <w:highlight w:val="yellow"/>
        </w:rPr>
        <w:t>日</w:t>
      </w:r>
      <w:r>
        <w:rPr>
          <w:rFonts w:hint="eastAsia" w:cs="宋体"/>
          <w:highlight w:val="yellow"/>
          <w:lang w:val="en-US" w:eastAsia="zh-CN"/>
        </w:rPr>
        <w:t>17</w:t>
      </w:r>
      <w:r>
        <w:rPr>
          <w:rFonts w:hint="eastAsia" w:cs="宋体"/>
          <w:highlight w:val="yellow"/>
        </w:rPr>
        <w:t>时</w:t>
      </w:r>
      <w:r>
        <w:rPr>
          <w:rFonts w:hint="eastAsia" w:cs="宋体"/>
          <w:highlight w:val="yellow"/>
          <w:lang w:val="en-US" w:eastAsia="zh-CN"/>
        </w:rPr>
        <w:t>00</w:t>
      </w:r>
      <w:r>
        <w:rPr>
          <w:rFonts w:hint="eastAsia" w:cs="宋体"/>
          <w:highlight w:val="yellow"/>
        </w:rPr>
        <w:t>分</w:t>
      </w:r>
      <w:r>
        <w:rPr>
          <w:rFonts w:hint="eastAsia" w:cs="宋体"/>
          <w:highlight w:val="yellow"/>
          <w:lang w:val="en-US" w:eastAsia="zh-CN"/>
        </w:rPr>
        <w:t>00</w:t>
      </w:r>
      <w:r>
        <w:rPr>
          <w:rFonts w:hint="eastAsia" w:cs="宋体"/>
          <w:highlight w:val="yellow"/>
        </w:rPr>
        <w:t>秒</w:t>
      </w:r>
    </w:p>
    <w:p>
      <w:pPr>
        <w:pStyle w:val="22"/>
        <w:numPr>
          <w:ilvl w:val="0"/>
          <w:numId w:val="3"/>
        </w:numPr>
        <w:jc w:val="both"/>
        <w:rPr>
          <w:highlight w:val="yellow"/>
        </w:rPr>
      </w:pPr>
      <w:r>
        <w:rPr>
          <w:rFonts w:hint="eastAsia"/>
          <w:b/>
          <w:bCs/>
          <w:highlight w:val="yellow"/>
          <w:lang w:val="en-US" w:eastAsia="zh-CN"/>
        </w:rPr>
        <w:t>投</w:t>
      </w:r>
      <w:r>
        <w:rPr>
          <w:rFonts w:hint="eastAsia"/>
          <w:b/>
          <w:bCs/>
          <w:highlight w:val="yellow"/>
        </w:rPr>
        <w:t>标截止时间</w:t>
      </w:r>
      <w:r>
        <w:rPr>
          <w:rFonts w:hint="eastAsia"/>
          <w:highlight w:val="yellow"/>
        </w:rPr>
        <w:t>：</w:t>
      </w:r>
      <w:r>
        <w:rPr>
          <w:rFonts w:hint="eastAsia"/>
          <w:highlight w:val="yellow"/>
          <w:lang w:val="en-US" w:eastAsia="zh-CN"/>
        </w:rPr>
        <w:t>2025</w:t>
      </w:r>
      <w:r>
        <w:rPr>
          <w:rFonts w:hint="eastAsia" w:cs="宋体"/>
          <w:highlight w:val="yellow"/>
        </w:rPr>
        <w:t>年</w:t>
      </w:r>
      <w:r>
        <w:rPr>
          <w:rFonts w:hint="eastAsia" w:cs="宋体"/>
          <w:highlight w:val="yellow"/>
          <w:lang w:val="en-US" w:eastAsia="zh-CN"/>
        </w:rPr>
        <w:t>12</w:t>
      </w:r>
      <w:r>
        <w:rPr>
          <w:rFonts w:hint="eastAsia" w:cs="宋体"/>
          <w:highlight w:val="yellow"/>
        </w:rPr>
        <w:t>月</w:t>
      </w:r>
      <w:r>
        <w:rPr>
          <w:rFonts w:hint="eastAsia" w:cs="宋体"/>
          <w:highlight w:val="yellow"/>
          <w:lang w:val="en-US" w:eastAsia="zh-CN"/>
        </w:rPr>
        <w:t>13</w:t>
      </w:r>
      <w:r>
        <w:rPr>
          <w:rFonts w:hint="eastAsia" w:cs="宋体"/>
          <w:highlight w:val="yellow"/>
        </w:rPr>
        <w:t>日</w:t>
      </w:r>
      <w:r>
        <w:rPr>
          <w:rFonts w:hint="eastAsia" w:cs="宋体"/>
          <w:highlight w:val="yellow"/>
          <w:lang w:val="en-US" w:eastAsia="zh-CN"/>
        </w:rPr>
        <w:t>17</w:t>
      </w:r>
      <w:r>
        <w:rPr>
          <w:rFonts w:hint="eastAsia" w:cs="宋体"/>
          <w:highlight w:val="yellow"/>
        </w:rPr>
        <w:t>时</w:t>
      </w:r>
      <w:r>
        <w:rPr>
          <w:rFonts w:hint="eastAsia" w:cs="宋体"/>
          <w:highlight w:val="yellow"/>
          <w:lang w:val="en-US" w:eastAsia="zh-CN"/>
        </w:rPr>
        <w:t>00</w:t>
      </w:r>
      <w:r>
        <w:rPr>
          <w:rFonts w:hint="eastAsia" w:cs="宋体"/>
          <w:highlight w:val="yellow"/>
        </w:rPr>
        <w:t>分</w:t>
      </w:r>
      <w:r>
        <w:rPr>
          <w:rFonts w:hint="eastAsia" w:cs="宋体"/>
          <w:highlight w:val="yellow"/>
          <w:lang w:val="en-US" w:eastAsia="zh-CN"/>
        </w:rPr>
        <w:t>00</w:t>
      </w:r>
      <w:r>
        <w:rPr>
          <w:rFonts w:hint="eastAsia" w:cs="宋体"/>
          <w:highlight w:val="yellow"/>
        </w:rPr>
        <w:t>秒</w:t>
      </w:r>
    </w:p>
    <w:p>
      <w:pPr>
        <w:pStyle w:val="22"/>
        <w:ind w:firstLine="422" w:firstLineChars="200"/>
        <w:jc w:val="both"/>
        <w:rPr>
          <w:rFonts w:hint="eastAsia" w:cs="宋体"/>
          <w:b/>
          <w:bCs/>
        </w:rPr>
      </w:pPr>
      <w:r>
        <w:rPr>
          <w:rFonts w:hint="eastAsia" w:cs="宋体"/>
          <w:b/>
          <w:bCs/>
        </w:rPr>
        <w:t>注：请务必在应标截止时间前完成注册及应标操作，注册审核需2-4日，应标截止时间精确到秒，逾期将无法应标。请自行掌握时间，避免无法应标。</w:t>
      </w:r>
    </w:p>
    <w:p>
      <w:pPr>
        <w:numPr>
          <w:ilvl w:val="0"/>
          <w:numId w:val="3"/>
        </w:numPr>
        <w:ind w:left="425" w:leftChars="0" w:hanging="425" w:firstLineChars="0"/>
        <w:rPr>
          <w:rFonts w:hint="default" w:ascii="宋体" w:hAnsi="宋体" w:eastAsia="宋体" w:cs="宋体"/>
          <w:b/>
          <w:snapToGrid w:val="0"/>
          <w:kern w:val="0"/>
          <w:sz w:val="24"/>
          <w:szCs w:val="24"/>
          <w:highlight w:val="none"/>
          <w:lang w:val="en-US"/>
        </w:rPr>
      </w:pPr>
      <w:r>
        <w:rPr>
          <w:rFonts w:hint="eastAsia" w:cs="宋体"/>
          <w:b/>
          <w:bCs/>
          <w:highlight w:val="none"/>
          <w:lang w:val="en-US" w:eastAsia="zh-CN"/>
        </w:rPr>
        <w:t>联系人</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技术联系人：</w:t>
      </w:r>
      <w:r>
        <w:rPr>
          <w:rFonts w:hint="eastAsia" w:ascii="宋体" w:hAnsi="宋体" w:eastAsia="宋体" w:cs="宋体"/>
          <w:sz w:val="24"/>
          <w:szCs w:val="24"/>
          <w:highlight w:val="yellow"/>
        </w:rPr>
        <w:t>谢飞</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13656690608</w:t>
      </w:r>
    </w:p>
    <w:p>
      <w:pPr>
        <w:pStyle w:val="22"/>
        <w:ind w:firstLine="420" w:firstLineChars="0"/>
        <w:jc w:val="both"/>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"mailto:13656690608@163.com" </w:instrText>
      </w:r>
      <w:r>
        <w:rPr>
          <w:rFonts w:hint="eastAsia" w:ascii="宋体" w:hAnsi="宋体" w:eastAsia="宋体" w:cs="宋体"/>
          <w:sz w:val="24"/>
          <w:szCs w:val="24"/>
        </w:rPr>
        <w:fldChar w:fldCharType="separate"/>
      </w:r>
      <w:r>
        <w:rPr>
          <w:rStyle w:val="18"/>
          <w:rFonts w:hint="eastAsia" w:ascii="宋体" w:hAnsi="宋体" w:eastAsia="宋体" w:cs="宋体"/>
          <w:sz w:val="24"/>
          <w:szCs w:val="24"/>
        </w:rPr>
        <w:t>13656690608@163.com</w:t>
      </w:r>
      <w:r>
        <w:rPr>
          <w:rFonts w:hint="eastAsia" w:ascii="宋体" w:hAnsi="宋体" w:eastAsia="宋体" w:cs="宋体"/>
          <w:sz w:val="24"/>
          <w:szCs w:val="24"/>
        </w:rPr>
        <w:fldChar w:fldCharType="end"/>
      </w:r>
    </w:p>
    <w:p>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商务联系人：</w:t>
      </w:r>
      <w:r>
        <w:rPr>
          <w:rFonts w:hint="eastAsia" w:ascii="宋体" w:hAnsi="宋体" w:eastAsia="宋体" w:cs="宋体"/>
          <w:b/>
          <w:bCs/>
          <w:sz w:val="24"/>
          <w:szCs w:val="24"/>
          <w:highlight w:val="none"/>
          <w:lang w:val="en-US" w:eastAsia="zh-CN"/>
        </w:rPr>
        <w:t>赵力</w:t>
      </w:r>
    </w:p>
    <w:p>
      <w:pPr>
        <w:pStyle w:val="9"/>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17860606595</w:t>
      </w:r>
    </w:p>
    <w:p>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snapToGrid w:val="0"/>
          <w:kern w:val="0"/>
          <w:sz w:val="24"/>
          <w:szCs w:val="24"/>
          <w:highlight w:val="none"/>
        </w:rPr>
        <w:fldChar w:fldCharType="begin"/>
      </w:r>
      <w:r>
        <w:rPr>
          <w:rFonts w:hint="eastAsia" w:ascii="宋体" w:hAnsi="宋体" w:eastAsia="宋体" w:cs="宋体"/>
          <w:b/>
          <w:snapToGrid w:val="0"/>
          <w:kern w:val="0"/>
          <w:sz w:val="24"/>
          <w:szCs w:val="24"/>
          <w:highlight w:val="none"/>
        </w:rPr>
        <w:instrText xml:space="preserve"> HYPERLINK "mailto:zhaoli@sinotruk.com" </w:instrText>
      </w:r>
      <w:r>
        <w:rPr>
          <w:rFonts w:hint="eastAsia" w:ascii="宋体" w:hAnsi="宋体" w:eastAsia="宋体" w:cs="宋体"/>
          <w:b/>
          <w:snapToGrid w:val="0"/>
          <w:kern w:val="0"/>
          <w:sz w:val="24"/>
          <w:szCs w:val="24"/>
          <w:highlight w:val="none"/>
        </w:rPr>
        <w:fldChar w:fldCharType="separate"/>
      </w:r>
      <w:r>
        <w:rPr>
          <w:rStyle w:val="18"/>
          <w:rFonts w:hint="eastAsia" w:ascii="宋体" w:hAnsi="宋体" w:eastAsia="宋体" w:cs="宋体"/>
          <w:b/>
          <w:snapToGrid w:val="0"/>
          <w:kern w:val="0"/>
          <w:sz w:val="24"/>
          <w:szCs w:val="24"/>
          <w:highlight w:val="none"/>
        </w:rPr>
        <w:t>zhaoli@sinotruk.com</w:t>
      </w:r>
      <w:r>
        <w:rPr>
          <w:rFonts w:hint="eastAsia" w:ascii="宋体" w:hAnsi="宋体" w:eastAsia="宋体" w:cs="宋体"/>
          <w:b/>
          <w:snapToGrid w:val="0"/>
          <w:kern w:val="0"/>
          <w:sz w:val="24"/>
          <w:szCs w:val="24"/>
          <w:highlight w:val="none"/>
        </w:rPr>
        <w:fldChar w:fldCharType="end"/>
      </w:r>
      <w:bookmarkStart w:id="14" w:name="_GoBack"/>
      <w:bookmarkEnd w:id="14"/>
    </w:p>
    <w:p>
      <w:pPr>
        <w:pStyle w:val="22"/>
        <w:ind w:firstLine="420" w:firstLineChars="0"/>
        <w:jc w:val="both"/>
        <w:rPr>
          <w:rFonts w:hint="default" w:ascii="宋体" w:hAnsi="宋体" w:eastAsia="宋体" w:cs="宋体"/>
          <w:sz w:val="24"/>
          <w:szCs w:val="24"/>
          <w:lang w:val="en-US" w:eastAsia="zh-CN"/>
        </w:rPr>
      </w:pPr>
    </w:p>
    <w:p>
      <w:pPr>
        <w:pStyle w:val="9"/>
        <w:spacing w:line="360" w:lineRule="auto"/>
        <w:outlineLvl w:val="1"/>
        <w:rPr>
          <w:rFonts w:ascii="黑体" w:eastAsia="黑体"/>
          <w:b/>
          <w:bCs/>
          <w:sz w:val="28"/>
        </w:rPr>
      </w:pPr>
      <w:r>
        <w:rPr>
          <w:rFonts w:hint="eastAsia" w:ascii="黑体" w:eastAsia="黑体"/>
          <w:b/>
          <w:bCs/>
          <w:sz w:val="28"/>
        </w:rPr>
        <w:t>六、投标须知</w:t>
      </w:r>
    </w:p>
    <w:p>
      <w:pPr>
        <w:pStyle w:val="9"/>
        <w:spacing w:line="360" w:lineRule="auto"/>
        <w:rPr>
          <w:b/>
        </w:rPr>
      </w:pPr>
      <w:r>
        <w:rPr>
          <w:rFonts w:hint="eastAsia"/>
          <w:b/>
        </w:rPr>
        <w:t>1.合格投标人：</w:t>
      </w:r>
    </w:p>
    <w:p>
      <w:pPr>
        <w:spacing w:line="360" w:lineRule="auto"/>
        <w:ind w:firstLine="420" w:firstLineChars="200"/>
        <w:rPr>
          <w:rFonts w:ascii="宋体" w:hAnsi="Courier New"/>
        </w:rPr>
      </w:pPr>
      <w:r>
        <w:rPr>
          <w:rFonts w:hint="eastAsia" w:ascii="宋体" w:hAnsi="Courier New"/>
        </w:rPr>
        <w:t>1.1资质要求：</w:t>
      </w:r>
    </w:p>
    <w:p>
      <w:pPr>
        <w:pStyle w:val="9"/>
        <w:spacing w:line="360" w:lineRule="auto"/>
        <w:ind w:firstLine="420" w:firstLineChars="200"/>
      </w:pPr>
      <w:r>
        <w:rPr>
          <w:rFonts w:hint="eastAsia"/>
        </w:rPr>
        <w:t>1.</w:t>
      </w:r>
      <w:r>
        <w:t>1.1</w:t>
      </w:r>
      <w:r>
        <w:rPr>
          <w:rFonts w:hint="eastAsia"/>
        </w:rPr>
        <w:t>投标人须遵守《</w:t>
      </w:r>
      <w:bookmarkStart w:id="1" w:name="OLE_LINK3"/>
      <w:bookmarkStart w:id="2" w:name="OLE_LINK2"/>
      <w:r>
        <w:rPr>
          <w:rFonts w:hint="eastAsia"/>
        </w:rPr>
        <w:t>中华人民共和国招标投标法</w:t>
      </w:r>
      <w:bookmarkEnd w:id="1"/>
      <w:bookmarkEnd w:id="2"/>
      <w:r>
        <w:rPr>
          <w:rFonts w:hint="eastAsia"/>
        </w:rPr>
        <w:t>》、《</w:t>
      </w:r>
      <w:bookmarkStart w:id="3" w:name="_Hlk152145476"/>
      <w:r>
        <w:rPr>
          <w:rFonts w:hint="eastAsia"/>
        </w:rPr>
        <w:t>中华人民共和国民法典</w:t>
      </w:r>
      <w:bookmarkEnd w:id="3"/>
      <w:r>
        <w:rPr>
          <w:rFonts w:hint="eastAsia"/>
        </w:rPr>
        <w:t>》及其它有关的法律和法规；为中华人民共和国境内注册的独立法人机构，具有独立承担民事责任能力；</w:t>
      </w:r>
    </w:p>
    <w:p>
      <w:pPr>
        <w:pStyle w:val="9"/>
        <w:spacing w:line="360" w:lineRule="auto"/>
        <w:ind w:firstLine="420" w:firstLineChars="200"/>
      </w:pPr>
      <w:r>
        <w:rPr>
          <w:rFonts w:hint="eastAsia"/>
        </w:rPr>
        <w:t>1.</w:t>
      </w:r>
      <w:r>
        <w:t>1.2</w:t>
      </w:r>
      <w:r>
        <w:rPr>
          <w:rFonts w:hint="eastAsia"/>
        </w:rPr>
        <w:t>公司原则上注册资金不少于</w:t>
      </w:r>
      <w:r>
        <w:rPr>
          <w:b/>
          <w:bCs/>
        </w:rPr>
        <w:t>500</w:t>
      </w:r>
      <w:r>
        <w:rPr>
          <w:rFonts w:hint="eastAsia"/>
          <w:b/>
          <w:bCs/>
        </w:rPr>
        <w:t>万元或不低于项目标的额，</w:t>
      </w:r>
      <w:r>
        <w:rPr>
          <w:rFonts w:hint="eastAsia"/>
        </w:rPr>
        <w:t>投标人注册资金不符条件但确属优秀的，经项目实施单位和业务主管部门负责人会签后，可接受投标；</w:t>
      </w:r>
    </w:p>
    <w:p>
      <w:pPr>
        <w:pStyle w:val="9"/>
        <w:spacing w:line="360" w:lineRule="auto"/>
        <w:ind w:firstLine="420" w:firstLineChars="200"/>
      </w:pPr>
      <w:r>
        <w:rPr>
          <w:rFonts w:hint="eastAsia"/>
        </w:rPr>
        <w:t>1.</w:t>
      </w:r>
      <w:r>
        <w:t>1.3</w:t>
      </w:r>
      <w:r>
        <w:rPr>
          <w:rFonts w:hint="eastAsia"/>
          <w:szCs w:val="22"/>
        </w:rPr>
        <w:t>营业范围包括环保设施或污水处理运维服务资质，经营范围满足招标项目需求，</w:t>
      </w:r>
      <w:r>
        <w:rPr>
          <w:rFonts w:hint="eastAsia" w:hAnsi="宋体"/>
        </w:rPr>
        <w:t>并</w:t>
      </w:r>
      <w:r>
        <w:rPr>
          <w:rFonts w:hAnsi="宋体"/>
        </w:rPr>
        <w:t>在人员、设备、资金等方面具有承担本</w:t>
      </w:r>
      <w:r>
        <w:rPr>
          <w:rFonts w:hint="eastAsia" w:hAnsi="宋体"/>
        </w:rPr>
        <w:t>项目</w:t>
      </w:r>
      <w:r>
        <w:rPr>
          <w:rFonts w:hAnsi="宋体"/>
        </w:rPr>
        <w:t>的能力</w:t>
      </w:r>
      <w:r>
        <w:rPr>
          <w:rFonts w:hint="eastAsia"/>
        </w:rPr>
        <w:t>；</w:t>
      </w:r>
    </w:p>
    <w:p>
      <w:pPr>
        <w:pStyle w:val="9"/>
        <w:spacing w:line="360" w:lineRule="auto"/>
        <w:ind w:firstLine="420" w:firstLineChars="200"/>
        <w:rPr>
          <w:rFonts w:hAnsi="宋体"/>
        </w:rPr>
      </w:pPr>
      <w:r>
        <w:rPr>
          <w:rFonts w:hint="eastAsia"/>
        </w:rPr>
        <w:t>1.</w:t>
      </w:r>
      <w:r>
        <w:t>1.4</w:t>
      </w:r>
      <w:r>
        <w:rPr>
          <w:rFonts w:hint="eastAsia"/>
        </w:rPr>
        <w:t>投标人须提供具有统一社会信用代码的新版营业执照副本</w:t>
      </w:r>
      <w:r>
        <w:rPr>
          <w:rFonts w:hint="eastAsia"/>
          <w:b/>
          <w:bCs/>
        </w:rPr>
        <w:t>复印件（加盖公章）；</w:t>
      </w:r>
    </w:p>
    <w:p>
      <w:pPr>
        <w:pStyle w:val="9"/>
        <w:spacing w:line="360" w:lineRule="auto"/>
        <w:ind w:firstLine="420" w:firstLineChars="200"/>
        <w:rPr>
          <w:bCs/>
          <w:color w:val="000000"/>
        </w:rPr>
      </w:pPr>
      <w:r>
        <w:rPr>
          <w:rFonts w:hint="eastAsia"/>
        </w:rPr>
        <w:t>1.</w:t>
      </w:r>
      <w:r>
        <w:t>1.5</w:t>
      </w:r>
      <w:r>
        <w:rPr>
          <w:rFonts w:hint="eastAsia"/>
        </w:rPr>
        <w:t>投标人具有良好的商业信誉，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。在“国家企业信用信息公示系统”、“中国执行信息公开网”、“信用中国”、“天眼查”“裁判文书网”等信息平台中，无行政处罚、失信记录及未被列入过经营异常名录等信息；</w:t>
      </w:r>
    </w:p>
    <w:p>
      <w:pPr>
        <w:pStyle w:val="9"/>
        <w:spacing w:line="360" w:lineRule="auto"/>
        <w:ind w:firstLine="420" w:firstLineChars="200"/>
        <w:rPr>
          <w:bCs/>
          <w:color w:val="000000"/>
        </w:rPr>
      </w:pPr>
      <w:r>
        <w:rPr>
          <w:rFonts w:hint="eastAsia"/>
        </w:rPr>
        <w:t>1.</w:t>
      </w:r>
      <w:r>
        <w:t>1.6</w:t>
      </w:r>
      <w:r>
        <w:rPr>
          <w:rFonts w:hint="eastAsia"/>
          <w:bCs/>
          <w:color w:val="000000"/>
        </w:rPr>
        <w:t>无招标违规、谎报年度报告信息、提供虚假资质资料等行为或其他行政处罚记录；</w:t>
      </w:r>
    </w:p>
    <w:p>
      <w:pPr>
        <w:pStyle w:val="9"/>
        <w:spacing w:line="360" w:lineRule="auto"/>
        <w:ind w:firstLine="420" w:firstLineChars="200"/>
      </w:pPr>
      <w:r>
        <w:rPr>
          <w:rFonts w:hint="eastAsia"/>
        </w:rPr>
        <w:t>1.</w:t>
      </w:r>
      <w:r>
        <w:t>1.7</w:t>
      </w:r>
      <w:r>
        <w:rPr>
          <w:rFonts w:hint="eastAsia"/>
        </w:rPr>
        <w:t>具有健全的财务会计制度，有依法缴纳税收和社会保障资金的良好记录；投标单位需提供（202</w:t>
      </w:r>
      <w:r>
        <w:t>2</w:t>
      </w:r>
      <w:r>
        <w:rPr>
          <w:rFonts w:hint="eastAsia"/>
        </w:rPr>
        <w:t>年至今）经会计师事务所或审计机构出具的财务审计报告，保证单位财务状况良好可以进行投标；</w:t>
      </w:r>
    </w:p>
    <w:p>
      <w:pPr>
        <w:pStyle w:val="9"/>
        <w:spacing w:line="360" w:lineRule="auto"/>
        <w:ind w:firstLine="420" w:firstLineChars="200"/>
      </w:pPr>
      <w:r>
        <w:rPr>
          <w:rFonts w:hint="eastAsia"/>
        </w:rPr>
        <w:t>1.</w:t>
      </w:r>
      <w:r>
        <w:t>1.8</w:t>
      </w:r>
      <w:r>
        <w:rPr>
          <w:rFonts w:hint="eastAsia"/>
        </w:rPr>
        <w:t>投标人必须是最终投标、签订合同的单位，不得以任何理由将已中标项目以任何形式转包给其他单位；</w:t>
      </w:r>
    </w:p>
    <w:p>
      <w:pPr>
        <w:pStyle w:val="9"/>
        <w:spacing w:line="360" w:lineRule="auto"/>
        <w:ind w:firstLine="420" w:firstLineChars="200"/>
      </w:pPr>
      <w:r>
        <w:rPr>
          <w:rFonts w:hint="eastAsia"/>
        </w:rPr>
        <w:t>1.</w:t>
      </w:r>
      <w:r>
        <w:t>1.9</w:t>
      </w:r>
      <w:r>
        <w:rPr>
          <w:rFonts w:hint="eastAsia"/>
        </w:rPr>
        <w:t>本次招标项目不接受联合体投标。</w:t>
      </w:r>
    </w:p>
    <w:p>
      <w:pPr>
        <w:pStyle w:val="9"/>
        <w:spacing w:line="360" w:lineRule="auto"/>
        <w:ind w:firstLine="420" w:firstLineChars="200"/>
        <w:rPr>
          <w:szCs w:val="22"/>
        </w:rPr>
      </w:pPr>
      <w:r>
        <w:rPr>
          <w:rFonts w:hint="eastAsia"/>
        </w:rPr>
        <w:t>1.</w:t>
      </w:r>
      <w:r>
        <w:t>1.10</w:t>
      </w:r>
      <w:r>
        <w:rPr>
          <w:rFonts w:hint="eastAsia"/>
          <w:szCs w:val="22"/>
        </w:rPr>
        <w:t>供方的直接或间接股东、法定代表人、董事、监事、高管非重汽员工及其亲属。</w:t>
      </w:r>
    </w:p>
    <w:p>
      <w:pPr>
        <w:pStyle w:val="9"/>
        <w:spacing w:line="360" w:lineRule="auto"/>
        <w:ind w:firstLine="420" w:firstLineChars="200"/>
      </w:pPr>
      <w:r>
        <w:rPr>
          <w:rFonts w:hint="eastAsia"/>
        </w:rPr>
        <w:t>1.</w:t>
      </w:r>
      <w:r>
        <w:t>1.11</w:t>
      </w:r>
      <w:r>
        <w:rPr>
          <w:rFonts w:hint="eastAsia"/>
        </w:rPr>
        <w:t>投标人须认可招标人的工作指令，包括节假日、夜间能正常开展工作的要求；</w:t>
      </w:r>
    </w:p>
    <w:p>
      <w:pPr>
        <w:spacing w:line="360" w:lineRule="auto"/>
        <w:ind w:firstLine="420" w:firstLineChars="200"/>
        <w:rPr>
          <w:rFonts w:ascii="宋体" w:hAnsi="Courier New"/>
        </w:rPr>
      </w:pPr>
      <w:r>
        <w:rPr>
          <w:rFonts w:ascii="宋体" w:hAnsi="宋体"/>
        </w:rPr>
        <w:t>1.1.12</w:t>
      </w:r>
      <w:r>
        <w:rPr>
          <w:rFonts w:hint="eastAsia" w:ascii="宋体" w:hAnsi="宋体"/>
        </w:rPr>
        <w:t>在资</w:t>
      </w:r>
      <w:r>
        <w:rPr>
          <w:rFonts w:hint="eastAsia" w:ascii="宋体" w:hAnsi="Courier New"/>
        </w:rPr>
        <w:t>质后审环节，投标单位对以上资质内容弄虚作假的，一经查实，列入集团采购黑名单，永不采用。</w:t>
      </w:r>
    </w:p>
    <w:p>
      <w:pPr>
        <w:spacing w:line="360" w:lineRule="auto"/>
        <w:ind w:firstLine="420" w:firstLineChars="200"/>
        <w:rPr>
          <w:rFonts w:ascii="宋体" w:hAnsi="Courier New"/>
        </w:rPr>
      </w:pPr>
      <w:r>
        <w:rPr>
          <w:rFonts w:ascii="宋体" w:hAnsi="宋体"/>
        </w:rPr>
        <w:t>1.1.13</w:t>
      </w:r>
      <w:r>
        <w:rPr>
          <w:rFonts w:hint="eastAsia" w:ascii="宋体" w:hAnsi="Courier New"/>
        </w:rPr>
        <w:t>中国重汽集团杭州发动机有限公司负责对招标文件进行说明，并解答投标单位提出的问题。</w:t>
      </w:r>
    </w:p>
    <w:p>
      <w:pPr>
        <w:spacing w:line="360" w:lineRule="auto"/>
        <w:ind w:firstLine="420" w:firstLineChars="200"/>
        <w:rPr>
          <w:rFonts w:ascii="宋体" w:hAnsi="Courier New"/>
        </w:rPr>
      </w:pPr>
      <w:r>
        <w:rPr>
          <w:rFonts w:ascii="宋体" w:hAnsi="宋体"/>
        </w:rPr>
        <w:t>1.1.14</w:t>
      </w:r>
      <w:r>
        <w:rPr>
          <w:rFonts w:hint="eastAsia" w:ascii="宋体" w:hAnsi="Courier New"/>
        </w:rPr>
        <w:t>招标文件的修改通知书构成招标文件的一部分，对投标单位具有约束力。</w:t>
      </w:r>
    </w:p>
    <w:p>
      <w:pPr>
        <w:pStyle w:val="9"/>
        <w:spacing w:line="360" w:lineRule="auto"/>
        <w:ind w:firstLine="422" w:firstLineChars="200"/>
        <w:rPr>
          <w:b/>
        </w:rPr>
      </w:pPr>
      <w:r>
        <w:rPr>
          <w:b/>
        </w:rPr>
        <w:t>2</w:t>
      </w:r>
      <w:r>
        <w:rPr>
          <w:rFonts w:hint="eastAsia"/>
          <w:b/>
        </w:rPr>
        <w:t>.投标文件格式</w:t>
      </w:r>
    </w:p>
    <w:p>
      <w:pPr>
        <w:pStyle w:val="9"/>
        <w:spacing w:line="360" w:lineRule="auto"/>
        <w:ind w:firstLine="422" w:firstLineChars="200"/>
        <w:rPr>
          <w:b/>
        </w:rPr>
      </w:pPr>
      <w:r>
        <w:rPr>
          <w:rFonts w:hint="eastAsia"/>
          <w:b/>
        </w:rPr>
        <w:t>（1）资质文件</w:t>
      </w:r>
    </w:p>
    <w:p>
      <w:pPr>
        <w:pStyle w:val="9"/>
        <w:spacing w:line="360" w:lineRule="auto"/>
        <w:ind w:firstLine="428" w:firstLineChars="200"/>
        <w:rPr>
          <w:rFonts w:hAnsi="宋体"/>
          <w:spacing w:val="2"/>
        </w:rPr>
      </w:pPr>
      <w:bookmarkStart w:id="4" w:name="_Toc47976601"/>
      <w:r>
        <w:rPr>
          <w:rFonts w:hint="eastAsia" w:hAnsi="宋体"/>
          <w:spacing w:val="2"/>
        </w:rPr>
        <w:t>1.1统一社会信用代码的新版营业执照副本复印件；</w:t>
      </w:r>
    </w:p>
    <w:p>
      <w:pPr>
        <w:pStyle w:val="9"/>
        <w:spacing w:line="360" w:lineRule="auto"/>
        <w:ind w:firstLine="428" w:firstLineChars="200"/>
        <w:rPr>
          <w:rFonts w:hAnsi="宋体"/>
          <w:spacing w:val="2"/>
        </w:rPr>
      </w:pPr>
      <w:r>
        <w:rPr>
          <w:rFonts w:hint="eastAsia" w:hAnsi="宋体"/>
          <w:spacing w:val="2"/>
        </w:rPr>
        <w:t>1.2相关资质证书；</w:t>
      </w:r>
    </w:p>
    <w:p>
      <w:pPr>
        <w:pStyle w:val="9"/>
        <w:spacing w:line="360" w:lineRule="auto"/>
        <w:ind w:firstLine="428" w:firstLineChars="200"/>
        <w:rPr>
          <w:rFonts w:hAnsi="宋体"/>
          <w:spacing w:val="2"/>
        </w:rPr>
      </w:pPr>
      <w:r>
        <w:rPr>
          <w:rFonts w:hint="eastAsia" w:hAnsi="宋体"/>
          <w:spacing w:val="2"/>
        </w:rPr>
        <w:t>1.3</w:t>
      </w:r>
      <w:r>
        <w:rPr>
          <w:rFonts w:hint="eastAsia" w:hAnsi="宋体"/>
          <w:spacing w:val="2"/>
          <w:highlight w:val="yellow"/>
          <w:lang w:val="en-US" w:eastAsia="zh-CN"/>
        </w:rPr>
        <w:t>法人授权委托书。</w:t>
      </w:r>
      <w:r>
        <w:rPr>
          <w:rFonts w:hint="eastAsia" w:hAnsi="宋体"/>
          <w:spacing w:val="2"/>
        </w:rPr>
        <w:t>法定代表人参加投标的，需提供法人身份证复印件；派授权人参加投标的，需提供法定代表人授权委托书及被授权人身份证复印件；</w:t>
      </w:r>
    </w:p>
    <w:p>
      <w:pPr>
        <w:pStyle w:val="9"/>
        <w:spacing w:line="360" w:lineRule="auto"/>
        <w:ind w:firstLine="428" w:firstLineChars="200"/>
        <w:rPr>
          <w:rFonts w:hAnsi="宋体"/>
          <w:spacing w:val="2"/>
        </w:rPr>
      </w:pPr>
      <w:r>
        <w:rPr>
          <w:rFonts w:hint="eastAsia" w:hAnsi="宋体"/>
          <w:spacing w:val="2"/>
        </w:rPr>
        <w:t>1.4</w:t>
      </w:r>
      <w:r>
        <w:rPr>
          <w:rFonts w:hint="eastAsia" w:hAnsi="宋体" w:cs="宋体"/>
        </w:rPr>
        <w:t>投标人须提供上一年度的财务报表（资产负债表、利润表）的复印件；</w:t>
      </w:r>
    </w:p>
    <w:p>
      <w:pPr>
        <w:pStyle w:val="9"/>
        <w:spacing w:line="360" w:lineRule="auto"/>
        <w:ind w:firstLine="428" w:firstLineChars="200"/>
        <w:rPr>
          <w:rFonts w:hAnsi="宋体"/>
          <w:spacing w:val="2"/>
        </w:rPr>
      </w:pPr>
      <w:r>
        <w:rPr>
          <w:rFonts w:hint="eastAsia" w:hAnsi="宋体"/>
          <w:spacing w:val="2"/>
        </w:rPr>
        <w:t>1.5近三年内在经营活动中没有违法违纪行为的声明。</w:t>
      </w:r>
    </w:p>
    <w:p>
      <w:pPr>
        <w:pStyle w:val="9"/>
        <w:spacing w:line="360" w:lineRule="auto"/>
        <w:ind w:firstLine="428" w:firstLineChars="200"/>
        <w:rPr>
          <w:rFonts w:hAnsi="宋体"/>
          <w:spacing w:val="2"/>
        </w:rPr>
      </w:pPr>
      <w:r>
        <w:rPr>
          <w:rFonts w:hint="eastAsia" w:hAnsi="宋体"/>
          <w:spacing w:val="2"/>
        </w:rPr>
        <w:t>1.6投标人自认为需提交的符合本招标文件总则第二章第1条所有内容的其他条款并附录。</w:t>
      </w:r>
    </w:p>
    <w:p>
      <w:pPr>
        <w:pStyle w:val="9"/>
        <w:spacing w:line="360" w:lineRule="auto"/>
        <w:ind w:firstLine="428" w:firstLineChars="200"/>
        <w:rPr>
          <w:rFonts w:hAnsi="宋体" w:cs="宋体"/>
        </w:rPr>
      </w:pPr>
      <w:r>
        <w:rPr>
          <w:rFonts w:hint="eastAsia" w:hAnsi="宋体"/>
          <w:spacing w:val="2"/>
        </w:rPr>
        <w:t>1.7</w:t>
      </w:r>
      <w:r>
        <w:rPr>
          <w:rFonts w:hint="eastAsia" w:hAnsi="宋体" w:cs="宋体"/>
        </w:rPr>
        <w:t>投标人应提交</w:t>
      </w:r>
      <w:r>
        <w:rPr>
          <w:rFonts w:hint="eastAsia" w:hAnsi="宋体" w:cs="宋体"/>
          <w:highlight w:val="yellow"/>
        </w:rPr>
        <w:t>《投标文件》、《投标函》</w:t>
      </w:r>
      <w:r>
        <w:rPr>
          <w:rFonts w:hint="eastAsia" w:hAnsi="宋体" w:cs="宋体"/>
        </w:rPr>
        <w:t>。</w:t>
      </w:r>
    </w:p>
    <w:p>
      <w:pPr>
        <w:pStyle w:val="9"/>
        <w:spacing w:line="360" w:lineRule="auto"/>
        <w:ind w:firstLine="420" w:firstLineChars="200"/>
        <w:rPr>
          <w:rFonts w:hAnsi="宋体" w:cs="宋体"/>
        </w:rPr>
      </w:pPr>
      <w:r>
        <w:rPr>
          <w:rFonts w:hint="eastAsia" w:hAnsi="宋体" w:cs="宋体"/>
        </w:rPr>
        <w:t>1.8信用中国截图（报名日期当日“信用中国”网站(www.creditchina.gov.cn）查询本单位未被列入联合惩戒失信人名单的网页截图）</w:t>
      </w:r>
    </w:p>
    <w:p>
      <w:pPr>
        <w:pStyle w:val="9"/>
        <w:spacing w:line="360" w:lineRule="auto"/>
        <w:ind w:firstLine="420" w:firstLineChars="200"/>
        <w:rPr>
          <w:rFonts w:hAnsi="宋体" w:cs="宋体"/>
        </w:rPr>
      </w:pPr>
      <w:r>
        <w:rPr>
          <w:rFonts w:hint="eastAsia" w:hAnsi="宋体"/>
        </w:rPr>
        <w:t>1.9</w:t>
      </w:r>
      <w:r>
        <w:rPr>
          <w:rFonts w:hint="eastAsia" w:hAnsi="宋体" w:cs="宋体"/>
        </w:rPr>
        <w:t>企业概况一览表：包括人员、设备、技术、专利、工艺等；</w:t>
      </w:r>
    </w:p>
    <w:p>
      <w:pPr>
        <w:widowControl/>
        <w:spacing w:line="360" w:lineRule="auto"/>
        <w:ind w:firstLine="430" w:firstLineChars="200"/>
        <w:rPr>
          <w:rFonts w:hint="eastAsia" w:hAnsi="宋体"/>
          <w:spacing w:val="2"/>
        </w:rPr>
      </w:pPr>
      <w:r>
        <w:rPr>
          <w:rFonts w:hint="eastAsia" w:hAnsi="宋体"/>
          <w:b/>
          <w:bCs/>
          <w:spacing w:val="2"/>
        </w:rPr>
        <w:t>重要提示：</w:t>
      </w:r>
      <w:r>
        <w:rPr>
          <w:rFonts w:hint="eastAsia" w:hAnsi="宋体"/>
          <w:spacing w:val="2"/>
        </w:rPr>
        <w:t>应标资格审核中，上述所列示的所有条款均属于</w:t>
      </w:r>
      <w:r>
        <w:rPr>
          <w:rFonts w:hint="eastAsia" w:hAnsi="宋体"/>
          <w:b/>
          <w:bCs/>
          <w:spacing w:val="2"/>
        </w:rPr>
        <w:t>否决项</w:t>
      </w:r>
      <w:r>
        <w:rPr>
          <w:rFonts w:hint="eastAsia" w:hAnsi="宋体"/>
          <w:spacing w:val="2"/>
        </w:rPr>
        <w:t>，对于任意一项或多项未达到资格审核要求的投标人，视为主动放弃投标，该投标人将不能进入后续的评标程序。对于未通过资格审核要求的投标人，不做任何解释。</w:t>
      </w:r>
    </w:p>
    <w:p>
      <w:pPr>
        <w:pStyle w:val="9"/>
        <w:spacing w:line="360" w:lineRule="auto"/>
        <w:ind w:firstLine="420" w:firstLineChars="200"/>
        <w:rPr>
          <w:rFonts w:hint="default" w:hAnsi="宋体"/>
          <w:highlight w:val="yellow"/>
          <w:lang w:val="en-US" w:eastAsia="zh-CN"/>
        </w:rPr>
      </w:pPr>
      <w:r>
        <w:rPr>
          <w:rFonts w:hint="eastAsia" w:hAnsi="宋体"/>
          <w:highlight w:val="yellow"/>
          <w:lang w:val="en-US" w:eastAsia="zh-CN"/>
        </w:rPr>
        <w:t>1.10 投标保证金缴纳凭证</w:t>
      </w:r>
    </w:p>
    <w:bookmarkEnd w:id="4"/>
    <w:p>
      <w:pPr>
        <w:pStyle w:val="9"/>
        <w:spacing w:line="360" w:lineRule="auto"/>
        <w:ind w:firstLine="422" w:firstLineChars="200"/>
        <w:rPr>
          <w:b/>
        </w:rPr>
      </w:pPr>
      <w:r>
        <w:rPr>
          <w:rFonts w:hint="eastAsia"/>
          <w:b/>
        </w:rPr>
        <w:t>(2) 商务标</w:t>
      </w:r>
    </w:p>
    <w:p>
      <w:pPr>
        <w:pStyle w:val="9"/>
        <w:spacing w:line="360" w:lineRule="auto"/>
        <w:ind w:firstLine="422" w:firstLineChars="200"/>
        <w:rPr>
          <w:rFonts w:hAnsi="宋体" w:eastAsia="Calibri"/>
        </w:rPr>
      </w:pPr>
      <w:r>
        <w:rPr>
          <w:rFonts w:hint="eastAsia" w:hAnsi="宋体" w:cs="宋体"/>
          <w:b/>
          <w:bCs/>
        </w:rPr>
        <w:t>1</w:t>
      </w:r>
      <w:r>
        <w:rPr>
          <w:rFonts w:hint="eastAsia" w:hAnsi="宋体" w:cs="宋体"/>
          <w:b/>
          <w:bCs/>
          <w:lang w:eastAsia="zh-CN"/>
        </w:rPr>
        <w:t>、</w:t>
      </w:r>
      <w:r>
        <w:rPr>
          <w:rFonts w:hint="eastAsia" w:hAnsi="宋体" w:cs="宋体"/>
          <w:b/>
          <w:bCs/>
          <w:highlight w:val="yellow"/>
          <w:lang w:val="en-US" w:eastAsia="zh-CN"/>
        </w:rPr>
        <w:t>分项报价表</w:t>
      </w:r>
      <w:r>
        <w:rPr>
          <w:rFonts w:hint="eastAsia" w:hAnsi="宋体" w:cs="宋体"/>
        </w:rPr>
        <w:t>乙方统一按照委托内容及报价明细（附件五）填写报价，并标明价格所含税率</w:t>
      </w:r>
      <w:r>
        <w:rPr>
          <w:rFonts w:hint="eastAsia" w:hAnsi="宋体"/>
        </w:rPr>
        <w:t>；</w:t>
      </w:r>
    </w:p>
    <w:p>
      <w:pPr>
        <w:pStyle w:val="9"/>
        <w:spacing w:line="360" w:lineRule="auto"/>
        <w:ind w:firstLine="422" w:firstLineChars="200"/>
        <w:rPr>
          <w:rFonts w:hint="eastAsia"/>
          <w:highlight w:val="yellow"/>
        </w:rPr>
      </w:pPr>
      <w:r>
        <w:rPr>
          <w:rFonts w:hint="eastAsia" w:hAnsi="宋体"/>
          <w:b/>
          <w:bCs/>
        </w:rPr>
        <w:t>2</w:t>
      </w:r>
      <w:r>
        <w:rPr>
          <w:rFonts w:hint="eastAsia" w:hAnsi="宋体"/>
          <w:b/>
          <w:bCs/>
          <w:lang w:eastAsia="zh-CN"/>
        </w:rPr>
        <w:t>、</w:t>
      </w:r>
      <w:r>
        <w:rPr>
          <w:rFonts w:hint="eastAsia"/>
          <w:highlight w:val="yellow"/>
        </w:rPr>
        <w:t>开标一览表</w:t>
      </w:r>
    </w:p>
    <w:p>
      <w:pPr>
        <w:pStyle w:val="9"/>
        <w:spacing w:line="360" w:lineRule="auto"/>
        <w:ind w:firstLine="420" w:firstLineChars="200"/>
        <w:rPr>
          <w:rFonts w:hint="eastAsia"/>
          <w:highlight w:val="yellow"/>
          <w:lang w:val="en-US" w:eastAsia="zh-CN"/>
        </w:rPr>
      </w:pPr>
      <w:r>
        <w:rPr>
          <w:rFonts w:hint="eastAsia"/>
          <w:highlight w:val="yellow"/>
          <w:lang w:val="en-US" w:eastAsia="zh-CN"/>
        </w:rPr>
        <w:t>3、运营方案</w:t>
      </w:r>
    </w:p>
    <w:p>
      <w:pPr>
        <w:pStyle w:val="9"/>
        <w:spacing w:line="360" w:lineRule="auto"/>
        <w:ind w:firstLine="420" w:firstLineChars="200"/>
        <w:rPr>
          <w:rFonts w:hint="eastAsia"/>
          <w:highlight w:val="yellow"/>
          <w:lang w:val="en-US" w:eastAsia="zh-CN"/>
        </w:rPr>
      </w:pPr>
      <w:r>
        <w:rPr>
          <w:rFonts w:hint="eastAsia"/>
          <w:highlight w:val="yellow"/>
          <w:lang w:val="en-US" w:eastAsia="zh-CN"/>
        </w:rPr>
        <w:t>4、承诺函</w:t>
      </w:r>
    </w:p>
    <w:p>
      <w:pPr>
        <w:pStyle w:val="9"/>
        <w:spacing w:line="360" w:lineRule="auto"/>
        <w:ind w:firstLine="420" w:firstLineChars="200"/>
        <w:rPr>
          <w:rFonts w:hint="eastAsia"/>
          <w:highlight w:val="yellow"/>
          <w:lang w:val="en-US" w:eastAsia="zh-CN"/>
        </w:rPr>
      </w:pPr>
      <w:r>
        <w:rPr>
          <w:rFonts w:hint="eastAsia"/>
          <w:highlight w:val="yellow"/>
          <w:lang w:val="en-US" w:eastAsia="zh-CN"/>
        </w:rPr>
        <w:t>5、偏离表</w:t>
      </w:r>
    </w:p>
    <w:p>
      <w:pPr>
        <w:pStyle w:val="9"/>
        <w:spacing w:line="360" w:lineRule="auto"/>
        <w:ind w:firstLine="420" w:firstLineChars="200"/>
        <w:rPr>
          <w:rFonts w:hint="eastAsia"/>
          <w:highlight w:val="yellow"/>
          <w:lang w:val="en-US" w:eastAsia="zh-CN"/>
        </w:rPr>
      </w:pPr>
      <w:r>
        <w:rPr>
          <w:rFonts w:hint="eastAsia"/>
          <w:highlight w:val="yellow"/>
          <w:lang w:val="en-US" w:eastAsia="zh-CN"/>
        </w:rPr>
        <w:t>6、近三年业绩表</w:t>
      </w:r>
    </w:p>
    <w:p>
      <w:pPr>
        <w:pStyle w:val="9"/>
        <w:spacing w:line="360" w:lineRule="auto"/>
        <w:ind w:firstLine="420" w:firstLineChars="200"/>
        <w:rPr>
          <w:rFonts w:hint="eastAsia"/>
          <w:highlight w:val="yellow"/>
          <w:lang w:val="en-US" w:eastAsia="zh-CN"/>
        </w:rPr>
      </w:pPr>
      <w:r>
        <w:rPr>
          <w:rFonts w:hint="eastAsia"/>
          <w:highlight w:val="yellow"/>
          <w:lang w:val="en-US" w:eastAsia="zh-CN"/>
        </w:rPr>
        <w:t>7、现场勘察记录表</w:t>
      </w:r>
    </w:p>
    <w:p>
      <w:pPr>
        <w:pStyle w:val="9"/>
        <w:spacing w:line="360" w:lineRule="auto"/>
        <w:ind w:firstLine="420" w:firstLineChars="200"/>
        <w:rPr>
          <w:rFonts w:hint="default"/>
          <w:highlight w:val="yellow"/>
          <w:lang w:val="en-US" w:eastAsia="zh-CN"/>
        </w:rPr>
      </w:pPr>
    </w:p>
    <w:p>
      <w:pPr>
        <w:pStyle w:val="9"/>
        <w:spacing w:line="360" w:lineRule="auto"/>
        <w:ind w:firstLine="422" w:firstLineChars="200"/>
        <w:rPr>
          <w:b/>
        </w:rPr>
      </w:pPr>
      <w:r>
        <w:rPr>
          <w:rFonts w:hint="eastAsia"/>
          <w:b/>
        </w:rPr>
        <w:t>报价：</w:t>
      </w:r>
    </w:p>
    <w:p>
      <w:pPr>
        <w:pStyle w:val="9"/>
        <w:spacing w:line="360" w:lineRule="auto"/>
        <w:ind w:firstLine="420" w:firstLineChars="200"/>
      </w:pPr>
      <w:r>
        <w:rPr>
          <w:rFonts w:hint="eastAsia" w:hAnsi="宋体"/>
        </w:rPr>
        <w:t>（1）</w:t>
      </w:r>
      <w:r>
        <w:rPr>
          <w:rFonts w:hint="eastAsia"/>
        </w:rPr>
        <w:t>本次招标为公开招标，报价应为：投标方与招标人或其指派的答疑人员充分沟通确认基础上，由投标人在满足招标人所提出的、与本项目所有相关环节有关的所有费用；</w:t>
      </w:r>
    </w:p>
    <w:p>
      <w:pPr>
        <w:pStyle w:val="9"/>
        <w:spacing w:line="360" w:lineRule="auto"/>
        <w:ind w:firstLine="420" w:firstLineChars="200"/>
      </w:pPr>
      <w:r>
        <w:rPr>
          <w:rFonts w:hint="eastAsia" w:hAnsi="宋体"/>
        </w:rPr>
        <w:t>（2）投标方报价上限</w:t>
      </w:r>
      <w:r>
        <w:rPr>
          <w:b/>
        </w:rPr>
        <w:t>256.19</w:t>
      </w:r>
      <w:r>
        <w:rPr>
          <w:rFonts w:hint="eastAsia" w:hAnsi="宋体"/>
        </w:rPr>
        <w:t>万元（含税）；</w:t>
      </w:r>
    </w:p>
    <w:p>
      <w:pPr>
        <w:spacing w:line="360" w:lineRule="auto"/>
        <w:ind w:left="420" w:leftChars="200"/>
        <w:rPr>
          <w:rFonts w:ascii="宋体" w:hAnsi="Courier New"/>
        </w:rPr>
      </w:pPr>
      <w:r>
        <w:rPr>
          <w:rFonts w:hint="eastAsia" w:ascii="宋体" w:hAnsi="Courier New"/>
        </w:rPr>
        <w:t>（3）所有报价货币单位为：</w:t>
      </w:r>
    </w:p>
    <w:p>
      <w:pPr>
        <w:spacing w:line="360" w:lineRule="auto"/>
        <w:ind w:left="420" w:leftChars="200"/>
        <w:rPr>
          <w:rFonts w:ascii="宋体" w:hAnsi="Courier New"/>
        </w:rPr>
      </w:pPr>
      <w:r>
        <w:rPr>
          <w:rFonts w:hint="eastAsia" w:ascii="宋体" w:hAnsi="Courier New"/>
        </w:rPr>
        <w:t>合计项目总价</w:t>
      </w:r>
      <w:r>
        <w:rPr>
          <w:rFonts w:hint="eastAsia" w:ascii="宋体" w:hAnsi="Courier New"/>
          <w:u w:val="single"/>
        </w:rPr>
        <w:t xml:space="preserve">    </w:t>
      </w:r>
      <w:r>
        <w:rPr>
          <w:rFonts w:hint="eastAsia" w:ascii="宋体" w:hAnsi="Courier New"/>
        </w:rPr>
        <w:t>元（人民币，未税）；税率</w:t>
      </w:r>
      <w:r>
        <w:rPr>
          <w:rFonts w:hint="eastAsia" w:ascii="宋体" w:hAnsi="Courier New"/>
          <w:u w:val="single"/>
        </w:rPr>
        <w:t xml:space="preserve">   </w:t>
      </w:r>
      <w:r>
        <w:rPr>
          <w:rFonts w:hint="eastAsia" w:ascii="宋体" w:hAnsi="Courier New"/>
        </w:rPr>
        <w:t>；</w:t>
      </w:r>
      <w:r>
        <w:rPr>
          <w:rFonts w:hint="eastAsia" w:ascii="宋体" w:hAnsi="Courier New"/>
          <w:u w:val="single"/>
        </w:rPr>
        <w:t xml:space="preserve">   </w:t>
      </w:r>
      <w:r>
        <w:rPr>
          <w:rFonts w:hint="eastAsia" w:ascii="宋体" w:hAnsi="Courier New"/>
        </w:rPr>
        <w:t>元（人民币，含税）。</w:t>
      </w:r>
    </w:p>
    <w:p>
      <w:pPr>
        <w:spacing w:line="360" w:lineRule="auto"/>
        <w:ind w:firstLine="420" w:firstLineChars="200"/>
        <w:rPr>
          <w:rFonts w:hAnsi="宋体"/>
          <w:highlight w:val="yellow"/>
        </w:rPr>
      </w:pPr>
      <w:r>
        <w:rPr>
          <w:rFonts w:hint="eastAsia" w:hAnsi="宋体"/>
        </w:rPr>
        <w:t>（4）原则上招标人将与中标人签订合同。鉴于此，投标人应酌情考虑总体能力，本着诚信合作的态度，向招标人提供真实、合理的投标报价；</w:t>
      </w:r>
    </w:p>
    <w:p>
      <w:pPr>
        <w:spacing w:line="360" w:lineRule="auto"/>
        <w:ind w:firstLine="420" w:firstLineChars="200"/>
        <w:rPr>
          <w:rFonts w:hAnsi="宋体"/>
        </w:rPr>
      </w:pPr>
      <w:r>
        <w:rPr>
          <w:rFonts w:hint="eastAsia" w:hAnsi="宋体"/>
        </w:rPr>
        <w:t>（</w:t>
      </w:r>
      <w:r>
        <w:rPr>
          <w:rFonts w:hAnsi="宋体"/>
        </w:rPr>
        <w:t>5</w:t>
      </w:r>
      <w:r>
        <w:rPr>
          <w:rFonts w:hint="eastAsia" w:hAnsi="宋体"/>
        </w:rPr>
        <w:t>）投标人所提供的单价和合价在合同实施期间不因市场变化因素而变动，投标人在计算报价时可考虑一定的风险系数；凡漏项报价者，中标后不得调整价格。（报价应明确含税价格，不含税价格以及开具发票税率）。</w:t>
      </w:r>
    </w:p>
    <w:p>
      <w:pPr>
        <w:spacing w:line="360" w:lineRule="auto"/>
        <w:ind w:firstLine="420" w:firstLineChars="200"/>
        <w:rPr>
          <w:rFonts w:hAnsi="宋体"/>
        </w:rPr>
      </w:pPr>
      <w:r>
        <w:rPr>
          <w:rFonts w:hint="eastAsia" w:hAnsi="宋体"/>
        </w:rPr>
        <w:t>（</w:t>
      </w:r>
      <w:r>
        <w:rPr>
          <w:rFonts w:hAnsi="宋体"/>
        </w:rPr>
        <w:t>6</w:t>
      </w:r>
      <w:r>
        <w:rPr>
          <w:rFonts w:hint="eastAsia" w:hAnsi="宋体"/>
        </w:rPr>
        <w:t>）投标人所提供的单价需覆盖除尘灰的处置费和运输费等所有费用。</w:t>
      </w:r>
    </w:p>
    <w:p>
      <w:pPr>
        <w:spacing w:line="360" w:lineRule="auto"/>
        <w:ind w:firstLine="420" w:firstLineChars="200"/>
        <w:rPr>
          <w:rFonts w:hAnsi="宋体"/>
        </w:rPr>
      </w:pPr>
      <w:r>
        <w:rPr>
          <w:rFonts w:hint="eastAsia" w:hAnsi="宋体"/>
        </w:rPr>
        <w:t>如投标人不认可、不接受付款方式，则须在本标书开标一览表中注明，招标人将视之为主动弃标。</w:t>
      </w:r>
    </w:p>
    <w:p>
      <w:pPr>
        <w:pStyle w:val="9"/>
        <w:spacing w:line="360" w:lineRule="auto"/>
        <w:ind w:firstLine="422" w:firstLineChars="200"/>
      </w:pPr>
      <w:r>
        <w:rPr>
          <w:rFonts w:hint="eastAsia" w:hAnsi="宋体"/>
          <w:b/>
        </w:rPr>
        <w:t>注：</w:t>
      </w:r>
      <w:r>
        <w:rPr>
          <w:rFonts w:hint="eastAsia" w:hAnsi="宋体"/>
        </w:rPr>
        <w:t>可做正偏离，但不允许有低于本招标文件相关要求的情况出现，否则视为</w:t>
      </w:r>
      <w:r>
        <w:rPr>
          <w:rFonts w:hint="eastAsia"/>
        </w:rPr>
        <w:t>主动放弃本项目投标</w:t>
      </w:r>
      <w:r>
        <w:rPr>
          <w:rFonts w:hint="eastAsia" w:hAnsi="宋体"/>
        </w:rPr>
        <w:t>。</w:t>
      </w:r>
    </w:p>
    <w:p>
      <w:pPr>
        <w:pStyle w:val="9"/>
        <w:spacing w:line="360" w:lineRule="auto"/>
        <w:ind w:firstLine="422" w:firstLineChars="200"/>
        <w:rPr>
          <w:rFonts w:ascii="Calibri" w:hAnsi="Calibri"/>
        </w:rPr>
      </w:pPr>
      <w:r>
        <w:rPr>
          <w:rFonts w:hint="eastAsia"/>
          <w:b/>
        </w:rPr>
        <w:t>5、付款方式：</w:t>
      </w:r>
      <w:r>
        <w:rPr>
          <w:rFonts w:hint="eastAsia"/>
          <w:bCs/>
          <w:u w:val="single"/>
        </w:rPr>
        <w:t>验收通过后，并对发票进行确认后支付</w:t>
      </w:r>
      <w:r>
        <w:rPr>
          <w:rFonts w:hint="eastAsia" w:ascii="Calibri" w:hAnsi="Calibri"/>
          <w:bCs/>
        </w:rPr>
        <w:t>，具体以</w:t>
      </w:r>
      <w:r>
        <w:rPr>
          <w:rFonts w:hint="eastAsia" w:ascii="Calibri" w:hAnsi="Calibri"/>
        </w:rPr>
        <w:t>双方最终签署的合同为准。</w:t>
      </w:r>
    </w:p>
    <w:p>
      <w:pPr>
        <w:pStyle w:val="9"/>
        <w:spacing w:line="360" w:lineRule="auto"/>
        <w:ind w:firstLine="422" w:firstLineChars="200"/>
        <w:rPr>
          <w:rFonts w:ascii="Calibri" w:hAnsi="Calibri"/>
        </w:rPr>
      </w:pPr>
      <w:r>
        <w:rPr>
          <w:rFonts w:hint="eastAsia" w:ascii="Calibri" w:hAnsi="Calibri"/>
          <w:b/>
          <w:bCs/>
        </w:rPr>
        <w:t>付款结算方法：</w:t>
      </w:r>
      <w:r>
        <w:rPr>
          <w:rFonts w:ascii="Calibri" w:hAnsi="Calibri"/>
        </w:rPr>
        <w:t xml:space="preserve"> </w:t>
      </w:r>
      <w:r>
        <w:rPr>
          <w:rFonts w:hint="eastAsia" w:hAnsi="宋体"/>
          <w:spacing w:val="2"/>
          <w:u w:val="single"/>
        </w:rPr>
        <w:t>半年期商业汇票</w:t>
      </w:r>
    </w:p>
    <w:p>
      <w:pPr>
        <w:pStyle w:val="9"/>
        <w:spacing w:line="360" w:lineRule="auto"/>
        <w:ind w:firstLine="428" w:firstLineChars="200"/>
        <w:rPr>
          <w:rFonts w:hAnsi="宋体"/>
          <w:spacing w:val="2"/>
        </w:rPr>
      </w:pPr>
      <w:r>
        <w:rPr>
          <w:rFonts w:hint="eastAsia" w:hAnsi="宋体"/>
          <w:spacing w:val="2"/>
        </w:rPr>
        <w:t>根据每月发动机实际产量计算运维费用后，开具6%的增值税专用发票，入账后</w:t>
      </w:r>
      <w:r>
        <w:rPr>
          <w:rFonts w:hAnsi="宋体"/>
          <w:spacing w:val="2"/>
        </w:rPr>
        <w:t>3</w:t>
      </w:r>
      <w:r>
        <w:rPr>
          <w:rFonts w:hint="eastAsia" w:hAnsi="宋体"/>
          <w:spacing w:val="2"/>
        </w:rPr>
        <w:t>0日以半年期商业汇票（包括银行承兑汇票和商业承兑汇票）结算，一月一结。</w:t>
      </w:r>
    </w:p>
    <w:p>
      <w:pPr>
        <w:pStyle w:val="21"/>
        <w:numPr>
          <w:ilvl w:val="0"/>
          <w:numId w:val="0"/>
        </w:numPr>
        <w:ind w:firstLine="422" w:firstLineChars="200"/>
        <w:rPr>
          <w:rFonts w:ascii="宋体" w:hAnsi="宋体" w:eastAsia="宋体" w:cs="宋体"/>
          <w:b w:val="0"/>
          <w:bCs w:val="0"/>
          <w:sz w:val="21"/>
          <w:szCs w:val="21"/>
          <w:highlight w:val="yellow"/>
        </w:rPr>
      </w:pPr>
      <w:r>
        <w:rPr>
          <w:rFonts w:hint="eastAsia" w:ascii="宋体" w:hAnsi="宋体" w:eastAsia="宋体" w:cs="宋体"/>
          <w:sz w:val="21"/>
          <w:szCs w:val="21"/>
        </w:rPr>
        <w:t>*注：付款方式及付款比例不允许偏离。</w:t>
      </w:r>
    </w:p>
    <w:p>
      <w:pPr>
        <w:spacing w:line="360" w:lineRule="auto"/>
        <w:ind w:firstLine="422" w:firstLineChars="200"/>
        <w:rPr>
          <w:rFonts w:ascii="宋体" w:cs="宋体"/>
        </w:rPr>
      </w:pPr>
      <w:r>
        <w:rPr>
          <w:rFonts w:hint="eastAsia" w:hAnsi="Courier New"/>
          <w:b/>
        </w:rPr>
        <w:t>6、</w:t>
      </w:r>
      <w:r>
        <w:rPr>
          <w:rFonts w:hint="eastAsia" w:ascii="宋体" w:hAnsi="宋体" w:cs="宋体"/>
        </w:rPr>
        <w:t>投标文件不得涂改和增删，如有修改错漏的地方，必须由法人代表或授权代表签字或盖章。</w:t>
      </w:r>
    </w:p>
    <w:p>
      <w:pPr>
        <w:spacing w:line="360" w:lineRule="auto"/>
        <w:ind w:firstLine="422" w:firstLineChars="200"/>
        <w:rPr>
          <w:rFonts w:ascii="宋体" w:hAnsi="宋体" w:cs="宋体"/>
        </w:rPr>
      </w:pPr>
      <w:r>
        <w:rPr>
          <w:rFonts w:hint="eastAsia" w:ascii="宋体" w:hAnsi="宋体" w:cs="宋体"/>
          <w:b/>
          <w:bCs/>
        </w:rPr>
        <w:t>7、</w:t>
      </w:r>
      <w:r>
        <w:rPr>
          <w:rFonts w:hint="eastAsia" w:ascii="宋体" w:hAnsi="宋体" w:cs="宋体"/>
        </w:rPr>
        <w:t>投标文件因字迹潦草或表达不清所引起的后果由投标人负责。</w:t>
      </w:r>
    </w:p>
    <w:p>
      <w:pPr>
        <w:pStyle w:val="9"/>
        <w:spacing w:line="360" w:lineRule="auto"/>
        <w:ind w:firstLine="422" w:firstLineChars="200"/>
        <w:rPr>
          <w:b/>
        </w:rPr>
      </w:pPr>
      <w:r>
        <w:rPr>
          <w:rFonts w:hint="eastAsia" w:hAnsi="宋体" w:cs="宋体"/>
          <w:b/>
          <w:bCs/>
        </w:rPr>
        <w:t>8、</w:t>
      </w:r>
      <w:r>
        <w:rPr>
          <w:rFonts w:hint="eastAsia" w:hAnsi="宋体" w:cs="宋体"/>
        </w:rPr>
        <w:t>投标文件格式详见标书附件。</w:t>
      </w:r>
    </w:p>
    <w:p>
      <w:pPr>
        <w:pStyle w:val="9"/>
        <w:spacing w:line="360" w:lineRule="auto"/>
        <w:outlineLvl w:val="1"/>
        <w:rPr>
          <w:rFonts w:ascii="黑体" w:eastAsia="黑体"/>
          <w:b/>
          <w:bCs/>
          <w:sz w:val="28"/>
        </w:rPr>
      </w:pPr>
      <w:r>
        <w:rPr>
          <w:rFonts w:hint="eastAsia" w:ascii="黑体" w:eastAsia="黑体"/>
          <w:b/>
          <w:bCs/>
          <w:sz w:val="28"/>
        </w:rPr>
        <w:t>七、投标、开标、评标</w:t>
      </w:r>
    </w:p>
    <w:p>
      <w:pPr>
        <w:pStyle w:val="9"/>
        <w:spacing w:line="360" w:lineRule="auto"/>
        <w:ind w:firstLine="420" w:firstLineChars="200"/>
      </w:pPr>
      <w:r>
        <w:rPr>
          <w:rFonts w:hint="eastAsia"/>
        </w:rPr>
        <w:t>1.投标保证金：</w:t>
      </w:r>
    </w:p>
    <w:p>
      <w:pPr>
        <w:pStyle w:val="9"/>
        <w:spacing w:line="360" w:lineRule="auto"/>
        <w:ind w:left="77"/>
        <w:rPr>
          <w:rFonts w:hAnsi="宋体"/>
        </w:rPr>
      </w:pPr>
      <w:r>
        <w:rPr>
          <w:rFonts w:hint="eastAsia"/>
        </w:rPr>
        <w:t>投标人须向招标人缴纳投标保证金，投标保证金为</w:t>
      </w:r>
      <w:r>
        <w:t>200</w:t>
      </w:r>
      <w:r>
        <w:rPr>
          <w:rFonts w:hint="eastAsia"/>
        </w:rPr>
        <w:t>00元（人民币大写贰万元整），本次招标收取的投标保证金公对公（基本账户）以现汇形式进行交款，不允许以个人名义交款，汇款时必须注明</w:t>
      </w:r>
      <w:r>
        <w:t>“</w:t>
      </w:r>
      <w:r>
        <w:rPr>
          <w:rFonts w:hint="eastAsia"/>
        </w:rPr>
        <w:t>公司名称+中国重汽杭发公司污水站委托运营项目</w:t>
      </w:r>
      <w:r>
        <w:t>”</w:t>
      </w:r>
      <w:r>
        <w:rPr>
          <w:rFonts w:hint="eastAsia"/>
        </w:rPr>
        <w:t xml:space="preserve">，收款开户行及账户见下： </w:t>
      </w:r>
    </w:p>
    <w:p>
      <w:pPr>
        <w:pStyle w:val="23"/>
        <w:spacing w:line="520" w:lineRule="exact"/>
        <w:ind w:firstLine="422"/>
        <w:rPr>
          <w:rFonts w:eastAsia="宋体" w:cs="宋体"/>
          <w:b/>
          <w:bCs/>
          <w:sz w:val="21"/>
          <w:szCs w:val="21"/>
        </w:rPr>
      </w:pPr>
      <w:r>
        <w:rPr>
          <w:rFonts w:eastAsia="宋体" w:cs="宋体"/>
          <w:b/>
          <w:bCs/>
          <w:sz w:val="21"/>
          <w:szCs w:val="21"/>
        </w:rPr>
        <w:t>名称：</w:t>
      </w:r>
      <w:r>
        <w:rPr>
          <w:rFonts w:eastAsia="宋体" w:cs="宋体"/>
          <w:b/>
          <w:bCs/>
          <w:color w:val="FF0000"/>
          <w:sz w:val="21"/>
          <w:szCs w:val="21"/>
        </w:rPr>
        <w:t>中国重汽集团杭州发动机有限公司</w:t>
      </w:r>
    </w:p>
    <w:p>
      <w:pPr>
        <w:pStyle w:val="23"/>
        <w:spacing w:line="520" w:lineRule="exact"/>
        <w:ind w:firstLine="422"/>
        <w:rPr>
          <w:rFonts w:eastAsia="宋体" w:cs="宋体"/>
          <w:b/>
          <w:bCs/>
          <w:sz w:val="21"/>
          <w:szCs w:val="21"/>
        </w:rPr>
      </w:pPr>
      <w:r>
        <w:rPr>
          <w:rFonts w:eastAsia="宋体" w:cs="宋体"/>
          <w:b/>
          <w:bCs/>
          <w:sz w:val="21"/>
          <w:szCs w:val="21"/>
        </w:rPr>
        <w:t>地址：</w:t>
      </w:r>
      <w:r>
        <w:rPr>
          <w:rFonts w:eastAsia="宋体" w:cs="宋体"/>
          <w:b/>
          <w:bCs/>
          <w:color w:val="FF0000"/>
          <w:sz w:val="21"/>
          <w:szCs w:val="21"/>
        </w:rPr>
        <w:t>萧山区萧山经济技术开发区红垦农场红泰六路699号</w:t>
      </w:r>
    </w:p>
    <w:p>
      <w:pPr>
        <w:pStyle w:val="23"/>
        <w:spacing w:line="520" w:lineRule="exact"/>
        <w:ind w:firstLine="422"/>
        <w:rPr>
          <w:rFonts w:eastAsia="宋体" w:cs="宋体"/>
          <w:b/>
          <w:bCs/>
          <w:sz w:val="21"/>
          <w:szCs w:val="21"/>
        </w:rPr>
      </w:pPr>
      <w:r>
        <w:rPr>
          <w:rFonts w:eastAsia="宋体" w:cs="宋体"/>
          <w:b/>
          <w:bCs/>
          <w:sz w:val="21"/>
          <w:szCs w:val="21"/>
        </w:rPr>
        <w:t>账号：</w:t>
      </w:r>
      <w:r>
        <w:rPr>
          <w:rFonts w:eastAsia="宋体" w:cs="宋体"/>
          <w:b/>
          <w:bCs/>
          <w:color w:val="FF0000"/>
          <w:sz w:val="21"/>
          <w:szCs w:val="21"/>
        </w:rPr>
        <w:t>1202051439900007785</w:t>
      </w:r>
    </w:p>
    <w:p>
      <w:pPr>
        <w:pStyle w:val="23"/>
        <w:spacing w:line="520" w:lineRule="exact"/>
        <w:ind w:firstLine="422"/>
        <w:rPr>
          <w:rFonts w:eastAsia="宋体" w:cs="宋体"/>
          <w:b/>
          <w:bCs/>
          <w:sz w:val="21"/>
          <w:szCs w:val="21"/>
        </w:rPr>
      </w:pPr>
      <w:r>
        <w:rPr>
          <w:rFonts w:eastAsia="宋体" w:cs="宋体"/>
          <w:b/>
          <w:bCs/>
          <w:sz w:val="21"/>
          <w:szCs w:val="21"/>
        </w:rPr>
        <w:t>开户行行号：</w:t>
      </w:r>
      <w:r>
        <w:rPr>
          <w:rFonts w:eastAsia="宋体" w:cs="宋体"/>
          <w:b/>
          <w:bCs/>
          <w:color w:val="FF0000"/>
          <w:sz w:val="21"/>
          <w:szCs w:val="21"/>
        </w:rPr>
        <w:t>102331005147</w:t>
      </w:r>
    </w:p>
    <w:p>
      <w:pPr>
        <w:pStyle w:val="23"/>
        <w:spacing w:line="520" w:lineRule="exact"/>
        <w:ind w:firstLine="422"/>
        <w:rPr>
          <w:rFonts w:eastAsia="宋体" w:cs="宋体"/>
          <w:b/>
          <w:bCs/>
        </w:rPr>
      </w:pPr>
      <w:r>
        <w:rPr>
          <w:rFonts w:eastAsia="宋体" w:cs="宋体"/>
          <w:b/>
          <w:bCs/>
          <w:sz w:val="21"/>
          <w:szCs w:val="21"/>
        </w:rPr>
        <w:t>开户行：</w:t>
      </w:r>
      <w:r>
        <w:rPr>
          <w:rFonts w:eastAsia="宋体" w:cs="宋体"/>
          <w:b/>
          <w:bCs/>
          <w:color w:val="FF0000"/>
          <w:sz w:val="21"/>
          <w:szCs w:val="21"/>
        </w:rPr>
        <w:t>工行半道红支行</w:t>
      </w:r>
    </w:p>
    <w:p>
      <w:pPr>
        <w:pStyle w:val="23"/>
        <w:spacing w:line="520" w:lineRule="exact"/>
        <w:ind w:firstLine="420"/>
        <w:rPr>
          <w:rFonts w:ascii="仿宋_GB2312" w:hAnsi="仿宋" w:eastAsia="仿宋_GB2312"/>
          <w:sz w:val="30"/>
          <w:szCs w:val="30"/>
        </w:rPr>
      </w:pPr>
      <w:r>
        <w:rPr>
          <w:rFonts w:hint="eastAsia" w:hAnsi="Courier New" w:eastAsia="宋体"/>
          <w:color w:val="auto"/>
          <w:sz w:val="21"/>
          <w:szCs w:val="20"/>
        </w:rPr>
        <w:t>投标人需在投标前缴纳投标保证金，并在投标文件中上传相关证明。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付款周期返还到交纳账户。保证金均为无息返还。</w:t>
      </w:r>
    </w:p>
    <w:p>
      <w:pPr>
        <w:pStyle w:val="9"/>
        <w:spacing w:line="360" w:lineRule="auto"/>
        <w:ind w:firstLine="420" w:firstLineChars="200"/>
        <w:rPr>
          <w:rFonts w:hAnsi="宋体" w:cs="宋体"/>
        </w:rPr>
      </w:pPr>
      <w:r>
        <w:rPr>
          <w:rFonts w:hint="eastAsia" w:hAnsi="宋体" w:cs="宋体"/>
        </w:rPr>
        <w:t>2.说明：</w:t>
      </w:r>
    </w:p>
    <w:p>
      <w:pPr>
        <w:pStyle w:val="9"/>
        <w:spacing w:line="360" w:lineRule="auto"/>
        <w:ind w:firstLine="420" w:firstLineChars="200"/>
        <w:rPr>
          <w:rFonts w:hAnsi="宋体" w:cs="宋体"/>
        </w:rPr>
      </w:pPr>
      <w:r>
        <w:rPr>
          <w:rFonts w:hint="eastAsia" w:hAnsi="宋体" w:cs="宋体"/>
        </w:rPr>
        <w:t>(a)无正当理由随意放弃投标、撤销投标文件、中标后无正当理由拒签合同、在签订合同时向招标人或合同签订单位提出无理附加条件的，投标保证金不予返还，该投标人2年不得参与招标人组织的招投标项目。</w:t>
      </w:r>
    </w:p>
    <w:p>
      <w:pPr>
        <w:pStyle w:val="9"/>
        <w:spacing w:line="360" w:lineRule="auto"/>
        <w:ind w:firstLine="420" w:firstLineChars="200"/>
      </w:pPr>
      <w:r>
        <w:rPr>
          <w:rFonts w:hint="eastAsia"/>
        </w:rPr>
        <w:t>(b)投标人在向招标人出示《投标保证金缴纳凭证》后方可进行投标。</w:t>
      </w:r>
    </w:p>
    <w:p>
      <w:pPr>
        <w:pStyle w:val="9"/>
        <w:spacing w:line="360" w:lineRule="auto"/>
        <w:ind w:firstLine="420" w:firstLineChars="200"/>
        <w:rPr>
          <w:szCs w:val="22"/>
        </w:rPr>
      </w:pPr>
      <w:r>
        <w:rPr>
          <w:rFonts w:hint="eastAsia"/>
        </w:rPr>
        <w:t>(c)</w:t>
      </w:r>
      <w:r>
        <w:rPr>
          <w:rFonts w:hint="eastAsia"/>
          <w:szCs w:val="22"/>
        </w:rPr>
        <w:t>发生以下情况时，项目实施单位有权没收保证金：</w:t>
      </w:r>
    </w:p>
    <w:p>
      <w:pPr>
        <w:pStyle w:val="9"/>
        <w:spacing w:line="360" w:lineRule="auto"/>
        <w:ind w:firstLine="420" w:firstLineChars="200"/>
        <w:rPr>
          <w:szCs w:val="22"/>
        </w:rPr>
      </w:pPr>
      <w:r>
        <w:rPr>
          <w:rFonts w:hint="eastAsia"/>
          <w:szCs w:val="22"/>
        </w:rPr>
        <w:t>a）截至开标前3天，投标人无正当理由且未以书面形式递交说明而在投标截止日不来投标的；</w:t>
      </w:r>
    </w:p>
    <w:p>
      <w:pPr>
        <w:pStyle w:val="9"/>
        <w:spacing w:line="360" w:lineRule="auto"/>
        <w:ind w:firstLine="420" w:firstLineChars="200"/>
        <w:rPr>
          <w:szCs w:val="22"/>
        </w:rPr>
      </w:pPr>
      <w:r>
        <w:rPr>
          <w:rFonts w:hint="eastAsia"/>
          <w:szCs w:val="22"/>
        </w:rPr>
        <w:t>b）投标人递送投标文件后，无正当理由放弃投标的；</w:t>
      </w:r>
    </w:p>
    <w:p>
      <w:pPr>
        <w:pStyle w:val="9"/>
        <w:spacing w:line="360" w:lineRule="auto"/>
        <w:ind w:firstLine="420" w:firstLineChars="200"/>
        <w:rPr>
          <w:szCs w:val="22"/>
        </w:rPr>
      </w:pPr>
      <w:r>
        <w:rPr>
          <w:rFonts w:hint="eastAsia"/>
          <w:szCs w:val="22"/>
        </w:rPr>
        <w:t>c）自中标通知书发出之日起30日内，中标人无正当理由不签订合同的；</w:t>
      </w:r>
    </w:p>
    <w:p>
      <w:pPr>
        <w:pStyle w:val="9"/>
        <w:spacing w:line="360" w:lineRule="auto"/>
        <w:ind w:firstLine="420" w:firstLineChars="200"/>
        <w:rPr>
          <w:szCs w:val="22"/>
        </w:rPr>
      </w:pPr>
      <w:r>
        <w:rPr>
          <w:rFonts w:hint="eastAsia"/>
          <w:szCs w:val="22"/>
        </w:rPr>
        <w:t>d）投标人在投标过程中被查实有串标、围标、陪标等违规违纪行为的；</w:t>
      </w:r>
    </w:p>
    <w:p>
      <w:pPr>
        <w:pStyle w:val="9"/>
        <w:spacing w:line="360" w:lineRule="auto"/>
        <w:ind w:firstLine="420" w:firstLineChars="200"/>
      </w:pPr>
      <w:r>
        <w:rPr>
          <w:rFonts w:hint="eastAsia"/>
          <w:szCs w:val="22"/>
        </w:rPr>
        <w:t>e）投标人有违约违规行为或被投诉、举报的，在调查处理期间，保证金暂不退还，待调查处理结束后按有关规定处理。</w:t>
      </w:r>
    </w:p>
    <w:p>
      <w:pPr>
        <w:pStyle w:val="9"/>
        <w:spacing w:line="360" w:lineRule="auto"/>
        <w:ind w:firstLine="420" w:firstLineChars="200"/>
      </w:pPr>
      <w:r>
        <w:rPr>
          <w:rFonts w:hint="eastAsia"/>
        </w:rPr>
        <w:t>2.开评标：评标方法：资质标审核→技术方案讲解→技术标入围→商务标评审。原则上选取合理最低价中标。</w:t>
      </w:r>
    </w:p>
    <w:p>
      <w:pPr>
        <w:pStyle w:val="9"/>
        <w:spacing w:line="360" w:lineRule="auto"/>
        <w:ind w:firstLine="420" w:firstLineChars="200"/>
      </w:pPr>
      <w:r>
        <w:rPr>
          <w:rFonts w:hint="eastAsia"/>
        </w:rPr>
        <w:t>本次招标采用</w:t>
      </w:r>
      <w:bookmarkStart w:id="5" w:name="_Toc33265654"/>
      <w:bookmarkStart w:id="6" w:name="_Toc395116634"/>
      <w:bookmarkStart w:id="7" w:name="_Toc33266951"/>
      <w:bookmarkStart w:id="8" w:name="_Toc33265753"/>
      <w:bookmarkStart w:id="9" w:name="_Toc33266628"/>
      <w:bookmarkStart w:id="10" w:name="_Toc33267002"/>
      <w:bookmarkStart w:id="11" w:name="_Toc33266915"/>
      <w:bookmarkStart w:id="12" w:name="_Toc33285489"/>
      <w:r>
        <w:rPr>
          <w:rFonts w:hint="eastAsia"/>
          <w:b/>
          <w:bCs/>
        </w:rPr>
        <w:t>技术方案讲解和技术标入围后</w:t>
      </w:r>
      <w:r>
        <w:rPr>
          <w:rFonts w:hint="eastAsia"/>
        </w:rPr>
        <w:t>，原则上</w:t>
      </w:r>
      <w:r>
        <w:rPr>
          <w:rFonts w:hint="eastAsia"/>
          <w:b/>
          <w:bCs/>
        </w:rPr>
        <w:t>合理最低价</w:t>
      </w:r>
      <w:r>
        <w:rPr>
          <w:rFonts w:hint="eastAsia"/>
        </w:rPr>
        <w:t>中标。本着公平、公正、公开的原则，在满足技术要求的前提下，选择合理最低价确定中标人，对未中标单位不做任何解释。</w:t>
      </w:r>
    </w:p>
    <w:bookmarkEnd w:id="5"/>
    <w:bookmarkEnd w:id="6"/>
    <w:bookmarkEnd w:id="7"/>
    <w:bookmarkEnd w:id="8"/>
    <w:bookmarkEnd w:id="9"/>
    <w:bookmarkEnd w:id="10"/>
    <w:bookmarkEnd w:id="11"/>
    <w:bookmarkEnd w:id="12"/>
    <w:p>
      <w:pPr>
        <w:pStyle w:val="9"/>
        <w:spacing w:line="360" w:lineRule="auto"/>
        <w:ind w:firstLine="420" w:firstLineChars="200"/>
      </w:pPr>
      <w:r>
        <w:rPr>
          <w:rFonts w:hint="eastAsia"/>
        </w:rPr>
        <w:t>评标流程：</w:t>
      </w:r>
    </w:p>
    <w:p>
      <w:pPr>
        <w:pStyle w:val="9"/>
        <w:spacing w:line="360" w:lineRule="auto"/>
        <w:ind w:firstLine="420" w:firstLineChars="200"/>
      </w:pPr>
      <w:r>
        <w:rPr>
          <w:rFonts w:hint="eastAsia"/>
        </w:rPr>
        <w:t>投标文件包含《投标文件（资质标）》、《投标文件（技术标）》、《投标文件（商务标）》（开标一览表），共计三个文件。</w:t>
      </w:r>
    </w:p>
    <w:p>
      <w:pPr>
        <w:pStyle w:val="9"/>
        <w:spacing w:line="360" w:lineRule="auto"/>
        <w:ind w:firstLine="420" w:firstLineChars="200"/>
      </w:pPr>
      <w:r>
        <w:rPr>
          <w:rFonts w:hint="eastAsia"/>
        </w:rPr>
        <w:t>应标资格审查：在“中国重汽e采通”应标报名时，按照前文应标文件组成资格证明文件中的要求准备资料，上传完毕后，等待审核；</w:t>
      </w:r>
    </w:p>
    <w:p>
      <w:pPr>
        <w:pStyle w:val="9"/>
        <w:spacing w:line="360" w:lineRule="auto"/>
        <w:ind w:firstLine="420" w:firstLineChars="200"/>
      </w:pPr>
      <w:r>
        <w:rPr>
          <w:rFonts w:hint="eastAsia"/>
        </w:rPr>
        <w:t>通过应标资格审查的单位进入投标环节，按照“SRM系统供应商用户手册”，在重汽e采通平台投递电子标书（包含资质标、技术标、商务标）；没有通过应标资质审查的单位不能进入投标环节；</w:t>
      </w:r>
    </w:p>
    <w:p>
      <w:pPr>
        <w:pStyle w:val="9"/>
        <w:spacing w:line="360" w:lineRule="auto"/>
        <w:ind w:firstLine="420" w:firstLineChars="200"/>
      </w:pPr>
      <w:r>
        <w:rPr>
          <w:rFonts w:hint="eastAsia"/>
        </w:rPr>
        <w:t>资质标评审：资质标审核通过的单位，可以进入技术标入围环节；</w:t>
      </w:r>
    </w:p>
    <w:p>
      <w:pPr>
        <w:pStyle w:val="9"/>
        <w:spacing w:line="360" w:lineRule="auto"/>
        <w:ind w:firstLine="420" w:firstLineChars="200"/>
      </w:pPr>
      <w:r>
        <w:rPr>
          <w:rFonts w:hint="eastAsia"/>
        </w:rPr>
        <w:t>技术标入围：经技术标讲解后，技术标入围的可以进入公开唱标环节；</w:t>
      </w:r>
    </w:p>
    <w:p>
      <w:pPr>
        <w:pStyle w:val="9"/>
        <w:spacing w:line="360" w:lineRule="auto"/>
        <w:ind w:firstLine="420" w:firstLineChars="200"/>
      </w:pPr>
      <w:r>
        <w:rPr>
          <w:rFonts w:hint="eastAsia"/>
        </w:rPr>
        <w:t>公开唱标：公示资质标入围单位的开标价格及商务条款响应情况；</w:t>
      </w:r>
    </w:p>
    <w:p>
      <w:pPr>
        <w:pStyle w:val="9"/>
        <w:spacing w:line="360" w:lineRule="auto"/>
        <w:ind w:firstLine="420" w:firstLineChars="200"/>
      </w:pPr>
      <w:r>
        <w:rPr>
          <w:rFonts w:hint="eastAsia"/>
        </w:rPr>
        <w:t>商务标评审：公开唱标→商务条款相应确认→价格澄清→商务标评审；评审期间产生的商务价格澄清均由投标人在重汽e采通平台限时内完成提交；</w:t>
      </w:r>
    </w:p>
    <w:p>
      <w:pPr>
        <w:pStyle w:val="9"/>
        <w:spacing w:line="360" w:lineRule="auto"/>
        <w:ind w:firstLine="420" w:firstLineChars="200"/>
      </w:pPr>
      <w:r>
        <w:rPr>
          <w:rFonts w:hint="eastAsia"/>
        </w:rPr>
        <w:t>注意：投标人均需要自带笔记本电脑在重汽e采通进行自主投标和提交澄清函；投标和提交澄清函均有时间限制，超时未提交的按无效处理。</w:t>
      </w:r>
    </w:p>
    <w:p>
      <w:pPr>
        <w:pStyle w:val="9"/>
        <w:spacing w:line="360" w:lineRule="auto"/>
        <w:ind w:firstLine="420" w:firstLineChars="200"/>
      </w:pPr>
      <w:r>
        <w:rPr>
          <w:rFonts w:hint="eastAsia"/>
        </w:rPr>
        <w:t>中标人确定：技术方案讲解后入围的，原则上合理最低价中标。</w:t>
      </w:r>
    </w:p>
    <w:p>
      <w:pPr>
        <w:pStyle w:val="9"/>
        <w:spacing w:line="360" w:lineRule="auto"/>
        <w:ind w:firstLine="420" w:firstLineChars="200"/>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pStyle w:val="9"/>
        <w:spacing w:line="360" w:lineRule="auto"/>
        <w:ind w:firstLine="420" w:firstLineChars="200"/>
      </w:pPr>
    </w:p>
    <w:p>
      <w:pPr>
        <w:pStyle w:val="9"/>
        <w:spacing w:line="360" w:lineRule="auto"/>
        <w:outlineLvl w:val="1"/>
        <w:rPr>
          <w:rFonts w:ascii="黑体" w:eastAsia="黑体"/>
          <w:b/>
          <w:bCs/>
          <w:sz w:val="28"/>
        </w:rPr>
      </w:pPr>
      <w:r>
        <w:rPr>
          <w:rFonts w:hint="eastAsia" w:ascii="黑体" w:eastAsia="黑体"/>
          <w:b/>
          <w:bCs/>
          <w:sz w:val="28"/>
        </w:rPr>
        <w:t>八、合同签订</w:t>
      </w:r>
    </w:p>
    <w:p>
      <w:pPr>
        <w:spacing w:line="360" w:lineRule="auto"/>
        <w:ind w:right="2" w:firstLine="420" w:firstLineChars="200"/>
        <w:rPr>
          <w:rFonts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spacing w:line="360" w:lineRule="auto"/>
        <w:ind w:right="2" w:firstLine="420" w:firstLineChars="200"/>
        <w:rPr>
          <w:rFonts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pPr>
        <w:spacing w:line="360" w:lineRule="auto"/>
        <w:ind w:right="2" w:firstLine="420" w:firstLineChars="200"/>
        <w:rPr>
          <w:rFonts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pPr>
        <w:spacing w:line="360" w:lineRule="auto"/>
        <w:ind w:right="2" w:firstLine="420" w:firstLineChars="200"/>
        <w:rPr>
          <w:rFonts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pPr>
        <w:spacing w:line="360" w:lineRule="auto"/>
        <w:ind w:right="2" w:firstLine="420" w:firstLineChars="200"/>
        <w:rPr>
          <w:rFonts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pPr>
        <w:spacing w:line="360" w:lineRule="auto"/>
        <w:ind w:right="2" w:firstLine="420" w:firstLineChars="200"/>
        <w:rPr>
          <w:rFonts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pPr>
        <w:spacing w:line="360" w:lineRule="auto"/>
        <w:ind w:right="2" w:firstLine="420" w:firstLineChars="200"/>
        <w:rPr>
          <w:rFonts w:ascii="宋体" w:hAnsi="Courier New"/>
          <w:szCs w:val="22"/>
        </w:rPr>
      </w:pPr>
      <w:r>
        <w:rPr>
          <w:rFonts w:hint="eastAsia" w:ascii="宋体" w:hAnsi="Courier New"/>
          <w:szCs w:val="22"/>
        </w:rPr>
        <w:t>7.中标人须认可由于招标人上级集团公司政策变化引起的合同签订前终止项目的要求。</w:t>
      </w:r>
    </w:p>
    <w:p>
      <w:pPr>
        <w:pStyle w:val="2"/>
        <w:spacing w:line="360" w:lineRule="auto"/>
        <w:ind w:left="0" w:leftChars="0" w:firstLineChars="200"/>
        <w:rPr>
          <w:rFonts w:ascii="宋体" w:hAnsi="Courier New"/>
        </w:rPr>
      </w:pPr>
      <w:r>
        <w:rPr>
          <w:rFonts w:hint="eastAsia" w:ascii="宋体" w:hAnsi="Courier New"/>
        </w:rPr>
        <w:t>8.招标人有权指定招标人的关联单位作为合同签订人，与中标人签署相关合同，且具体权利义务以中标人与招标人的关联公司最终签署的合同为准</w:t>
      </w:r>
    </w:p>
    <w:p>
      <w:pPr>
        <w:pStyle w:val="9"/>
        <w:spacing w:line="360" w:lineRule="auto"/>
        <w:outlineLvl w:val="1"/>
        <w:rPr>
          <w:rFonts w:ascii="黑体" w:eastAsia="黑体"/>
          <w:b/>
          <w:bCs/>
          <w:sz w:val="28"/>
        </w:rPr>
      </w:pPr>
      <w:r>
        <w:rPr>
          <w:rFonts w:hint="eastAsia" w:ascii="黑体" w:eastAsia="黑体"/>
          <w:b/>
          <w:bCs/>
          <w:sz w:val="28"/>
        </w:rPr>
        <w:t>九、废标及终止招标</w:t>
      </w:r>
    </w:p>
    <w:p>
      <w:pPr>
        <w:spacing w:line="360" w:lineRule="auto"/>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20" w:firstLineChars="200"/>
        <w:jc w:val="left"/>
        <w:rPr>
          <w:rFonts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pPr>
        <w:spacing w:line="360" w:lineRule="auto"/>
        <w:ind w:right="2" w:firstLine="420" w:firstLineChars="200"/>
        <w:jc w:val="left"/>
        <w:rPr>
          <w:rFonts w:ascii="宋体" w:hAnsi="Courier New"/>
        </w:rPr>
      </w:pPr>
      <w:r>
        <w:rPr>
          <w:rFonts w:hint="eastAsia" w:ascii="宋体" w:hAnsi="宋体"/>
        </w:rPr>
        <w:t>⑵</w:t>
      </w:r>
      <w:r>
        <w:rPr>
          <w:rFonts w:hint="eastAsia" w:ascii="宋体" w:hAnsi="Courier New"/>
        </w:rPr>
        <w:t>投标人在报价有效期内撤回投标；</w:t>
      </w:r>
    </w:p>
    <w:p>
      <w:pPr>
        <w:spacing w:line="360" w:lineRule="auto"/>
        <w:ind w:right="2" w:firstLine="420" w:firstLineChars="200"/>
        <w:jc w:val="left"/>
        <w:rPr>
          <w:rFonts w:ascii="宋体" w:hAnsi="Courier New"/>
        </w:rPr>
      </w:pPr>
      <w:r>
        <w:rPr>
          <w:rFonts w:hint="eastAsia" w:ascii="宋体" w:hAnsi="宋体"/>
        </w:rPr>
        <w:t>⑶</w:t>
      </w:r>
      <w:r>
        <w:rPr>
          <w:rFonts w:hint="eastAsia" w:ascii="宋体" w:hAnsi="Courier New"/>
        </w:rPr>
        <w:t>在整个评标过程中，投标人有企图影响评标结果公正性的任何活动；</w:t>
      </w:r>
    </w:p>
    <w:p>
      <w:pPr>
        <w:spacing w:line="360" w:lineRule="auto"/>
        <w:ind w:right="2" w:firstLine="420" w:firstLineChars="200"/>
        <w:jc w:val="left"/>
        <w:rPr>
          <w:rFonts w:ascii="宋体" w:hAnsi="Courier New"/>
        </w:rPr>
      </w:pPr>
      <w:r>
        <w:rPr>
          <w:rFonts w:hint="eastAsia" w:ascii="宋体" w:hAnsi="宋体"/>
        </w:rPr>
        <w:t>⑷</w:t>
      </w:r>
      <w:r>
        <w:rPr>
          <w:rFonts w:hint="eastAsia" w:ascii="宋体" w:hAnsi="Courier New"/>
        </w:rPr>
        <w:t>投标人以任何方式诋毁其他投标人；</w:t>
      </w:r>
    </w:p>
    <w:p>
      <w:pPr>
        <w:spacing w:line="360" w:lineRule="auto"/>
        <w:ind w:right="2" w:firstLine="420" w:firstLineChars="200"/>
        <w:jc w:val="left"/>
        <w:rPr>
          <w:rFonts w:ascii="宋体" w:hAnsi="Courier New"/>
        </w:rPr>
      </w:pPr>
      <w:r>
        <w:rPr>
          <w:rFonts w:hint="eastAsia" w:ascii="宋体" w:hAnsi="宋体"/>
        </w:rPr>
        <w:t>⑸</w:t>
      </w:r>
      <w:r>
        <w:rPr>
          <w:rFonts w:hint="eastAsia" w:ascii="宋体" w:hAnsi="Courier New"/>
        </w:rPr>
        <w:t>投标人串通投标；</w:t>
      </w:r>
    </w:p>
    <w:p>
      <w:pPr>
        <w:spacing w:line="360" w:lineRule="auto"/>
        <w:ind w:right="2" w:firstLine="420" w:firstLineChars="200"/>
        <w:jc w:val="left"/>
        <w:rPr>
          <w:rFonts w:ascii="宋体" w:hAnsi="Courier New"/>
        </w:rPr>
      </w:pPr>
      <w:r>
        <w:rPr>
          <w:rFonts w:hint="eastAsia" w:ascii="宋体" w:hAnsi="宋体"/>
        </w:rPr>
        <w:t>⑹</w:t>
      </w:r>
      <w:r>
        <w:rPr>
          <w:rFonts w:hint="eastAsia" w:ascii="宋体" w:hAnsi="Courier New"/>
        </w:rPr>
        <w:t>以他人名义投标或者以其他方式弄虚作假，骗取中标的；</w:t>
      </w:r>
    </w:p>
    <w:p>
      <w:pPr>
        <w:spacing w:line="360" w:lineRule="auto"/>
        <w:ind w:right="2" w:firstLine="420" w:firstLineChars="200"/>
        <w:jc w:val="left"/>
      </w:pPr>
      <w:r>
        <w:rPr>
          <w:rFonts w:hint="eastAsia" w:ascii="宋体" w:hAnsi="宋体"/>
        </w:rPr>
        <w:t>⑺</w:t>
      </w:r>
      <w:r>
        <w:rPr>
          <w:rFonts w:hint="eastAsia" w:ascii="宋体" w:hAnsi="Courier New"/>
        </w:rPr>
        <w:t>中标人不按规定签订合同；</w:t>
      </w:r>
    </w:p>
    <w:p>
      <w:pPr>
        <w:spacing w:line="360" w:lineRule="auto"/>
        <w:ind w:right="2" w:firstLine="420" w:firstLineChars="200"/>
        <w:jc w:val="left"/>
        <w:rPr>
          <w:rFonts w:ascii="宋体" w:hAnsi="宋体"/>
        </w:rPr>
      </w:pPr>
      <w:r>
        <w:rPr>
          <w:rFonts w:hint="eastAsia" w:ascii="宋体" w:hAnsi="宋体"/>
        </w:rPr>
        <w:t>⑻投标单位负责人为同一人或者存在控股、管理关系的；</w:t>
      </w:r>
    </w:p>
    <w:p>
      <w:pPr>
        <w:tabs>
          <w:tab w:val="left" w:pos="560"/>
        </w:tabs>
        <w:spacing w:line="360" w:lineRule="auto"/>
        <w:ind w:right="2" w:firstLine="420" w:firstLineChars="200"/>
        <w:jc w:val="left"/>
        <w:rPr>
          <w:rFonts w:ascii="宋体" w:hAnsi="宋体"/>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p>
    <w:p>
      <w:pPr>
        <w:spacing w:line="360" w:lineRule="auto"/>
        <w:ind w:right="2" w:firstLine="420" w:firstLineChars="200"/>
        <w:jc w:val="left"/>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p>
    <w:p>
      <w:pPr>
        <w:spacing w:line="360" w:lineRule="auto"/>
        <w:ind w:right="2" w:firstLine="420" w:firstLineChars="200"/>
        <w:rPr>
          <w:rFonts w:ascii="宋体" w:hAnsi="Courier New"/>
        </w:rPr>
      </w:pPr>
      <w:r>
        <w:rPr>
          <w:rFonts w:hint="eastAsia" w:ascii="宋体" w:hAnsi="Courier New"/>
        </w:rPr>
        <w:t>2.出现下列情形之一，招标人有权否决所有投标人的投标，并终止招标。</w:t>
      </w:r>
    </w:p>
    <w:p>
      <w:pPr>
        <w:spacing w:line="360" w:lineRule="auto"/>
        <w:ind w:right="2" w:firstLine="420" w:firstLineChars="200"/>
        <w:rPr>
          <w:rFonts w:ascii="宋体" w:hAnsi="Courier New"/>
        </w:rPr>
      </w:pPr>
      <w:r>
        <w:rPr>
          <w:rFonts w:hint="eastAsia" w:ascii="宋体" w:hAnsi="Courier New"/>
        </w:rPr>
        <w:t>⑴出现影响采购公正的违法、违规行为的。</w:t>
      </w:r>
    </w:p>
    <w:p>
      <w:pPr>
        <w:spacing w:line="360" w:lineRule="auto"/>
        <w:ind w:right="2" w:firstLine="420" w:firstLineChars="200"/>
        <w:rPr>
          <w:rFonts w:ascii="宋体" w:hAnsi="Courier New"/>
        </w:rPr>
      </w:pPr>
      <w:r>
        <w:rPr>
          <w:rFonts w:hint="eastAsia" w:ascii="宋体" w:hAnsi="Courier New"/>
        </w:rPr>
        <w:t>⑵因重大变故，采购任务取消的。</w:t>
      </w:r>
    </w:p>
    <w:p>
      <w:pPr>
        <w:spacing w:line="360" w:lineRule="auto"/>
        <w:ind w:right="2" w:firstLine="420" w:firstLineChars="200"/>
        <w:rPr>
          <w:rFonts w:ascii="宋体" w:hAnsi="宋体"/>
        </w:rPr>
      </w:pPr>
      <w:r>
        <w:rPr>
          <w:rFonts w:hint="eastAsia" w:ascii="宋体" w:hAnsi="宋体"/>
        </w:rPr>
        <w:t>⑶招标人认为其他应终止招标的情形。</w:t>
      </w:r>
    </w:p>
    <w:p>
      <w:pPr>
        <w:numPr>
          <w:ilvl w:val="0"/>
          <w:numId w:val="4"/>
        </w:numPr>
        <w:spacing w:line="360" w:lineRule="auto"/>
        <w:ind w:right="2" w:firstLine="420" w:firstLineChars="200"/>
        <w:rPr>
          <w:rFonts w:ascii="宋体" w:hAnsi="宋体"/>
        </w:rPr>
      </w:pPr>
      <w:r>
        <w:rPr>
          <w:rFonts w:hint="eastAsia" w:ascii="宋体" w:hAnsi="宋体"/>
        </w:rPr>
        <w:t>终止招标条款补充：（1）符合条件的投标人或者对招标文件做实质响应的投标人不足三家的；（2）评标委员会经评审，认为所有投标都不符合招标文件要求的；（3）投标人承诺并同意因招标人公司政策变化引起的随时终止项目的情形，并自行承担由此带来的一切损失。</w:t>
      </w:r>
    </w:p>
    <w:p>
      <w:pPr>
        <w:pStyle w:val="9"/>
        <w:spacing w:line="360" w:lineRule="auto"/>
        <w:outlineLvl w:val="1"/>
        <w:rPr>
          <w:rFonts w:ascii="黑体" w:eastAsia="黑体"/>
          <w:b/>
          <w:bCs/>
          <w:sz w:val="28"/>
        </w:rPr>
      </w:pPr>
      <w:r>
        <w:rPr>
          <w:rFonts w:hint="eastAsia" w:ascii="黑体" w:eastAsia="黑体"/>
          <w:b/>
          <w:bCs/>
          <w:sz w:val="28"/>
        </w:rPr>
        <w:t>十、中标人瑕疵滞后发现的处理原则</w:t>
      </w:r>
    </w:p>
    <w:p>
      <w:pPr>
        <w:spacing w:line="360" w:lineRule="auto"/>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已签订合同的情形，招标人均有权拒绝或取消中标人资格，一旦中标人被拒绝或该中标人此前的评议结果被取消，相关的一切损失均由该中标人承担。本次招标最终解释权归中国重汽集团济南动力有限公司。</w:t>
      </w:r>
    </w:p>
    <w:p>
      <w:pPr>
        <w:pStyle w:val="9"/>
        <w:spacing w:line="360" w:lineRule="auto"/>
        <w:outlineLvl w:val="1"/>
        <w:rPr>
          <w:rFonts w:ascii="黑体" w:eastAsia="黑体"/>
          <w:b/>
          <w:bCs/>
          <w:sz w:val="28"/>
        </w:rPr>
      </w:pPr>
      <w:r>
        <w:rPr>
          <w:rFonts w:hint="eastAsia" w:ascii="黑体" w:eastAsia="黑体"/>
          <w:b/>
          <w:bCs/>
          <w:sz w:val="28"/>
        </w:rPr>
        <w:t>十一、技术要求</w:t>
      </w:r>
    </w:p>
    <w:p>
      <w:pPr>
        <w:pStyle w:val="9"/>
        <w:spacing w:line="360" w:lineRule="auto"/>
        <w:ind w:left="420" w:hanging="420" w:hangingChars="200"/>
        <w:rPr>
          <w:rFonts w:ascii="黑体" w:hAnsi="Courier New" w:eastAsia="黑体"/>
          <w:b/>
          <w:bCs/>
          <w:sz w:val="36"/>
          <w:szCs w:val="36"/>
        </w:rPr>
      </w:pPr>
      <w:r>
        <w:rPr>
          <w:rFonts w:hint="eastAsia"/>
        </w:rPr>
        <w:t xml:space="preserve">    见本招标文件“第三章 技术要求”，附后。</w:t>
      </w:r>
    </w:p>
    <w:p>
      <w:pPr>
        <w:pStyle w:val="9"/>
        <w:spacing w:line="360" w:lineRule="auto"/>
        <w:ind w:firstLine="723"/>
        <w:jc w:val="center"/>
        <w:outlineLvl w:val="0"/>
        <w:rPr>
          <w:rFonts w:ascii="黑体" w:eastAsia="黑体"/>
          <w:b/>
          <w:bCs/>
          <w:sz w:val="36"/>
          <w:szCs w:val="36"/>
        </w:rPr>
      </w:pPr>
      <w:bookmarkStart w:id="13" w:name="_Toc20620"/>
      <w:r>
        <w:rPr>
          <w:rFonts w:hint="eastAsia" w:ascii="黑体" w:eastAsia="黑体"/>
          <w:b/>
          <w:bCs/>
          <w:sz w:val="36"/>
          <w:szCs w:val="36"/>
        </w:rPr>
        <w:t>第</w:t>
      </w:r>
      <w:r>
        <w:rPr>
          <w:rFonts w:hint="eastAsia" w:ascii="黑体" w:eastAsia="黑体"/>
          <w:b/>
          <w:bCs/>
          <w:sz w:val="36"/>
          <w:szCs w:val="36"/>
          <w:lang w:val="en-US" w:eastAsia="zh-CN"/>
        </w:rPr>
        <w:t>二</w:t>
      </w:r>
      <w:r>
        <w:rPr>
          <w:rFonts w:hint="eastAsia" w:ascii="黑体" w:eastAsia="黑体"/>
          <w:b/>
          <w:bCs/>
          <w:sz w:val="36"/>
          <w:szCs w:val="36"/>
        </w:rPr>
        <w:t xml:space="preserve">章  </w:t>
      </w:r>
      <w:r>
        <w:rPr>
          <w:rFonts w:ascii="黑体" w:eastAsia="黑体"/>
          <w:b/>
          <w:bCs/>
          <w:sz w:val="36"/>
          <w:szCs w:val="36"/>
        </w:rPr>
        <w:t>技术</w:t>
      </w:r>
      <w:r>
        <w:rPr>
          <w:rFonts w:hint="eastAsia" w:ascii="黑体" w:eastAsia="黑体"/>
          <w:b/>
          <w:bCs/>
          <w:sz w:val="36"/>
          <w:szCs w:val="36"/>
        </w:rPr>
        <w:t>要求</w:t>
      </w:r>
    </w:p>
    <w:p>
      <w:pPr>
        <w:pStyle w:val="9"/>
        <w:spacing w:line="360" w:lineRule="auto"/>
        <w:ind w:firstLine="602"/>
        <w:rPr>
          <w:rFonts w:hAnsi="宋体" w:cs="宋体"/>
          <w:b/>
          <w:bCs/>
          <w:sz w:val="30"/>
          <w:szCs w:val="30"/>
        </w:rPr>
      </w:pPr>
      <w:r>
        <w:rPr>
          <w:rFonts w:hint="eastAsia" w:hAnsi="宋体" w:cs="宋体"/>
          <w:b/>
          <w:bCs/>
          <w:sz w:val="30"/>
          <w:szCs w:val="30"/>
        </w:rPr>
        <w:t>一、项目名称</w:t>
      </w:r>
    </w:p>
    <w:p>
      <w:pPr>
        <w:pStyle w:val="9"/>
        <w:spacing w:line="360" w:lineRule="auto"/>
        <w:ind w:firstLine="480"/>
        <w:rPr>
          <w:rFonts w:hAnsi="宋体" w:cs="宋体"/>
          <w:color w:val="000000"/>
          <w:szCs w:val="22"/>
          <w:shd w:val="clear" w:color="auto" w:fill="FCFCFC"/>
        </w:rPr>
      </w:pPr>
      <w:r>
        <w:rPr>
          <w:rFonts w:hint="eastAsia" w:hAnsi="宋体" w:cs="宋体"/>
          <w:color w:val="000000"/>
          <w:szCs w:val="22"/>
          <w:shd w:val="clear" w:color="auto" w:fill="FCFCFC"/>
        </w:rPr>
        <w:t>中国重汽集团杭州发动机有限公司污水站委托运营项目</w:t>
      </w:r>
    </w:p>
    <w:p>
      <w:pPr>
        <w:pStyle w:val="9"/>
        <w:spacing w:line="360" w:lineRule="auto"/>
        <w:ind w:firstLine="602"/>
        <w:rPr>
          <w:rFonts w:hAnsi="宋体" w:cs="宋体"/>
          <w:b/>
          <w:bCs/>
          <w:sz w:val="30"/>
          <w:szCs w:val="30"/>
        </w:rPr>
      </w:pPr>
      <w:r>
        <w:rPr>
          <w:rFonts w:hint="eastAsia" w:hAnsi="宋体" w:cs="宋体"/>
          <w:b/>
          <w:bCs/>
          <w:sz w:val="30"/>
          <w:szCs w:val="30"/>
        </w:rPr>
        <w:t>二、技术要求</w:t>
      </w:r>
    </w:p>
    <w:p>
      <w:pPr>
        <w:ind w:firstLine="422" w:firstLineChars="200"/>
        <w:rPr>
          <w:rFonts w:ascii="宋体" w:hAnsi="Courier New"/>
          <w:b/>
          <w:bCs/>
        </w:rPr>
      </w:pPr>
      <w:r>
        <w:rPr>
          <w:rFonts w:ascii="宋体" w:hAnsi="Courier New"/>
          <w:b/>
          <w:bCs/>
        </w:rPr>
        <w:t>1</w:t>
      </w:r>
      <w:r>
        <w:rPr>
          <w:rFonts w:hint="eastAsia" w:ascii="宋体" w:hAnsi="Courier New"/>
          <w:b/>
          <w:bCs/>
        </w:rPr>
        <w:t>、人员配置及用工要求</w:t>
      </w:r>
    </w:p>
    <w:p>
      <w:pPr>
        <w:pStyle w:val="9"/>
        <w:spacing w:line="360" w:lineRule="auto"/>
        <w:ind w:firstLine="420" w:firstLineChars="200"/>
      </w:pPr>
      <w:r>
        <w:t>1</w:t>
      </w:r>
      <w:r>
        <w:rPr>
          <w:rFonts w:hint="eastAsia"/>
        </w:rPr>
        <w:t>.1按照工艺定员，配置人员</w:t>
      </w:r>
      <w:r>
        <w:rPr>
          <w:b/>
        </w:rPr>
        <w:t>8</w:t>
      </w:r>
      <w:r>
        <w:rPr>
          <w:rFonts w:hint="eastAsia"/>
        </w:rPr>
        <w:t>人：污水处理总站运行</w:t>
      </w:r>
      <w:r>
        <w:rPr>
          <w:b/>
        </w:rPr>
        <w:t>4</w:t>
      </w:r>
      <w:r>
        <w:rPr>
          <w:rFonts w:hint="eastAsia"/>
        </w:rPr>
        <w:t>人、油漆水预处理站运行</w:t>
      </w:r>
      <w:r>
        <w:rPr>
          <w:b/>
        </w:rPr>
        <w:t>2</w:t>
      </w:r>
      <w:r>
        <w:rPr>
          <w:rFonts w:hint="eastAsia"/>
        </w:rPr>
        <w:t>人、化验</w:t>
      </w:r>
      <w:r>
        <w:rPr>
          <w:b/>
        </w:rPr>
        <w:t>1</w:t>
      </w:r>
      <w:r>
        <w:rPr>
          <w:rFonts w:hint="eastAsia"/>
        </w:rPr>
        <w:t>人（负责两个污水站），污泥压滤及烘干</w:t>
      </w:r>
      <w:r>
        <w:rPr>
          <w:rFonts w:hint="eastAsia"/>
          <w:b/>
        </w:rPr>
        <w:t>1</w:t>
      </w:r>
      <w:r>
        <w:rPr>
          <w:rFonts w:hint="eastAsia"/>
        </w:rPr>
        <w:t>人，达到两个污水处理站24小时运行、化验和值守的人员配置；</w:t>
      </w:r>
      <w:r>
        <w:rPr>
          <w:rFonts w:hint="eastAsia"/>
          <w:b/>
        </w:rPr>
        <w:t>该项目人员配置不得低于8人。</w:t>
      </w:r>
      <w:r>
        <w:rPr>
          <w:b/>
        </w:rPr>
        <w:t xml:space="preserve"> </w:t>
      </w:r>
    </w:p>
    <w:p>
      <w:pPr>
        <w:pStyle w:val="9"/>
        <w:spacing w:line="360" w:lineRule="auto"/>
        <w:ind w:firstLine="420" w:firstLineChars="200"/>
      </w:pPr>
      <w:r>
        <w:t>1</w:t>
      </w:r>
      <w:r>
        <w:rPr>
          <w:rFonts w:hint="eastAsia"/>
        </w:rPr>
        <w:t>.</w:t>
      </w:r>
      <w:r>
        <w:t>2</w:t>
      </w:r>
      <w:r>
        <w:rPr>
          <w:rFonts w:hint="eastAsia"/>
        </w:rPr>
        <w:t>承包方需安排管理人员参加招标方要求的各种安全、环保培训；进入招标方公司的承包方所有人员需经过招标方规定的入厂培训，承包方需对其员工定期进行安全、环保等各项培训。</w:t>
      </w:r>
    </w:p>
    <w:p>
      <w:pPr>
        <w:pStyle w:val="9"/>
        <w:spacing w:line="360" w:lineRule="auto"/>
        <w:ind w:firstLine="420" w:firstLineChars="200"/>
      </w:pPr>
      <w:r>
        <w:t>1</w:t>
      </w:r>
      <w:r>
        <w:rPr>
          <w:rFonts w:hint="eastAsia"/>
        </w:rPr>
        <w:t>.</w:t>
      </w:r>
      <w:r>
        <w:t>3</w:t>
      </w:r>
      <w:r>
        <w:rPr>
          <w:rFonts w:hint="eastAsia"/>
        </w:rPr>
        <w:t>用工年龄要求女性低于45岁，男性低于50岁；且身体健康，无潜在疾病，上岗前需提供身份证信息及健康合格查体报告和职业病医院查体合格报告。</w:t>
      </w:r>
    </w:p>
    <w:p>
      <w:pPr>
        <w:pStyle w:val="9"/>
        <w:spacing w:line="360" w:lineRule="auto"/>
        <w:ind w:firstLine="420" w:firstLineChars="200"/>
      </w:pPr>
      <w:r>
        <w:t>1</w:t>
      </w:r>
      <w:r>
        <w:rPr>
          <w:rFonts w:hint="eastAsia"/>
        </w:rPr>
        <w:t>.</w:t>
      </w:r>
      <w:r>
        <w:t>4</w:t>
      </w:r>
      <w:r>
        <w:rPr>
          <w:rFonts w:hint="eastAsia"/>
        </w:rPr>
        <w:t>承包方应将其员工的花名册（含身份证号码等信息）报招标方备案，如有人员变更需要在一周内报招标方主管部门。</w:t>
      </w:r>
    </w:p>
    <w:p>
      <w:pPr>
        <w:pStyle w:val="9"/>
        <w:spacing w:line="360" w:lineRule="auto"/>
        <w:ind w:firstLine="420" w:firstLineChars="200"/>
      </w:pPr>
      <w:r>
        <w:t>1</w:t>
      </w:r>
      <w:r>
        <w:rPr>
          <w:rFonts w:hint="eastAsia"/>
        </w:rPr>
        <w:t>.</w:t>
      </w:r>
      <w:r>
        <w:t>5</w:t>
      </w:r>
      <w:r>
        <w:rPr>
          <w:rFonts w:hint="eastAsia"/>
        </w:rPr>
        <w:t>承包方招聘人员必须符合国家相关法规要求，需与聘用人员签订正式的书面劳动合同，保证所聘用的人员是承包方合法的员工，承包方承担劳动合同法的相关义务和责任，对承包方违反相关规定造成的法律纠纷和经济赔偿由承包方承担。</w:t>
      </w:r>
    </w:p>
    <w:p>
      <w:pPr>
        <w:pStyle w:val="9"/>
        <w:spacing w:line="360" w:lineRule="auto"/>
        <w:ind w:firstLine="420" w:firstLineChars="200"/>
      </w:pPr>
      <w:r>
        <w:t>1</w:t>
      </w:r>
      <w:r>
        <w:rPr>
          <w:rFonts w:hint="eastAsia"/>
        </w:rPr>
        <w:t>.</w:t>
      </w:r>
      <w:r>
        <w:t>6</w:t>
      </w:r>
      <w:r>
        <w:rPr>
          <w:rFonts w:hint="eastAsia"/>
        </w:rPr>
        <w:t>承包方必须要求其员工遵守招标方的管理制度，招标方有权要求承包方处理违反招标方管理制度的员工，对其员工的行为造成招标方经济损失的，招标方有权要求承包方赔偿相关经济损失。招标方有权对承包方不服从合理的正常工作安排或不能胜任工作的人员要求承包方撤换。</w:t>
      </w:r>
    </w:p>
    <w:p>
      <w:pPr>
        <w:ind w:firstLine="422" w:firstLineChars="200"/>
        <w:rPr>
          <w:rFonts w:ascii="宋体" w:hAnsi="宋体"/>
          <w:b/>
          <w:bCs/>
          <w:szCs w:val="21"/>
        </w:rPr>
      </w:pPr>
      <w:r>
        <w:rPr>
          <w:rFonts w:ascii="宋体" w:hAnsi="宋体"/>
          <w:b/>
          <w:bCs/>
          <w:szCs w:val="21"/>
        </w:rPr>
        <w:t>2</w:t>
      </w:r>
      <w:r>
        <w:rPr>
          <w:rFonts w:hint="eastAsia" w:ascii="宋体" w:hAnsi="宋体"/>
          <w:b/>
          <w:bCs/>
          <w:szCs w:val="21"/>
        </w:rPr>
        <w:t>、工艺及质量要求</w:t>
      </w:r>
    </w:p>
    <w:p>
      <w:pPr>
        <w:pStyle w:val="9"/>
        <w:spacing w:line="360" w:lineRule="auto"/>
        <w:ind w:firstLine="420" w:firstLineChars="200"/>
      </w:pPr>
      <w:r>
        <w:t>2</w:t>
      </w:r>
      <w:r>
        <w:rPr>
          <w:rFonts w:hint="eastAsia"/>
        </w:rPr>
        <w:t>.1</w:t>
      </w:r>
      <w:r>
        <w:t xml:space="preserve"> </w:t>
      </w:r>
      <w:r>
        <w:rPr>
          <w:rFonts w:hint="eastAsia"/>
        </w:rPr>
        <w:t>目前杭发公司污水进水端未安装计量仪表，承包方根据招标方要求，在污水进水端分别安装综合废水、油漆废水和乳化也废水进水计量表。</w:t>
      </w:r>
    </w:p>
    <w:p>
      <w:pPr>
        <w:pStyle w:val="9"/>
        <w:spacing w:line="360" w:lineRule="auto"/>
        <w:ind w:firstLine="420" w:firstLineChars="200"/>
      </w:pPr>
      <w:r>
        <w:t>2.2</w:t>
      </w:r>
      <w:r>
        <w:rPr>
          <w:rFonts w:hint="eastAsia"/>
        </w:rPr>
        <w:t>承包方人员严格按照现有工艺、操作流程、现场5s等的规定进行处理，接受发包方的管理；如工艺、流程、现场等执行不到位，进行过程控制责任考核；</w:t>
      </w:r>
    </w:p>
    <w:p>
      <w:pPr>
        <w:pStyle w:val="9"/>
        <w:spacing w:line="360" w:lineRule="auto"/>
        <w:ind w:firstLine="420" w:firstLineChars="200"/>
      </w:pPr>
      <w:r>
        <w:t>2</w:t>
      </w:r>
      <w:r>
        <w:rPr>
          <w:rFonts w:hint="eastAsia"/>
        </w:rPr>
        <w:t>.</w:t>
      </w:r>
      <w:r>
        <w:t>3</w:t>
      </w:r>
      <w:r>
        <w:rPr>
          <w:rFonts w:hint="eastAsia"/>
        </w:rPr>
        <w:t>承包方可提出工艺、流程、质量、现场等的改善措施，经发包方同意后实施；</w:t>
      </w:r>
    </w:p>
    <w:p>
      <w:pPr>
        <w:pStyle w:val="9"/>
        <w:spacing w:line="360" w:lineRule="auto"/>
        <w:ind w:firstLine="420" w:firstLineChars="200"/>
      </w:pPr>
      <w:r>
        <w:t>2</w:t>
      </w:r>
      <w:r>
        <w:rPr>
          <w:rFonts w:hint="eastAsia"/>
        </w:rPr>
        <w:t>.</w:t>
      </w:r>
      <w:r>
        <w:t>4</w:t>
      </w:r>
      <w:r>
        <w:rPr>
          <w:rFonts w:hint="eastAsia"/>
        </w:rPr>
        <w:t>承包方</w:t>
      </w:r>
      <w:r>
        <w:t>必须保证污水处理的达标排放</w:t>
      </w:r>
      <w:r>
        <w:rPr>
          <w:rFonts w:hint="eastAsia"/>
        </w:rPr>
        <w:t>；化学需氧量、总磷、氨氮和总氮排放量不超过年度总量指标；</w:t>
      </w:r>
    </w:p>
    <w:p>
      <w:pPr>
        <w:pStyle w:val="9"/>
        <w:spacing w:line="360" w:lineRule="auto"/>
        <w:ind w:firstLine="420" w:firstLineChars="200"/>
      </w:pPr>
      <w:r>
        <w:t>2</w:t>
      </w:r>
      <w:r>
        <w:rPr>
          <w:rFonts w:hint="eastAsia"/>
        </w:rPr>
        <w:t>.</w:t>
      </w:r>
      <w:r>
        <w:t>5如污水处理不达标（</w:t>
      </w:r>
      <w:r>
        <w:rPr>
          <w:rFonts w:hint="eastAsia"/>
        </w:rPr>
        <w:t>承包方</w:t>
      </w:r>
      <w:r>
        <w:t>原因）</w:t>
      </w:r>
      <w:r>
        <w:rPr>
          <w:rFonts w:hint="eastAsia"/>
        </w:rPr>
        <w:t>，化学需氧量、总磷、氨氮和总氮排放量超过年度总量指标</w:t>
      </w:r>
      <w:r>
        <w:t>，或造成污染事故，</w:t>
      </w:r>
      <w:r>
        <w:rPr>
          <w:rFonts w:hint="eastAsia"/>
        </w:rPr>
        <w:t>承包方</w:t>
      </w:r>
      <w:r>
        <w:t>负全部责任并承担排污费及相关罚款。</w:t>
      </w:r>
    </w:p>
    <w:p>
      <w:pPr>
        <w:pStyle w:val="9"/>
        <w:ind w:firstLine="422" w:firstLineChars="200"/>
        <w:rPr>
          <w:rFonts w:hAnsi="宋体" w:cs="宋体"/>
          <w:b/>
          <w:bCs/>
        </w:rPr>
      </w:pPr>
      <w:r>
        <w:rPr>
          <w:rFonts w:hAnsi="宋体" w:cs="宋体"/>
          <w:b/>
          <w:bCs/>
        </w:rPr>
        <w:t>3</w:t>
      </w:r>
      <w:r>
        <w:rPr>
          <w:rFonts w:hint="eastAsia" w:hAnsi="宋体" w:cs="宋体"/>
          <w:b/>
          <w:bCs/>
        </w:rPr>
        <w:t>、运维费用</w:t>
      </w:r>
    </w:p>
    <w:p>
      <w:pPr>
        <w:pStyle w:val="9"/>
        <w:spacing w:line="360" w:lineRule="auto"/>
        <w:ind w:firstLine="420" w:firstLineChars="200"/>
      </w:pPr>
      <w:r>
        <w:t>3</w:t>
      </w:r>
      <w:r>
        <w:rPr>
          <w:rFonts w:hint="eastAsia"/>
        </w:rPr>
        <w:t>.1运费费用包括：人工费、药剂费、化验费、设备维护保养费、低值易耗品费、预处理站专项废液处置费、管理费、设备维护、设备日常维修费用等的所有费用；</w:t>
      </w:r>
    </w:p>
    <w:p>
      <w:pPr>
        <w:pStyle w:val="9"/>
        <w:spacing w:line="360" w:lineRule="auto"/>
        <w:ind w:firstLine="420" w:firstLineChars="200"/>
      </w:pPr>
      <w:r>
        <w:t>3</w:t>
      </w:r>
      <w:r>
        <w:rPr>
          <w:rFonts w:hint="eastAsia"/>
        </w:rPr>
        <w:t>.2承包方员工的工作服、劳保鞋、防护帽、防毒口罩、手套等防护用品，以及工具等全有由承包方进行配置和发放；</w:t>
      </w:r>
    </w:p>
    <w:p>
      <w:pPr>
        <w:pStyle w:val="9"/>
        <w:spacing w:line="360" w:lineRule="auto"/>
        <w:ind w:firstLine="420" w:firstLineChars="200"/>
      </w:pPr>
      <w:r>
        <w:t>3</w:t>
      </w:r>
      <w:r>
        <w:rPr>
          <w:rFonts w:hint="eastAsia"/>
        </w:rPr>
        <w:t>.3污水处理正常运行所需的水、电等能源费用由发包方承担；用电、用水划定限额，年用电量为6</w:t>
      </w:r>
      <w:r>
        <w:t>0</w:t>
      </w:r>
      <w:r>
        <w:rPr>
          <w:rFonts w:hint="eastAsia"/>
        </w:rPr>
        <w:t>万千瓦时，年用水量为</w:t>
      </w:r>
      <w:r>
        <w:t>3600</w:t>
      </w:r>
      <w:r>
        <w:rPr>
          <w:rFonts w:hint="eastAsia"/>
        </w:rPr>
        <w:t>吨，年度统算，超出部分由承包方自行承担。</w:t>
      </w:r>
    </w:p>
    <w:p>
      <w:pPr>
        <w:ind w:firstLine="422" w:firstLineChars="200"/>
        <w:rPr>
          <w:rFonts w:ascii="宋体" w:hAnsi="宋体"/>
          <w:b/>
          <w:bCs/>
          <w:szCs w:val="21"/>
        </w:rPr>
      </w:pPr>
      <w:r>
        <w:rPr>
          <w:rFonts w:ascii="宋体" w:hAnsi="宋体"/>
          <w:b/>
          <w:bCs/>
          <w:szCs w:val="21"/>
        </w:rPr>
        <w:t>4</w:t>
      </w:r>
      <w:r>
        <w:rPr>
          <w:rFonts w:hint="eastAsia" w:ascii="宋体" w:hAnsi="宋体"/>
          <w:b/>
          <w:bCs/>
          <w:szCs w:val="21"/>
        </w:rPr>
        <w:t>、主要工作要求：</w:t>
      </w:r>
    </w:p>
    <w:p>
      <w:pPr>
        <w:pStyle w:val="9"/>
        <w:spacing w:line="360" w:lineRule="auto"/>
        <w:ind w:firstLine="420" w:firstLineChars="200"/>
      </w:pPr>
      <w:r>
        <w:t>4</w:t>
      </w:r>
      <w:r>
        <w:rPr>
          <w:rFonts w:hint="eastAsia"/>
        </w:rPr>
        <w:t>.1必须对污水站管理、维修、运行及化验岗位配置专业合格的人员且数量满足每班次污水处理、化验、污泥压滤等工作的正常运行，负责污水站产生的水处理污泥（危险废物）的装桶并铲运至危险废物仓库，由招标方负责合规处置。</w:t>
      </w:r>
    </w:p>
    <w:p>
      <w:pPr>
        <w:pStyle w:val="9"/>
        <w:spacing w:line="360" w:lineRule="auto"/>
        <w:ind w:firstLine="420" w:firstLineChars="200"/>
      </w:pPr>
      <w:r>
        <w:t>4</w:t>
      </w:r>
      <w:r>
        <w:rPr>
          <w:rFonts w:hint="eastAsia"/>
        </w:rPr>
        <w:t>.2必须服从及遵守招标方的管理及监督，积极响应招标方提出的合理建议和要求，不得以任何理由推脱，并遵守招标方监管部门制定的相关管理制度及考核办法。</w:t>
      </w:r>
    </w:p>
    <w:p>
      <w:pPr>
        <w:pStyle w:val="9"/>
        <w:spacing w:line="360" w:lineRule="auto"/>
        <w:ind w:firstLine="420" w:firstLineChars="200"/>
      </w:pPr>
      <w:r>
        <w:t>4</w:t>
      </w:r>
      <w:r>
        <w:rPr>
          <w:rFonts w:hint="eastAsia"/>
        </w:rPr>
        <w:t>.3建立与污水处理站实际工艺相符的操作规程，保证所有工艺操作符合招标方要求，适时监控工作区域水、电、气等能源情况，发现问题及时反馈招标方，保证污水处理设施正常运行。</w:t>
      </w:r>
    </w:p>
    <w:p>
      <w:pPr>
        <w:pStyle w:val="9"/>
        <w:spacing w:line="360" w:lineRule="auto"/>
        <w:ind w:firstLine="420" w:firstLineChars="200"/>
      </w:pPr>
      <w:r>
        <w:t>4</w:t>
      </w:r>
      <w:r>
        <w:rPr>
          <w:rFonts w:hint="eastAsia"/>
        </w:rPr>
        <w:t>.4必须在每班工作开始前，操作人员应到现场系统巡查一遍，观察水槽液位情况，药箱药液情况，根据污水池水位情况，调整各反应槽的进水流量及加药量。</w:t>
      </w:r>
    </w:p>
    <w:p>
      <w:pPr>
        <w:pStyle w:val="9"/>
        <w:spacing w:line="360" w:lineRule="auto"/>
        <w:ind w:firstLine="420" w:firstLineChars="200"/>
      </w:pPr>
      <w:r>
        <w:t>4</w:t>
      </w:r>
      <w:r>
        <w:rPr>
          <w:rFonts w:hint="eastAsia"/>
        </w:rPr>
        <w:t>.5 必须定期对污水处理站的水质进行分析，必须严格按照招标方的水质监测计划进行检测。</w:t>
      </w:r>
    </w:p>
    <w:p>
      <w:pPr>
        <w:pStyle w:val="9"/>
        <w:spacing w:line="360" w:lineRule="auto"/>
        <w:ind w:firstLine="420" w:firstLineChars="200"/>
      </w:pPr>
      <w:r>
        <w:t>4</w:t>
      </w:r>
      <w:r>
        <w:rPr>
          <w:rFonts w:hint="eastAsia"/>
        </w:rPr>
        <w:t>.6必须在污水处理运行时，应每班开机前决定当班的加药比例，并在运行过程中定期检查污水反应情况，及时调整加药量，特别是已知污水来源、类型、浓度有变化的时候。</w:t>
      </w:r>
    </w:p>
    <w:p>
      <w:pPr>
        <w:pStyle w:val="9"/>
        <w:spacing w:line="360" w:lineRule="auto"/>
        <w:ind w:firstLine="420" w:firstLineChars="200"/>
      </w:pPr>
      <w:r>
        <w:t>4</w:t>
      </w:r>
      <w:r>
        <w:rPr>
          <w:rFonts w:hint="eastAsia"/>
        </w:rPr>
        <w:t>.7对污水处理中产生的污泥等废物，必须及时压滤、装袋（包装袋费用由承包方提供）；</w:t>
      </w:r>
      <w:r>
        <w:t xml:space="preserve"> </w:t>
      </w:r>
    </w:p>
    <w:p>
      <w:pPr>
        <w:pStyle w:val="9"/>
        <w:spacing w:line="360" w:lineRule="auto"/>
        <w:ind w:firstLine="420" w:firstLineChars="200"/>
      </w:pPr>
      <w:r>
        <w:t>4</w:t>
      </w:r>
      <w:r>
        <w:rPr>
          <w:rFonts w:hint="eastAsia"/>
        </w:rPr>
        <w:t>.8负责配电柜、控制柜、操作箱、控制器等电控原件及阀门、管道、水泵、电机、风机、压滤机等设备维护保养，负责进行污水站设备设施维修，负责维修件采购、更换。负责备品备件、辅料的准备，确保出现设备故障元器件损坏后能及时更换。</w:t>
      </w:r>
    </w:p>
    <w:p>
      <w:pPr>
        <w:pStyle w:val="9"/>
        <w:spacing w:line="360" w:lineRule="auto"/>
        <w:ind w:firstLine="420" w:firstLineChars="200"/>
      </w:pPr>
      <w:r>
        <w:t>4</w:t>
      </w:r>
      <w:r>
        <w:rPr>
          <w:rFonts w:hint="eastAsia"/>
        </w:rPr>
        <w:t>.9清理水池（槽）污泥次数（至少）：地下的收集池、沉淀池、生化池、隔油池，每年各清理一次淤泥，间歇反应槽3-5天排放一次污泥、斜管沉淀槽2-4天排放一次污泥、气浮槽两个月清理一次。</w:t>
      </w:r>
    </w:p>
    <w:p>
      <w:pPr>
        <w:pStyle w:val="9"/>
        <w:spacing w:line="360" w:lineRule="auto"/>
        <w:ind w:firstLine="420" w:firstLineChars="200"/>
      </w:pPr>
      <w:r>
        <w:t>4</w:t>
      </w:r>
      <w:r>
        <w:rPr>
          <w:rFonts w:hint="eastAsia"/>
        </w:rPr>
        <w:t>.10污水处理所使用的药品、药剂必须为符合国家相关规范的合格品，规范的存放并设置标识，其中所使用的盐酸等危险（及管制类）化学品必须按照相关管理部门规定购买、储存并规范使用。</w:t>
      </w:r>
    </w:p>
    <w:p>
      <w:pPr>
        <w:pStyle w:val="9"/>
        <w:spacing w:line="360" w:lineRule="auto"/>
        <w:ind w:firstLine="420" w:firstLineChars="200"/>
      </w:pPr>
      <w:r>
        <w:t>4</w:t>
      </w:r>
      <w:r>
        <w:rPr>
          <w:rFonts w:hint="eastAsia"/>
        </w:rPr>
        <w:t>.11负责现场日常废水化验实验室的运行管理，并配备监测水质种类对应的化验设备和仪器，具体内容包括日常废水取样、检测及水质检测数据汇总记录，要求每班进行取样和化验，化验所需仪器设备及耗材等均须由承包方负责，并每月进行一次统一汇总，按照环保运行质量控制要求制定的废水监测计划实施检测。废水检测结果发生波动较大时，承包方需分析原因，并以书面报告形式汇报至招标方。</w:t>
      </w:r>
    </w:p>
    <w:p>
      <w:pPr>
        <w:pStyle w:val="9"/>
        <w:spacing w:line="360" w:lineRule="auto"/>
        <w:ind w:firstLine="420" w:firstLineChars="200"/>
      </w:pPr>
      <w:r>
        <w:t>4</w:t>
      </w:r>
      <w:r>
        <w:rPr>
          <w:rFonts w:hint="eastAsia"/>
        </w:rPr>
        <w:t>.12必须在每月初提交上月运行记录报告，包含水量、污水处理物料用量，水质监测报告，设备运行及故障维修情况等内容能够反映运行情况的必要材料（办公相关材料均由承包方自备）；每月底提交本月主要工作完成情况和下个月工作计划，其中工作计划必须通过招标方审核。</w:t>
      </w:r>
    </w:p>
    <w:p>
      <w:pPr>
        <w:pStyle w:val="9"/>
        <w:spacing w:line="360" w:lineRule="auto"/>
        <w:ind w:firstLine="420" w:firstLineChars="200"/>
      </w:pPr>
      <w:r>
        <w:t>4</w:t>
      </w:r>
      <w:r>
        <w:rPr>
          <w:rFonts w:hint="eastAsia"/>
        </w:rPr>
        <w:t>.13承包方需提交废水排放异常时的应急预案，当废水排放发生异常时，承包方需做出应急措施，检查原因，并且有足够的专业知识迅速解决问题，防止事故扩大化。</w:t>
      </w:r>
    </w:p>
    <w:p>
      <w:pPr>
        <w:pStyle w:val="9"/>
        <w:spacing w:line="360" w:lineRule="auto"/>
        <w:ind w:firstLine="420" w:firstLineChars="200"/>
      </w:pPr>
      <w:r>
        <w:t>4</w:t>
      </w:r>
      <w:r>
        <w:rPr>
          <w:rFonts w:hint="eastAsia"/>
        </w:rPr>
        <w:t>.14在污水站运营期间，经招标方确认后承包方所投入的相关改造设备设施费用在运营期结束后将进行拆除撤回或折旧换算处理。</w:t>
      </w:r>
    </w:p>
    <w:p>
      <w:pPr>
        <w:pStyle w:val="9"/>
        <w:spacing w:line="360" w:lineRule="auto"/>
        <w:ind w:firstLine="420" w:firstLineChars="200"/>
      </w:pPr>
      <w:r>
        <w:t>4</w:t>
      </w:r>
      <w:r>
        <w:rPr>
          <w:rFonts w:hint="eastAsia"/>
        </w:rPr>
        <w:t>.15在运营期间必须保证人身安全，因承包方责任造成人员伤害和财产损失的，承包方应承担所有赔偿责任。必须以环保要求为标准，达到安全稳定运行、环保排放要求。</w:t>
      </w:r>
    </w:p>
    <w:p>
      <w:pPr>
        <w:pStyle w:val="9"/>
        <w:spacing w:line="360" w:lineRule="auto"/>
        <w:ind w:firstLine="420" w:firstLineChars="200"/>
      </w:pPr>
      <w:r>
        <w:t>4</w:t>
      </w:r>
      <w:r>
        <w:rPr>
          <w:rFonts w:hint="eastAsia"/>
        </w:rPr>
        <w:t>.16承包方选配工作人员应满足招标方的工作需要，且身体健康，熟悉招标方工作内容，具有特殊工器具和设备操作资质的人员来完成招标方工作（如不具备条件应由承包方负责完成培训），选派人员资证需经招标方审核批准后方可上岗。</w:t>
      </w:r>
    </w:p>
    <w:p>
      <w:pPr>
        <w:pStyle w:val="9"/>
        <w:spacing w:line="360" w:lineRule="auto"/>
        <w:ind w:firstLine="420" w:firstLineChars="200"/>
      </w:pPr>
      <w:r>
        <w:t>4</w:t>
      </w:r>
      <w:r>
        <w:rPr>
          <w:rFonts w:hint="eastAsia"/>
        </w:rPr>
        <w:t>.17承包方应严格履行合同的所有条款，必须严格遵守法律法规和上级主管部门及招标方各项有关规定，维护招标方的利益和企业形象，不得拖欠工人工资和相关的补助。应始终采取一切合理的预防措施，防止它的职员和工人发生任何违法、暴乱或妨害治安的行为，保持项目周围人民及其财产不受上述行为的危害。</w:t>
      </w:r>
    </w:p>
    <w:p>
      <w:pPr>
        <w:pStyle w:val="9"/>
        <w:spacing w:line="360" w:lineRule="auto"/>
        <w:ind w:firstLine="420" w:firstLineChars="200"/>
      </w:pPr>
      <w:r>
        <w:t>4</w:t>
      </w:r>
      <w:r>
        <w:rPr>
          <w:rFonts w:hint="eastAsia"/>
        </w:rPr>
        <w:t>.18 招标方有权对承包方表现不良的个别职工提出辞退意见，承包方应在三天内予以调整或答复。</w:t>
      </w:r>
    </w:p>
    <w:p>
      <w:pPr>
        <w:pStyle w:val="9"/>
        <w:spacing w:line="360" w:lineRule="auto"/>
        <w:ind w:firstLine="420" w:firstLineChars="200"/>
      </w:pPr>
      <w:r>
        <w:t>4</w:t>
      </w:r>
      <w:r>
        <w:rPr>
          <w:rFonts w:hint="eastAsia"/>
        </w:rPr>
        <w:t>.19 承包方的人员的调换要征得招标方的同意，调换人员要接受招标方的考试，并进行安规的培训，此间的一切费用由承包方负责承担。</w:t>
      </w:r>
    </w:p>
    <w:p>
      <w:pPr>
        <w:pStyle w:val="9"/>
        <w:spacing w:line="360" w:lineRule="auto"/>
        <w:ind w:firstLine="420" w:firstLineChars="200"/>
      </w:pPr>
      <w:r>
        <w:t>4</w:t>
      </w:r>
      <w:r>
        <w:rPr>
          <w:rFonts w:hint="eastAsia"/>
        </w:rPr>
        <w:t>.20 承包方对承包范围内的人员及设备安全负责。违反安全操作规定，发生设备损坏或人身伤亡等不安全事件，由承包方承担一切责任并赔偿招标方损失。</w:t>
      </w:r>
    </w:p>
    <w:p>
      <w:pPr>
        <w:pStyle w:val="9"/>
        <w:spacing w:line="360" w:lineRule="auto"/>
        <w:ind w:firstLine="420" w:firstLineChars="200"/>
      </w:pPr>
      <w:r>
        <w:t>4</w:t>
      </w:r>
      <w:r>
        <w:rPr>
          <w:rFonts w:hint="eastAsia"/>
        </w:rPr>
        <w:t>.21 承包方未经招标方同意撤出部分或全部的运行人员，影响到招标方安全生产，所造成的一切经济损失由承包方承担。</w:t>
      </w:r>
    </w:p>
    <w:p>
      <w:pPr>
        <w:pStyle w:val="9"/>
        <w:spacing w:line="360" w:lineRule="auto"/>
        <w:ind w:firstLine="420" w:firstLineChars="200"/>
      </w:pPr>
      <w:r>
        <w:t>4</w:t>
      </w:r>
      <w:r>
        <w:rPr>
          <w:rFonts w:hint="eastAsia"/>
        </w:rPr>
        <w:t>.22承包方要保证环保设施的正常运行，不得无故停运。运行效果应满足国家、地方排放标准要求，不得超标排放，不超总量指标排放，具体污水排放指标数据见附件。</w:t>
      </w:r>
    </w:p>
    <w:p>
      <w:pPr>
        <w:pStyle w:val="9"/>
        <w:spacing w:line="360" w:lineRule="auto"/>
        <w:ind w:firstLine="420" w:firstLineChars="200"/>
      </w:pPr>
      <w:r>
        <w:t>4</w:t>
      </w:r>
      <w:r>
        <w:rPr>
          <w:rFonts w:hint="eastAsia"/>
        </w:rPr>
        <w:t>.23承包方应建立环保设施运行台帐，记录环保设施运行和维护、在线监测数据等能够反映环保设施运行情况的必要材料，并报招标方。双方依据有关规定接受环保部门监督检查。</w:t>
      </w:r>
    </w:p>
    <w:p>
      <w:pPr>
        <w:pStyle w:val="9"/>
        <w:spacing w:line="360" w:lineRule="auto"/>
        <w:ind w:firstLine="420" w:firstLineChars="200"/>
      </w:pPr>
      <w:r>
        <w:t>4</w:t>
      </w:r>
      <w:r>
        <w:rPr>
          <w:rFonts w:hint="eastAsia"/>
        </w:rPr>
        <w:t>.24承包方应对检（监）测的数据真实性负责并接受招标方及相关部门的监查。</w:t>
      </w:r>
    </w:p>
    <w:p>
      <w:pPr>
        <w:pStyle w:val="9"/>
        <w:spacing w:line="360" w:lineRule="auto"/>
        <w:ind w:firstLine="420" w:firstLineChars="200"/>
      </w:pPr>
      <w:r>
        <w:t>4</w:t>
      </w:r>
      <w:r>
        <w:rPr>
          <w:rFonts w:hint="eastAsia"/>
        </w:rPr>
        <w:t>.25 质量文件</w:t>
      </w:r>
    </w:p>
    <w:p>
      <w:pPr>
        <w:pStyle w:val="9"/>
        <w:spacing w:line="360" w:lineRule="auto"/>
        <w:ind w:firstLine="420" w:firstLineChars="200"/>
      </w:pPr>
      <w:r>
        <w:t>4</w:t>
      </w:r>
      <w:r>
        <w:rPr>
          <w:rFonts w:hint="eastAsia"/>
        </w:rPr>
        <w:t>.25.1 承包方应建立并保持文件化的运营服务质量管理文件(包括突发环境事件应急预案)，以确保运营服务质量的相关过程有效运作。</w:t>
      </w:r>
    </w:p>
    <w:p>
      <w:pPr>
        <w:pStyle w:val="9"/>
        <w:spacing w:line="360" w:lineRule="auto"/>
        <w:ind w:firstLine="420" w:firstLineChars="200"/>
      </w:pPr>
      <w:r>
        <w:t>4</w:t>
      </w:r>
      <w:r>
        <w:rPr>
          <w:rFonts w:hint="eastAsia"/>
        </w:rPr>
        <w:t>.25.2 承包方应建立与其运行项目相适应的规章制度、工艺控制文件和作业指导书，并形成文件。</w:t>
      </w:r>
    </w:p>
    <w:p>
      <w:pPr>
        <w:pStyle w:val="9"/>
        <w:spacing w:line="360" w:lineRule="auto"/>
        <w:ind w:firstLine="420" w:firstLineChars="200"/>
      </w:pPr>
      <w:r>
        <w:t>4</w:t>
      </w:r>
      <w:r>
        <w:rPr>
          <w:rFonts w:hint="eastAsia"/>
        </w:rPr>
        <w:t>.25.3 项目运营过程应严格执行各级相关质量文件要求，相关记录完整。</w:t>
      </w:r>
    </w:p>
    <w:p>
      <w:pPr>
        <w:pStyle w:val="9"/>
        <w:spacing w:line="360" w:lineRule="auto"/>
        <w:ind w:firstLine="420" w:firstLineChars="200"/>
      </w:pPr>
      <w:r>
        <w:t>4</w:t>
      </w:r>
      <w:r>
        <w:rPr>
          <w:rFonts w:hint="eastAsia"/>
        </w:rPr>
        <w:t>.26 检(监)测能力</w:t>
      </w:r>
    </w:p>
    <w:p>
      <w:pPr>
        <w:pStyle w:val="9"/>
        <w:spacing w:line="360" w:lineRule="auto"/>
        <w:ind w:firstLine="420" w:firstLineChars="200"/>
      </w:pPr>
      <w:r>
        <w:t>4</w:t>
      </w:r>
      <w:r>
        <w:rPr>
          <w:rFonts w:hint="eastAsia"/>
        </w:rPr>
        <w:t>.26.1 承包方应具备与运营服务领域和活动相适应的检(监)测能力，并建立与其检(监)测活动相适应的管理文件。</w:t>
      </w:r>
    </w:p>
    <w:p>
      <w:pPr>
        <w:pStyle w:val="9"/>
        <w:spacing w:line="360" w:lineRule="auto"/>
        <w:ind w:firstLine="420" w:firstLineChars="200"/>
      </w:pPr>
      <w:r>
        <w:t>4</w:t>
      </w:r>
      <w:r>
        <w:rPr>
          <w:rFonts w:hint="eastAsia"/>
        </w:rPr>
        <w:t>.26.2 承包方应建立并保持文件化的检(监)测规程或作业指导书，明确规定检(监)测的项目、方法、周期和是否符合规定要求的判定规则等，检(监)测规程的建立应依据环境保护标准，包括国家标准、行业标准和地方标准，没有国家、行业、地方标准的，可建立企业标准。</w:t>
      </w:r>
    </w:p>
    <w:p>
      <w:pPr>
        <w:pStyle w:val="9"/>
        <w:spacing w:line="360" w:lineRule="auto"/>
        <w:ind w:firstLine="420" w:firstLineChars="200"/>
      </w:pPr>
      <w:r>
        <w:t>4</w:t>
      </w:r>
      <w:r>
        <w:rPr>
          <w:rFonts w:hint="eastAsia"/>
        </w:rPr>
        <w:t>.26.3 用于检(监)测的仪器设备的配置应能满足运行要求，并设置台账。检测和校准仪器设备应按规定的周期进行校准或检定。对自行校准的仪器设备，应规定校准方法和校准周期等。仪器设备的校准和检定状态应能被使用及管理人员方便识别。</w:t>
      </w:r>
    </w:p>
    <w:p>
      <w:pPr>
        <w:pStyle w:val="9"/>
        <w:spacing w:line="360" w:lineRule="auto"/>
        <w:ind w:firstLine="420" w:firstLineChars="200"/>
      </w:pPr>
      <w:r>
        <w:t>4</w:t>
      </w:r>
      <w:r>
        <w:rPr>
          <w:rFonts w:hint="eastAsia"/>
        </w:rPr>
        <w:t>.26.4 检(监)测的仪器设备应有操作规程，操作人员应具备作业规定的资格和能力，持证上岗。</w:t>
      </w:r>
    </w:p>
    <w:p>
      <w:pPr>
        <w:pStyle w:val="9"/>
        <w:spacing w:line="360" w:lineRule="auto"/>
        <w:ind w:firstLine="420" w:firstLineChars="200"/>
      </w:pPr>
      <w:r>
        <w:t>4</w:t>
      </w:r>
      <w:r>
        <w:rPr>
          <w:rFonts w:hint="eastAsia"/>
        </w:rPr>
        <w:t>.26.5 承包方应建立并保存完整有效的运行检(监)测活动记录。</w:t>
      </w:r>
    </w:p>
    <w:p>
      <w:pPr>
        <w:pStyle w:val="9"/>
        <w:spacing w:line="360" w:lineRule="auto"/>
        <w:ind w:firstLine="420" w:firstLineChars="200"/>
      </w:pPr>
      <w:r>
        <w:t>4</w:t>
      </w:r>
      <w:r>
        <w:rPr>
          <w:rFonts w:hint="eastAsia"/>
        </w:rPr>
        <w:t>.27 运营服务过程控制要求</w:t>
      </w:r>
    </w:p>
    <w:p>
      <w:pPr>
        <w:pStyle w:val="9"/>
        <w:spacing w:line="360" w:lineRule="auto"/>
        <w:ind w:firstLine="420" w:firstLineChars="200"/>
      </w:pPr>
      <w:r>
        <w:t>4</w:t>
      </w:r>
      <w:r>
        <w:rPr>
          <w:rFonts w:hint="eastAsia"/>
        </w:rPr>
        <w:t>.27.1 承包方应识别与运行项目有关的法律法规、政策、标准和技术要求等文件，并采用其有效版本。</w:t>
      </w:r>
    </w:p>
    <w:p>
      <w:pPr>
        <w:pStyle w:val="9"/>
        <w:spacing w:line="360" w:lineRule="auto"/>
        <w:ind w:firstLine="420" w:firstLineChars="200"/>
      </w:pPr>
      <w:r>
        <w:t>4</w:t>
      </w:r>
      <w:r>
        <w:rPr>
          <w:rFonts w:hint="eastAsia"/>
        </w:rPr>
        <w:t>.27.2 承包方项目的运行应符合国家和行业有关标准规定。污水处理站的运行、维护及安全应参照CJJ 60的规定执行;水污染源在线监测系统运行应符合HJ /T 355的规定等。</w:t>
      </w:r>
    </w:p>
    <w:p>
      <w:pPr>
        <w:pStyle w:val="9"/>
        <w:spacing w:line="360" w:lineRule="auto"/>
        <w:ind w:firstLine="420" w:firstLineChars="200"/>
      </w:pPr>
      <w:r>
        <w:t>4</w:t>
      </w:r>
      <w:r>
        <w:rPr>
          <w:rFonts w:hint="eastAsia"/>
        </w:rPr>
        <w:t>.27.3 承包方应对影响运行效果和质量的关键工序进行识别，制定相应的工艺控制文件、作业指导书或操作规程，使相关操作人员对此熟悉掌握，在运营服务过程中有效执行。</w:t>
      </w:r>
    </w:p>
    <w:p>
      <w:pPr>
        <w:pStyle w:val="9"/>
        <w:spacing w:line="360" w:lineRule="auto"/>
        <w:ind w:firstLine="420" w:firstLineChars="200"/>
      </w:pPr>
      <w:r>
        <w:t>4</w:t>
      </w:r>
      <w:r>
        <w:rPr>
          <w:rFonts w:hint="eastAsia"/>
        </w:rPr>
        <w:t>.27.4 承包方在项目运营活动中，应能按照质量文件的要求对运营服务全过程进行质量控制并形成记录。</w:t>
      </w:r>
    </w:p>
    <w:p>
      <w:pPr>
        <w:pStyle w:val="9"/>
        <w:spacing w:line="360" w:lineRule="auto"/>
        <w:ind w:firstLine="420" w:firstLineChars="200"/>
      </w:pPr>
      <w:r>
        <w:t>4</w:t>
      </w:r>
      <w:r>
        <w:rPr>
          <w:rFonts w:hint="eastAsia"/>
        </w:rPr>
        <w:t>.27.5 承包方应对可能对环境造成影响的潜在的紧急情况和事故进行识别，并建立应急预案。承包方应演练环境应急预案，并保存相关活动记录。</w:t>
      </w:r>
    </w:p>
    <w:p>
      <w:pPr>
        <w:pStyle w:val="9"/>
        <w:spacing w:line="360" w:lineRule="auto"/>
        <w:ind w:firstLine="420" w:firstLineChars="200"/>
      </w:pPr>
      <w:r>
        <w:t>4</w:t>
      </w:r>
      <w:r>
        <w:rPr>
          <w:rFonts w:hint="eastAsia"/>
        </w:rPr>
        <w:t>.27.6 对实际发生的紧急情况和事故，承包方应能及时按照预案做出响应，并保存相关活动记录。</w:t>
      </w:r>
    </w:p>
    <w:p>
      <w:pPr>
        <w:spacing w:line="420" w:lineRule="exact"/>
        <w:ind w:firstLine="420" w:firstLineChars="200"/>
        <w:jc w:val="left"/>
        <w:rPr>
          <w:rFonts w:ascii="宋体" w:hAnsi="宋体" w:cs="宋体"/>
          <w:color w:val="000000"/>
          <w:szCs w:val="21"/>
          <w:shd w:val="clear" w:color="auto" w:fill="FCFCFC"/>
        </w:rPr>
      </w:pPr>
      <w:r>
        <w:rPr>
          <w:rFonts w:ascii="宋体" w:hAnsi="宋体" w:cs="宋体"/>
          <w:color w:val="000000"/>
          <w:szCs w:val="21"/>
          <w:shd w:val="clear" w:color="auto" w:fill="FCFCFC"/>
        </w:rPr>
        <w:t>4.28</w:t>
      </w:r>
      <w:r>
        <w:rPr>
          <w:rFonts w:hint="eastAsia" w:ascii="宋体" w:hAnsi="宋体" w:cs="宋体"/>
          <w:color w:val="000000"/>
          <w:szCs w:val="21"/>
          <w:shd w:val="clear" w:color="auto" w:fill="FCFCFC"/>
        </w:rPr>
        <w:t>因承包方原因未能及时完成项目的，或因乙方其他原因造成损失的，应赔偿由此给我司造成的损失。</w:t>
      </w:r>
    </w:p>
    <w:p>
      <w:pPr>
        <w:spacing w:line="420" w:lineRule="exact"/>
        <w:jc w:val="left"/>
        <w:rPr>
          <w:rFonts w:ascii="宋体" w:hAnsi="宋体" w:cs="宋体"/>
          <w:color w:val="000000"/>
          <w:szCs w:val="21"/>
          <w:shd w:val="clear" w:color="auto" w:fill="FCFCFC"/>
        </w:rPr>
      </w:pPr>
    </w:p>
    <w:p>
      <w:pPr>
        <w:spacing w:line="420" w:lineRule="exact"/>
        <w:jc w:val="left"/>
        <w:rPr>
          <w:rFonts w:ascii="宋体" w:hAnsi="宋体"/>
          <w:sz w:val="28"/>
          <w:szCs w:val="28"/>
        </w:rPr>
      </w:pPr>
      <w:r>
        <w:rPr>
          <w:rFonts w:hint="eastAsia" w:ascii="宋体" w:hAnsi="宋体"/>
          <w:sz w:val="28"/>
          <w:szCs w:val="28"/>
        </w:rPr>
        <w:t>附件：</w:t>
      </w:r>
    </w:p>
    <w:tbl>
      <w:tblPr>
        <w:tblStyle w:val="14"/>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9"/>
        <w:gridCol w:w="3364"/>
        <w:gridCol w:w="1666"/>
        <w:gridCol w:w="1666"/>
        <w:gridCol w:w="1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4" w:type="dxa"/>
            <w:shd w:val="clear" w:color="auto" w:fill="auto"/>
          </w:tcPr>
          <w:p>
            <w:pPr>
              <w:jc w:val="center"/>
              <w:rPr>
                <w:rFonts w:ascii="宋体" w:hAnsi="宋体"/>
                <w:sz w:val="28"/>
                <w:szCs w:val="28"/>
              </w:rPr>
            </w:pPr>
            <w:r>
              <w:rPr>
                <w:rFonts w:hint="eastAsia" w:ascii="宋体" w:hAnsi="宋体"/>
                <w:sz w:val="28"/>
                <w:szCs w:val="28"/>
              </w:rPr>
              <w:t>序号</w:t>
            </w:r>
          </w:p>
        </w:tc>
        <w:tc>
          <w:tcPr>
            <w:tcW w:w="3546" w:type="dxa"/>
            <w:shd w:val="clear" w:color="auto" w:fill="auto"/>
          </w:tcPr>
          <w:p>
            <w:pPr>
              <w:ind w:firstLine="560" w:firstLineChars="200"/>
              <w:rPr>
                <w:rFonts w:ascii="宋体" w:hAnsi="宋体"/>
                <w:sz w:val="28"/>
                <w:szCs w:val="28"/>
              </w:rPr>
            </w:pPr>
            <w:r>
              <w:rPr>
                <w:rFonts w:hint="eastAsia" w:ascii="宋体" w:hAnsi="宋体"/>
                <w:sz w:val="28"/>
                <w:szCs w:val="28"/>
              </w:rPr>
              <w:t>主要指标</w:t>
            </w:r>
          </w:p>
        </w:tc>
        <w:tc>
          <w:tcPr>
            <w:tcW w:w="1701" w:type="dxa"/>
            <w:shd w:val="clear" w:color="auto" w:fill="auto"/>
          </w:tcPr>
          <w:p>
            <w:pPr>
              <w:jc w:val="center"/>
              <w:rPr>
                <w:rFonts w:ascii="宋体" w:hAnsi="宋体"/>
                <w:sz w:val="28"/>
                <w:szCs w:val="28"/>
              </w:rPr>
            </w:pPr>
            <w:r>
              <w:rPr>
                <w:rFonts w:hint="eastAsia" w:ascii="宋体" w:hAnsi="宋体"/>
                <w:sz w:val="28"/>
                <w:szCs w:val="28"/>
              </w:rPr>
              <w:t>内控排放</w:t>
            </w:r>
          </w:p>
          <w:p>
            <w:pPr>
              <w:jc w:val="center"/>
              <w:rPr>
                <w:rFonts w:ascii="宋体" w:hAnsi="宋体"/>
                <w:sz w:val="28"/>
                <w:szCs w:val="28"/>
              </w:rPr>
            </w:pPr>
            <w:r>
              <w:rPr>
                <w:rFonts w:hint="eastAsia" w:ascii="宋体" w:hAnsi="宋体"/>
                <w:sz w:val="28"/>
                <w:szCs w:val="28"/>
              </w:rPr>
              <w:t>限值</w:t>
            </w:r>
          </w:p>
        </w:tc>
        <w:tc>
          <w:tcPr>
            <w:tcW w:w="1701" w:type="dxa"/>
            <w:shd w:val="clear" w:color="auto" w:fill="auto"/>
          </w:tcPr>
          <w:p>
            <w:pPr>
              <w:jc w:val="center"/>
              <w:rPr>
                <w:rFonts w:ascii="宋体" w:hAnsi="宋体"/>
                <w:sz w:val="28"/>
                <w:szCs w:val="28"/>
              </w:rPr>
            </w:pPr>
            <w:r>
              <w:rPr>
                <w:rFonts w:hint="eastAsia" w:ascii="宋体" w:hAnsi="宋体"/>
                <w:sz w:val="28"/>
                <w:szCs w:val="28"/>
              </w:rPr>
              <w:t>国家及地方标准</w:t>
            </w:r>
          </w:p>
        </w:tc>
        <w:tc>
          <w:tcPr>
            <w:tcW w:w="1381" w:type="dxa"/>
            <w:shd w:val="clear" w:color="auto" w:fill="auto"/>
          </w:tcPr>
          <w:p>
            <w:pPr>
              <w:jc w:val="center"/>
              <w:rPr>
                <w:rFonts w:ascii="宋体" w:hAnsi="宋体"/>
                <w:sz w:val="28"/>
                <w:szCs w:val="28"/>
              </w:rPr>
            </w:pPr>
            <w:r>
              <w:rPr>
                <w:rFonts w:hint="eastAsia" w:ascii="宋体" w:hAnsi="宋体"/>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4" w:type="dxa"/>
            <w:shd w:val="clear" w:color="auto" w:fill="auto"/>
          </w:tcPr>
          <w:p>
            <w:pPr>
              <w:jc w:val="center"/>
              <w:rPr>
                <w:rFonts w:ascii="宋体" w:hAnsi="宋体"/>
                <w:sz w:val="28"/>
                <w:szCs w:val="28"/>
              </w:rPr>
            </w:pPr>
            <w:r>
              <w:rPr>
                <w:rFonts w:hint="eastAsia" w:ascii="宋体" w:hAnsi="宋体"/>
                <w:sz w:val="28"/>
                <w:szCs w:val="28"/>
              </w:rPr>
              <w:t>1</w:t>
            </w:r>
          </w:p>
        </w:tc>
        <w:tc>
          <w:tcPr>
            <w:tcW w:w="3546" w:type="dxa"/>
            <w:shd w:val="clear" w:color="auto" w:fill="auto"/>
          </w:tcPr>
          <w:p>
            <w:pPr>
              <w:jc w:val="center"/>
              <w:rPr>
                <w:rFonts w:ascii="宋体" w:hAnsi="宋体"/>
                <w:sz w:val="28"/>
                <w:szCs w:val="28"/>
              </w:rPr>
            </w:pPr>
            <w:r>
              <w:rPr>
                <w:rFonts w:hint="eastAsia" w:ascii="宋体" w:hAnsi="宋体"/>
                <w:sz w:val="28"/>
                <w:szCs w:val="28"/>
              </w:rPr>
              <w:t>PH值</w:t>
            </w:r>
          </w:p>
        </w:tc>
        <w:tc>
          <w:tcPr>
            <w:tcW w:w="1701" w:type="dxa"/>
            <w:shd w:val="clear" w:color="auto" w:fill="auto"/>
          </w:tcPr>
          <w:p>
            <w:pPr>
              <w:jc w:val="center"/>
              <w:rPr>
                <w:rFonts w:ascii="宋体" w:hAnsi="宋体"/>
                <w:sz w:val="28"/>
                <w:szCs w:val="28"/>
              </w:rPr>
            </w:pPr>
            <w:r>
              <w:rPr>
                <w:rFonts w:hint="eastAsia" w:ascii="宋体" w:hAnsi="宋体"/>
                <w:sz w:val="28"/>
                <w:szCs w:val="28"/>
              </w:rPr>
              <w:t>6.5-</w:t>
            </w:r>
            <w:r>
              <w:rPr>
                <w:rFonts w:ascii="宋体" w:hAnsi="宋体"/>
                <w:sz w:val="28"/>
                <w:szCs w:val="28"/>
              </w:rPr>
              <w:t>8.5</w:t>
            </w:r>
          </w:p>
        </w:tc>
        <w:tc>
          <w:tcPr>
            <w:tcW w:w="1701" w:type="dxa"/>
            <w:shd w:val="clear" w:color="auto" w:fill="auto"/>
          </w:tcPr>
          <w:p>
            <w:pPr>
              <w:jc w:val="center"/>
              <w:rPr>
                <w:rFonts w:ascii="宋体" w:hAnsi="宋体"/>
                <w:sz w:val="28"/>
                <w:szCs w:val="28"/>
              </w:rPr>
            </w:pPr>
            <w:r>
              <w:rPr>
                <w:rFonts w:ascii="宋体" w:hAnsi="宋体"/>
                <w:sz w:val="28"/>
                <w:szCs w:val="28"/>
              </w:rPr>
              <w:t>6.0</w:t>
            </w:r>
            <w:r>
              <w:rPr>
                <w:rFonts w:hint="eastAsia" w:ascii="宋体" w:hAnsi="宋体"/>
                <w:sz w:val="28"/>
                <w:szCs w:val="28"/>
              </w:rPr>
              <w:t>-</w:t>
            </w:r>
            <w:r>
              <w:rPr>
                <w:rFonts w:ascii="宋体" w:hAnsi="宋体"/>
                <w:sz w:val="28"/>
                <w:szCs w:val="28"/>
              </w:rPr>
              <w:t>9.0</w:t>
            </w:r>
          </w:p>
        </w:tc>
        <w:tc>
          <w:tcPr>
            <w:tcW w:w="1381" w:type="dxa"/>
            <w:shd w:val="clear" w:color="auto" w:fill="auto"/>
          </w:tcPr>
          <w:p>
            <w:pPr>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4" w:type="dxa"/>
            <w:shd w:val="clear" w:color="auto" w:fill="auto"/>
          </w:tcPr>
          <w:p>
            <w:pPr>
              <w:jc w:val="center"/>
              <w:rPr>
                <w:rFonts w:ascii="宋体" w:hAnsi="宋体"/>
                <w:sz w:val="28"/>
                <w:szCs w:val="28"/>
              </w:rPr>
            </w:pPr>
            <w:r>
              <w:rPr>
                <w:rFonts w:hint="eastAsia" w:ascii="宋体" w:hAnsi="宋体"/>
                <w:sz w:val="28"/>
                <w:szCs w:val="28"/>
              </w:rPr>
              <w:t>2</w:t>
            </w:r>
          </w:p>
        </w:tc>
        <w:tc>
          <w:tcPr>
            <w:tcW w:w="3546" w:type="dxa"/>
            <w:shd w:val="clear" w:color="auto" w:fill="auto"/>
          </w:tcPr>
          <w:p>
            <w:pPr>
              <w:jc w:val="center"/>
              <w:rPr>
                <w:rFonts w:ascii="宋体" w:hAnsi="宋体"/>
                <w:sz w:val="28"/>
                <w:szCs w:val="28"/>
              </w:rPr>
            </w:pPr>
            <w:r>
              <w:rPr>
                <w:rFonts w:hint="eastAsia" w:ascii="宋体" w:hAnsi="宋体"/>
                <w:sz w:val="28"/>
                <w:szCs w:val="28"/>
              </w:rPr>
              <w:t>COD（化学需氧量）</w:t>
            </w:r>
          </w:p>
        </w:tc>
        <w:tc>
          <w:tcPr>
            <w:tcW w:w="1701" w:type="dxa"/>
            <w:shd w:val="clear" w:color="auto" w:fill="auto"/>
          </w:tcPr>
          <w:p>
            <w:pPr>
              <w:jc w:val="center"/>
              <w:rPr>
                <w:rFonts w:ascii="宋体" w:hAnsi="宋体"/>
                <w:sz w:val="28"/>
                <w:szCs w:val="28"/>
              </w:rPr>
            </w:pPr>
            <w:r>
              <w:rPr>
                <w:rFonts w:ascii="宋体" w:hAnsi="宋体"/>
                <w:sz w:val="28"/>
                <w:szCs w:val="28"/>
              </w:rPr>
              <w:t>＜40</w:t>
            </w:r>
            <w:r>
              <w:rPr>
                <w:rFonts w:hint="eastAsia" w:ascii="宋体" w:hAnsi="宋体"/>
                <w:sz w:val="28"/>
                <w:szCs w:val="28"/>
              </w:rPr>
              <w:t>0</w:t>
            </w:r>
            <w:r>
              <w:rPr>
                <w:rFonts w:ascii="宋体" w:hAnsi="宋体"/>
                <w:sz w:val="28"/>
                <w:szCs w:val="28"/>
              </w:rPr>
              <w:t>mg</w:t>
            </w:r>
            <w:r>
              <w:rPr>
                <w:rFonts w:hint="eastAsia" w:ascii="宋体" w:hAnsi="宋体"/>
                <w:sz w:val="28"/>
                <w:szCs w:val="28"/>
              </w:rPr>
              <w:t>/</w:t>
            </w:r>
            <w:r>
              <w:rPr>
                <w:rFonts w:ascii="宋体" w:hAnsi="宋体"/>
                <w:sz w:val="28"/>
                <w:szCs w:val="28"/>
              </w:rPr>
              <w:t>L</w:t>
            </w:r>
          </w:p>
        </w:tc>
        <w:tc>
          <w:tcPr>
            <w:tcW w:w="1701" w:type="dxa"/>
            <w:shd w:val="clear" w:color="auto" w:fill="auto"/>
          </w:tcPr>
          <w:p>
            <w:pPr>
              <w:jc w:val="center"/>
              <w:rPr>
                <w:rFonts w:ascii="宋体" w:hAnsi="宋体"/>
                <w:sz w:val="28"/>
                <w:szCs w:val="28"/>
              </w:rPr>
            </w:pPr>
            <w:r>
              <w:rPr>
                <w:rFonts w:ascii="宋体" w:hAnsi="宋体"/>
                <w:sz w:val="28"/>
                <w:szCs w:val="28"/>
              </w:rPr>
              <w:t>＜50</w:t>
            </w:r>
            <w:r>
              <w:rPr>
                <w:rFonts w:hint="eastAsia" w:ascii="宋体" w:hAnsi="宋体"/>
                <w:sz w:val="28"/>
                <w:szCs w:val="28"/>
              </w:rPr>
              <w:t>0</w:t>
            </w:r>
            <w:r>
              <w:rPr>
                <w:rFonts w:ascii="宋体" w:hAnsi="宋体"/>
                <w:sz w:val="28"/>
                <w:szCs w:val="28"/>
              </w:rPr>
              <w:t>mg</w:t>
            </w:r>
            <w:r>
              <w:rPr>
                <w:rFonts w:hint="eastAsia" w:ascii="宋体" w:hAnsi="宋体"/>
                <w:sz w:val="28"/>
                <w:szCs w:val="28"/>
              </w:rPr>
              <w:t>/</w:t>
            </w:r>
            <w:r>
              <w:rPr>
                <w:rFonts w:ascii="宋体" w:hAnsi="宋体"/>
                <w:sz w:val="28"/>
                <w:szCs w:val="28"/>
              </w:rPr>
              <w:t xml:space="preserve"> L</w:t>
            </w:r>
          </w:p>
        </w:tc>
        <w:tc>
          <w:tcPr>
            <w:tcW w:w="1381" w:type="dxa"/>
            <w:shd w:val="clear" w:color="auto" w:fill="auto"/>
          </w:tcPr>
          <w:p>
            <w:pPr>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4" w:type="dxa"/>
            <w:shd w:val="clear" w:color="auto" w:fill="auto"/>
          </w:tcPr>
          <w:p>
            <w:pPr>
              <w:jc w:val="center"/>
              <w:rPr>
                <w:rFonts w:ascii="宋体" w:hAnsi="宋体"/>
                <w:sz w:val="28"/>
                <w:szCs w:val="28"/>
              </w:rPr>
            </w:pPr>
            <w:r>
              <w:rPr>
                <w:rFonts w:hint="eastAsia" w:ascii="宋体" w:hAnsi="宋体"/>
                <w:sz w:val="28"/>
                <w:szCs w:val="28"/>
              </w:rPr>
              <w:t>3</w:t>
            </w:r>
          </w:p>
        </w:tc>
        <w:tc>
          <w:tcPr>
            <w:tcW w:w="3546" w:type="dxa"/>
            <w:shd w:val="clear" w:color="auto" w:fill="auto"/>
          </w:tcPr>
          <w:p>
            <w:pPr>
              <w:jc w:val="center"/>
              <w:rPr>
                <w:rFonts w:ascii="宋体" w:hAnsi="宋体"/>
                <w:sz w:val="28"/>
                <w:szCs w:val="28"/>
              </w:rPr>
            </w:pPr>
            <w:r>
              <w:rPr>
                <w:rFonts w:hint="eastAsia" w:ascii="宋体" w:hAnsi="宋体"/>
                <w:sz w:val="28"/>
                <w:szCs w:val="28"/>
              </w:rPr>
              <w:t>氨氮</w:t>
            </w:r>
          </w:p>
        </w:tc>
        <w:tc>
          <w:tcPr>
            <w:tcW w:w="1701" w:type="dxa"/>
            <w:shd w:val="clear" w:color="auto" w:fill="auto"/>
          </w:tcPr>
          <w:p>
            <w:pPr>
              <w:jc w:val="center"/>
              <w:rPr>
                <w:rFonts w:ascii="宋体" w:hAnsi="宋体"/>
                <w:sz w:val="28"/>
                <w:szCs w:val="28"/>
              </w:rPr>
            </w:pPr>
            <w:r>
              <w:rPr>
                <w:rFonts w:ascii="宋体" w:hAnsi="宋体"/>
                <w:sz w:val="28"/>
                <w:szCs w:val="28"/>
              </w:rPr>
              <w:t>＜15mg</w:t>
            </w:r>
            <w:r>
              <w:rPr>
                <w:rFonts w:hint="eastAsia" w:ascii="宋体" w:hAnsi="宋体"/>
                <w:sz w:val="28"/>
                <w:szCs w:val="28"/>
              </w:rPr>
              <w:t>/</w:t>
            </w:r>
            <w:r>
              <w:rPr>
                <w:rFonts w:ascii="宋体" w:hAnsi="宋体"/>
                <w:sz w:val="28"/>
                <w:szCs w:val="28"/>
              </w:rPr>
              <w:t xml:space="preserve"> L</w:t>
            </w:r>
          </w:p>
        </w:tc>
        <w:tc>
          <w:tcPr>
            <w:tcW w:w="1701" w:type="dxa"/>
            <w:shd w:val="clear" w:color="auto" w:fill="auto"/>
          </w:tcPr>
          <w:p>
            <w:pPr>
              <w:jc w:val="center"/>
              <w:rPr>
                <w:rFonts w:ascii="宋体" w:hAnsi="宋体"/>
                <w:sz w:val="28"/>
                <w:szCs w:val="28"/>
              </w:rPr>
            </w:pPr>
            <w:r>
              <w:rPr>
                <w:rFonts w:ascii="宋体" w:hAnsi="宋体"/>
                <w:sz w:val="28"/>
                <w:szCs w:val="28"/>
              </w:rPr>
              <w:t>＜35mg</w:t>
            </w:r>
            <w:r>
              <w:rPr>
                <w:rFonts w:hint="eastAsia" w:ascii="宋体" w:hAnsi="宋体"/>
                <w:sz w:val="28"/>
                <w:szCs w:val="28"/>
              </w:rPr>
              <w:t>/</w:t>
            </w:r>
            <w:r>
              <w:rPr>
                <w:rFonts w:ascii="宋体" w:hAnsi="宋体"/>
                <w:sz w:val="28"/>
                <w:szCs w:val="28"/>
              </w:rPr>
              <w:t xml:space="preserve"> L</w:t>
            </w:r>
          </w:p>
        </w:tc>
        <w:tc>
          <w:tcPr>
            <w:tcW w:w="1381" w:type="dxa"/>
            <w:shd w:val="clear" w:color="auto" w:fill="auto"/>
          </w:tcPr>
          <w:p>
            <w:pPr>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4" w:type="dxa"/>
            <w:shd w:val="clear" w:color="auto" w:fill="auto"/>
          </w:tcPr>
          <w:p>
            <w:pPr>
              <w:jc w:val="center"/>
              <w:rPr>
                <w:rFonts w:ascii="宋体" w:hAnsi="宋体"/>
                <w:sz w:val="28"/>
                <w:szCs w:val="28"/>
              </w:rPr>
            </w:pPr>
            <w:r>
              <w:rPr>
                <w:rFonts w:hint="eastAsia" w:ascii="宋体" w:hAnsi="宋体"/>
                <w:sz w:val="28"/>
                <w:szCs w:val="28"/>
              </w:rPr>
              <w:t>4</w:t>
            </w:r>
          </w:p>
        </w:tc>
        <w:tc>
          <w:tcPr>
            <w:tcW w:w="3546" w:type="dxa"/>
            <w:shd w:val="clear" w:color="auto" w:fill="auto"/>
          </w:tcPr>
          <w:p>
            <w:pPr>
              <w:jc w:val="center"/>
              <w:rPr>
                <w:rFonts w:ascii="宋体" w:hAnsi="宋体"/>
                <w:sz w:val="28"/>
                <w:szCs w:val="28"/>
              </w:rPr>
            </w:pPr>
            <w:r>
              <w:rPr>
                <w:rFonts w:hint="eastAsia" w:ascii="宋体" w:hAnsi="宋体"/>
                <w:sz w:val="28"/>
                <w:szCs w:val="28"/>
              </w:rPr>
              <w:t>总磷</w:t>
            </w:r>
          </w:p>
        </w:tc>
        <w:tc>
          <w:tcPr>
            <w:tcW w:w="1701" w:type="dxa"/>
            <w:shd w:val="clear" w:color="auto" w:fill="auto"/>
          </w:tcPr>
          <w:p>
            <w:pPr>
              <w:jc w:val="center"/>
              <w:rPr>
                <w:rFonts w:ascii="宋体" w:hAnsi="宋体"/>
                <w:sz w:val="28"/>
                <w:szCs w:val="28"/>
              </w:rPr>
            </w:pPr>
            <w:r>
              <w:rPr>
                <w:rFonts w:ascii="宋体" w:hAnsi="宋体"/>
                <w:sz w:val="28"/>
                <w:szCs w:val="28"/>
              </w:rPr>
              <w:t>＜6mg</w:t>
            </w:r>
            <w:r>
              <w:rPr>
                <w:rFonts w:hint="eastAsia" w:ascii="宋体" w:hAnsi="宋体"/>
                <w:sz w:val="28"/>
                <w:szCs w:val="28"/>
              </w:rPr>
              <w:t>/</w:t>
            </w:r>
            <w:r>
              <w:rPr>
                <w:rFonts w:ascii="宋体" w:hAnsi="宋体"/>
                <w:sz w:val="28"/>
                <w:szCs w:val="28"/>
              </w:rPr>
              <w:t xml:space="preserve"> L</w:t>
            </w:r>
          </w:p>
        </w:tc>
        <w:tc>
          <w:tcPr>
            <w:tcW w:w="1701" w:type="dxa"/>
            <w:shd w:val="clear" w:color="auto" w:fill="auto"/>
          </w:tcPr>
          <w:p>
            <w:pPr>
              <w:jc w:val="center"/>
              <w:rPr>
                <w:rFonts w:ascii="宋体" w:hAnsi="宋体"/>
                <w:sz w:val="28"/>
                <w:szCs w:val="28"/>
              </w:rPr>
            </w:pPr>
            <w:r>
              <w:rPr>
                <w:rFonts w:ascii="宋体" w:hAnsi="宋体"/>
                <w:sz w:val="28"/>
                <w:szCs w:val="28"/>
              </w:rPr>
              <w:t>＜8mg</w:t>
            </w:r>
            <w:r>
              <w:rPr>
                <w:rFonts w:hint="eastAsia" w:ascii="宋体" w:hAnsi="宋体"/>
                <w:sz w:val="28"/>
                <w:szCs w:val="28"/>
              </w:rPr>
              <w:t>/</w:t>
            </w:r>
            <w:r>
              <w:rPr>
                <w:rFonts w:ascii="宋体" w:hAnsi="宋体"/>
                <w:sz w:val="28"/>
                <w:szCs w:val="28"/>
              </w:rPr>
              <w:t xml:space="preserve"> L</w:t>
            </w:r>
          </w:p>
        </w:tc>
        <w:tc>
          <w:tcPr>
            <w:tcW w:w="1381" w:type="dxa"/>
            <w:shd w:val="clear" w:color="auto" w:fill="auto"/>
          </w:tcPr>
          <w:p>
            <w:pPr>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4" w:type="dxa"/>
            <w:shd w:val="clear" w:color="auto" w:fill="auto"/>
          </w:tcPr>
          <w:p>
            <w:pPr>
              <w:jc w:val="center"/>
              <w:rPr>
                <w:rFonts w:ascii="宋体" w:hAnsi="宋体"/>
                <w:sz w:val="28"/>
                <w:szCs w:val="28"/>
              </w:rPr>
            </w:pPr>
            <w:r>
              <w:rPr>
                <w:rFonts w:hint="eastAsia" w:ascii="宋体" w:hAnsi="宋体"/>
                <w:sz w:val="28"/>
                <w:szCs w:val="28"/>
              </w:rPr>
              <w:t>5</w:t>
            </w:r>
          </w:p>
        </w:tc>
        <w:tc>
          <w:tcPr>
            <w:tcW w:w="3546" w:type="dxa"/>
            <w:shd w:val="clear" w:color="auto" w:fill="auto"/>
          </w:tcPr>
          <w:p>
            <w:pPr>
              <w:jc w:val="center"/>
              <w:rPr>
                <w:rFonts w:ascii="宋体" w:hAnsi="宋体"/>
                <w:sz w:val="28"/>
                <w:szCs w:val="28"/>
              </w:rPr>
            </w:pPr>
            <w:r>
              <w:rPr>
                <w:rFonts w:hint="eastAsia" w:ascii="宋体" w:hAnsi="宋体"/>
                <w:sz w:val="28"/>
                <w:szCs w:val="28"/>
              </w:rPr>
              <w:t>悬浮物</w:t>
            </w:r>
          </w:p>
        </w:tc>
        <w:tc>
          <w:tcPr>
            <w:tcW w:w="1701" w:type="dxa"/>
            <w:shd w:val="clear" w:color="auto" w:fill="auto"/>
          </w:tcPr>
          <w:p>
            <w:pPr>
              <w:jc w:val="center"/>
              <w:rPr>
                <w:rFonts w:ascii="宋体" w:hAnsi="宋体"/>
                <w:sz w:val="28"/>
                <w:szCs w:val="28"/>
              </w:rPr>
            </w:pPr>
            <w:r>
              <w:rPr>
                <w:rFonts w:ascii="宋体" w:hAnsi="宋体"/>
                <w:sz w:val="28"/>
                <w:szCs w:val="28"/>
              </w:rPr>
              <w:t>＜200mg</w:t>
            </w:r>
            <w:r>
              <w:rPr>
                <w:rFonts w:hint="eastAsia" w:ascii="宋体" w:hAnsi="宋体"/>
                <w:sz w:val="28"/>
                <w:szCs w:val="28"/>
              </w:rPr>
              <w:t>/</w:t>
            </w:r>
            <w:r>
              <w:rPr>
                <w:rFonts w:ascii="宋体" w:hAnsi="宋体"/>
                <w:sz w:val="28"/>
                <w:szCs w:val="28"/>
              </w:rPr>
              <w:t xml:space="preserve"> L</w:t>
            </w:r>
          </w:p>
        </w:tc>
        <w:tc>
          <w:tcPr>
            <w:tcW w:w="1701" w:type="dxa"/>
            <w:shd w:val="clear" w:color="auto" w:fill="auto"/>
          </w:tcPr>
          <w:p>
            <w:pPr>
              <w:jc w:val="center"/>
              <w:rPr>
                <w:rFonts w:ascii="宋体" w:hAnsi="宋体"/>
                <w:sz w:val="28"/>
                <w:szCs w:val="28"/>
              </w:rPr>
            </w:pPr>
            <w:r>
              <w:rPr>
                <w:rFonts w:ascii="宋体" w:hAnsi="宋体"/>
                <w:sz w:val="28"/>
                <w:szCs w:val="28"/>
              </w:rPr>
              <w:t>＜400mg</w:t>
            </w:r>
            <w:r>
              <w:rPr>
                <w:rFonts w:hint="eastAsia" w:ascii="宋体" w:hAnsi="宋体"/>
                <w:sz w:val="28"/>
                <w:szCs w:val="28"/>
              </w:rPr>
              <w:t>/</w:t>
            </w:r>
            <w:r>
              <w:rPr>
                <w:rFonts w:ascii="宋体" w:hAnsi="宋体"/>
                <w:sz w:val="28"/>
                <w:szCs w:val="28"/>
              </w:rPr>
              <w:t xml:space="preserve"> L</w:t>
            </w:r>
          </w:p>
        </w:tc>
        <w:tc>
          <w:tcPr>
            <w:tcW w:w="1381" w:type="dxa"/>
            <w:shd w:val="clear" w:color="auto" w:fill="auto"/>
          </w:tcPr>
          <w:p>
            <w:pPr>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4" w:type="dxa"/>
            <w:shd w:val="clear" w:color="auto" w:fill="auto"/>
          </w:tcPr>
          <w:p>
            <w:pPr>
              <w:jc w:val="center"/>
              <w:rPr>
                <w:rFonts w:ascii="宋体" w:hAnsi="宋体"/>
                <w:sz w:val="28"/>
                <w:szCs w:val="28"/>
              </w:rPr>
            </w:pPr>
            <w:r>
              <w:rPr>
                <w:rFonts w:hint="eastAsia" w:ascii="宋体" w:hAnsi="宋体"/>
                <w:sz w:val="28"/>
                <w:szCs w:val="28"/>
              </w:rPr>
              <w:t>6</w:t>
            </w:r>
          </w:p>
        </w:tc>
        <w:tc>
          <w:tcPr>
            <w:tcW w:w="3546" w:type="dxa"/>
            <w:shd w:val="clear" w:color="auto" w:fill="auto"/>
          </w:tcPr>
          <w:p>
            <w:pPr>
              <w:jc w:val="center"/>
              <w:rPr>
                <w:rFonts w:ascii="宋体" w:hAnsi="宋体"/>
                <w:sz w:val="28"/>
                <w:szCs w:val="28"/>
              </w:rPr>
            </w:pPr>
            <w:r>
              <w:rPr>
                <w:rFonts w:hint="eastAsia" w:ascii="宋体" w:hAnsi="宋体"/>
                <w:sz w:val="28"/>
                <w:szCs w:val="28"/>
              </w:rPr>
              <w:t>五日生化需氧量</w:t>
            </w:r>
          </w:p>
        </w:tc>
        <w:tc>
          <w:tcPr>
            <w:tcW w:w="1701" w:type="dxa"/>
            <w:shd w:val="clear" w:color="auto" w:fill="auto"/>
          </w:tcPr>
          <w:p>
            <w:pPr>
              <w:jc w:val="center"/>
              <w:rPr>
                <w:rFonts w:ascii="宋体" w:hAnsi="宋体"/>
                <w:sz w:val="28"/>
                <w:szCs w:val="28"/>
              </w:rPr>
            </w:pPr>
            <w:r>
              <w:rPr>
                <w:rFonts w:ascii="宋体" w:hAnsi="宋体"/>
                <w:sz w:val="28"/>
                <w:szCs w:val="28"/>
              </w:rPr>
              <w:t>＜2</w:t>
            </w:r>
            <w:r>
              <w:rPr>
                <w:rFonts w:hint="eastAsia" w:ascii="宋体" w:hAnsi="宋体"/>
                <w:sz w:val="28"/>
                <w:szCs w:val="28"/>
              </w:rPr>
              <w:t>00</w:t>
            </w:r>
            <w:r>
              <w:rPr>
                <w:rFonts w:ascii="宋体" w:hAnsi="宋体"/>
                <w:sz w:val="28"/>
                <w:szCs w:val="28"/>
              </w:rPr>
              <w:t>mg</w:t>
            </w:r>
            <w:r>
              <w:rPr>
                <w:rFonts w:hint="eastAsia" w:ascii="宋体" w:hAnsi="宋体"/>
                <w:sz w:val="28"/>
                <w:szCs w:val="28"/>
              </w:rPr>
              <w:t>/</w:t>
            </w:r>
            <w:r>
              <w:rPr>
                <w:rFonts w:ascii="宋体" w:hAnsi="宋体"/>
                <w:sz w:val="28"/>
                <w:szCs w:val="28"/>
              </w:rPr>
              <w:t xml:space="preserve"> L</w:t>
            </w:r>
          </w:p>
        </w:tc>
        <w:tc>
          <w:tcPr>
            <w:tcW w:w="1701" w:type="dxa"/>
            <w:shd w:val="clear" w:color="auto" w:fill="auto"/>
          </w:tcPr>
          <w:p>
            <w:pPr>
              <w:jc w:val="center"/>
              <w:rPr>
                <w:rFonts w:ascii="宋体" w:hAnsi="宋体"/>
                <w:sz w:val="28"/>
                <w:szCs w:val="28"/>
              </w:rPr>
            </w:pPr>
            <w:r>
              <w:rPr>
                <w:rFonts w:ascii="宋体" w:hAnsi="宋体"/>
                <w:sz w:val="28"/>
                <w:szCs w:val="28"/>
              </w:rPr>
              <w:t>＜3</w:t>
            </w:r>
            <w:r>
              <w:rPr>
                <w:rFonts w:hint="eastAsia" w:ascii="宋体" w:hAnsi="宋体"/>
                <w:sz w:val="28"/>
                <w:szCs w:val="28"/>
              </w:rPr>
              <w:t>00</w:t>
            </w:r>
            <w:r>
              <w:rPr>
                <w:rFonts w:ascii="宋体" w:hAnsi="宋体"/>
                <w:sz w:val="28"/>
                <w:szCs w:val="28"/>
              </w:rPr>
              <w:t>mg</w:t>
            </w:r>
            <w:r>
              <w:rPr>
                <w:rFonts w:hint="eastAsia" w:ascii="宋体" w:hAnsi="宋体"/>
                <w:sz w:val="28"/>
                <w:szCs w:val="28"/>
              </w:rPr>
              <w:t>/</w:t>
            </w:r>
            <w:r>
              <w:rPr>
                <w:rFonts w:ascii="宋体" w:hAnsi="宋体"/>
                <w:sz w:val="28"/>
                <w:szCs w:val="28"/>
              </w:rPr>
              <w:t xml:space="preserve"> L</w:t>
            </w:r>
          </w:p>
        </w:tc>
        <w:tc>
          <w:tcPr>
            <w:tcW w:w="1381" w:type="dxa"/>
            <w:shd w:val="clear" w:color="auto" w:fill="auto"/>
          </w:tcPr>
          <w:p>
            <w:pPr>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4" w:type="dxa"/>
            <w:shd w:val="clear" w:color="auto" w:fill="auto"/>
          </w:tcPr>
          <w:p>
            <w:pPr>
              <w:jc w:val="center"/>
              <w:rPr>
                <w:rFonts w:ascii="宋体" w:hAnsi="宋体"/>
                <w:sz w:val="28"/>
                <w:szCs w:val="28"/>
              </w:rPr>
            </w:pPr>
            <w:r>
              <w:rPr>
                <w:rFonts w:hint="eastAsia" w:ascii="宋体" w:hAnsi="宋体"/>
                <w:sz w:val="28"/>
                <w:szCs w:val="28"/>
              </w:rPr>
              <w:t>7</w:t>
            </w:r>
          </w:p>
        </w:tc>
        <w:tc>
          <w:tcPr>
            <w:tcW w:w="3546" w:type="dxa"/>
            <w:shd w:val="clear" w:color="auto" w:fill="auto"/>
          </w:tcPr>
          <w:p>
            <w:pPr>
              <w:jc w:val="center"/>
              <w:rPr>
                <w:rFonts w:ascii="宋体" w:hAnsi="宋体"/>
                <w:sz w:val="28"/>
                <w:szCs w:val="28"/>
              </w:rPr>
            </w:pPr>
            <w:r>
              <w:rPr>
                <w:rFonts w:hint="eastAsia" w:ascii="宋体" w:hAnsi="宋体"/>
                <w:sz w:val="28"/>
                <w:szCs w:val="28"/>
              </w:rPr>
              <w:t>石油类</w:t>
            </w:r>
          </w:p>
        </w:tc>
        <w:tc>
          <w:tcPr>
            <w:tcW w:w="1701" w:type="dxa"/>
            <w:shd w:val="clear" w:color="auto" w:fill="auto"/>
          </w:tcPr>
          <w:p>
            <w:pPr>
              <w:jc w:val="center"/>
              <w:rPr>
                <w:rFonts w:ascii="宋体" w:hAnsi="宋体"/>
                <w:sz w:val="28"/>
                <w:szCs w:val="28"/>
              </w:rPr>
            </w:pPr>
            <w:r>
              <w:rPr>
                <w:rFonts w:ascii="宋体" w:hAnsi="宋体"/>
                <w:sz w:val="28"/>
                <w:szCs w:val="28"/>
              </w:rPr>
              <w:t>＜10mg</w:t>
            </w:r>
            <w:r>
              <w:rPr>
                <w:rFonts w:hint="eastAsia" w:ascii="宋体" w:hAnsi="宋体"/>
                <w:sz w:val="28"/>
                <w:szCs w:val="28"/>
              </w:rPr>
              <w:t>/</w:t>
            </w:r>
            <w:r>
              <w:rPr>
                <w:rFonts w:ascii="宋体" w:hAnsi="宋体"/>
                <w:sz w:val="28"/>
                <w:szCs w:val="28"/>
              </w:rPr>
              <w:t xml:space="preserve"> L</w:t>
            </w:r>
          </w:p>
        </w:tc>
        <w:tc>
          <w:tcPr>
            <w:tcW w:w="1701" w:type="dxa"/>
            <w:shd w:val="clear" w:color="auto" w:fill="auto"/>
          </w:tcPr>
          <w:p>
            <w:pPr>
              <w:jc w:val="center"/>
              <w:rPr>
                <w:rFonts w:ascii="宋体" w:hAnsi="宋体"/>
                <w:sz w:val="28"/>
                <w:szCs w:val="28"/>
              </w:rPr>
            </w:pPr>
            <w:r>
              <w:rPr>
                <w:rFonts w:ascii="宋体" w:hAnsi="宋体"/>
                <w:sz w:val="28"/>
                <w:szCs w:val="28"/>
              </w:rPr>
              <w:t>＜20mg</w:t>
            </w:r>
            <w:r>
              <w:rPr>
                <w:rFonts w:hint="eastAsia" w:ascii="宋体" w:hAnsi="宋体"/>
                <w:sz w:val="28"/>
                <w:szCs w:val="28"/>
              </w:rPr>
              <w:t>/</w:t>
            </w:r>
            <w:r>
              <w:rPr>
                <w:rFonts w:ascii="宋体" w:hAnsi="宋体"/>
                <w:sz w:val="28"/>
                <w:szCs w:val="28"/>
              </w:rPr>
              <w:t xml:space="preserve"> L</w:t>
            </w:r>
          </w:p>
        </w:tc>
        <w:tc>
          <w:tcPr>
            <w:tcW w:w="1381" w:type="dxa"/>
            <w:shd w:val="clear" w:color="auto" w:fill="auto"/>
          </w:tcPr>
          <w:p>
            <w:pPr>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4" w:type="dxa"/>
            <w:shd w:val="clear" w:color="auto" w:fill="auto"/>
          </w:tcPr>
          <w:p>
            <w:pPr>
              <w:jc w:val="center"/>
              <w:rPr>
                <w:rFonts w:ascii="宋体" w:hAnsi="宋体"/>
                <w:sz w:val="28"/>
                <w:szCs w:val="28"/>
              </w:rPr>
            </w:pPr>
            <w:r>
              <w:rPr>
                <w:rFonts w:hint="eastAsia" w:ascii="宋体" w:hAnsi="宋体"/>
                <w:sz w:val="28"/>
                <w:szCs w:val="28"/>
              </w:rPr>
              <w:t>8</w:t>
            </w:r>
          </w:p>
        </w:tc>
        <w:tc>
          <w:tcPr>
            <w:tcW w:w="3546" w:type="dxa"/>
            <w:shd w:val="clear" w:color="auto" w:fill="auto"/>
          </w:tcPr>
          <w:p>
            <w:pPr>
              <w:jc w:val="center"/>
              <w:rPr>
                <w:rFonts w:ascii="宋体" w:hAnsi="宋体"/>
                <w:sz w:val="28"/>
                <w:szCs w:val="28"/>
              </w:rPr>
            </w:pPr>
            <w:r>
              <w:rPr>
                <w:rFonts w:ascii="宋体" w:hAnsi="宋体"/>
                <w:sz w:val="28"/>
                <w:szCs w:val="28"/>
              </w:rPr>
              <w:t>阴离子表面活性剂</w:t>
            </w:r>
          </w:p>
        </w:tc>
        <w:tc>
          <w:tcPr>
            <w:tcW w:w="1701" w:type="dxa"/>
            <w:shd w:val="clear" w:color="auto" w:fill="auto"/>
          </w:tcPr>
          <w:p>
            <w:pPr>
              <w:jc w:val="center"/>
              <w:rPr>
                <w:rFonts w:ascii="宋体" w:hAnsi="宋体"/>
                <w:sz w:val="28"/>
                <w:szCs w:val="28"/>
              </w:rPr>
            </w:pPr>
            <w:r>
              <w:rPr>
                <w:rFonts w:ascii="宋体" w:hAnsi="宋体"/>
                <w:sz w:val="28"/>
                <w:szCs w:val="28"/>
              </w:rPr>
              <w:t>＜10mg</w:t>
            </w:r>
            <w:r>
              <w:rPr>
                <w:rFonts w:hint="eastAsia" w:ascii="宋体" w:hAnsi="宋体"/>
                <w:sz w:val="28"/>
                <w:szCs w:val="28"/>
              </w:rPr>
              <w:t>/</w:t>
            </w:r>
            <w:r>
              <w:rPr>
                <w:rFonts w:ascii="宋体" w:hAnsi="宋体"/>
                <w:sz w:val="28"/>
                <w:szCs w:val="28"/>
              </w:rPr>
              <w:t xml:space="preserve"> L</w:t>
            </w:r>
          </w:p>
        </w:tc>
        <w:tc>
          <w:tcPr>
            <w:tcW w:w="1701" w:type="dxa"/>
            <w:shd w:val="clear" w:color="auto" w:fill="auto"/>
          </w:tcPr>
          <w:p>
            <w:pPr>
              <w:jc w:val="center"/>
              <w:rPr>
                <w:rFonts w:ascii="宋体" w:hAnsi="宋体"/>
                <w:sz w:val="28"/>
                <w:szCs w:val="28"/>
              </w:rPr>
            </w:pPr>
            <w:r>
              <w:rPr>
                <w:rFonts w:ascii="宋体" w:hAnsi="宋体"/>
                <w:sz w:val="28"/>
                <w:szCs w:val="28"/>
              </w:rPr>
              <w:t>＜20mg</w:t>
            </w:r>
            <w:r>
              <w:rPr>
                <w:rFonts w:hint="eastAsia" w:ascii="宋体" w:hAnsi="宋体"/>
                <w:sz w:val="28"/>
                <w:szCs w:val="28"/>
              </w:rPr>
              <w:t>/</w:t>
            </w:r>
            <w:r>
              <w:rPr>
                <w:rFonts w:ascii="宋体" w:hAnsi="宋体"/>
                <w:sz w:val="28"/>
                <w:szCs w:val="28"/>
              </w:rPr>
              <w:t xml:space="preserve"> L</w:t>
            </w:r>
          </w:p>
        </w:tc>
        <w:tc>
          <w:tcPr>
            <w:tcW w:w="1381" w:type="dxa"/>
            <w:shd w:val="clear" w:color="auto" w:fill="auto"/>
          </w:tcPr>
          <w:p>
            <w:pPr>
              <w:jc w:val="center"/>
              <w:rPr>
                <w:rFonts w:ascii="宋体" w:hAnsi="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4" w:type="dxa"/>
            <w:shd w:val="clear" w:color="auto" w:fill="auto"/>
          </w:tcPr>
          <w:p>
            <w:pPr>
              <w:jc w:val="center"/>
              <w:rPr>
                <w:rFonts w:ascii="宋体" w:hAnsi="宋体"/>
                <w:sz w:val="28"/>
                <w:szCs w:val="28"/>
              </w:rPr>
            </w:pPr>
            <w:r>
              <w:rPr>
                <w:rFonts w:hint="eastAsia" w:ascii="宋体" w:hAnsi="宋体"/>
                <w:sz w:val="28"/>
                <w:szCs w:val="28"/>
              </w:rPr>
              <w:t>9</w:t>
            </w:r>
          </w:p>
        </w:tc>
        <w:tc>
          <w:tcPr>
            <w:tcW w:w="3546" w:type="dxa"/>
            <w:shd w:val="clear" w:color="auto" w:fill="auto"/>
          </w:tcPr>
          <w:p>
            <w:pPr>
              <w:jc w:val="center"/>
              <w:rPr>
                <w:rFonts w:ascii="宋体" w:hAnsi="宋体"/>
                <w:sz w:val="28"/>
                <w:szCs w:val="28"/>
              </w:rPr>
            </w:pPr>
            <w:r>
              <w:rPr>
                <w:rFonts w:hint="eastAsia" w:ascii="宋体" w:hAnsi="宋体"/>
                <w:sz w:val="28"/>
                <w:szCs w:val="28"/>
              </w:rPr>
              <w:t>总氮</w:t>
            </w:r>
          </w:p>
        </w:tc>
        <w:tc>
          <w:tcPr>
            <w:tcW w:w="1701" w:type="dxa"/>
            <w:shd w:val="clear" w:color="auto" w:fill="auto"/>
          </w:tcPr>
          <w:p>
            <w:pPr>
              <w:jc w:val="center"/>
              <w:rPr>
                <w:rFonts w:ascii="宋体" w:hAnsi="宋体"/>
                <w:sz w:val="28"/>
                <w:szCs w:val="28"/>
              </w:rPr>
            </w:pPr>
            <w:r>
              <w:rPr>
                <w:rFonts w:ascii="宋体" w:hAnsi="宋体"/>
                <w:sz w:val="28"/>
                <w:szCs w:val="28"/>
              </w:rPr>
              <w:t>＜50mg</w:t>
            </w:r>
            <w:r>
              <w:rPr>
                <w:rFonts w:hint="eastAsia" w:ascii="宋体" w:hAnsi="宋体"/>
                <w:sz w:val="28"/>
                <w:szCs w:val="28"/>
              </w:rPr>
              <w:t>/</w:t>
            </w:r>
            <w:r>
              <w:rPr>
                <w:rFonts w:ascii="宋体" w:hAnsi="宋体"/>
                <w:sz w:val="28"/>
                <w:szCs w:val="28"/>
              </w:rPr>
              <w:t xml:space="preserve"> L</w:t>
            </w:r>
          </w:p>
        </w:tc>
        <w:tc>
          <w:tcPr>
            <w:tcW w:w="1701" w:type="dxa"/>
            <w:shd w:val="clear" w:color="auto" w:fill="auto"/>
          </w:tcPr>
          <w:p>
            <w:pPr>
              <w:jc w:val="center"/>
              <w:rPr>
                <w:rFonts w:ascii="宋体" w:hAnsi="宋体"/>
                <w:sz w:val="28"/>
                <w:szCs w:val="28"/>
              </w:rPr>
            </w:pPr>
            <w:r>
              <w:rPr>
                <w:rFonts w:ascii="宋体" w:hAnsi="宋体"/>
                <w:sz w:val="28"/>
                <w:szCs w:val="28"/>
              </w:rPr>
              <w:t>＜70mg</w:t>
            </w:r>
            <w:r>
              <w:rPr>
                <w:rFonts w:hint="eastAsia" w:ascii="宋体" w:hAnsi="宋体"/>
                <w:sz w:val="28"/>
                <w:szCs w:val="28"/>
              </w:rPr>
              <w:t>/</w:t>
            </w:r>
            <w:r>
              <w:rPr>
                <w:rFonts w:ascii="宋体" w:hAnsi="宋体"/>
                <w:sz w:val="28"/>
                <w:szCs w:val="28"/>
              </w:rPr>
              <w:t xml:space="preserve"> L</w:t>
            </w:r>
          </w:p>
        </w:tc>
        <w:tc>
          <w:tcPr>
            <w:tcW w:w="1381" w:type="dxa"/>
            <w:shd w:val="clear" w:color="auto" w:fill="auto"/>
          </w:tcPr>
          <w:p>
            <w:pPr>
              <w:jc w:val="center"/>
              <w:rPr>
                <w:rFonts w:ascii="宋体" w:hAnsi="宋体"/>
                <w:sz w:val="28"/>
                <w:szCs w:val="28"/>
              </w:rPr>
            </w:pPr>
          </w:p>
        </w:tc>
      </w:tr>
    </w:tbl>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ascii="黑体" w:hAnsi="Courier New" w:eastAsia="黑体"/>
          <w:b/>
          <w:bCs/>
          <w:sz w:val="36"/>
          <w:szCs w:val="36"/>
        </w:rPr>
      </w:pPr>
      <w:r>
        <w:rPr>
          <w:rFonts w:hint="eastAsia" w:ascii="黑体" w:hAnsi="Courier New" w:eastAsia="黑体"/>
          <w:b/>
          <w:bCs/>
          <w:sz w:val="36"/>
          <w:szCs w:val="36"/>
        </w:rPr>
        <w:t>第</w:t>
      </w:r>
      <w:r>
        <w:rPr>
          <w:rFonts w:hint="eastAsia" w:ascii="黑体" w:hAnsi="Courier New" w:eastAsia="黑体"/>
          <w:b/>
          <w:bCs/>
          <w:sz w:val="36"/>
          <w:szCs w:val="36"/>
          <w:lang w:val="en-US" w:eastAsia="zh-CN"/>
        </w:rPr>
        <w:t>三</w:t>
      </w:r>
      <w:r>
        <w:rPr>
          <w:rFonts w:hint="eastAsia" w:ascii="黑体" w:hAnsi="Courier New" w:eastAsia="黑体"/>
          <w:b/>
          <w:bCs/>
          <w:sz w:val="36"/>
          <w:szCs w:val="36"/>
        </w:rPr>
        <w:t>章  投标文件编制</w:t>
      </w:r>
      <w:bookmarkEnd w:id="13"/>
    </w:p>
    <w:p>
      <w:pPr>
        <w:pStyle w:val="9"/>
        <w:spacing w:line="360" w:lineRule="auto"/>
        <w:outlineLvl w:val="1"/>
        <w:rPr>
          <w:rFonts w:ascii="黑体" w:hAnsi="黑体" w:eastAsia="黑体"/>
          <w:b/>
          <w:bCs/>
          <w:sz w:val="28"/>
          <w:szCs w:val="28"/>
        </w:rPr>
      </w:pPr>
      <w:r>
        <w:rPr>
          <w:rFonts w:hint="eastAsia" w:ascii="黑体" w:hAnsi="黑体" w:eastAsia="黑体"/>
          <w:b/>
          <w:bCs/>
          <w:sz w:val="28"/>
          <w:szCs w:val="28"/>
        </w:rPr>
        <w:t>一、投标文件签署</w:t>
      </w:r>
    </w:p>
    <w:p>
      <w:pPr>
        <w:pStyle w:val="9"/>
        <w:spacing w:line="360" w:lineRule="auto"/>
        <w:ind w:firstLine="420" w:firstLineChars="200"/>
        <w:rPr>
          <w:rFonts w:hAnsi="宋体"/>
          <w:szCs w:val="21"/>
        </w:rPr>
      </w:pPr>
      <w:r>
        <w:rPr>
          <w:rFonts w:hint="eastAsia" w:hAnsi="宋体"/>
          <w:szCs w:val="21"/>
        </w:rPr>
        <w:t>1.法定代表人或投标人授权代表必须按招标文件的规定在投标文件（正本、副本及各附件）、开标一览表上签字并加盖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pPr>
        <w:pStyle w:val="9"/>
        <w:spacing w:line="360" w:lineRule="auto"/>
        <w:ind w:firstLine="420" w:firstLineChars="200"/>
        <w:rPr>
          <w:rFonts w:hAnsi="宋体"/>
          <w:szCs w:val="21"/>
        </w:rPr>
      </w:pPr>
      <w:r>
        <w:rPr>
          <w:rFonts w:hint="eastAsia" w:hAnsi="宋体"/>
          <w:szCs w:val="21"/>
        </w:rPr>
        <w:t>2.任何行间插字、涂改和增删，必须由投标人的法定代表人或授权代表签字或加盖公章后才有效。</w:t>
      </w:r>
    </w:p>
    <w:p>
      <w:pPr>
        <w:pStyle w:val="9"/>
        <w:spacing w:line="360" w:lineRule="auto"/>
        <w:outlineLvl w:val="1"/>
        <w:rPr>
          <w:rFonts w:ascii="黑体" w:hAnsi="黑体" w:eastAsia="黑体"/>
          <w:b/>
          <w:bCs/>
          <w:sz w:val="28"/>
          <w:szCs w:val="28"/>
        </w:rPr>
      </w:pPr>
      <w:r>
        <w:rPr>
          <w:rFonts w:hint="eastAsia" w:ascii="黑体" w:hAnsi="黑体" w:eastAsia="黑体"/>
          <w:b/>
          <w:bCs/>
          <w:sz w:val="28"/>
          <w:szCs w:val="28"/>
        </w:rPr>
        <w:t>二、投标文件的编制</w:t>
      </w:r>
    </w:p>
    <w:p>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pPr>
        <w:spacing w:line="336" w:lineRule="auto"/>
        <w:ind w:firstLine="461" w:firstLineChars="185"/>
        <w:rPr>
          <w:rFonts w:ascii="宋体" w:hAnsi="宋体"/>
          <w:b/>
          <w:spacing w:val="4"/>
          <w:sz w:val="24"/>
        </w:rPr>
      </w:pPr>
      <w:r>
        <w:rPr>
          <w:rFonts w:hint="eastAsia" w:ascii="宋体" w:hAnsi="宋体"/>
          <w:b/>
          <w:spacing w:val="4"/>
          <w:sz w:val="24"/>
        </w:rPr>
        <w:t>2. 投标文件构成</w:t>
      </w:r>
    </w:p>
    <w:p>
      <w:pPr>
        <w:spacing w:line="336" w:lineRule="auto"/>
        <w:ind w:firstLine="403" w:firstLineChars="185"/>
        <w:rPr>
          <w:rFonts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pPr>
        <w:spacing w:line="336" w:lineRule="auto"/>
        <w:ind w:firstLine="403" w:firstLineChars="185"/>
        <w:rPr>
          <w:rFonts w:ascii="宋体" w:hAnsi="宋体" w:cs="宋体"/>
          <w:spacing w:val="4"/>
          <w:szCs w:val="21"/>
        </w:rPr>
      </w:pPr>
      <w:r>
        <w:rPr>
          <w:rFonts w:hint="eastAsia" w:ascii="宋体" w:hAnsi="宋体" w:cs="宋体"/>
          <w:spacing w:val="4"/>
          <w:szCs w:val="21"/>
        </w:rPr>
        <w:t>2.1 投标文件商务部分</w:t>
      </w:r>
    </w:p>
    <w:p>
      <w:pPr>
        <w:spacing w:line="336" w:lineRule="auto"/>
        <w:ind w:firstLine="436" w:firstLineChars="200"/>
        <w:rPr>
          <w:rFonts w:ascii="宋体" w:hAnsi="宋体" w:cs="宋体"/>
          <w:spacing w:val="4"/>
          <w:szCs w:val="21"/>
        </w:rPr>
      </w:pPr>
      <w:r>
        <w:rPr>
          <w:rFonts w:hint="eastAsia" w:ascii="宋体" w:hAnsi="宋体" w:cs="宋体"/>
          <w:spacing w:val="4"/>
          <w:szCs w:val="21"/>
        </w:rPr>
        <w:t>（1）资格证明文件包括：</w:t>
      </w:r>
    </w:p>
    <w:p>
      <w:pPr>
        <w:pStyle w:val="9"/>
        <w:spacing w:line="360" w:lineRule="auto"/>
        <w:ind w:firstLine="428" w:firstLineChars="200"/>
        <w:rPr>
          <w:rFonts w:hAnsi="宋体"/>
          <w:spacing w:val="2"/>
        </w:rPr>
      </w:pPr>
      <w:r>
        <w:rPr>
          <w:rFonts w:hint="eastAsia" w:hAnsi="宋体"/>
          <w:spacing w:val="2"/>
        </w:rPr>
        <w:t>1.1统一社会信用代码的新版营业执照副本复印件；</w:t>
      </w:r>
    </w:p>
    <w:p>
      <w:pPr>
        <w:pStyle w:val="9"/>
        <w:spacing w:line="360" w:lineRule="auto"/>
        <w:ind w:firstLine="428" w:firstLineChars="200"/>
        <w:rPr>
          <w:rFonts w:hAnsi="宋体"/>
          <w:spacing w:val="2"/>
        </w:rPr>
      </w:pPr>
      <w:r>
        <w:rPr>
          <w:rFonts w:hint="eastAsia" w:hAnsi="宋体"/>
          <w:spacing w:val="2"/>
        </w:rPr>
        <w:t>1.2相关资质证书；</w:t>
      </w:r>
    </w:p>
    <w:p>
      <w:pPr>
        <w:pStyle w:val="9"/>
        <w:spacing w:line="360" w:lineRule="auto"/>
        <w:ind w:firstLine="428" w:firstLineChars="200"/>
        <w:rPr>
          <w:rFonts w:hAnsi="宋体"/>
          <w:spacing w:val="2"/>
        </w:rPr>
      </w:pPr>
      <w:r>
        <w:rPr>
          <w:rFonts w:hint="eastAsia" w:hAnsi="宋体"/>
          <w:spacing w:val="2"/>
        </w:rPr>
        <w:t>1.3法定代表人参加投标的，需提供法人身份证复印件；派授权人参加投标的，需提供法定代表人授权委托书及被授权人身份证复印件；</w:t>
      </w:r>
    </w:p>
    <w:p>
      <w:pPr>
        <w:pStyle w:val="9"/>
        <w:spacing w:line="360" w:lineRule="auto"/>
        <w:ind w:firstLine="428" w:firstLineChars="200"/>
        <w:rPr>
          <w:rFonts w:hAnsi="宋体"/>
          <w:spacing w:val="2"/>
        </w:rPr>
      </w:pPr>
      <w:r>
        <w:rPr>
          <w:rFonts w:hint="eastAsia" w:hAnsi="宋体"/>
          <w:spacing w:val="2"/>
        </w:rPr>
        <w:t>1.4</w:t>
      </w:r>
      <w:r>
        <w:rPr>
          <w:rFonts w:hint="eastAsia" w:hAnsi="宋体" w:cs="宋体"/>
        </w:rPr>
        <w:t>投标人须提供上一年度的财务报表（资产负债表、利润表）的复印件；</w:t>
      </w:r>
    </w:p>
    <w:p>
      <w:pPr>
        <w:pStyle w:val="9"/>
        <w:spacing w:line="360" w:lineRule="auto"/>
        <w:ind w:firstLine="428" w:firstLineChars="200"/>
        <w:rPr>
          <w:rFonts w:hAnsi="宋体"/>
          <w:spacing w:val="2"/>
        </w:rPr>
      </w:pPr>
      <w:r>
        <w:rPr>
          <w:rFonts w:hint="eastAsia" w:hAnsi="宋体"/>
          <w:spacing w:val="2"/>
        </w:rPr>
        <w:t>1.5近三年内在经营活动中没有违法违纪行为的声明。</w:t>
      </w:r>
    </w:p>
    <w:p>
      <w:pPr>
        <w:pStyle w:val="9"/>
        <w:spacing w:line="360" w:lineRule="auto"/>
        <w:ind w:firstLine="428" w:firstLineChars="200"/>
        <w:rPr>
          <w:rFonts w:hAnsi="宋体"/>
          <w:spacing w:val="2"/>
        </w:rPr>
      </w:pPr>
      <w:r>
        <w:rPr>
          <w:rFonts w:hint="eastAsia" w:hAnsi="宋体"/>
          <w:spacing w:val="2"/>
        </w:rPr>
        <w:t>1.6投标人自认为需提交的符合本招标文件总则第二章第1条所有内容的其他条款并附录。</w:t>
      </w:r>
    </w:p>
    <w:p>
      <w:pPr>
        <w:pStyle w:val="9"/>
        <w:spacing w:line="360" w:lineRule="auto"/>
        <w:ind w:firstLine="428" w:firstLineChars="200"/>
        <w:rPr>
          <w:rFonts w:hAnsi="宋体" w:cs="宋体"/>
        </w:rPr>
      </w:pPr>
      <w:r>
        <w:rPr>
          <w:rFonts w:hint="eastAsia" w:hAnsi="宋体"/>
          <w:spacing w:val="2"/>
        </w:rPr>
        <w:t>1.7</w:t>
      </w:r>
      <w:r>
        <w:rPr>
          <w:rFonts w:hint="eastAsia" w:hAnsi="宋体" w:cs="宋体"/>
        </w:rPr>
        <w:t>投标人应提交《投标文件》、《投标函》。</w:t>
      </w:r>
    </w:p>
    <w:p>
      <w:pPr>
        <w:pStyle w:val="9"/>
        <w:spacing w:line="360" w:lineRule="auto"/>
        <w:ind w:firstLine="420" w:firstLineChars="200"/>
        <w:rPr>
          <w:rFonts w:hAnsi="宋体" w:cs="宋体"/>
        </w:rPr>
      </w:pPr>
      <w:r>
        <w:rPr>
          <w:rFonts w:hint="eastAsia" w:hAnsi="宋体" w:cs="宋体"/>
        </w:rPr>
        <w:t>1.8信用中国截图（报名日期当日“信用中国”网站(www.creditchina.gov.cn）查询本单位未被列入联合惩戒失信人名单的网页截图）</w:t>
      </w:r>
    </w:p>
    <w:p>
      <w:pPr>
        <w:pStyle w:val="9"/>
        <w:spacing w:line="360" w:lineRule="auto"/>
        <w:ind w:firstLine="420" w:firstLineChars="200"/>
        <w:rPr>
          <w:rFonts w:hint="eastAsia" w:hAnsi="宋体" w:cs="宋体"/>
        </w:rPr>
      </w:pPr>
      <w:r>
        <w:rPr>
          <w:rFonts w:hint="eastAsia" w:hAnsi="宋体"/>
        </w:rPr>
        <w:t>1.9</w:t>
      </w:r>
      <w:r>
        <w:rPr>
          <w:rFonts w:hint="eastAsia" w:hAnsi="宋体" w:cs="宋体"/>
        </w:rPr>
        <w:t>企业概况一览表：包括人员、设备、技术、专利、工艺等；</w:t>
      </w:r>
    </w:p>
    <w:p>
      <w:pPr>
        <w:pStyle w:val="9"/>
        <w:spacing w:line="360" w:lineRule="auto"/>
        <w:ind w:firstLine="420" w:firstLineChars="200"/>
        <w:rPr>
          <w:rFonts w:hint="default" w:hAnsi="宋体" w:eastAsia="宋体" w:cs="宋体"/>
          <w:lang w:val="en-US" w:eastAsia="zh-CN"/>
        </w:rPr>
      </w:pPr>
      <w:r>
        <w:rPr>
          <w:rFonts w:hint="eastAsia" w:hAnsi="宋体" w:cs="宋体"/>
          <w:lang w:val="en-US" w:eastAsia="zh-CN"/>
        </w:rPr>
        <w:t>1.10投标保证金缴纳凭证。</w:t>
      </w:r>
    </w:p>
    <w:p>
      <w:pPr>
        <w:widowControl/>
        <w:spacing w:line="360" w:lineRule="auto"/>
        <w:ind w:firstLine="430" w:firstLineChars="200"/>
        <w:rPr>
          <w:rFonts w:ascii="宋体" w:hAnsi="Courier New"/>
          <w:highlight w:val="yellow"/>
        </w:rPr>
      </w:pPr>
      <w:r>
        <w:rPr>
          <w:rFonts w:hint="eastAsia" w:hAnsi="宋体"/>
          <w:b/>
          <w:bCs/>
          <w:spacing w:val="2"/>
        </w:rPr>
        <w:t>重要提示：</w:t>
      </w:r>
      <w:r>
        <w:rPr>
          <w:rFonts w:hint="eastAsia" w:hAnsi="宋体"/>
          <w:spacing w:val="2"/>
        </w:rPr>
        <w:t>应标资格审核中，上述所列示的所有条款均属于</w:t>
      </w:r>
      <w:r>
        <w:rPr>
          <w:rFonts w:hint="eastAsia" w:hAnsi="宋体"/>
          <w:b/>
          <w:bCs/>
          <w:spacing w:val="2"/>
        </w:rPr>
        <w:t>否决项</w:t>
      </w:r>
      <w:r>
        <w:rPr>
          <w:rFonts w:hint="eastAsia" w:hAnsi="宋体"/>
          <w:spacing w:val="2"/>
        </w:rPr>
        <w:t>，对于任意一项或多项未达到资格审核要求的投标人，视为主动放弃投标，该投标人将不能进入后续的评标程序。对于未通过资格审核要求的投标人，不做任何解释。</w:t>
      </w:r>
    </w:p>
    <w:p>
      <w:pPr>
        <w:spacing w:line="336" w:lineRule="auto"/>
        <w:ind w:firstLine="403" w:firstLineChars="185"/>
        <w:rPr>
          <w:rFonts w:ascii="宋体" w:hAnsi="宋体" w:cs="宋体"/>
          <w:spacing w:val="4"/>
          <w:szCs w:val="21"/>
        </w:rPr>
      </w:pPr>
      <w:r>
        <w:rPr>
          <w:rFonts w:hint="eastAsia" w:ascii="宋体" w:hAnsi="宋体" w:cs="宋体"/>
          <w:spacing w:val="4"/>
          <w:szCs w:val="21"/>
        </w:rPr>
        <w:t>（2）技术部分：</w:t>
      </w:r>
    </w:p>
    <w:p>
      <w:pPr>
        <w:spacing w:line="336" w:lineRule="auto"/>
        <w:ind w:firstLine="403" w:firstLineChars="185"/>
        <w:rPr>
          <w:rFonts w:ascii="宋体" w:hAnsi="宋体" w:cs="宋体"/>
          <w:spacing w:val="4"/>
          <w:szCs w:val="21"/>
        </w:rPr>
      </w:pPr>
      <w:r>
        <w:rPr>
          <w:rFonts w:hint="eastAsia" w:ascii="宋体" w:hAnsi="宋体" w:cs="宋体"/>
          <w:spacing w:val="4"/>
          <w:szCs w:val="21"/>
        </w:rPr>
        <w:t>1、技术规格偏离表，必须先进行两列要求一一对照，不允许直接写无偏离；</w:t>
      </w:r>
    </w:p>
    <w:p>
      <w:pPr>
        <w:spacing w:line="336" w:lineRule="auto"/>
        <w:ind w:firstLine="403" w:firstLineChars="185"/>
        <w:rPr>
          <w:rFonts w:ascii="宋体" w:hAnsi="宋体" w:cs="宋体"/>
          <w:spacing w:val="4"/>
          <w:szCs w:val="21"/>
        </w:rPr>
      </w:pPr>
      <w:r>
        <w:rPr>
          <w:rFonts w:hint="eastAsia" w:ascii="宋体" w:hAnsi="宋体" w:cs="宋体"/>
          <w:spacing w:val="4"/>
          <w:szCs w:val="21"/>
        </w:rPr>
        <w:t>2、投标人需提交的其它资料。</w:t>
      </w:r>
    </w:p>
    <w:p>
      <w:pPr>
        <w:spacing w:line="336" w:lineRule="auto"/>
        <w:ind w:firstLine="403" w:firstLineChars="185"/>
        <w:rPr>
          <w:rFonts w:ascii="宋体" w:hAnsi="宋体" w:cs="宋体"/>
          <w:spacing w:val="4"/>
          <w:szCs w:val="21"/>
        </w:rPr>
      </w:pPr>
      <w:r>
        <w:rPr>
          <w:rFonts w:hint="eastAsia" w:ascii="宋体" w:hAnsi="宋体" w:cs="宋体"/>
          <w:spacing w:val="4"/>
          <w:szCs w:val="21"/>
        </w:rPr>
        <w:t>（3）商务部分：</w:t>
      </w:r>
    </w:p>
    <w:p>
      <w:pPr>
        <w:pStyle w:val="9"/>
        <w:kinsoku w:val="0"/>
        <w:overflowPunct w:val="0"/>
        <w:autoSpaceDE w:val="0"/>
        <w:autoSpaceDN w:val="0"/>
        <w:adjustRightInd w:val="0"/>
        <w:spacing w:line="360" w:lineRule="auto"/>
        <w:ind w:left="210" w:leftChars="100" w:firstLine="420" w:firstLineChars="200"/>
        <w:rPr>
          <w:rFonts w:hAnsi="宋体" w:cs="宋体"/>
          <w:spacing w:val="4"/>
          <w:szCs w:val="21"/>
        </w:rPr>
      </w:pPr>
      <w:r>
        <w:rPr>
          <w:rFonts w:hint="eastAsia" w:hAnsi="宋体" w:cs="宋体"/>
          <w:bCs/>
          <w:szCs w:val="21"/>
        </w:rPr>
        <w:t>(一)投标函</w:t>
      </w:r>
    </w:p>
    <w:p>
      <w:pPr>
        <w:spacing w:line="336" w:lineRule="auto"/>
        <w:ind w:firstLine="596" w:firstLineChars="284"/>
        <w:rPr>
          <w:rFonts w:ascii="宋体" w:hAnsi="宋体" w:cs="宋体"/>
          <w:spacing w:val="4"/>
          <w:szCs w:val="21"/>
        </w:rPr>
      </w:pPr>
      <w:r>
        <w:rPr>
          <w:rFonts w:hint="eastAsia" w:ascii="宋体" w:hAnsi="宋体" w:cs="宋体"/>
          <w:bCs/>
          <w:szCs w:val="21"/>
        </w:rPr>
        <w:t>(二)</w:t>
      </w:r>
      <w:r>
        <w:rPr>
          <w:rFonts w:hint="eastAsia" w:ascii="宋体" w:hAnsi="宋体" w:cs="宋体"/>
          <w:spacing w:val="4"/>
          <w:szCs w:val="21"/>
        </w:rPr>
        <w:t xml:space="preserve"> 开标一览表；</w:t>
      </w:r>
    </w:p>
    <w:p>
      <w:pPr>
        <w:spacing w:line="336" w:lineRule="auto"/>
        <w:ind w:firstLine="596" w:firstLineChars="284"/>
        <w:rPr>
          <w:rFonts w:ascii="宋体" w:hAnsi="宋体" w:cs="宋体"/>
          <w:bCs/>
          <w:szCs w:val="21"/>
        </w:rPr>
      </w:pPr>
      <w:r>
        <w:rPr>
          <w:rFonts w:hint="eastAsia" w:ascii="宋体" w:hAnsi="宋体" w:cs="宋体"/>
          <w:bCs/>
          <w:szCs w:val="21"/>
        </w:rPr>
        <w:t>(三)投标分项报价表</w:t>
      </w:r>
    </w:p>
    <w:p>
      <w:pPr>
        <w:spacing w:line="336" w:lineRule="auto"/>
        <w:ind w:firstLine="596" w:firstLineChars="284"/>
        <w:rPr>
          <w:rFonts w:ascii="宋体" w:hAnsi="宋体" w:cs="宋体"/>
          <w:spacing w:val="4"/>
          <w:szCs w:val="21"/>
        </w:rPr>
      </w:pPr>
      <w:r>
        <w:rPr>
          <w:rFonts w:hint="eastAsia" w:ascii="宋体" w:hAnsi="宋体" w:cs="宋体"/>
          <w:bCs/>
          <w:szCs w:val="21"/>
        </w:rPr>
        <w:t>(四)</w:t>
      </w:r>
      <w:r>
        <w:rPr>
          <w:rFonts w:hint="eastAsia" w:ascii="宋体" w:hAnsi="宋体" w:cs="宋体"/>
          <w:spacing w:val="4"/>
          <w:szCs w:val="21"/>
        </w:rPr>
        <w:t>商务条款偏离表；</w:t>
      </w:r>
    </w:p>
    <w:p>
      <w:pPr>
        <w:spacing w:line="336" w:lineRule="auto"/>
        <w:ind w:firstLine="596" w:firstLineChars="284"/>
        <w:rPr>
          <w:rFonts w:hAnsi="宋体" w:cs="宋体"/>
          <w:bCs/>
          <w:szCs w:val="21"/>
        </w:rPr>
      </w:pPr>
      <w:r>
        <w:rPr>
          <w:rFonts w:hint="eastAsia" w:hAnsi="宋体" w:cs="宋体"/>
          <w:bCs/>
          <w:szCs w:val="21"/>
        </w:rPr>
        <w:t>(五)企业情况、从业经历、服务承诺一览表。</w:t>
      </w:r>
    </w:p>
    <w:p>
      <w:pPr>
        <w:spacing w:line="336" w:lineRule="auto"/>
        <w:ind w:firstLine="596" w:firstLineChars="284"/>
        <w:rPr>
          <w:rFonts w:hAnsi="宋体" w:cs="宋体"/>
          <w:bCs/>
          <w:szCs w:val="21"/>
        </w:rPr>
      </w:pPr>
      <w:r>
        <w:rPr>
          <w:rFonts w:hint="eastAsia" w:hAnsi="宋体" w:cs="宋体"/>
          <w:bCs/>
          <w:szCs w:val="21"/>
        </w:rPr>
        <w:t>(六)投标承诺书</w:t>
      </w:r>
    </w:p>
    <w:p>
      <w:pPr>
        <w:spacing w:line="336" w:lineRule="auto"/>
        <w:ind w:firstLine="403" w:firstLineChars="185"/>
        <w:rPr>
          <w:rFonts w:ascii="宋体" w:hAnsi="宋体" w:cs="宋体"/>
          <w:spacing w:val="4"/>
          <w:szCs w:val="21"/>
        </w:rPr>
      </w:pPr>
      <w:r>
        <w:rPr>
          <w:rFonts w:hint="eastAsia" w:ascii="宋体" w:hAnsi="宋体" w:cs="宋体"/>
          <w:spacing w:val="4"/>
          <w:szCs w:val="21"/>
        </w:rPr>
        <w:t>注：招标文件给定格式的按给定的格式填写，未给定格式的，由投标人自行编制，但需包含以上内容。</w:t>
      </w:r>
    </w:p>
    <w:p>
      <w:pPr>
        <w:spacing w:line="336" w:lineRule="auto"/>
        <w:ind w:firstLine="403" w:firstLineChars="185"/>
        <w:rPr>
          <w:rFonts w:ascii="宋体" w:hAnsi="宋体" w:cs="宋体"/>
          <w:spacing w:val="4"/>
          <w:szCs w:val="21"/>
        </w:rPr>
      </w:pPr>
      <w:r>
        <w:rPr>
          <w:rFonts w:hint="eastAsia" w:ascii="宋体" w:hAnsi="宋体" w:cs="宋体"/>
          <w:spacing w:val="4"/>
          <w:szCs w:val="21"/>
        </w:rPr>
        <w:t>2.2 投标文件技术部分：</w:t>
      </w:r>
    </w:p>
    <w:p>
      <w:pPr>
        <w:spacing w:line="336" w:lineRule="auto"/>
        <w:ind w:firstLine="388" w:firstLineChars="185"/>
        <w:rPr>
          <w:rFonts w:ascii="宋体" w:hAnsi="宋体" w:cs="宋体"/>
          <w:szCs w:val="21"/>
        </w:rPr>
      </w:pPr>
      <w:r>
        <w:rPr>
          <w:rFonts w:hint="eastAsia" w:ascii="宋体" w:hAnsi="宋体" w:cs="宋体"/>
          <w:szCs w:val="21"/>
        </w:rPr>
        <w:t>（1）技术规范及服务要求：详见技术协议；</w:t>
      </w:r>
    </w:p>
    <w:p>
      <w:pPr>
        <w:spacing w:line="336" w:lineRule="auto"/>
        <w:ind w:firstLine="388" w:firstLineChars="185"/>
        <w:rPr>
          <w:rFonts w:ascii="宋体" w:hAnsi="宋体" w:cs="宋体"/>
          <w:color w:val="FF0000"/>
          <w:szCs w:val="21"/>
        </w:rPr>
      </w:pPr>
      <w:r>
        <w:rPr>
          <w:rFonts w:hint="eastAsia" w:ascii="宋体" w:hAnsi="宋体" w:cs="宋体"/>
          <w:szCs w:val="21"/>
        </w:rPr>
        <w:t>（2）投标技术方案；</w:t>
      </w:r>
    </w:p>
    <w:p>
      <w:pPr>
        <w:spacing w:line="336" w:lineRule="auto"/>
        <w:ind w:firstLine="388" w:firstLineChars="185"/>
        <w:rPr>
          <w:rFonts w:ascii="宋体" w:hAnsi="宋体" w:cs="宋体"/>
          <w:szCs w:val="21"/>
        </w:rPr>
      </w:pPr>
      <w:r>
        <w:rPr>
          <w:rFonts w:hint="eastAsia" w:ascii="宋体" w:hAnsi="宋体" w:cs="宋体"/>
          <w:szCs w:val="21"/>
        </w:rPr>
        <w:t>（3）投标人需提交的其它技术资料。</w:t>
      </w:r>
    </w:p>
    <w:p>
      <w:pPr>
        <w:pStyle w:val="2"/>
      </w:pPr>
    </w:p>
    <w:p>
      <w:pPr>
        <w:pStyle w:val="2"/>
      </w:pPr>
    </w:p>
    <w:p/>
    <w:p>
      <w:pPr>
        <w:pStyle w:val="2"/>
      </w:pPr>
    </w:p>
    <w:p/>
    <w:p>
      <w:pPr>
        <w:pStyle w:val="2"/>
      </w:pPr>
    </w:p>
    <w:p/>
    <w:p>
      <w:pPr>
        <w:pStyle w:val="2"/>
      </w:pPr>
    </w:p>
    <w:p/>
    <w:p>
      <w:pPr>
        <w:pStyle w:val="2"/>
      </w:pPr>
    </w:p>
    <w:p/>
    <w:p>
      <w:pPr>
        <w:pStyle w:val="2"/>
      </w:pPr>
    </w:p>
    <w:p/>
    <w:p>
      <w:pPr>
        <w:pStyle w:val="2"/>
        <w:ind w:left="0" w:leftChars="0" w:firstLine="0" w:firstLineChars="0"/>
        <w:outlineLvl w:val="0"/>
        <w:rPr>
          <w:rFonts w:hint="default" w:eastAsia="宋体"/>
          <w:b/>
          <w:bCs/>
          <w:sz w:val="44"/>
          <w:szCs w:val="44"/>
          <w:lang w:val="en-US" w:eastAsia="zh-CN"/>
        </w:rPr>
      </w:pPr>
      <w:r>
        <w:rPr>
          <w:rFonts w:hint="eastAsia"/>
          <w:b/>
          <w:bCs/>
          <w:sz w:val="44"/>
          <w:szCs w:val="44"/>
          <w:lang w:val="en-US" w:eastAsia="zh-CN"/>
        </w:rPr>
        <w:t>投标附件：</w:t>
      </w:r>
    </w:p>
    <w:p>
      <w:pPr>
        <w:outlineLvl w:val="1"/>
        <w:rPr>
          <w:rFonts w:hint="default" w:eastAsia="黑体"/>
          <w:b/>
          <w:bCs/>
          <w:sz w:val="28"/>
          <w:lang w:val="en-US" w:eastAsia="zh-CN"/>
        </w:rPr>
      </w:pPr>
      <w:r>
        <w:rPr>
          <w:rFonts w:hint="eastAsia" w:eastAsia="黑体"/>
          <w:b/>
          <w:bCs/>
          <w:sz w:val="28"/>
        </w:rPr>
        <w:t>附件1</w:t>
      </w:r>
      <w:r>
        <w:rPr>
          <w:rFonts w:hint="eastAsia" w:eastAsia="黑体"/>
          <w:b/>
          <w:bCs/>
          <w:sz w:val="28"/>
          <w:lang w:val="en-US" w:eastAsia="zh-CN"/>
        </w:rPr>
        <w:t xml:space="preserve"> 投标函</w:t>
      </w:r>
    </w:p>
    <w:p>
      <w:pPr>
        <w:rPr>
          <w:rFonts w:ascii="宋体" w:hAnsi="宋体"/>
          <w:u w:val="single"/>
        </w:rPr>
      </w:pPr>
      <w:r>
        <w:rPr>
          <w:rFonts w:hint="eastAsia" w:ascii="宋体" w:hAnsi="宋体"/>
        </w:rPr>
        <w:t>项目名称：</w:t>
      </w:r>
      <w:r>
        <w:rPr>
          <w:rFonts w:hint="eastAsia" w:ascii="宋体" w:hAnsi="宋体"/>
          <w:u w:val="single"/>
        </w:rPr>
        <w:t xml:space="preserve"> 中国重汽集团杭州发动机有限公司</w:t>
      </w:r>
      <w:r>
        <w:rPr>
          <w:rFonts w:hint="eastAsia"/>
          <w:szCs w:val="22"/>
          <w:u w:val="single"/>
        </w:rPr>
        <w:t>污水站委托运营项目</w:t>
      </w:r>
    </w:p>
    <w:p>
      <w:pPr>
        <w:spacing w:line="360" w:lineRule="auto"/>
        <w:jc w:val="center"/>
        <w:rPr>
          <w:rFonts w:eastAsia="黑体"/>
          <w:b/>
          <w:bCs/>
          <w:sz w:val="28"/>
        </w:rPr>
      </w:pPr>
      <w:r>
        <w:rPr>
          <w:rFonts w:hint="eastAsia" w:eastAsia="黑体"/>
          <w:b/>
          <w:bCs/>
          <w:sz w:val="28"/>
        </w:rPr>
        <w:t>投标书</w:t>
      </w:r>
    </w:p>
    <w:p>
      <w:pPr>
        <w:spacing w:line="360" w:lineRule="auto"/>
        <w:rPr>
          <w:rFonts w:ascii="宋体" w:hAnsi="宋体"/>
          <w:u w:val="single"/>
        </w:rPr>
      </w:pPr>
      <w:r>
        <w:rPr>
          <w:rFonts w:hint="eastAsia" w:ascii="宋体" w:hAnsi="宋体"/>
        </w:rPr>
        <w:t>致</w:t>
      </w:r>
      <w:r>
        <w:rPr>
          <w:rFonts w:hint="eastAsia" w:ascii="宋体" w:hAnsi="宋体"/>
          <w:u w:val="single"/>
        </w:rPr>
        <w:t>中国重汽集团杭州发动机有限公司：</w:t>
      </w:r>
    </w:p>
    <w:p>
      <w:pPr>
        <w:spacing w:line="360" w:lineRule="auto"/>
        <w:ind w:firstLine="645"/>
        <w:rPr>
          <w:rFonts w:ascii="宋体" w:hAnsi="宋体"/>
        </w:rPr>
      </w:pPr>
      <w:r>
        <w:rPr>
          <w:rFonts w:hint="eastAsia" w:ascii="宋体" w:hAnsi="宋体"/>
        </w:rPr>
        <w:t>根据贵方</w:t>
      </w:r>
      <w:r>
        <w:rPr>
          <w:rFonts w:hint="eastAsia"/>
          <w:szCs w:val="22"/>
          <w:u w:val="single"/>
        </w:rPr>
        <w:t>污水站委托运营项目</w:t>
      </w:r>
      <w:r>
        <w:rPr>
          <w:rFonts w:hint="eastAsia" w:ascii="宋体" w:hAnsi="宋体"/>
          <w:u w:val="single"/>
        </w:rPr>
        <w:t>招标文件</w:t>
      </w:r>
      <w:r>
        <w:rPr>
          <w:rFonts w:hint="eastAsia" w:ascii="宋体" w:hAnsi="宋体"/>
        </w:rPr>
        <w:t>，签字代表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numPr>
          <w:ilvl w:val="0"/>
          <w:numId w:val="5"/>
        </w:numPr>
        <w:spacing w:line="360" w:lineRule="auto"/>
        <w:rPr>
          <w:rFonts w:ascii="宋体" w:hAnsi="宋体"/>
        </w:rPr>
      </w:pPr>
      <w:r>
        <w:rPr>
          <w:rFonts w:hint="eastAsia" w:ascii="宋体" w:hAnsi="宋体"/>
        </w:rPr>
        <w:t>资质文件</w:t>
      </w:r>
    </w:p>
    <w:p>
      <w:pPr>
        <w:numPr>
          <w:ilvl w:val="0"/>
          <w:numId w:val="5"/>
        </w:numPr>
        <w:spacing w:line="360" w:lineRule="auto"/>
        <w:rPr>
          <w:rFonts w:ascii="宋体" w:hAnsi="宋体"/>
        </w:rPr>
      </w:pPr>
      <w:r>
        <w:rPr>
          <w:rFonts w:hint="eastAsia" w:ascii="宋体" w:hAnsi="宋体"/>
        </w:rPr>
        <w:t>开标一览表</w:t>
      </w:r>
    </w:p>
    <w:p>
      <w:pPr>
        <w:numPr>
          <w:ilvl w:val="0"/>
          <w:numId w:val="5"/>
        </w:numPr>
        <w:spacing w:line="360" w:lineRule="auto"/>
        <w:rPr>
          <w:rFonts w:ascii="宋体" w:hAnsi="宋体"/>
        </w:rPr>
      </w:pPr>
      <w:r>
        <w:rPr>
          <w:rFonts w:hint="eastAsia" w:ascii="宋体" w:hAnsi="宋体"/>
        </w:rPr>
        <w:t>商务标书</w:t>
      </w:r>
    </w:p>
    <w:p>
      <w:pPr>
        <w:numPr>
          <w:ilvl w:val="0"/>
          <w:numId w:val="5"/>
        </w:numPr>
        <w:spacing w:line="360" w:lineRule="auto"/>
        <w:rPr>
          <w:rFonts w:ascii="宋体" w:hAnsi="宋体"/>
        </w:rPr>
      </w:pPr>
      <w:r>
        <w:rPr>
          <w:rFonts w:hint="eastAsia" w:ascii="宋体" w:hAnsi="宋体"/>
        </w:rPr>
        <w:t>技术标书</w:t>
      </w:r>
    </w:p>
    <w:p>
      <w:pPr>
        <w:spacing w:line="360" w:lineRule="auto"/>
        <w:rPr>
          <w:rFonts w:ascii="宋体" w:hAnsi="宋体"/>
        </w:rPr>
      </w:pPr>
      <w:r>
        <w:rPr>
          <w:rFonts w:hint="eastAsia" w:ascii="宋体" w:hAnsi="宋体"/>
        </w:rPr>
        <w:t>据此，签字代表宣布同意如下：</w:t>
      </w:r>
    </w:p>
    <w:p>
      <w:pPr>
        <w:spacing w:line="360" w:lineRule="auto"/>
        <w:ind w:firstLine="840" w:firstLineChars="400"/>
        <w:rPr>
          <w:rFonts w:ascii="宋体" w:hAnsi="宋体"/>
        </w:rPr>
      </w:pPr>
      <w:r>
        <w:rPr>
          <w:rFonts w:hint="eastAsia" w:ascii="宋体" w:hAnsi="宋体"/>
        </w:rPr>
        <w:t>所附投标报价表中规定的应提供的投标报价。</w:t>
      </w:r>
    </w:p>
    <w:p>
      <w:pPr>
        <w:numPr>
          <w:ilvl w:val="0"/>
          <w:numId w:val="6"/>
        </w:numPr>
        <w:spacing w:line="360" w:lineRule="auto"/>
        <w:rPr>
          <w:rFonts w:ascii="宋体" w:hAnsi="宋体"/>
        </w:rPr>
      </w:pPr>
      <w:r>
        <w:rPr>
          <w:rFonts w:hint="eastAsia" w:ascii="宋体" w:hAnsi="宋体"/>
        </w:rPr>
        <w:t>投标人将按招标文件的规定履行合同责任和义务。</w:t>
      </w:r>
    </w:p>
    <w:p>
      <w:pPr>
        <w:numPr>
          <w:ilvl w:val="0"/>
          <w:numId w:val="6"/>
        </w:numPr>
        <w:spacing w:line="360" w:lineRule="auto"/>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6"/>
        </w:numPr>
        <w:spacing w:line="360" w:lineRule="auto"/>
        <w:rPr>
          <w:rFonts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6"/>
        </w:numPr>
        <w:spacing w:line="360" w:lineRule="auto"/>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6"/>
        </w:numPr>
        <w:spacing w:line="360" w:lineRule="auto"/>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pPr>
        <w:spacing w:line="360" w:lineRule="auto"/>
        <w:ind w:left="795"/>
        <w:rPr>
          <w:rFonts w:ascii="宋体" w:hAnsi="宋体"/>
        </w:rPr>
      </w:pPr>
    </w:p>
    <w:p>
      <w:pPr>
        <w:spacing w:line="360" w:lineRule="auto"/>
        <w:ind w:left="795"/>
        <w:rPr>
          <w:rFonts w:ascii="宋体" w:hAnsi="宋体"/>
        </w:rPr>
      </w:pPr>
      <w:r>
        <w:rPr>
          <w:rFonts w:hint="eastAsia" w:ascii="宋体" w:hAnsi="宋体"/>
        </w:rPr>
        <w:t>电话：                                   传真：</w:t>
      </w:r>
    </w:p>
    <w:p>
      <w:pPr>
        <w:spacing w:line="360" w:lineRule="auto"/>
        <w:ind w:left="795"/>
      </w:pPr>
    </w:p>
    <w:p>
      <w:pPr>
        <w:spacing w:line="360" w:lineRule="auto"/>
        <w:ind w:left="795"/>
      </w:pPr>
      <w:r>
        <w:rPr>
          <w:rFonts w:hint="eastAsia"/>
        </w:rPr>
        <w:t>投标人授权代表签字：                 职务：                 日期：</w:t>
      </w:r>
    </w:p>
    <w:p>
      <w:pPr>
        <w:spacing w:line="360" w:lineRule="auto"/>
        <w:ind w:left="795"/>
      </w:pPr>
    </w:p>
    <w:p>
      <w:pPr>
        <w:spacing w:line="360" w:lineRule="auto"/>
        <w:ind w:left="795"/>
      </w:pPr>
      <w:r>
        <w:rPr>
          <w:rFonts w:hint="eastAsia"/>
        </w:rPr>
        <w:t>投标人名称（及公章）：</w:t>
      </w:r>
    </w:p>
    <w:p>
      <w:pPr>
        <w:spacing w:line="360" w:lineRule="auto"/>
        <w:ind w:left="795"/>
      </w:pPr>
    </w:p>
    <w:p>
      <w:pPr>
        <w:spacing w:line="360" w:lineRule="auto"/>
        <w:ind w:left="795"/>
        <w:rPr>
          <w:rFonts w:ascii="黑体" w:eastAsia="黑体"/>
          <w:sz w:val="30"/>
        </w:rPr>
      </w:pPr>
      <w:r>
        <w:rPr>
          <w:rFonts w:hint="eastAsia"/>
        </w:rPr>
        <w:t>日期：        年       月       日</w:t>
      </w:r>
    </w:p>
    <w:p>
      <w:pPr>
        <w:spacing w:line="360" w:lineRule="auto"/>
        <w:outlineLvl w:val="1"/>
        <w:rPr>
          <w:rFonts w:hint="default" w:eastAsia="黑体"/>
          <w:b/>
          <w:bCs/>
          <w:sz w:val="28"/>
          <w:lang w:val="en-US" w:eastAsia="zh-CN"/>
        </w:rPr>
      </w:pPr>
      <w:r>
        <w:rPr>
          <w:rFonts w:ascii="黑体" w:eastAsia="黑体"/>
          <w:sz w:val="30"/>
        </w:rPr>
        <w:br w:type="page"/>
      </w:r>
      <w:r>
        <w:rPr>
          <w:rFonts w:hint="eastAsia" w:ascii="黑体" w:eastAsia="黑体"/>
          <w:sz w:val="30"/>
        </w:rPr>
        <w:t>附件</w:t>
      </w:r>
      <w:r>
        <w:rPr>
          <w:rFonts w:hint="eastAsia" w:eastAsia="黑体"/>
          <w:b/>
          <w:bCs/>
          <w:sz w:val="28"/>
        </w:rPr>
        <w:t>2</w:t>
      </w:r>
      <w:r>
        <w:rPr>
          <w:rFonts w:hint="eastAsia" w:eastAsia="黑体"/>
          <w:b/>
          <w:bCs/>
          <w:sz w:val="28"/>
          <w:lang w:val="en-US" w:eastAsia="zh-CN"/>
        </w:rPr>
        <w:t xml:space="preserve"> 投标文件目录</w:t>
      </w:r>
    </w:p>
    <w:p>
      <w:pPr>
        <w:rPr>
          <w:rFonts w:ascii="宋体" w:hAnsi="宋体"/>
        </w:rPr>
      </w:pPr>
      <w:r>
        <w:rPr>
          <w:rFonts w:hint="eastAsia" w:ascii="宋体" w:hAnsi="宋体"/>
        </w:rPr>
        <w:t>项目名称：</w:t>
      </w:r>
      <w:r>
        <w:rPr>
          <w:rFonts w:hint="eastAsia" w:ascii="宋体" w:hAnsi="宋体"/>
          <w:u w:val="single"/>
        </w:rPr>
        <w:t xml:space="preserve"> 中国重汽集团杭州发动机有限公司</w:t>
      </w:r>
      <w:r>
        <w:rPr>
          <w:rFonts w:hint="eastAsia"/>
          <w:szCs w:val="22"/>
          <w:u w:val="single"/>
        </w:rPr>
        <w:t>污水站委托运营项目</w:t>
      </w:r>
    </w:p>
    <w:p>
      <w:pPr>
        <w:rPr>
          <w:rFonts w:ascii="宋体" w:hAnsi="宋体"/>
        </w:rPr>
      </w:pPr>
    </w:p>
    <w:p>
      <w:pPr>
        <w:rPr>
          <w:rFonts w:ascii="宋体" w:hAnsi="宋体"/>
          <w:szCs w:val="21"/>
        </w:rPr>
      </w:pPr>
      <w:r>
        <w:rPr>
          <w:rFonts w:hint="eastAsia" w:ascii="宋体" w:hAnsi="宋体"/>
          <w:szCs w:val="21"/>
        </w:rPr>
        <w:t>日期：  年   月   日</w:t>
      </w:r>
    </w:p>
    <w:p>
      <w:pPr>
        <w:jc w:val="center"/>
        <w:rPr>
          <w:rFonts w:ascii="黑体" w:eastAsia="黑体"/>
          <w:sz w:val="30"/>
        </w:rPr>
      </w:pPr>
      <w:r>
        <w:rPr>
          <w:rFonts w:hint="eastAsia" w:ascii="黑体" w:eastAsia="黑体"/>
          <w:sz w:val="30"/>
        </w:rPr>
        <w:t>投标文件目录</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sz w:val="28"/>
              </w:rPr>
            </w:pPr>
            <w:r>
              <w:rPr>
                <w:rFonts w:hint="eastAsia"/>
                <w:sz w:val="28"/>
              </w:rPr>
              <w:t>序号</w:t>
            </w:r>
          </w:p>
        </w:tc>
        <w:tc>
          <w:tcPr>
            <w:tcW w:w="6520" w:type="dxa"/>
            <w:vAlign w:val="center"/>
          </w:tcPr>
          <w:p>
            <w:pPr>
              <w:jc w:val="center"/>
              <w:rPr>
                <w:sz w:val="28"/>
              </w:rPr>
            </w:pPr>
            <w:r>
              <w:rPr>
                <w:rFonts w:hint="eastAsia"/>
                <w:sz w:val="28"/>
              </w:rPr>
              <w:t>主要内容</w:t>
            </w:r>
          </w:p>
        </w:tc>
        <w:tc>
          <w:tcPr>
            <w:tcW w:w="1276" w:type="dxa"/>
            <w:vAlign w:val="center"/>
          </w:tcPr>
          <w:p>
            <w:pPr>
              <w:jc w:val="center"/>
              <w:rPr>
                <w:sz w:val="28"/>
              </w:rPr>
            </w:pPr>
            <w:r>
              <w:rPr>
                <w:rFonts w:hint="eastAsia"/>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bl>
    <w:p>
      <w:pPr>
        <w:rPr>
          <w:rFonts w:ascii="宋体" w:hAnsi="宋体"/>
          <w:sz w:val="24"/>
          <w:szCs w:val="24"/>
        </w:rPr>
      </w:pPr>
    </w:p>
    <w:p>
      <w:pPr>
        <w:rPr>
          <w:rFonts w:ascii="宋体" w:hAnsi="宋体"/>
          <w:sz w:val="24"/>
          <w:szCs w:val="24"/>
        </w:rPr>
      </w:pPr>
      <w:r>
        <w:rPr>
          <w:rFonts w:hint="eastAsia" w:ascii="宋体" w:hAnsi="宋体"/>
          <w:sz w:val="24"/>
          <w:szCs w:val="24"/>
        </w:rPr>
        <w:t>投标人名称（盖章）：              法定代表人或授权代表签字：</w:t>
      </w: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pPr>
        <w:ind w:firstLine="480"/>
        <w:rPr>
          <w:rFonts w:ascii="宋体" w:hAnsi="宋体" w:cs="宋体"/>
        </w:rPr>
        <w:sectPr>
          <w:pgSz w:w="11906" w:h="16838"/>
          <w:pgMar w:top="1417" w:right="1587" w:bottom="1020" w:left="1587" w:header="851" w:footer="992" w:gutter="0"/>
          <w:pgNumType w:fmt="numberInDash"/>
          <w:cols w:space="720" w:num="1"/>
          <w:titlePg/>
          <w:docGrid w:type="lines" w:linePitch="312" w:charSpace="0"/>
        </w:sectPr>
      </w:pPr>
      <w:r>
        <w:rPr>
          <w:rFonts w:hint="eastAsia" w:ascii="宋体" w:hAnsi="宋体"/>
          <w:sz w:val="24"/>
        </w:rPr>
        <w:t>2．“索引”一栏填写该主要内容对应于投标文件的“条款号/页号”。</w:t>
      </w:r>
    </w:p>
    <w:p>
      <w:pPr>
        <w:outlineLvl w:val="1"/>
        <w:rPr>
          <w:rFonts w:hint="default" w:eastAsia="黑体"/>
          <w:b/>
          <w:bCs/>
          <w:sz w:val="28"/>
          <w:lang w:val="en-US" w:eastAsia="zh-CN"/>
        </w:rPr>
      </w:pPr>
      <w:r>
        <w:rPr>
          <w:rFonts w:hint="eastAsia" w:eastAsia="黑体"/>
          <w:b/>
          <w:bCs/>
          <w:sz w:val="28"/>
        </w:rPr>
        <w:t>附件3</w:t>
      </w:r>
      <w:r>
        <w:rPr>
          <w:rFonts w:hint="eastAsia" w:eastAsia="黑体"/>
          <w:b/>
          <w:bCs/>
          <w:sz w:val="28"/>
          <w:lang w:val="en-US" w:eastAsia="zh-CN"/>
        </w:rPr>
        <w:t xml:space="preserve"> 法人授权委托书</w:t>
      </w:r>
    </w:p>
    <w:p>
      <w:pPr>
        <w:rPr>
          <w:rFonts w:ascii="宋体" w:hAnsi="宋体"/>
        </w:rPr>
      </w:pPr>
      <w:r>
        <w:rPr>
          <w:rFonts w:hint="eastAsia" w:ascii="宋体" w:hAnsi="宋体"/>
        </w:rPr>
        <w:t>项目名称：</w:t>
      </w:r>
      <w:r>
        <w:rPr>
          <w:rFonts w:hint="eastAsia" w:ascii="宋体" w:hAnsi="宋体"/>
          <w:u w:val="single"/>
        </w:rPr>
        <w:t>中国重汽集团杭州发动机有限公司</w:t>
      </w:r>
      <w:r>
        <w:rPr>
          <w:rFonts w:hint="eastAsia"/>
          <w:szCs w:val="22"/>
          <w:u w:val="single"/>
        </w:rPr>
        <w:t>污水站委托运营项目</w:t>
      </w:r>
      <w:r>
        <w:rPr>
          <w:rFonts w:hint="eastAsia" w:ascii="宋体" w:hAnsi="宋体"/>
          <w:u w:val="single"/>
        </w:rPr>
        <w:t xml:space="preserve"> </w:t>
      </w:r>
    </w:p>
    <w:p>
      <w:pPr>
        <w:pStyle w:val="9"/>
        <w:spacing w:line="360" w:lineRule="auto"/>
        <w:ind w:firstLine="480"/>
        <w:rPr>
          <w:rFonts w:hAnsi="宋体"/>
          <w:szCs w:val="21"/>
        </w:rPr>
      </w:pPr>
    </w:p>
    <w:p>
      <w:pPr>
        <w:pStyle w:val="9"/>
        <w:spacing w:line="360" w:lineRule="auto"/>
        <w:ind w:firstLine="480"/>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法人授权委托书</w:t>
      </w:r>
    </w:p>
    <w:p>
      <w:pPr>
        <w:rPr>
          <w:rFonts w:ascii="宋体" w:hAnsi="宋体"/>
          <w:u w:val="single"/>
        </w:rPr>
      </w:pPr>
      <w:r>
        <w:rPr>
          <w:rFonts w:hint="eastAsia" w:ascii="宋体" w:hAnsi="宋体"/>
          <w:u w:val="single"/>
        </w:rPr>
        <w:t>中国重汽集团杭州发动机有限公司：</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u w:val="single"/>
        </w:rPr>
        <w:t>中国重汽杭发公司</w:t>
      </w:r>
      <w:r>
        <w:rPr>
          <w:rFonts w:hint="eastAsia"/>
          <w:szCs w:val="22"/>
          <w:u w:val="single"/>
        </w:rPr>
        <w:t>污水站委托运营项目</w:t>
      </w:r>
      <w:r>
        <w:rPr>
          <w:rFonts w:hint="eastAsia" w:ascii="宋体" w:hAnsi="宋体"/>
          <w:u w:val="single"/>
        </w:rPr>
        <w:t xml:space="preserve"> </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授权代表无转委托权，特此委托。</w:t>
      </w:r>
    </w:p>
    <w:p>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r>
        <w:rPr>
          <w:rFonts w:hint="eastAsia" w:ascii="宋体" w:hAnsi="宋体"/>
          <w:kern w:val="0"/>
          <w:szCs w:val="21"/>
        </w:rPr>
        <w:t>法定代表人：（签字）</w:t>
      </w:r>
    </w:p>
    <w:p>
      <w:pPr>
        <w:spacing w:line="360" w:lineRule="auto"/>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pStyle w:val="9"/>
        <w:spacing w:line="360" w:lineRule="auto"/>
        <w:ind w:firstLine="482"/>
        <w:rPr>
          <w:rFonts w:hAnsi="宋体"/>
          <w:b/>
          <w:sz w:val="24"/>
          <w:szCs w:val="24"/>
        </w:rPr>
      </w:pPr>
    </w:p>
    <w:p>
      <w:pPr>
        <w:pStyle w:val="9"/>
        <w:spacing w:line="360" w:lineRule="auto"/>
        <w:ind w:firstLine="482"/>
        <w:rPr>
          <w:rFonts w:hAnsi="宋体"/>
          <w:b/>
          <w:sz w:val="24"/>
          <w:szCs w:val="24"/>
        </w:rPr>
      </w:pPr>
    </w:p>
    <w:p>
      <w:pPr>
        <w:pStyle w:val="9"/>
        <w:spacing w:line="360" w:lineRule="auto"/>
        <w:ind w:firstLine="723"/>
        <w:jc w:val="center"/>
        <w:rPr>
          <w:rFonts w:ascii="黑体" w:eastAsia="黑体"/>
          <w:b/>
          <w:bCs/>
          <w:sz w:val="36"/>
          <w:szCs w:val="36"/>
        </w:rPr>
      </w:pPr>
    </w:p>
    <w:p>
      <w:pPr>
        <w:spacing w:line="660" w:lineRule="exact"/>
        <w:rPr>
          <w:rFonts w:eastAsia="黑体"/>
          <w:b/>
          <w:bCs/>
          <w:sz w:val="28"/>
        </w:rPr>
      </w:pPr>
    </w:p>
    <w:p>
      <w:pPr>
        <w:spacing w:line="660" w:lineRule="exact"/>
        <w:rPr>
          <w:rFonts w:eastAsia="黑体"/>
          <w:b/>
          <w:bCs/>
          <w:sz w:val="28"/>
        </w:rPr>
        <w:sectPr>
          <w:headerReference r:id="rId5" w:type="first"/>
          <w:footerReference r:id="rId6" w:type="default"/>
          <w:pgSz w:w="11906" w:h="16838"/>
          <w:pgMar w:top="1417" w:right="1587" w:bottom="1020" w:left="1587" w:header="851" w:footer="992" w:gutter="0"/>
          <w:pgNumType w:fmt="numberInDash"/>
          <w:cols w:space="720" w:num="1"/>
          <w:titlePg/>
          <w:docGrid w:type="lines" w:linePitch="312" w:charSpace="0"/>
        </w:sectPr>
      </w:pPr>
    </w:p>
    <w:p>
      <w:pPr>
        <w:spacing w:line="660" w:lineRule="exact"/>
        <w:outlineLvl w:val="1"/>
        <w:rPr>
          <w:rFonts w:eastAsia="黑体"/>
          <w:b/>
          <w:bCs/>
          <w:sz w:val="28"/>
        </w:rPr>
      </w:pPr>
      <w:r>
        <w:rPr>
          <w:rFonts w:hint="eastAsia" w:eastAsia="黑体"/>
          <w:b/>
          <w:bCs/>
          <w:sz w:val="28"/>
        </w:rPr>
        <w:t>附件4   开标一览表</w:t>
      </w:r>
    </w:p>
    <w:p>
      <w:pPr>
        <w:rPr>
          <w:rFonts w:ascii="宋体" w:hAnsi="宋体"/>
          <w:u w:val="single"/>
        </w:rPr>
      </w:pPr>
      <w:r>
        <w:rPr>
          <w:rFonts w:hint="eastAsia" w:ascii="宋体" w:hAnsi="宋体"/>
        </w:rPr>
        <w:t>项目名称：</w:t>
      </w:r>
      <w:r>
        <w:rPr>
          <w:rFonts w:hint="eastAsia" w:ascii="宋体" w:hAnsi="宋体"/>
          <w:u w:val="single"/>
        </w:rPr>
        <w:t xml:space="preserve"> 中国重汽集团杭州发动机有限公司</w:t>
      </w:r>
      <w:r>
        <w:rPr>
          <w:rFonts w:hint="eastAsia"/>
          <w:szCs w:val="22"/>
          <w:u w:val="single"/>
        </w:rPr>
        <w:t>污水站委托运营项目</w:t>
      </w:r>
      <w:r>
        <w:rPr>
          <w:rFonts w:hint="eastAsia" w:ascii="宋体" w:hAnsi="宋体"/>
          <w:u w:val="single"/>
        </w:rPr>
        <w:t xml:space="preserve"> </w:t>
      </w:r>
    </w:p>
    <w:p>
      <w:pPr>
        <w:rPr>
          <w:rFonts w:ascii="宋体" w:hAnsi="宋体"/>
          <w:u w:val="single"/>
        </w:rPr>
      </w:pPr>
    </w:p>
    <w:p>
      <w:pPr>
        <w:rPr>
          <w:rFonts w:ascii="宋体" w:hAnsi="宋体"/>
          <w:szCs w:val="21"/>
        </w:rPr>
      </w:pPr>
      <w:r>
        <w:rPr>
          <w:rFonts w:hint="eastAsia" w:ascii="宋体" w:hAnsi="宋体"/>
          <w:szCs w:val="21"/>
        </w:rPr>
        <w:t>日期：  年   月   日</w:t>
      </w:r>
    </w:p>
    <w:p>
      <w:pPr>
        <w:spacing w:line="660" w:lineRule="exact"/>
        <w:rPr>
          <w:rFonts w:eastAsia="黑体"/>
          <w:b/>
          <w:bCs/>
          <w:sz w:val="28"/>
        </w:rPr>
      </w:pPr>
    </w:p>
    <w:p>
      <w:pPr>
        <w:pStyle w:val="8"/>
        <w:jc w:val="center"/>
        <w:rPr>
          <w:rFonts w:ascii="宋体" w:hAnsi="宋体" w:cs="宋体"/>
        </w:rPr>
      </w:pPr>
      <w:r>
        <w:rPr>
          <w:rFonts w:hint="eastAsia" w:ascii="宋体" w:hAnsi="宋体" w:cs="宋体"/>
          <w:b/>
          <w:bCs/>
          <w:szCs w:val="32"/>
        </w:rPr>
        <w:t>开标一览表</w:t>
      </w:r>
    </w:p>
    <w:p>
      <w:pPr>
        <w:rPr>
          <w:rFonts w:ascii="宋体" w:hAnsi="宋体" w:cs="宋体"/>
        </w:rPr>
      </w:pPr>
      <w:r>
        <w:rPr>
          <w:rFonts w:hint="eastAsia" w:ascii="仿宋_GB2312" w:hAnsi="宋体" w:eastAsia="仿宋_GB2312"/>
          <w:sz w:val="24"/>
        </w:rPr>
        <w:t>投标人名称（盖章）：              法定代表人或授权代表签字：</w:t>
      </w:r>
    </w:p>
    <w:tbl>
      <w:tblPr>
        <w:tblStyle w:val="14"/>
        <w:tblW w:w="9351"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2"/>
        <w:gridCol w:w="2268"/>
        <w:gridCol w:w="2126"/>
        <w:gridCol w:w="1134"/>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shd w:val="clear" w:color="auto" w:fill="auto"/>
            <w:vAlign w:val="center"/>
          </w:tcPr>
          <w:p>
            <w:pPr>
              <w:spacing w:line="336" w:lineRule="auto"/>
              <w:jc w:val="center"/>
              <w:rPr>
                <w:rFonts w:eastAsia="楷体_GB2312"/>
                <w:bCs/>
                <w:sz w:val="28"/>
              </w:rPr>
            </w:pPr>
            <w:r>
              <w:rPr>
                <w:rFonts w:hint="eastAsia" w:eastAsia="楷体_GB2312"/>
                <w:bCs/>
                <w:sz w:val="28"/>
              </w:rPr>
              <w:t>项目</w:t>
            </w:r>
          </w:p>
        </w:tc>
        <w:tc>
          <w:tcPr>
            <w:tcW w:w="2268" w:type="dxa"/>
            <w:shd w:val="clear" w:color="auto" w:fill="auto"/>
            <w:vAlign w:val="center"/>
          </w:tcPr>
          <w:p>
            <w:pPr>
              <w:spacing w:line="336" w:lineRule="auto"/>
              <w:jc w:val="center"/>
            </w:pPr>
            <w:r>
              <w:rPr>
                <w:rFonts w:hint="eastAsia" w:eastAsia="楷体_GB2312"/>
                <w:bCs/>
                <w:sz w:val="28"/>
              </w:rPr>
              <w:t>不含税单价元/台</w:t>
            </w:r>
          </w:p>
        </w:tc>
        <w:tc>
          <w:tcPr>
            <w:tcW w:w="2126" w:type="dxa"/>
            <w:shd w:val="clear" w:color="auto" w:fill="auto"/>
            <w:vAlign w:val="center"/>
          </w:tcPr>
          <w:p>
            <w:pPr>
              <w:spacing w:line="336" w:lineRule="auto"/>
              <w:jc w:val="center"/>
              <w:rPr>
                <w:rFonts w:eastAsia="楷体_GB2312"/>
                <w:bCs/>
                <w:sz w:val="28"/>
              </w:rPr>
            </w:pPr>
            <w:r>
              <w:rPr>
                <w:rFonts w:hint="eastAsia" w:eastAsia="楷体_GB2312"/>
                <w:bCs/>
                <w:sz w:val="28"/>
              </w:rPr>
              <w:t>含税单价元/台</w:t>
            </w:r>
          </w:p>
        </w:tc>
        <w:tc>
          <w:tcPr>
            <w:tcW w:w="1134" w:type="dxa"/>
            <w:shd w:val="clear" w:color="auto" w:fill="auto"/>
            <w:vAlign w:val="center"/>
          </w:tcPr>
          <w:p>
            <w:pPr>
              <w:spacing w:line="336" w:lineRule="auto"/>
              <w:jc w:val="center"/>
              <w:rPr>
                <w:rFonts w:eastAsia="楷体_GB2312"/>
                <w:bCs/>
                <w:sz w:val="28"/>
              </w:rPr>
            </w:pPr>
            <w:r>
              <w:rPr>
                <w:rFonts w:hint="eastAsia" w:eastAsia="楷体_GB2312"/>
                <w:bCs/>
                <w:sz w:val="28"/>
              </w:rPr>
              <w:t>税率</w:t>
            </w:r>
          </w:p>
        </w:tc>
        <w:tc>
          <w:tcPr>
            <w:tcW w:w="1701" w:type="dxa"/>
            <w:shd w:val="clear" w:color="auto" w:fill="auto"/>
            <w:vAlign w:val="center"/>
          </w:tcPr>
          <w:p>
            <w:pPr>
              <w:spacing w:line="336" w:lineRule="auto"/>
              <w:jc w:val="center"/>
              <w:rPr>
                <w:rFonts w:eastAsia="楷体_GB2312"/>
                <w:bCs/>
                <w:sz w:val="28"/>
              </w:rPr>
            </w:pPr>
            <w:r>
              <w:rPr>
                <w:rFonts w:hint="eastAsia" w:eastAsia="楷体_GB2312"/>
                <w:bCs/>
                <w:sz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2" w:type="dxa"/>
            <w:shd w:val="clear" w:color="auto" w:fill="auto"/>
            <w:vAlign w:val="center"/>
          </w:tcPr>
          <w:p>
            <w:pPr>
              <w:spacing w:line="336" w:lineRule="auto"/>
              <w:jc w:val="center"/>
              <w:rPr>
                <w:rFonts w:eastAsia="楷体_GB2312"/>
                <w:bCs/>
                <w:sz w:val="24"/>
                <w:szCs w:val="24"/>
              </w:rPr>
            </w:pPr>
            <w:r>
              <w:rPr>
                <w:rFonts w:hint="eastAsia" w:eastAsia="楷体_GB2312"/>
                <w:bCs/>
                <w:sz w:val="24"/>
                <w:szCs w:val="24"/>
              </w:rPr>
              <w:t>污水处理站</w:t>
            </w:r>
          </w:p>
          <w:p>
            <w:pPr>
              <w:spacing w:line="336" w:lineRule="auto"/>
              <w:jc w:val="center"/>
              <w:rPr>
                <w:rFonts w:eastAsia="楷体_GB2312"/>
                <w:bCs/>
                <w:sz w:val="28"/>
              </w:rPr>
            </w:pPr>
            <w:r>
              <w:rPr>
                <w:rFonts w:hint="eastAsia" w:eastAsia="楷体_GB2312"/>
                <w:bCs/>
                <w:sz w:val="24"/>
                <w:szCs w:val="24"/>
              </w:rPr>
              <w:t>委托运营</w:t>
            </w:r>
          </w:p>
        </w:tc>
        <w:tc>
          <w:tcPr>
            <w:tcW w:w="2268" w:type="dxa"/>
            <w:shd w:val="clear" w:color="auto" w:fill="auto"/>
          </w:tcPr>
          <w:p>
            <w:pPr>
              <w:spacing w:line="336" w:lineRule="auto"/>
              <w:rPr>
                <w:rFonts w:eastAsia="楷体_GB2312"/>
                <w:bCs/>
                <w:sz w:val="28"/>
              </w:rPr>
            </w:pPr>
          </w:p>
        </w:tc>
        <w:tc>
          <w:tcPr>
            <w:tcW w:w="2126" w:type="dxa"/>
            <w:shd w:val="clear" w:color="auto" w:fill="auto"/>
          </w:tcPr>
          <w:p>
            <w:pPr>
              <w:spacing w:line="336" w:lineRule="auto"/>
              <w:rPr>
                <w:rFonts w:eastAsia="楷体_GB2312"/>
                <w:bCs/>
                <w:sz w:val="28"/>
              </w:rPr>
            </w:pPr>
          </w:p>
        </w:tc>
        <w:tc>
          <w:tcPr>
            <w:tcW w:w="1134" w:type="dxa"/>
            <w:shd w:val="clear" w:color="auto" w:fill="auto"/>
          </w:tcPr>
          <w:p>
            <w:pPr>
              <w:spacing w:line="336" w:lineRule="auto"/>
              <w:rPr>
                <w:rFonts w:eastAsia="楷体_GB2312"/>
                <w:bCs/>
                <w:sz w:val="28"/>
              </w:rPr>
            </w:pPr>
            <w:r>
              <w:rPr>
                <w:rFonts w:hint="eastAsia" w:eastAsia="楷体_GB2312"/>
                <w:bCs/>
                <w:sz w:val="28"/>
              </w:rPr>
              <w:t xml:space="preserve"> </w:t>
            </w:r>
          </w:p>
        </w:tc>
        <w:tc>
          <w:tcPr>
            <w:tcW w:w="1701" w:type="dxa"/>
            <w:shd w:val="clear" w:color="auto" w:fill="auto"/>
          </w:tcPr>
          <w:p>
            <w:pPr>
              <w:spacing w:line="336" w:lineRule="auto"/>
              <w:rPr>
                <w:rFonts w:eastAsia="楷体_GB2312"/>
                <w:bCs/>
                <w:sz w:val="28"/>
              </w:rPr>
            </w:pPr>
            <w:r>
              <w:rPr>
                <w:rFonts w:hint="eastAsia" w:ascii="宋体" w:hAnsi="宋体"/>
                <w:b/>
                <w:bCs/>
              </w:rPr>
              <w:t>202</w:t>
            </w:r>
            <w:r>
              <w:rPr>
                <w:rFonts w:ascii="宋体" w:hAnsi="宋体"/>
                <w:b/>
                <w:bCs/>
              </w:rPr>
              <w:t>6</w:t>
            </w:r>
            <w:r>
              <w:rPr>
                <w:rFonts w:hint="eastAsia" w:ascii="宋体" w:hAnsi="宋体"/>
                <w:b/>
                <w:bCs/>
              </w:rPr>
              <w:t>年预计产量</w:t>
            </w:r>
            <w:r>
              <w:rPr>
                <w:rFonts w:ascii="宋体" w:hAnsi="宋体"/>
                <w:b/>
                <w:bCs/>
              </w:rPr>
              <w:t>109860</w:t>
            </w:r>
            <w:r>
              <w:rPr>
                <w:rFonts w:hint="eastAsia" w:ascii="宋体" w:hAnsi="宋体"/>
                <w:b/>
                <w:bCs/>
              </w:rPr>
              <w:t>台</w:t>
            </w:r>
          </w:p>
        </w:tc>
      </w:tr>
    </w:tbl>
    <w:p>
      <w:pPr>
        <w:rPr>
          <w:rFonts w:ascii="宋体" w:hAnsi="宋体"/>
          <w:b/>
          <w:bCs/>
        </w:rPr>
      </w:pPr>
    </w:p>
    <w:p>
      <w:pPr>
        <w:rPr>
          <w:rFonts w:ascii="宋体" w:hAnsi="宋体"/>
          <w:b/>
          <w:bCs/>
        </w:rPr>
      </w:pPr>
      <w:r>
        <w:rPr>
          <w:rFonts w:hint="eastAsia" w:ascii="宋体" w:hAnsi="宋体"/>
          <w:b/>
          <w:bCs/>
        </w:rPr>
        <w:t>注：1、此表中的报价必须与相应的报价明细表中的报价一致。</w:t>
      </w:r>
    </w:p>
    <w:p>
      <w:pPr>
        <w:numPr>
          <w:ilvl w:val="0"/>
          <w:numId w:val="7"/>
        </w:numPr>
        <w:ind w:firstLine="422" w:firstLineChars="200"/>
        <w:rPr>
          <w:rFonts w:ascii="宋体" w:hAnsi="宋体"/>
          <w:b/>
          <w:bCs/>
        </w:rPr>
      </w:pPr>
      <w:r>
        <w:rPr>
          <w:rFonts w:hint="eastAsia" w:ascii="宋体" w:hAnsi="宋体"/>
          <w:b/>
          <w:bCs/>
        </w:rPr>
        <w:t>本表除附在投标文件中外，还应一式贰份单独密封，以便唱标。</w:t>
      </w: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rPr>
          <w:rFonts w:ascii="宋体" w:hAnsi="宋体"/>
          <w:b/>
          <w:bCs/>
        </w:rPr>
      </w:pPr>
    </w:p>
    <w:p>
      <w:pPr>
        <w:spacing w:line="660" w:lineRule="exact"/>
        <w:outlineLvl w:val="1"/>
        <w:rPr>
          <w:rFonts w:eastAsia="黑体"/>
          <w:b/>
          <w:bCs/>
          <w:sz w:val="28"/>
        </w:rPr>
      </w:pPr>
      <w:r>
        <w:rPr>
          <w:rFonts w:hint="eastAsia" w:eastAsia="黑体"/>
          <w:b/>
          <w:bCs/>
          <w:sz w:val="28"/>
        </w:rPr>
        <w:t>附件5   分项报价单</w:t>
      </w:r>
    </w:p>
    <w:p>
      <w:pPr>
        <w:rPr>
          <w:rFonts w:ascii="宋体" w:hAnsi="宋体"/>
          <w:u w:val="single"/>
        </w:rPr>
      </w:pPr>
      <w:r>
        <w:rPr>
          <w:rFonts w:hint="eastAsia" w:ascii="宋体" w:hAnsi="宋体"/>
        </w:rPr>
        <w:t>项目名称：</w:t>
      </w:r>
      <w:r>
        <w:rPr>
          <w:rFonts w:hint="eastAsia" w:ascii="宋体" w:hAnsi="宋体"/>
          <w:u w:val="single"/>
        </w:rPr>
        <w:t>中国重汽集团杭州发动机有限公司</w:t>
      </w:r>
      <w:r>
        <w:rPr>
          <w:rFonts w:hint="eastAsia"/>
          <w:szCs w:val="22"/>
          <w:u w:val="single"/>
        </w:rPr>
        <w:t>污水站委托运营项目</w:t>
      </w:r>
    </w:p>
    <w:p>
      <w:pPr>
        <w:rPr>
          <w:rFonts w:ascii="宋体" w:hAnsi="宋体"/>
          <w:u w:val="single"/>
        </w:rPr>
      </w:pPr>
    </w:p>
    <w:p>
      <w:pPr>
        <w:rPr>
          <w:rFonts w:ascii="宋体" w:hAnsi="宋体"/>
          <w:szCs w:val="21"/>
        </w:rPr>
      </w:pPr>
      <w:r>
        <w:rPr>
          <w:rFonts w:hint="eastAsia" w:ascii="宋体" w:hAnsi="宋体"/>
          <w:szCs w:val="21"/>
        </w:rPr>
        <w:t>日期：  年   月   日</w:t>
      </w:r>
    </w:p>
    <w:p>
      <w:pPr>
        <w:jc w:val="center"/>
        <w:rPr>
          <w:rFonts w:ascii="黑体" w:eastAsia="黑体"/>
          <w:sz w:val="30"/>
        </w:rPr>
      </w:pPr>
      <w:r>
        <w:rPr>
          <w:rFonts w:hint="eastAsia" w:ascii="黑体" w:eastAsia="黑体"/>
          <w:sz w:val="30"/>
        </w:rPr>
        <w:t>分项报价单</w:t>
      </w:r>
    </w:p>
    <w:p>
      <w:pPr>
        <w:widowControl/>
        <w:rPr>
          <w:rFonts w:ascii="宋体" w:hAnsi="宋体" w:cs="宋体"/>
          <w:kern w:val="0"/>
          <w:sz w:val="22"/>
          <w:szCs w:val="22"/>
        </w:rPr>
      </w:pPr>
      <w:r>
        <w:rPr>
          <w:rFonts w:hint="eastAsia" w:ascii="宋体" w:hAnsi="宋体" w:cs="宋体"/>
          <w:kern w:val="0"/>
          <w:sz w:val="22"/>
          <w:szCs w:val="22"/>
        </w:rPr>
        <w:t>运维费用包括：人工费、药剂费、化验费、设备维护保养费、低值易耗品费、预处理站专项废液处置费、管理费、设备日常设备维修费用等除水电能源费及设备大项修费（计划提交我方评估）之外的所有费用。水、电等能源费用由招标方承担。用电、用水每月划定限额，年度统算，超出部分由投标方自行承担，且计量仪表的采购安装等费用均由投标方承担。</w:t>
      </w:r>
    </w:p>
    <w:tbl>
      <w:tblPr>
        <w:tblStyle w:val="14"/>
        <w:tblW w:w="0" w:type="auto"/>
        <w:jc w:val="center"/>
        <w:tblLayout w:type="fixed"/>
        <w:tblCellMar>
          <w:top w:w="0" w:type="dxa"/>
          <w:left w:w="108" w:type="dxa"/>
          <w:bottom w:w="0" w:type="dxa"/>
          <w:right w:w="108" w:type="dxa"/>
        </w:tblCellMar>
      </w:tblPr>
      <w:tblGrid>
        <w:gridCol w:w="1380"/>
        <w:gridCol w:w="2640"/>
        <w:gridCol w:w="1880"/>
      </w:tblGrid>
      <w:tr>
        <w:tblPrEx>
          <w:tblCellMar>
            <w:top w:w="0" w:type="dxa"/>
            <w:left w:w="108" w:type="dxa"/>
            <w:bottom w:w="0" w:type="dxa"/>
            <w:right w:w="108" w:type="dxa"/>
          </w:tblCellMar>
        </w:tblPrEx>
        <w:trPr>
          <w:trHeight w:val="270" w:hRule="atLeast"/>
          <w:jc w:val="center"/>
        </w:trPr>
        <w:tc>
          <w:tcPr>
            <w:tcW w:w="5900" w:type="dxa"/>
            <w:gridSpan w:val="3"/>
            <w:tcBorders>
              <w:top w:val="nil"/>
              <w:left w:val="nil"/>
              <w:bottom w:val="nil"/>
              <w:right w:val="nil"/>
            </w:tcBorders>
            <w:noWrap/>
            <w:vAlign w:val="center"/>
          </w:tcPr>
          <w:p>
            <w:pPr>
              <w:widowControl/>
              <w:jc w:val="left"/>
              <w:rPr>
                <w:rFonts w:ascii="宋体" w:hAnsi="宋体" w:cs="宋体"/>
                <w:kern w:val="0"/>
                <w:sz w:val="22"/>
                <w:szCs w:val="22"/>
              </w:rPr>
            </w:pPr>
            <w:r>
              <w:rPr>
                <w:rFonts w:hint="eastAsia" w:ascii="宋体" w:hAnsi="宋体" w:cs="宋体"/>
                <w:kern w:val="0"/>
                <w:sz w:val="22"/>
                <w:szCs w:val="22"/>
              </w:rPr>
              <w:t>表1：报价清单</w:t>
            </w:r>
          </w:p>
        </w:tc>
      </w:tr>
      <w:tr>
        <w:tblPrEx>
          <w:tblCellMar>
            <w:top w:w="0" w:type="dxa"/>
            <w:left w:w="108" w:type="dxa"/>
            <w:bottom w:w="0" w:type="dxa"/>
            <w:right w:w="108" w:type="dxa"/>
          </w:tblCellMar>
        </w:tblPrEx>
        <w:trPr>
          <w:trHeight w:val="450"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项目</w:t>
            </w:r>
          </w:p>
        </w:tc>
        <w:tc>
          <w:tcPr>
            <w:tcW w:w="26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类别</w:t>
            </w:r>
          </w:p>
        </w:tc>
        <w:tc>
          <w:tcPr>
            <w:tcW w:w="188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数量</w:t>
            </w:r>
          </w:p>
        </w:tc>
      </w:tr>
      <w:tr>
        <w:tblPrEx>
          <w:tblCellMar>
            <w:top w:w="0" w:type="dxa"/>
            <w:left w:w="108" w:type="dxa"/>
            <w:bottom w:w="0" w:type="dxa"/>
            <w:right w:w="108" w:type="dxa"/>
          </w:tblCellMar>
        </w:tblPrEx>
        <w:trPr>
          <w:trHeight w:val="480" w:hRule="atLeast"/>
          <w:jc w:val="center"/>
        </w:trPr>
        <w:tc>
          <w:tcPr>
            <w:tcW w:w="1380" w:type="dxa"/>
            <w:vMerge w:val="restar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药剂配置</w:t>
            </w: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p>
        </w:tc>
        <w:tc>
          <w:tcPr>
            <w:tcW w:w="1880" w:type="dxa"/>
            <w:tcBorders>
              <w:top w:val="nil"/>
              <w:left w:val="nil"/>
              <w:bottom w:val="single" w:color="auto" w:sz="4" w:space="0"/>
              <w:right w:val="single" w:color="auto" w:sz="4" w:space="0"/>
            </w:tcBorders>
            <w:noWrap/>
            <w:vAlign w:val="center"/>
          </w:tcPr>
          <w:p>
            <w:pPr>
              <w:widowControl/>
              <w:jc w:val="left"/>
              <w:rPr>
                <w:rFonts w:ascii="Calibri" w:hAnsi="Calibri" w:cs="Calibri"/>
                <w:kern w:val="0"/>
                <w:szCs w:val="21"/>
              </w:rPr>
            </w:pPr>
            <w:r>
              <w:rPr>
                <w:rFonts w:ascii="Calibri" w:hAnsi="Calibri" w:cs="Calibri"/>
                <w:kern w:val="0"/>
                <w:szCs w:val="21"/>
              </w:rPr>
              <w:t>　</w:t>
            </w:r>
          </w:p>
        </w:tc>
      </w:tr>
      <w:tr>
        <w:tblPrEx>
          <w:tblCellMar>
            <w:top w:w="0" w:type="dxa"/>
            <w:left w:w="108" w:type="dxa"/>
            <w:bottom w:w="0" w:type="dxa"/>
            <w:right w:w="108" w:type="dxa"/>
          </w:tblCellMar>
        </w:tblPrEx>
        <w:trPr>
          <w:trHeight w:val="480" w:hRule="atLeast"/>
          <w:jc w:val="center"/>
        </w:trPr>
        <w:tc>
          <w:tcPr>
            <w:tcW w:w="13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w:t>
            </w:r>
          </w:p>
        </w:tc>
        <w:tc>
          <w:tcPr>
            <w:tcW w:w="1880" w:type="dxa"/>
            <w:tcBorders>
              <w:top w:val="nil"/>
              <w:left w:val="nil"/>
              <w:bottom w:val="single" w:color="auto" w:sz="4" w:space="0"/>
              <w:right w:val="single" w:color="auto" w:sz="4" w:space="0"/>
            </w:tcBorders>
            <w:noWrap/>
            <w:vAlign w:val="center"/>
          </w:tcPr>
          <w:p>
            <w:pPr>
              <w:widowControl/>
              <w:jc w:val="left"/>
              <w:rPr>
                <w:rFonts w:ascii="Calibri" w:hAnsi="Calibri" w:cs="Calibri"/>
                <w:kern w:val="0"/>
                <w:szCs w:val="21"/>
              </w:rPr>
            </w:pPr>
            <w:r>
              <w:rPr>
                <w:rFonts w:ascii="Calibri" w:hAnsi="Calibri" w:cs="Calibri"/>
                <w:kern w:val="0"/>
                <w:szCs w:val="21"/>
              </w:rPr>
              <w:t>　</w:t>
            </w:r>
          </w:p>
        </w:tc>
      </w:tr>
      <w:tr>
        <w:tblPrEx>
          <w:tblCellMar>
            <w:top w:w="0" w:type="dxa"/>
            <w:left w:w="108" w:type="dxa"/>
            <w:bottom w:w="0" w:type="dxa"/>
            <w:right w:w="108" w:type="dxa"/>
          </w:tblCellMar>
        </w:tblPrEx>
        <w:trPr>
          <w:trHeight w:val="405" w:hRule="atLeast"/>
          <w:jc w:val="center"/>
        </w:trPr>
        <w:tc>
          <w:tcPr>
            <w:tcW w:w="1380" w:type="dxa"/>
            <w:vMerge w:val="restart"/>
            <w:tcBorders>
              <w:top w:val="nil"/>
              <w:left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车辆配置</w:t>
            </w: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p>
        </w:tc>
        <w:tc>
          <w:tcPr>
            <w:tcW w:w="1880" w:type="dxa"/>
            <w:tcBorders>
              <w:top w:val="nil"/>
              <w:left w:val="nil"/>
              <w:bottom w:val="single" w:color="auto" w:sz="4" w:space="0"/>
              <w:right w:val="single" w:color="auto" w:sz="4" w:space="0"/>
            </w:tcBorders>
            <w:noWrap/>
            <w:vAlign w:val="center"/>
          </w:tcPr>
          <w:p>
            <w:pPr>
              <w:widowControl/>
              <w:jc w:val="left"/>
              <w:rPr>
                <w:rFonts w:ascii="Calibri" w:hAnsi="Calibri" w:cs="Calibri"/>
                <w:kern w:val="0"/>
                <w:szCs w:val="21"/>
              </w:rPr>
            </w:pPr>
            <w:r>
              <w:rPr>
                <w:rFonts w:ascii="Calibri" w:hAnsi="Calibri" w:cs="Calibri"/>
                <w:kern w:val="0"/>
                <w:szCs w:val="21"/>
              </w:rPr>
              <w:t>　</w:t>
            </w:r>
          </w:p>
        </w:tc>
      </w:tr>
      <w:tr>
        <w:trPr>
          <w:trHeight w:val="405" w:hRule="atLeast"/>
          <w:jc w:val="center"/>
        </w:trPr>
        <w:tc>
          <w:tcPr>
            <w:tcW w:w="1380"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w:t>
            </w:r>
          </w:p>
        </w:tc>
        <w:tc>
          <w:tcPr>
            <w:tcW w:w="1880" w:type="dxa"/>
            <w:tcBorders>
              <w:top w:val="nil"/>
              <w:left w:val="nil"/>
              <w:bottom w:val="single" w:color="auto" w:sz="4" w:space="0"/>
              <w:right w:val="single" w:color="auto" w:sz="4" w:space="0"/>
            </w:tcBorders>
            <w:noWrap/>
            <w:vAlign w:val="center"/>
          </w:tcPr>
          <w:p>
            <w:pPr>
              <w:widowControl/>
              <w:jc w:val="left"/>
              <w:rPr>
                <w:rFonts w:ascii="Calibri" w:hAnsi="Calibri" w:cs="Calibri"/>
                <w:kern w:val="0"/>
                <w:szCs w:val="21"/>
              </w:rPr>
            </w:pPr>
          </w:p>
        </w:tc>
      </w:tr>
      <w:tr>
        <w:tblPrEx>
          <w:tblCellMar>
            <w:top w:w="0" w:type="dxa"/>
            <w:left w:w="108" w:type="dxa"/>
            <w:bottom w:w="0" w:type="dxa"/>
            <w:right w:w="108" w:type="dxa"/>
          </w:tblCellMar>
        </w:tblPrEx>
        <w:trPr>
          <w:trHeight w:val="390" w:hRule="atLeast"/>
          <w:jc w:val="center"/>
        </w:trPr>
        <w:tc>
          <w:tcPr>
            <w:tcW w:w="1380" w:type="dxa"/>
            <w:vMerge w:val="restart"/>
            <w:tcBorders>
              <w:top w:val="nil"/>
              <w:left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人员配置</w:t>
            </w: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管理人员</w:t>
            </w:r>
          </w:p>
        </w:tc>
        <w:tc>
          <w:tcPr>
            <w:tcW w:w="1880" w:type="dxa"/>
            <w:tcBorders>
              <w:top w:val="nil"/>
              <w:left w:val="nil"/>
              <w:bottom w:val="single" w:color="auto" w:sz="4" w:space="0"/>
              <w:right w:val="single" w:color="auto" w:sz="4" w:space="0"/>
            </w:tcBorders>
            <w:noWrap/>
            <w:vAlign w:val="center"/>
          </w:tcPr>
          <w:p>
            <w:pPr>
              <w:widowControl/>
              <w:jc w:val="left"/>
              <w:rPr>
                <w:rFonts w:ascii="Calibri" w:hAnsi="Calibri" w:cs="Calibri"/>
                <w:kern w:val="0"/>
                <w:szCs w:val="21"/>
              </w:rPr>
            </w:pPr>
            <w:r>
              <w:rPr>
                <w:rFonts w:ascii="Calibri" w:hAnsi="Calibri" w:cs="Calibri"/>
                <w:kern w:val="0"/>
                <w:szCs w:val="21"/>
              </w:rPr>
              <w:t>　</w:t>
            </w:r>
          </w:p>
        </w:tc>
      </w:tr>
      <w:tr>
        <w:tblPrEx>
          <w:tblCellMar>
            <w:top w:w="0" w:type="dxa"/>
            <w:left w:w="108" w:type="dxa"/>
            <w:bottom w:w="0" w:type="dxa"/>
            <w:right w:w="108" w:type="dxa"/>
          </w:tblCellMar>
        </w:tblPrEx>
        <w:trPr>
          <w:trHeight w:val="420" w:hRule="atLeast"/>
          <w:jc w:val="center"/>
        </w:trPr>
        <w:tc>
          <w:tcPr>
            <w:tcW w:w="1380" w:type="dxa"/>
            <w:vMerge w:val="continue"/>
            <w:tcBorders>
              <w:left w:val="single" w:color="auto" w:sz="4" w:space="0"/>
              <w:right w:val="single" w:color="auto" w:sz="4" w:space="0"/>
            </w:tcBorders>
            <w:vAlign w:val="center"/>
          </w:tcPr>
          <w:p>
            <w:pPr>
              <w:widowControl/>
              <w:jc w:val="left"/>
              <w:rPr>
                <w:rFonts w:ascii="宋体" w:hAnsi="宋体" w:cs="宋体"/>
                <w:kern w:val="0"/>
                <w:sz w:val="22"/>
                <w:szCs w:val="22"/>
              </w:rPr>
            </w:pP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作业人员</w:t>
            </w:r>
          </w:p>
        </w:tc>
        <w:tc>
          <w:tcPr>
            <w:tcW w:w="1880" w:type="dxa"/>
            <w:tcBorders>
              <w:top w:val="nil"/>
              <w:left w:val="nil"/>
              <w:bottom w:val="single" w:color="auto" w:sz="4" w:space="0"/>
              <w:right w:val="single" w:color="auto" w:sz="4" w:space="0"/>
            </w:tcBorders>
            <w:noWrap/>
            <w:vAlign w:val="center"/>
          </w:tcPr>
          <w:p>
            <w:pPr>
              <w:widowControl/>
              <w:jc w:val="left"/>
              <w:rPr>
                <w:rFonts w:ascii="Calibri" w:hAnsi="Calibri" w:cs="Calibri"/>
                <w:kern w:val="0"/>
                <w:szCs w:val="21"/>
              </w:rPr>
            </w:pPr>
            <w:r>
              <w:rPr>
                <w:rFonts w:ascii="Calibri" w:hAnsi="Calibri" w:cs="Calibri"/>
                <w:kern w:val="0"/>
                <w:szCs w:val="21"/>
              </w:rPr>
              <w:t>　</w:t>
            </w:r>
          </w:p>
        </w:tc>
      </w:tr>
      <w:tr>
        <w:tblPrEx>
          <w:tblCellMar>
            <w:top w:w="0" w:type="dxa"/>
            <w:left w:w="108" w:type="dxa"/>
            <w:bottom w:w="0" w:type="dxa"/>
            <w:right w:w="108" w:type="dxa"/>
          </w:tblCellMar>
        </w:tblPrEx>
        <w:trPr>
          <w:trHeight w:val="420" w:hRule="atLeast"/>
          <w:jc w:val="center"/>
        </w:trPr>
        <w:tc>
          <w:tcPr>
            <w:tcW w:w="1380"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w:t>
            </w:r>
          </w:p>
        </w:tc>
        <w:tc>
          <w:tcPr>
            <w:tcW w:w="1880" w:type="dxa"/>
            <w:tcBorders>
              <w:top w:val="nil"/>
              <w:left w:val="nil"/>
              <w:bottom w:val="single" w:color="auto" w:sz="4" w:space="0"/>
              <w:right w:val="single" w:color="auto" w:sz="4" w:space="0"/>
            </w:tcBorders>
            <w:noWrap/>
            <w:vAlign w:val="center"/>
          </w:tcPr>
          <w:p>
            <w:pPr>
              <w:widowControl/>
              <w:jc w:val="left"/>
              <w:rPr>
                <w:rFonts w:ascii="Calibri" w:hAnsi="Calibri" w:cs="Calibri"/>
                <w:kern w:val="0"/>
                <w:szCs w:val="21"/>
              </w:rPr>
            </w:pPr>
            <w:r>
              <w:rPr>
                <w:rFonts w:hint="eastAsia" w:ascii="Calibri" w:hAnsi="Calibri" w:cs="Calibri"/>
                <w:kern w:val="0"/>
                <w:szCs w:val="21"/>
              </w:rPr>
              <w:t xml:space="preserve">   </w:t>
            </w:r>
          </w:p>
        </w:tc>
      </w:tr>
      <w:tr>
        <w:tblPrEx>
          <w:tblCellMar>
            <w:top w:w="0" w:type="dxa"/>
            <w:left w:w="108" w:type="dxa"/>
            <w:bottom w:w="0" w:type="dxa"/>
            <w:right w:w="108" w:type="dxa"/>
          </w:tblCellMar>
        </w:tblPrEx>
        <w:trPr>
          <w:trHeight w:val="435" w:hRule="atLeast"/>
          <w:jc w:val="center"/>
        </w:trPr>
        <w:tc>
          <w:tcPr>
            <w:tcW w:w="138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增值服务</w:t>
            </w:r>
          </w:p>
        </w:tc>
        <w:tc>
          <w:tcPr>
            <w:tcW w:w="4520"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　</w:t>
            </w:r>
          </w:p>
        </w:tc>
      </w:tr>
      <w:tr>
        <w:tblPrEx>
          <w:tblCellMar>
            <w:top w:w="0" w:type="dxa"/>
            <w:left w:w="108" w:type="dxa"/>
            <w:bottom w:w="0" w:type="dxa"/>
            <w:right w:w="108" w:type="dxa"/>
          </w:tblCellMar>
        </w:tblPrEx>
        <w:trPr>
          <w:trHeight w:val="420" w:hRule="atLeast"/>
          <w:jc w:val="center"/>
        </w:trPr>
        <w:tc>
          <w:tcPr>
            <w:tcW w:w="5900" w:type="dxa"/>
            <w:gridSpan w:val="3"/>
            <w:tcBorders>
              <w:top w:val="nil"/>
              <w:left w:val="nil"/>
              <w:bottom w:val="nil"/>
              <w:right w:val="nil"/>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注：该表可根据实际情况做适当调整或增加附件说明。</w:t>
            </w:r>
          </w:p>
        </w:tc>
      </w:tr>
      <w:tr>
        <w:tblPrEx>
          <w:tblCellMar>
            <w:top w:w="0" w:type="dxa"/>
            <w:left w:w="108" w:type="dxa"/>
            <w:bottom w:w="0" w:type="dxa"/>
            <w:right w:w="108" w:type="dxa"/>
          </w:tblCellMar>
        </w:tblPrEx>
        <w:trPr>
          <w:trHeight w:val="435" w:hRule="atLeast"/>
          <w:jc w:val="center"/>
        </w:trPr>
        <w:tc>
          <w:tcPr>
            <w:tcW w:w="5900" w:type="dxa"/>
            <w:gridSpan w:val="3"/>
            <w:tcBorders>
              <w:top w:val="nil"/>
              <w:left w:val="nil"/>
              <w:bottom w:val="nil"/>
              <w:right w:val="nil"/>
            </w:tcBorders>
            <w:noWrap/>
            <w:vAlign w:val="center"/>
          </w:tcPr>
          <w:p>
            <w:pPr>
              <w:widowControl/>
              <w:jc w:val="left"/>
              <w:rPr>
                <w:rFonts w:ascii="宋体" w:hAnsi="宋体" w:cs="宋体"/>
                <w:kern w:val="0"/>
                <w:sz w:val="22"/>
                <w:szCs w:val="22"/>
              </w:rPr>
            </w:pPr>
            <w:r>
              <w:rPr>
                <w:rFonts w:hint="eastAsia" w:ascii="宋体" w:hAnsi="宋体" w:cs="宋体"/>
                <w:kern w:val="0"/>
                <w:sz w:val="22"/>
                <w:szCs w:val="22"/>
              </w:rPr>
              <w:t>表2：报价清单</w:t>
            </w:r>
          </w:p>
        </w:tc>
      </w:tr>
      <w:tr>
        <w:tblPrEx>
          <w:tblCellMar>
            <w:top w:w="0" w:type="dxa"/>
            <w:left w:w="108" w:type="dxa"/>
            <w:bottom w:w="0" w:type="dxa"/>
            <w:right w:w="108" w:type="dxa"/>
          </w:tblCellMar>
        </w:tblPrEx>
        <w:trPr>
          <w:trHeight w:val="435"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项目</w:t>
            </w:r>
          </w:p>
        </w:tc>
        <w:tc>
          <w:tcPr>
            <w:tcW w:w="264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类别</w:t>
            </w:r>
          </w:p>
        </w:tc>
        <w:tc>
          <w:tcPr>
            <w:tcW w:w="188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金额</w:t>
            </w:r>
          </w:p>
        </w:tc>
      </w:tr>
      <w:tr>
        <w:tblPrEx>
          <w:tblCellMar>
            <w:top w:w="0" w:type="dxa"/>
            <w:left w:w="108" w:type="dxa"/>
            <w:bottom w:w="0" w:type="dxa"/>
            <w:right w:w="108" w:type="dxa"/>
          </w:tblCellMar>
        </w:tblPrEx>
        <w:trPr>
          <w:trHeight w:val="435" w:hRule="atLeast"/>
          <w:jc w:val="center"/>
        </w:trPr>
        <w:tc>
          <w:tcPr>
            <w:tcW w:w="1380" w:type="dxa"/>
            <w:vMerge w:val="restart"/>
            <w:tcBorders>
              <w:top w:val="nil"/>
              <w:left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成本构成</w:t>
            </w: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维修费（元</w:t>
            </w:r>
            <w:r>
              <w:rPr>
                <w:kern w:val="0"/>
                <w:sz w:val="22"/>
                <w:szCs w:val="22"/>
              </w:rPr>
              <w:t>/</w:t>
            </w:r>
            <w:r>
              <w:rPr>
                <w:rFonts w:hint="eastAsia" w:ascii="宋体" w:hAnsi="宋体" w:cs="宋体"/>
                <w:kern w:val="0"/>
                <w:sz w:val="22"/>
                <w:szCs w:val="22"/>
              </w:rPr>
              <w:t>年）</w:t>
            </w:r>
          </w:p>
        </w:tc>
        <w:tc>
          <w:tcPr>
            <w:tcW w:w="188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　</w:t>
            </w:r>
          </w:p>
        </w:tc>
      </w:tr>
      <w:tr>
        <w:tblPrEx>
          <w:tblCellMar>
            <w:top w:w="0" w:type="dxa"/>
            <w:left w:w="108" w:type="dxa"/>
            <w:bottom w:w="0" w:type="dxa"/>
            <w:right w:w="108" w:type="dxa"/>
          </w:tblCellMar>
        </w:tblPrEx>
        <w:trPr>
          <w:trHeight w:val="435" w:hRule="atLeast"/>
          <w:jc w:val="center"/>
        </w:trPr>
        <w:tc>
          <w:tcPr>
            <w:tcW w:w="1380" w:type="dxa"/>
            <w:vMerge w:val="continue"/>
            <w:tcBorders>
              <w:top w:val="nil"/>
              <w:left w:val="single" w:color="auto" w:sz="4" w:space="0"/>
              <w:right w:val="single" w:color="auto" w:sz="4" w:space="0"/>
            </w:tcBorders>
            <w:noWrap/>
            <w:vAlign w:val="center"/>
          </w:tcPr>
          <w:p>
            <w:pPr>
              <w:widowControl/>
              <w:jc w:val="center"/>
              <w:rPr>
                <w:rFonts w:ascii="宋体" w:hAnsi="宋体" w:cs="宋体"/>
                <w:kern w:val="0"/>
                <w:sz w:val="22"/>
                <w:szCs w:val="22"/>
              </w:rPr>
            </w:pP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药剂消耗费（元/年）</w:t>
            </w:r>
          </w:p>
        </w:tc>
        <w:tc>
          <w:tcPr>
            <w:tcW w:w="188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p>
        </w:tc>
      </w:tr>
      <w:tr>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pPr>
              <w:widowControl/>
              <w:jc w:val="left"/>
              <w:rPr>
                <w:rFonts w:ascii="宋体" w:hAnsi="宋体" w:cs="宋体"/>
                <w:kern w:val="0"/>
                <w:sz w:val="22"/>
                <w:szCs w:val="22"/>
              </w:rPr>
            </w:pP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耗材更换费（元</w:t>
            </w:r>
            <w:r>
              <w:rPr>
                <w:kern w:val="0"/>
                <w:sz w:val="22"/>
                <w:szCs w:val="22"/>
              </w:rPr>
              <w:t>/</w:t>
            </w:r>
            <w:r>
              <w:rPr>
                <w:rFonts w:hint="eastAsia" w:ascii="宋体" w:hAnsi="宋体" w:cs="宋体"/>
                <w:kern w:val="0"/>
                <w:sz w:val="22"/>
                <w:szCs w:val="22"/>
              </w:rPr>
              <w:t>年）</w:t>
            </w:r>
          </w:p>
        </w:tc>
        <w:tc>
          <w:tcPr>
            <w:tcW w:w="188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　</w:t>
            </w:r>
          </w:p>
        </w:tc>
      </w:tr>
      <w:tr>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pPr>
              <w:widowControl/>
              <w:jc w:val="left"/>
              <w:rPr>
                <w:rFonts w:ascii="宋体" w:hAnsi="宋体" w:cs="宋体"/>
                <w:kern w:val="0"/>
                <w:sz w:val="22"/>
                <w:szCs w:val="22"/>
              </w:rPr>
            </w:pP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车辆运输费用（元</w:t>
            </w:r>
            <w:r>
              <w:rPr>
                <w:kern w:val="0"/>
                <w:sz w:val="22"/>
                <w:szCs w:val="22"/>
              </w:rPr>
              <w:t>/</w:t>
            </w:r>
            <w:r>
              <w:rPr>
                <w:rFonts w:hint="eastAsia" w:ascii="宋体" w:hAnsi="宋体" w:cs="宋体"/>
                <w:kern w:val="0"/>
                <w:sz w:val="22"/>
                <w:szCs w:val="22"/>
              </w:rPr>
              <w:t>年）</w:t>
            </w:r>
          </w:p>
        </w:tc>
        <w:tc>
          <w:tcPr>
            <w:tcW w:w="188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　</w:t>
            </w:r>
          </w:p>
        </w:tc>
      </w:tr>
      <w:tr>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pPr>
              <w:widowControl/>
              <w:jc w:val="left"/>
              <w:rPr>
                <w:rFonts w:ascii="宋体" w:hAnsi="宋体" w:cs="宋体"/>
                <w:kern w:val="0"/>
                <w:sz w:val="22"/>
                <w:szCs w:val="22"/>
              </w:rPr>
            </w:pP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人工服务费用（元</w:t>
            </w:r>
            <w:r>
              <w:rPr>
                <w:kern w:val="0"/>
                <w:sz w:val="22"/>
                <w:szCs w:val="22"/>
              </w:rPr>
              <w:t>/</w:t>
            </w:r>
            <w:r>
              <w:rPr>
                <w:rFonts w:hint="eastAsia" w:ascii="宋体" w:hAnsi="宋体" w:cs="宋体"/>
                <w:kern w:val="0"/>
                <w:sz w:val="22"/>
                <w:szCs w:val="22"/>
              </w:rPr>
              <w:t>年）</w:t>
            </w:r>
          </w:p>
        </w:tc>
        <w:tc>
          <w:tcPr>
            <w:tcW w:w="1880"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2"/>
                <w:szCs w:val="22"/>
              </w:rPr>
            </w:pPr>
            <w:r>
              <w:rPr>
                <w:rFonts w:hint="eastAsia" w:ascii="宋体" w:hAnsi="宋体" w:cs="宋体"/>
                <w:kern w:val="0"/>
                <w:sz w:val="22"/>
                <w:szCs w:val="22"/>
              </w:rPr>
              <w:t>　</w:t>
            </w:r>
          </w:p>
        </w:tc>
      </w:tr>
      <w:tr>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pPr>
              <w:widowControl/>
              <w:jc w:val="left"/>
              <w:rPr>
                <w:rFonts w:ascii="宋体" w:hAnsi="宋体" w:cs="宋体"/>
                <w:kern w:val="0"/>
                <w:sz w:val="22"/>
                <w:szCs w:val="22"/>
              </w:rPr>
            </w:pP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管理费用（元</w:t>
            </w:r>
            <w:r>
              <w:rPr>
                <w:kern w:val="0"/>
                <w:sz w:val="22"/>
                <w:szCs w:val="22"/>
              </w:rPr>
              <w:t>/</w:t>
            </w:r>
            <w:r>
              <w:rPr>
                <w:rFonts w:hint="eastAsia" w:ascii="宋体" w:hAnsi="宋体" w:cs="宋体"/>
                <w:kern w:val="0"/>
                <w:sz w:val="22"/>
                <w:szCs w:val="22"/>
              </w:rPr>
              <w:t>年）</w:t>
            </w:r>
          </w:p>
        </w:tc>
        <w:tc>
          <w:tcPr>
            <w:tcW w:w="1880"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2"/>
                <w:szCs w:val="22"/>
              </w:rPr>
            </w:pPr>
            <w:r>
              <w:rPr>
                <w:rFonts w:hint="eastAsia" w:ascii="宋体" w:hAnsi="宋体" w:cs="宋体"/>
                <w:kern w:val="0"/>
                <w:sz w:val="22"/>
                <w:szCs w:val="22"/>
              </w:rPr>
              <w:t>　</w:t>
            </w:r>
          </w:p>
        </w:tc>
      </w:tr>
      <w:tr>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pPr>
              <w:widowControl/>
              <w:jc w:val="left"/>
              <w:rPr>
                <w:rFonts w:ascii="宋体" w:hAnsi="宋体" w:cs="宋体"/>
                <w:kern w:val="0"/>
                <w:sz w:val="22"/>
                <w:szCs w:val="22"/>
              </w:rPr>
            </w:pP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利润</w:t>
            </w:r>
          </w:p>
        </w:tc>
        <w:tc>
          <w:tcPr>
            <w:tcW w:w="1880"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2"/>
                <w:szCs w:val="22"/>
              </w:rPr>
            </w:pPr>
            <w:r>
              <w:rPr>
                <w:rFonts w:hint="eastAsia" w:ascii="宋体" w:hAnsi="宋体" w:cs="宋体"/>
                <w:kern w:val="0"/>
                <w:sz w:val="22"/>
                <w:szCs w:val="22"/>
              </w:rPr>
              <w:t>　</w:t>
            </w:r>
          </w:p>
        </w:tc>
      </w:tr>
      <w:tr>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pPr>
              <w:widowControl/>
              <w:jc w:val="left"/>
              <w:rPr>
                <w:rFonts w:ascii="宋体" w:hAnsi="宋体" w:cs="宋体"/>
                <w:kern w:val="0"/>
                <w:sz w:val="22"/>
                <w:szCs w:val="22"/>
              </w:rPr>
            </w:pP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w:t>
            </w:r>
          </w:p>
        </w:tc>
        <w:tc>
          <w:tcPr>
            <w:tcW w:w="1880"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2"/>
                <w:szCs w:val="22"/>
              </w:rPr>
            </w:pPr>
            <w:r>
              <w:rPr>
                <w:rFonts w:hint="eastAsia" w:ascii="宋体" w:hAnsi="宋体" w:cs="宋体"/>
                <w:kern w:val="0"/>
                <w:sz w:val="22"/>
                <w:szCs w:val="22"/>
              </w:rPr>
              <w:t>　</w:t>
            </w:r>
          </w:p>
        </w:tc>
      </w:tr>
      <w:tr>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p>
        </w:tc>
        <w:tc>
          <w:tcPr>
            <w:tcW w:w="2640"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2"/>
                <w:szCs w:val="22"/>
              </w:rPr>
            </w:pPr>
            <w:r>
              <w:rPr>
                <w:rFonts w:hint="eastAsia" w:ascii="宋体" w:hAnsi="宋体" w:cs="宋体"/>
                <w:kern w:val="0"/>
                <w:sz w:val="22"/>
                <w:szCs w:val="22"/>
              </w:rPr>
              <w:t>合计（不含税）</w:t>
            </w:r>
          </w:p>
        </w:tc>
        <w:tc>
          <w:tcPr>
            <w:tcW w:w="1880"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2"/>
                <w:szCs w:val="22"/>
              </w:rPr>
            </w:pPr>
          </w:p>
        </w:tc>
      </w:tr>
      <w:tr>
        <w:tblPrEx>
          <w:tblCellMar>
            <w:top w:w="0" w:type="dxa"/>
            <w:left w:w="108" w:type="dxa"/>
            <w:bottom w:w="0" w:type="dxa"/>
            <w:right w:w="108" w:type="dxa"/>
          </w:tblCellMar>
        </w:tblPrEx>
        <w:trPr>
          <w:trHeight w:val="270" w:hRule="atLeast"/>
          <w:jc w:val="center"/>
        </w:trPr>
        <w:tc>
          <w:tcPr>
            <w:tcW w:w="5900" w:type="dxa"/>
            <w:gridSpan w:val="3"/>
            <w:tcBorders>
              <w:top w:val="single" w:color="auto" w:sz="4" w:space="0"/>
              <w:left w:val="nil"/>
              <w:bottom w:val="nil"/>
              <w:right w:val="nil"/>
            </w:tcBorders>
            <w:noWrap/>
            <w:vAlign w:val="center"/>
          </w:tcPr>
          <w:p>
            <w:pPr>
              <w:widowControl/>
              <w:rPr>
                <w:rFonts w:ascii="宋体" w:hAnsi="宋体" w:cs="宋体"/>
                <w:kern w:val="0"/>
                <w:sz w:val="22"/>
                <w:szCs w:val="22"/>
              </w:rPr>
            </w:pPr>
          </w:p>
          <w:p>
            <w:pPr>
              <w:widowControl/>
              <w:rPr>
                <w:rFonts w:ascii="宋体" w:hAnsi="宋体" w:cs="宋体"/>
                <w:kern w:val="0"/>
                <w:sz w:val="22"/>
                <w:szCs w:val="22"/>
              </w:rPr>
            </w:pPr>
          </w:p>
          <w:p>
            <w:pPr>
              <w:widowControl/>
              <w:jc w:val="center"/>
              <w:rPr>
                <w:rFonts w:ascii="宋体" w:hAnsi="宋体" w:cs="宋体"/>
                <w:kern w:val="0"/>
                <w:sz w:val="22"/>
                <w:szCs w:val="22"/>
              </w:rPr>
            </w:pPr>
            <w:r>
              <w:rPr>
                <w:rFonts w:hint="eastAsia" w:ascii="宋体" w:hAnsi="宋体" w:cs="宋体"/>
                <w:kern w:val="0"/>
                <w:sz w:val="22"/>
                <w:szCs w:val="22"/>
              </w:rPr>
              <w:t>注：该表计价应与附件《开标一览表》中报价相符。</w:t>
            </w:r>
          </w:p>
          <w:p>
            <w:pPr>
              <w:widowControl/>
              <w:jc w:val="center"/>
              <w:rPr>
                <w:rFonts w:ascii="宋体" w:hAnsi="宋体" w:cs="宋体"/>
                <w:kern w:val="0"/>
                <w:sz w:val="22"/>
                <w:szCs w:val="22"/>
              </w:rPr>
            </w:pPr>
          </w:p>
        </w:tc>
      </w:tr>
    </w:tbl>
    <w:p>
      <w:pPr>
        <w:pStyle w:val="20"/>
        <w:numPr>
          <w:ilvl w:val="0"/>
          <w:numId w:val="7"/>
        </w:numPr>
        <w:ind w:firstLine="0" w:firstLineChars="0"/>
        <w:rPr>
          <w:rFonts w:ascii="宋体" w:hAnsi="宋体"/>
          <w:sz w:val="24"/>
        </w:rPr>
      </w:pPr>
      <w:r>
        <w:rPr>
          <w:rFonts w:hint="eastAsia" w:ascii="宋体" w:hAnsi="宋体" w:cs="宋体"/>
          <w:kern w:val="0"/>
          <w:sz w:val="22"/>
        </w:rPr>
        <w:t>表3：主要耗材及备件报价清单</w:t>
      </w:r>
    </w:p>
    <w:tbl>
      <w:tblPr>
        <w:tblStyle w:val="14"/>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564"/>
        <w:gridCol w:w="1388"/>
        <w:gridCol w:w="855"/>
        <w:gridCol w:w="1560"/>
        <w:gridCol w:w="630"/>
        <w:gridCol w:w="900"/>
        <w:gridCol w:w="975"/>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564" w:type="dxa"/>
            <w:vAlign w:val="center"/>
          </w:tcPr>
          <w:p>
            <w:pPr>
              <w:pStyle w:val="77"/>
              <w:rPr>
                <w:sz w:val="18"/>
                <w:szCs w:val="18"/>
              </w:rPr>
            </w:pPr>
            <w:r>
              <w:rPr>
                <w:rFonts w:hint="eastAsia" w:ascii="宋体" w:hAnsi="宋体" w:cs="宋体"/>
                <w:sz w:val="18"/>
                <w:szCs w:val="18"/>
              </w:rPr>
              <w:t>序</w:t>
            </w:r>
            <w:r>
              <w:rPr>
                <w:rFonts w:hint="eastAsia"/>
                <w:sz w:val="18"/>
                <w:szCs w:val="18"/>
              </w:rPr>
              <w:t xml:space="preserve"> </w:t>
            </w:r>
            <w:r>
              <w:rPr>
                <w:rFonts w:hint="eastAsia" w:ascii="宋体" w:hAnsi="宋体" w:cs="宋体"/>
                <w:sz w:val="18"/>
                <w:szCs w:val="18"/>
              </w:rPr>
              <w:t>号</w:t>
            </w:r>
          </w:p>
        </w:tc>
        <w:tc>
          <w:tcPr>
            <w:tcW w:w="1388" w:type="dxa"/>
            <w:vAlign w:val="center"/>
          </w:tcPr>
          <w:p>
            <w:pPr>
              <w:pStyle w:val="77"/>
              <w:rPr>
                <w:sz w:val="18"/>
                <w:szCs w:val="18"/>
              </w:rPr>
            </w:pPr>
            <w:r>
              <w:rPr>
                <w:rFonts w:hint="eastAsia" w:ascii="宋体" w:hAnsi="宋体" w:cs="宋体"/>
                <w:sz w:val="18"/>
                <w:szCs w:val="18"/>
              </w:rPr>
              <w:t>常用耗材、备件部件名称</w:t>
            </w:r>
          </w:p>
        </w:tc>
        <w:tc>
          <w:tcPr>
            <w:tcW w:w="855" w:type="dxa"/>
            <w:vAlign w:val="center"/>
          </w:tcPr>
          <w:p>
            <w:pPr>
              <w:pStyle w:val="77"/>
              <w:rPr>
                <w:sz w:val="18"/>
                <w:szCs w:val="18"/>
              </w:rPr>
            </w:pPr>
            <w:r>
              <w:rPr>
                <w:rFonts w:hint="eastAsia" w:ascii="等线" w:hAnsi="等线" w:eastAsia="等线"/>
                <w:sz w:val="18"/>
                <w:szCs w:val="18"/>
              </w:rPr>
              <w:t>规格型号</w:t>
            </w:r>
          </w:p>
        </w:tc>
        <w:tc>
          <w:tcPr>
            <w:tcW w:w="1560" w:type="dxa"/>
            <w:vAlign w:val="center"/>
          </w:tcPr>
          <w:p>
            <w:pPr>
              <w:pStyle w:val="77"/>
              <w:rPr>
                <w:sz w:val="18"/>
                <w:szCs w:val="18"/>
              </w:rPr>
            </w:pPr>
            <w:r>
              <w:rPr>
                <w:rFonts w:hint="eastAsia" w:ascii="宋体" w:hAnsi="宋体" w:cs="宋体"/>
                <w:sz w:val="18"/>
                <w:szCs w:val="18"/>
              </w:rPr>
              <w:t>生产厂商名称</w:t>
            </w:r>
          </w:p>
        </w:tc>
        <w:tc>
          <w:tcPr>
            <w:tcW w:w="630" w:type="dxa"/>
            <w:vAlign w:val="center"/>
          </w:tcPr>
          <w:p>
            <w:pPr>
              <w:pStyle w:val="77"/>
              <w:rPr>
                <w:sz w:val="18"/>
                <w:szCs w:val="18"/>
              </w:rPr>
            </w:pPr>
            <w:r>
              <w:rPr>
                <w:rFonts w:hint="eastAsia" w:ascii="宋体" w:hAnsi="宋体" w:cs="宋体"/>
                <w:sz w:val="18"/>
                <w:szCs w:val="18"/>
              </w:rPr>
              <w:t>单价</w:t>
            </w:r>
          </w:p>
        </w:tc>
        <w:tc>
          <w:tcPr>
            <w:tcW w:w="900" w:type="dxa"/>
            <w:vAlign w:val="center"/>
          </w:tcPr>
          <w:p>
            <w:pPr>
              <w:pStyle w:val="77"/>
              <w:jc w:val="both"/>
              <w:rPr>
                <w:sz w:val="18"/>
                <w:szCs w:val="18"/>
              </w:rPr>
            </w:pPr>
            <w:r>
              <w:rPr>
                <w:rFonts w:hint="eastAsia"/>
                <w:sz w:val="18"/>
                <w:szCs w:val="18"/>
              </w:rPr>
              <w:t>单次使用数量</w:t>
            </w:r>
          </w:p>
        </w:tc>
        <w:tc>
          <w:tcPr>
            <w:tcW w:w="975" w:type="dxa"/>
            <w:vAlign w:val="center"/>
          </w:tcPr>
          <w:p>
            <w:pPr>
              <w:pStyle w:val="77"/>
              <w:rPr>
                <w:sz w:val="18"/>
                <w:szCs w:val="18"/>
              </w:rPr>
            </w:pPr>
            <w:r>
              <w:rPr>
                <w:rFonts w:hint="eastAsia" w:ascii="宋体" w:hAnsi="宋体" w:cs="宋体"/>
                <w:sz w:val="18"/>
                <w:szCs w:val="18"/>
              </w:rPr>
              <w:t>单次费用</w:t>
            </w:r>
          </w:p>
        </w:tc>
        <w:tc>
          <w:tcPr>
            <w:tcW w:w="1245" w:type="dxa"/>
            <w:vAlign w:val="center"/>
          </w:tcPr>
          <w:p>
            <w:pPr>
              <w:pStyle w:val="77"/>
              <w:jc w:val="both"/>
              <w:rPr>
                <w:sz w:val="18"/>
                <w:szCs w:val="18"/>
              </w:rPr>
            </w:pPr>
            <w:r>
              <w:rPr>
                <w:rFonts w:hint="eastAsia" w:ascii="宋体" w:hAnsi="宋体" w:cs="宋体"/>
                <w:sz w:val="18"/>
                <w:szCs w:val="18"/>
              </w:rPr>
              <w:t>更换周期（耗材）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86" w:hRule="atLeast"/>
          <w:jc w:val="center"/>
        </w:trPr>
        <w:tc>
          <w:tcPr>
            <w:tcW w:w="564" w:type="dxa"/>
            <w:vAlign w:val="center"/>
          </w:tcPr>
          <w:p>
            <w:pPr>
              <w:pStyle w:val="77"/>
              <w:rPr>
                <w:sz w:val="18"/>
                <w:szCs w:val="18"/>
              </w:rPr>
            </w:pPr>
          </w:p>
        </w:tc>
        <w:tc>
          <w:tcPr>
            <w:tcW w:w="1388" w:type="dxa"/>
            <w:vAlign w:val="center"/>
          </w:tcPr>
          <w:p>
            <w:pPr>
              <w:pStyle w:val="77"/>
              <w:rPr>
                <w:sz w:val="18"/>
                <w:szCs w:val="18"/>
              </w:rPr>
            </w:pPr>
          </w:p>
        </w:tc>
        <w:tc>
          <w:tcPr>
            <w:tcW w:w="855" w:type="dxa"/>
            <w:vAlign w:val="center"/>
          </w:tcPr>
          <w:p>
            <w:pPr>
              <w:pStyle w:val="77"/>
              <w:rPr>
                <w:sz w:val="18"/>
                <w:szCs w:val="18"/>
              </w:rPr>
            </w:pPr>
          </w:p>
        </w:tc>
        <w:tc>
          <w:tcPr>
            <w:tcW w:w="1560" w:type="dxa"/>
            <w:vAlign w:val="center"/>
          </w:tcPr>
          <w:p>
            <w:pPr>
              <w:pStyle w:val="77"/>
              <w:rPr>
                <w:sz w:val="18"/>
                <w:szCs w:val="18"/>
              </w:rPr>
            </w:pPr>
          </w:p>
        </w:tc>
        <w:tc>
          <w:tcPr>
            <w:tcW w:w="630" w:type="dxa"/>
            <w:vAlign w:val="center"/>
          </w:tcPr>
          <w:p>
            <w:pPr>
              <w:pStyle w:val="77"/>
              <w:rPr>
                <w:sz w:val="18"/>
                <w:szCs w:val="18"/>
              </w:rPr>
            </w:pPr>
          </w:p>
        </w:tc>
        <w:tc>
          <w:tcPr>
            <w:tcW w:w="900" w:type="dxa"/>
            <w:vAlign w:val="center"/>
          </w:tcPr>
          <w:p>
            <w:pPr>
              <w:pStyle w:val="77"/>
              <w:rPr>
                <w:sz w:val="18"/>
                <w:szCs w:val="18"/>
              </w:rPr>
            </w:pPr>
          </w:p>
        </w:tc>
        <w:tc>
          <w:tcPr>
            <w:tcW w:w="975" w:type="dxa"/>
            <w:vAlign w:val="center"/>
          </w:tcPr>
          <w:p>
            <w:pPr>
              <w:pStyle w:val="77"/>
              <w:rPr>
                <w:sz w:val="18"/>
                <w:szCs w:val="18"/>
              </w:rPr>
            </w:pPr>
          </w:p>
        </w:tc>
        <w:tc>
          <w:tcPr>
            <w:tcW w:w="1245" w:type="dxa"/>
            <w:vAlign w:val="center"/>
          </w:tcPr>
          <w:p>
            <w:pPr>
              <w:pStyle w:val="77"/>
              <w:rPr>
                <w:sz w:val="18"/>
                <w:szCs w:val="18"/>
              </w:rPr>
            </w:pPr>
          </w:p>
        </w:tc>
      </w:tr>
    </w:tbl>
    <w:p>
      <w:pPr>
        <w:jc w:val="center"/>
        <w:rPr>
          <w:rFonts w:ascii="黑体" w:eastAsia="黑体"/>
          <w:sz w:val="30"/>
        </w:rPr>
      </w:pPr>
    </w:p>
    <w:p>
      <w:pPr>
        <w:spacing w:line="360" w:lineRule="auto"/>
        <w:jc w:val="left"/>
        <w:outlineLvl w:val="1"/>
        <w:rPr>
          <w:rFonts w:ascii="宋体" w:hAnsi="宋体"/>
          <w:szCs w:val="21"/>
        </w:rPr>
      </w:pPr>
      <w:r>
        <w:rPr>
          <w:rFonts w:hint="eastAsia" w:ascii="宋体" w:hAnsi="宋体"/>
          <w:szCs w:val="21"/>
        </w:rPr>
        <w:t>注： 投标人须按本表规定及招标文件要求进行报价，已填写内容不得擅自改变，未填写内容由投标人自行填报。</w:t>
      </w: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spacing w:line="660" w:lineRule="exact"/>
        <w:outlineLvl w:val="1"/>
        <w:rPr>
          <w:rFonts w:eastAsia="黑体"/>
          <w:b/>
          <w:bCs/>
          <w:sz w:val="28"/>
        </w:rPr>
      </w:pPr>
      <w:r>
        <w:rPr>
          <w:rFonts w:hint="eastAsia" w:eastAsia="黑体"/>
          <w:b/>
          <w:bCs/>
          <w:sz w:val="28"/>
        </w:rPr>
        <w:t>附件</w:t>
      </w:r>
      <w:r>
        <w:rPr>
          <w:rFonts w:eastAsia="黑体"/>
          <w:b/>
          <w:bCs/>
          <w:sz w:val="28"/>
        </w:rPr>
        <w:t>6</w:t>
      </w:r>
      <w:r>
        <w:rPr>
          <w:rFonts w:hint="eastAsia" w:eastAsia="黑体"/>
          <w:b/>
          <w:bCs/>
          <w:sz w:val="28"/>
        </w:rPr>
        <w:t xml:space="preserve">   运营方案</w:t>
      </w:r>
    </w:p>
    <w:p>
      <w:pPr>
        <w:spacing w:line="360" w:lineRule="auto"/>
        <w:ind w:firstLine="420" w:firstLineChars="200"/>
        <w:rPr>
          <w:rFonts w:ascii="宋体" w:hAnsi="宋体"/>
          <w:szCs w:val="21"/>
        </w:rPr>
      </w:pPr>
      <w:r>
        <w:rPr>
          <w:rFonts w:hint="eastAsia" w:ascii="宋体" w:hAnsi="宋体"/>
          <w:szCs w:val="21"/>
        </w:rPr>
        <w:t>投标人按照业主需求书及招标文件规定编制运营方案，包括但不限于以下内容：</w:t>
      </w:r>
    </w:p>
    <w:p>
      <w:pPr>
        <w:spacing w:line="360" w:lineRule="auto"/>
        <w:ind w:firstLine="420" w:firstLineChars="200"/>
        <w:rPr>
          <w:rFonts w:ascii="宋体" w:hAnsi="宋体"/>
          <w:szCs w:val="21"/>
        </w:rPr>
      </w:pPr>
      <w:r>
        <w:rPr>
          <w:rFonts w:hint="eastAsia" w:ascii="宋体" w:hAnsi="宋体"/>
          <w:szCs w:val="21"/>
        </w:rPr>
        <w:t>1、</w:t>
      </w:r>
      <w:r>
        <w:rPr>
          <w:rFonts w:hint="eastAsia" w:ascii="宋体" w:hAnsi="宋体" w:cs="仿宋_GB2312"/>
          <w:bCs/>
          <w:szCs w:val="21"/>
        </w:rPr>
        <w:t>项目日常运营维护方案</w:t>
      </w:r>
    </w:p>
    <w:p>
      <w:pPr>
        <w:spacing w:line="360" w:lineRule="auto"/>
        <w:ind w:firstLine="420" w:firstLineChars="200"/>
        <w:rPr>
          <w:rFonts w:ascii="宋体" w:hAnsi="宋体"/>
          <w:szCs w:val="21"/>
        </w:rPr>
      </w:pPr>
      <w:r>
        <w:rPr>
          <w:rFonts w:hint="eastAsia" w:ascii="宋体" w:hAnsi="宋体"/>
          <w:szCs w:val="21"/>
        </w:rPr>
        <w:t>2、</w:t>
      </w:r>
      <w:r>
        <w:rPr>
          <w:rFonts w:hint="eastAsia" w:ascii="宋体" w:cs="宋体"/>
          <w:kern w:val="0"/>
          <w:szCs w:val="21"/>
        </w:rPr>
        <w:t>对关键性技术问题认识及对策措施</w:t>
      </w:r>
    </w:p>
    <w:p>
      <w:pPr>
        <w:spacing w:line="360" w:lineRule="auto"/>
        <w:ind w:firstLine="420" w:firstLineChars="200"/>
        <w:rPr>
          <w:rFonts w:ascii="宋体" w:hAnsi="宋体"/>
          <w:szCs w:val="21"/>
        </w:rPr>
      </w:pPr>
      <w:r>
        <w:rPr>
          <w:rFonts w:hint="eastAsia" w:ascii="宋体" w:hAnsi="宋体"/>
          <w:szCs w:val="21"/>
        </w:rPr>
        <w:t>3、</w:t>
      </w:r>
      <w:r>
        <w:rPr>
          <w:rFonts w:hint="eastAsia" w:ascii="宋体" w:cs="宋体"/>
          <w:kern w:val="0"/>
          <w:szCs w:val="21"/>
        </w:rPr>
        <w:t>应急预案</w:t>
      </w:r>
    </w:p>
    <w:p>
      <w:pPr>
        <w:spacing w:line="360" w:lineRule="auto"/>
        <w:ind w:firstLine="420" w:firstLineChars="200"/>
        <w:rPr>
          <w:rFonts w:ascii="宋体" w:hAnsi="宋体"/>
          <w:szCs w:val="21"/>
        </w:rPr>
      </w:pPr>
      <w:r>
        <w:rPr>
          <w:rFonts w:hint="eastAsia" w:ascii="宋体" w:hAnsi="宋体"/>
          <w:szCs w:val="21"/>
        </w:rPr>
        <w:t>4、</w:t>
      </w:r>
      <w:r>
        <w:rPr>
          <w:rFonts w:hint="eastAsia" w:ascii="宋体" w:hAnsi="宋体" w:cs="仿宋_GB2312"/>
          <w:bCs/>
          <w:szCs w:val="21"/>
        </w:rPr>
        <w:t>人员配置情况(</w:t>
      </w:r>
      <w:r>
        <w:rPr>
          <w:rFonts w:hint="eastAsia" w:ascii="宋体" w:cs="宋体"/>
          <w:kern w:val="0"/>
          <w:szCs w:val="21"/>
        </w:rPr>
        <w:t>每班至少2人以上，其中有1人会污水指标化验工作)</w:t>
      </w:r>
    </w:p>
    <w:p>
      <w:pPr>
        <w:spacing w:line="360" w:lineRule="auto"/>
        <w:ind w:firstLine="420" w:firstLineChars="200"/>
        <w:rPr>
          <w:rFonts w:ascii="宋体" w:cs="宋体"/>
          <w:kern w:val="0"/>
          <w:szCs w:val="21"/>
        </w:rPr>
      </w:pPr>
      <w:r>
        <w:rPr>
          <w:rFonts w:hint="eastAsia" w:ascii="宋体" w:hAnsi="宋体"/>
          <w:szCs w:val="21"/>
        </w:rPr>
        <w:t>5、</w:t>
      </w:r>
      <w:r>
        <w:rPr>
          <w:rFonts w:hint="eastAsia" w:ascii="宋体" w:cs="宋体"/>
          <w:kern w:val="0"/>
          <w:szCs w:val="21"/>
        </w:rPr>
        <w:t>质量保证措施</w:t>
      </w:r>
    </w:p>
    <w:p>
      <w:pPr>
        <w:spacing w:line="360" w:lineRule="auto"/>
        <w:ind w:firstLine="420" w:firstLineChars="200"/>
        <w:rPr>
          <w:rFonts w:ascii="宋体" w:cs="宋体"/>
          <w:kern w:val="0"/>
          <w:szCs w:val="21"/>
        </w:rPr>
      </w:pPr>
      <w:r>
        <w:rPr>
          <w:rFonts w:hint="eastAsia" w:ascii="宋体" w:cs="宋体"/>
          <w:kern w:val="0"/>
          <w:szCs w:val="21"/>
        </w:rPr>
        <w:t>6、成本节约计划</w:t>
      </w:r>
    </w:p>
    <w:p>
      <w:pPr>
        <w:spacing w:line="360" w:lineRule="auto"/>
        <w:ind w:firstLine="420" w:firstLineChars="200"/>
        <w:rPr>
          <w:rFonts w:ascii="宋体" w:cs="宋体"/>
          <w:kern w:val="0"/>
          <w:szCs w:val="21"/>
        </w:rPr>
      </w:pPr>
      <w:r>
        <w:rPr>
          <w:rFonts w:hint="eastAsia" w:ascii="宋体" w:cs="宋体"/>
          <w:kern w:val="0"/>
          <w:szCs w:val="21"/>
        </w:rPr>
        <w:t>7、项目移交方案</w:t>
      </w:r>
    </w:p>
    <w:p>
      <w:pPr>
        <w:spacing w:line="360" w:lineRule="auto"/>
        <w:ind w:firstLine="420" w:firstLineChars="200"/>
        <w:rPr>
          <w:rFonts w:ascii="宋体" w:cs="宋体"/>
          <w:kern w:val="0"/>
          <w:szCs w:val="21"/>
        </w:rPr>
      </w:pPr>
      <w:r>
        <w:rPr>
          <w:rFonts w:hint="eastAsia" w:ascii="宋体" w:cs="宋体"/>
          <w:kern w:val="0"/>
          <w:szCs w:val="21"/>
        </w:rPr>
        <w:t>8、安全、文明和环保方案</w:t>
      </w:r>
    </w:p>
    <w:p>
      <w:pPr>
        <w:spacing w:line="360" w:lineRule="auto"/>
        <w:ind w:firstLine="420" w:firstLineChars="200"/>
        <w:rPr>
          <w:rFonts w:ascii="宋体" w:cs="宋体"/>
          <w:kern w:val="0"/>
          <w:szCs w:val="21"/>
        </w:rPr>
      </w:pPr>
      <w:r>
        <w:rPr>
          <w:rFonts w:hint="eastAsia" w:ascii="宋体" w:cs="宋体"/>
          <w:kern w:val="0"/>
          <w:szCs w:val="21"/>
        </w:rPr>
        <w:t>9、其他相关内容</w:t>
      </w:r>
    </w:p>
    <w:p>
      <w:pPr>
        <w:rPr>
          <w:rFonts w:ascii="仿宋_GB2312" w:hAnsi="宋体" w:eastAsia="仿宋_GB2312"/>
          <w:sz w:val="24"/>
        </w:rPr>
      </w:pPr>
    </w:p>
    <w:p>
      <w:pPr>
        <w:rPr>
          <w:rFonts w:ascii="宋体" w:hAnsi="宋体"/>
          <w:sz w:val="24"/>
        </w:rPr>
      </w:pPr>
    </w:p>
    <w:p>
      <w:pPr>
        <w:spacing w:line="660" w:lineRule="exact"/>
        <w:outlineLvl w:val="1"/>
        <w:rPr>
          <w:rFonts w:hint="default" w:ascii="宋体" w:hAnsi="宋体" w:eastAsia="黑体"/>
          <w:sz w:val="24"/>
          <w:lang w:val="en-US" w:eastAsia="zh-CN"/>
        </w:rPr>
      </w:pPr>
      <w:r>
        <w:rPr>
          <w:rFonts w:eastAsia="黑体"/>
          <w:b/>
          <w:bCs/>
          <w:sz w:val="28"/>
        </w:rPr>
        <w:br w:type="page"/>
      </w:r>
      <w:r>
        <w:rPr>
          <w:rFonts w:hint="eastAsia" w:eastAsia="黑体"/>
          <w:b/>
          <w:bCs/>
          <w:sz w:val="28"/>
        </w:rPr>
        <w:t>附件</w:t>
      </w:r>
      <w:r>
        <w:rPr>
          <w:rFonts w:eastAsia="黑体"/>
          <w:b/>
          <w:bCs/>
          <w:sz w:val="28"/>
        </w:rPr>
        <w:t>7</w:t>
      </w:r>
      <w:r>
        <w:rPr>
          <w:rFonts w:hint="eastAsia" w:eastAsia="黑体"/>
          <w:b/>
          <w:bCs/>
          <w:sz w:val="28"/>
          <w:lang w:val="en-US" w:eastAsia="zh-CN"/>
        </w:rPr>
        <w:t xml:space="preserve"> 承诺函</w:t>
      </w:r>
    </w:p>
    <w:p>
      <w:pPr>
        <w:rPr>
          <w:rFonts w:ascii="宋体" w:hAnsi="宋体"/>
        </w:rPr>
      </w:pPr>
      <w:r>
        <w:rPr>
          <w:rFonts w:hint="eastAsia" w:ascii="宋体" w:hAnsi="宋体"/>
        </w:rPr>
        <w:t>项目名称：</w:t>
      </w:r>
      <w:r>
        <w:rPr>
          <w:rFonts w:hint="eastAsia" w:ascii="宋体" w:hAnsi="宋体"/>
          <w:u w:val="single"/>
        </w:rPr>
        <w:t xml:space="preserve"> 中国重汽集团杭州发动机有限公司</w:t>
      </w:r>
      <w:r>
        <w:rPr>
          <w:rFonts w:hint="eastAsia"/>
          <w:szCs w:val="22"/>
          <w:u w:val="single"/>
        </w:rPr>
        <w:t>污水站委托运营项目</w:t>
      </w:r>
    </w:p>
    <w:p>
      <w:pPr>
        <w:rPr>
          <w:rFonts w:ascii="宋体" w:hAnsi="宋体"/>
        </w:rPr>
      </w:pPr>
    </w:p>
    <w:p>
      <w:pPr>
        <w:rPr>
          <w:rFonts w:ascii="宋体" w:hAnsi="宋体"/>
          <w:szCs w:val="21"/>
        </w:rPr>
      </w:pPr>
      <w:r>
        <w:rPr>
          <w:rFonts w:hint="eastAsia" w:ascii="宋体" w:hAnsi="宋体"/>
          <w:szCs w:val="21"/>
        </w:rPr>
        <w:t>日期：  年   月   日</w:t>
      </w:r>
    </w:p>
    <w:p>
      <w:pPr>
        <w:jc w:val="center"/>
        <w:rPr>
          <w:rFonts w:eastAsia="黑体"/>
          <w:b/>
          <w:bCs/>
          <w:sz w:val="28"/>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pPr>
              <w:rPr>
                <w:rFonts w:ascii="仿宋_GB2312" w:hAnsi="宋体" w:eastAsia="仿宋_GB2312"/>
                <w:sz w:val="24"/>
              </w:rPr>
            </w:pPr>
            <w:r>
              <w:rPr>
                <w:rFonts w:hint="eastAsia" w:ascii="仿宋_GB2312" w:hAnsi="宋体" w:eastAsia="仿宋_GB2312"/>
                <w:sz w:val="24"/>
              </w:rPr>
              <w:t>投标人承诺：</w:t>
            </w:r>
          </w:p>
          <w:p>
            <w:pPr>
              <w:pStyle w:val="9"/>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pPr>
              <w:rPr>
                <w:rFonts w:ascii="仿宋_GB2312" w:hAnsi="宋体" w:eastAsia="仿宋_GB2312"/>
                <w:sz w:val="24"/>
              </w:rPr>
            </w:pPr>
          </w:p>
        </w:tc>
      </w:tr>
    </w:tbl>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eastAsia="黑体"/>
          <w:b/>
          <w:bCs/>
          <w:sz w:val="28"/>
        </w:rPr>
      </w:pPr>
    </w:p>
    <w:p>
      <w:pPr>
        <w:ind w:firstLine="1"/>
        <w:outlineLvl w:val="1"/>
        <w:rPr>
          <w:rFonts w:hint="default" w:eastAsia="黑体"/>
          <w:b/>
          <w:bCs/>
          <w:sz w:val="28"/>
          <w:lang w:val="en-US" w:eastAsia="zh-CN"/>
        </w:rPr>
      </w:pPr>
      <w:r>
        <w:rPr>
          <w:rFonts w:eastAsia="黑体"/>
          <w:b/>
          <w:bCs/>
          <w:sz w:val="28"/>
        </w:rPr>
        <w:br w:type="page"/>
      </w:r>
      <w:r>
        <w:rPr>
          <w:rFonts w:hint="eastAsia" w:eastAsia="黑体"/>
          <w:b/>
          <w:bCs/>
          <w:sz w:val="28"/>
        </w:rPr>
        <w:t>附件</w:t>
      </w:r>
      <w:r>
        <w:rPr>
          <w:rFonts w:eastAsia="黑体"/>
          <w:b/>
          <w:bCs/>
          <w:sz w:val="28"/>
        </w:rPr>
        <w:t>8</w:t>
      </w:r>
      <w:r>
        <w:rPr>
          <w:rFonts w:hint="eastAsia" w:eastAsia="黑体"/>
          <w:b/>
          <w:bCs/>
          <w:sz w:val="28"/>
          <w:lang w:val="en-US" w:eastAsia="zh-CN"/>
        </w:rPr>
        <w:t xml:space="preserve"> 偏离表</w:t>
      </w:r>
    </w:p>
    <w:p>
      <w:pPr>
        <w:rPr>
          <w:rFonts w:ascii="宋体" w:hAnsi="宋体"/>
        </w:rPr>
      </w:pPr>
      <w:r>
        <w:rPr>
          <w:rFonts w:hint="eastAsia" w:ascii="宋体" w:hAnsi="宋体"/>
        </w:rPr>
        <w:t>项目名称：</w:t>
      </w:r>
      <w:r>
        <w:rPr>
          <w:rFonts w:hint="eastAsia" w:ascii="宋体" w:hAnsi="宋体"/>
          <w:u w:val="single"/>
        </w:rPr>
        <w:t xml:space="preserve"> 中国重汽集团杭州发动机有限公司</w:t>
      </w:r>
      <w:r>
        <w:rPr>
          <w:rFonts w:hint="eastAsia"/>
          <w:szCs w:val="22"/>
          <w:u w:val="single"/>
        </w:rPr>
        <w:t>污水站委托运营项目</w:t>
      </w:r>
    </w:p>
    <w:p>
      <w:pPr>
        <w:rPr>
          <w:rFonts w:ascii="宋体" w:hAnsi="宋体"/>
          <w:szCs w:val="21"/>
        </w:rPr>
      </w:pPr>
    </w:p>
    <w:p>
      <w:pPr>
        <w:rPr>
          <w:rFonts w:ascii="宋体" w:hAnsi="宋体"/>
          <w:szCs w:val="21"/>
        </w:rPr>
      </w:pPr>
      <w:r>
        <w:rPr>
          <w:rFonts w:hint="eastAsia" w:ascii="宋体" w:hAnsi="宋体"/>
          <w:szCs w:val="21"/>
        </w:rPr>
        <w:t>日期：  年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 w:val="24"/>
              </w:rPr>
            </w:pPr>
            <w:r>
              <w:rPr>
                <w:rFonts w:hint="eastAsia" w:ascii="宋体" w:hAnsi="宋体"/>
                <w:sz w:val="24"/>
              </w:rPr>
              <w:t>序号</w:t>
            </w:r>
          </w:p>
        </w:tc>
        <w:tc>
          <w:tcPr>
            <w:tcW w:w="4140" w:type="dxa"/>
            <w:gridSpan w:val="2"/>
            <w:vAlign w:val="center"/>
          </w:tcPr>
          <w:p>
            <w:pPr>
              <w:jc w:val="center"/>
              <w:rPr>
                <w:rFonts w:ascii="宋体" w:hAnsi="宋体"/>
                <w:sz w:val="24"/>
              </w:rPr>
            </w:pPr>
            <w:r>
              <w:rPr>
                <w:rFonts w:hint="eastAsia" w:ascii="宋体" w:hAnsi="宋体"/>
                <w:sz w:val="24"/>
              </w:rPr>
              <w:t>招标文件条款</w:t>
            </w:r>
          </w:p>
        </w:tc>
        <w:tc>
          <w:tcPr>
            <w:tcW w:w="3554" w:type="dxa"/>
            <w:vMerge w:val="restart"/>
            <w:vAlign w:val="center"/>
          </w:tcPr>
          <w:p>
            <w:pPr>
              <w:jc w:val="center"/>
              <w:rPr>
                <w:rFonts w:ascii="宋体" w:hAnsi="宋体"/>
                <w:sz w:val="24"/>
              </w:rPr>
            </w:pPr>
            <w:r>
              <w:rPr>
                <w:rFonts w:hint="eastAsia" w:ascii="宋体" w:hAnsi="宋体"/>
                <w:sz w:val="24"/>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 w:val="24"/>
              </w:rPr>
            </w:pPr>
          </w:p>
        </w:tc>
        <w:tc>
          <w:tcPr>
            <w:tcW w:w="1080" w:type="dxa"/>
            <w:vAlign w:val="center"/>
          </w:tcPr>
          <w:p>
            <w:pPr>
              <w:jc w:val="center"/>
              <w:rPr>
                <w:rFonts w:ascii="宋体" w:hAnsi="宋体"/>
                <w:sz w:val="24"/>
              </w:rPr>
            </w:pPr>
            <w:r>
              <w:rPr>
                <w:rFonts w:hint="eastAsia" w:ascii="宋体" w:hAnsi="宋体"/>
                <w:sz w:val="24"/>
              </w:rPr>
              <w:t>条款号</w:t>
            </w:r>
          </w:p>
        </w:tc>
        <w:tc>
          <w:tcPr>
            <w:tcW w:w="3060" w:type="dxa"/>
            <w:vAlign w:val="center"/>
          </w:tcPr>
          <w:p>
            <w:pPr>
              <w:jc w:val="center"/>
              <w:rPr>
                <w:rFonts w:ascii="宋体" w:hAnsi="宋体"/>
                <w:sz w:val="24"/>
              </w:rPr>
            </w:pPr>
            <w:r>
              <w:rPr>
                <w:rFonts w:hint="eastAsia" w:ascii="宋体" w:hAnsi="宋体"/>
                <w:sz w:val="24"/>
              </w:rPr>
              <w:t>条款要求</w:t>
            </w:r>
          </w:p>
        </w:tc>
        <w:tc>
          <w:tcPr>
            <w:tcW w:w="3554" w:type="dxa"/>
            <w:vMerge w:val="continue"/>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2</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3</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4</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5</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6</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7</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8</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9</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10</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pPr>
        <w:rPr>
          <w:rFonts w:ascii="宋体" w:hAnsi="宋体"/>
          <w:sz w:val="24"/>
        </w:rPr>
      </w:pPr>
    </w:p>
    <w:p>
      <w:pPr>
        <w:jc w:val="left"/>
        <w:outlineLvl w:val="1"/>
        <w:rPr>
          <w:rFonts w:hint="default" w:eastAsia="黑体"/>
          <w:b/>
          <w:bCs/>
          <w:sz w:val="28"/>
          <w:lang w:val="en-US" w:eastAsia="zh-CN"/>
        </w:rPr>
      </w:pPr>
      <w:r>
        <w:rPr>
          <w:rFonts w:eastAsia="黑体"/>
          <w:b/>
          <w:bCs/>
          <w:sz w:val="28"/>
        </w:rPr>
        <w:br w:type="page"/>
      </w:r>
      <w:r>
        <w:rPr>
          <w:rFonts w:hint="eastAsia" w:eastAsia="黑体"/>
          <w:b/>
          <w:bCs/>
          <w:sz w:val="28"/>
        </w:rPr>
        <w:t>附件</w:t>
      </w:r>
      <w:r>
        <w:rPr>
          <w:rFonts w:eastAsia="黑体"/>
          <w:b/>
          <w:bCs/>
          <w:sz w:val="28"/>
        </w:rPr>
        <w:t>9</w:t>
      </w:r>
      <w:r>
        <w:rPr>
          <w:rFonts w:hint="eastAsia" w:eastAsia="黑体"/>
          <w:b/>
          <w:bCs/>
          <w:sz w:val="28"/>
          <w:lang w:val="en-US" w:eastAsia="zh-CN"/>
        </w:rPr>
        <w:t xml:space="preserve"> 企业情况及服务承诺一览表</w:t>
      </w:r>
    </w:p>
    <w:p>
      <w:pPr>
        <w:rPr>
          <w:rFonts w:ascii="宋体" w:hAnsi="宋体"/>
        </w:rPr>
      </w:pPr>
      <w:r>
        <w:rPr>
          <w:rFonts w:hint="eastAsia" w:ascii="宋体" w:hAnsi="宋体"/>
        </w:rPr>
        <w:t>项目名称：</w:t>
      </w:r>
      <w:r>
        <w:rPr>
          <w:rFonts w:hint="eastAsia" w:ascii="宋体" w:hAnsi="宋体"/>
          <w:u w:val="single"/>
        </w:rPr>
        <w:t>中国重汽集团杭州发动机有限公司</w:t>
      </w:r>
      <w:r>
        <w:rPr>
          <w:rFonts w:hint="eastAsia"/>
          <w:szCs w:val="22"/>
          <w:u w:val="single"/>
        </w:rPr>
        <w:t>污水站委托运营项目</w:t>
      </w:r>
    </w:p>
    <w:p>
      <w:pPr>
        <w:rPr>
          <w:rFonts w:ascii="宋体" w:hAnsi="宋体"/>
          <w:szCs w:val="21"/>
        </w:rPr>
      </w:pPr>
    </w:p>
    <w:p>
      <w:pPr>
        <w:rPr>
          <w:rFonts w:eastAsia="黑体"/>
          <w:b/>
          <w:bCs/>
          <w:sz w:val="28"/>
        </w:rPr>
      </w:pPr>
      <w:r>
        <w:rPr>
          <w:rFonts w:hint="eastAsia" w:ascii="宋体" w:hAnsi="宋体"/>
          <w:szCs w:val="21"/>
        </w:rPr>
        <w:t>日期：  年   月   日</w:t>
      </w:r>
    </w:p>
    <w:p>
      <w:pPr>
        <w:jc w:val="center"/>
        <w:rPr>
          <w:rFonts w:eastAsia="黑体"/>
          <w:b/>
          <w:bCs/>
          <w:sz w:val="28"/>
        </w:rPr>
      </w:pPr>
      <w:r>
        <w:rPr>
          <w:rFonts w:hint="eastAsia" w:eastAsia="黑体"/>
          <w:b/>
          <w:bCs/>
          <w:sz w:val="28"/>
        </w:rPr>
        <w:t>企业情况及服务承诺一览表</w:t>
      </w:r>
    </w:p>
    <w:p>
      <w:pPr>
        <w:spacing w:line="400" w:lineRule="exact"/>
        <w:jc w:val="center"/>
        <w:rPr>
          <w:rFonts w:ascii="黑体" w:eastAsia="黑体"/>
          <w:sz w:val="30"/>
        </w:rPr>
      </w:pPr>
      <w:r>
        <w:rPr>
          <w:rFonts w:hint="eastAsia" w:ascii="黑体" w:eastAsia="黑体"/>
          <w:sz w:val="30"/>
        </w:rPr>
        <w:t>（模板，信息仅供参考，项目需求单位根据项目实际情况自拟格式和内容）</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ascii="宋体" w:hAnsi="宋体"/>
                <w:sz w:val="24"/>
              </w:rPr>
            </w:pPr>
            <w:r>
              <w:rPr>
                <w:rFonts w:hint="eastAsia" w:ascii="宋体" w:hAnsi="宋体"/>
                <w:sz w:val="24"/>
              </w:rPr>
              <w:t>公司名称</w:t>
            </w:r>
          </w:p>
        </w:tc>
        <w:tc>
          <w:tcPr>
            <w:tcW w:w="2269" w:type="dxa"/>
            <w:gridSpan w:val="4"/>
            <w:vAlign w:val="center"/>
          </w:tcPr>
          <w:p>
            <w:pPr>
              <w:jc w:val="center"/>
              <w:rPr>
                <w:rFonts w:ascii="宋体" w:hAnsi="宋体"/>
                <w:sz w:val="24"/>
              </w:rPr>
            </w:pPr>
          </w:p>
        </w:tc>
        <w:tc>
          <w:tcPr>
            <w:tcW w:w="1276" w:type="dxa"/>
            <w:gridSpan w:val="3"/>
            <w:vAlign w:val="center"/>
          </w:tcPr>
          <w:p>
            <w:pPr>
              <w:rPr>
                <w:rFonts w:ascii="宋体" w:hAnsi="宋体"/>
                <w:sz w:val="24"/>
              </w:rPr>
            </w:pPr>
            <w:r>
              <w:rPr>
                <w:rFonts w:hint="eastAsia" w:ascii="宋体" w:hAnsi="宋体"/>
                <w:sz w:val="24"/>
              </w:rPr>
              <w:t>成立时间</w:t>
            </w:r>
          </w:p>
        </w:tc>
        <w:tc>
          <w:tcPr>
            <w:tcW w:w="1400" w:type="dxa"/>
            <w:vAlign w:val="center"/>
          </w:tcPr>
          <w:p>
            <w:pPr>
              <w:rPr>
                <w:rFonts w:ascii="宋体" w:hAnsi="宋体"/>
                <w:sz w:val="24"/>
              </w:rPr>
            </w:pPr>
          </w:p>
        </w:tc>
        <w:tc>
          <w:tcPr>
            <w:tcW w:w="1293" w:type="dxa"/>
            <w:vAlign w:val="center"/>
          </w:tcPr>
          <w:p>
            <w:pPr>
              <w:rPr>
                <w:rFonts w:ascii="宋体" w:hAnsi="宋体"/>
                <w:sz w:val="24"/>
              </w:rPr>
            </w:pPr>
            <w:r>
              <w:rPr>
                <w:rFonts w:hint="eastAsia" w:ascii="宋体" w:hAnsi="宋体"/>
                <w:sz w:val="24"/>
              </w:rPr>
              <w:t>注册资本</w:t>
            </w:r>
          </w:p>
        </w:tc>
        <w:tc>
          <w:tcPr>
            <w:tcW w:w="2263" w:type="dxa"/>
            <w:gridSpan w:val="2"/>
            <w:vAlign w:val="center"/>
          </w:tcPr>
          <w:p>
            <w:pPr>
              <w:jc w:val="right"/>
              <w:rPr>
                <w:rFonts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pPr>
              <w:jc w:val="left"/>
              <w:rPr>
                <w:rFonts w:ascii="宋体" w:hAnsi="宋体"/>
                <w:sz w:val="24"/>
              </w:rPr>
            </w:pPr>
            <w:r>
              <w:rPr>
                <w:rFonts w:hint="eastAsia" w:ascii="宋体" w:hAnsi="宋体"/>
                <w:sz w:val="24"/>
              </w:rPr>
              <w:t>公司在册员工人数</w:t>
            </w:r>
          </w:p>
        </w:tc>
        <w:tc>
          <w:tcPr>
            <w:tcW w:w="1984" w:type="dxa"/>
            <w:gridSpan w:val="4"/>
            <w:vAlign w:val="center"/>
          </w:tcPr>
          <w:p>
            <w:pPr>
              <w:jc w:val="right"/>
              <w:rPr>
                <w:rFonts w:ascii="宋体" w:hAnsi="宋体"/>
                <w:sz w:val="24"/>
              </w:rPr>
            </w:pPr>
            <w:r>
              <w:rPr>
                <w:rFonts w:hint="eastAsia" w:ascii="宋体" w:hAnsi="宋体"/>
                <w:sz w:val="24"/>
              </w:rPr>
              <w:t>人</w:t>
            </w:r>
          </w:p>
        </w:tc>
        <w:tc>
          <w:tcPr>
            <w:tcW w:w="3970" w:type="dxa"/>
            <w:gridSpan w:val="4"/>
            <w:vAlign w:val="center"/>
          </w:tcPr>
          <w:p>
            <w:pPr>
              <w:rPr>
                <w:rFonts w:ascii="宋体" w:hAnsi="宋体"/>
                <w:sz w:val="24"/>
              </w:rPr>
            </w:pPr>
            <w:r>
              <w:rPr>
                <w:rFonts w:hint="eastAsia" w:ascii="宋体" w:hAnsi="宋体"/>
                <w:sz w:val="24"/>
              </w:rPr>
              <w:t>专业从事环境检测持证员工人数</w:t>
            </w:r>
          </w:p>
        </w:tc>
        <w:tc>
          <w:tcPr>
            <w:tcW w:w="1554" w:type="dxa"/>
            <w:vAlign w:val="center"/>
          </w:tcPr>
          <w:p>
            <w:pPr>
              <w:jc w:val="right"/>
              <w:rPr>
                <w:rFonts w:ascii="宋体" w:hAnsi="宋体"/>
                <w:sz w:val="24"/>
              </w:rPr>
            </w:pP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pPr>
              <w:jc w:val="left"/>
              <w:rPr>
                <w:rFonts w:ascii="宋体" w:hAnsi="宋体"/>
                <w:sz w:val="24"/>
              </w:rPr>
            </w:pPr>
            <w:r>
              <w:rPr>
                <w:rFonts w:hint="eastAsia" w:ascii="宋体" w:hAnsi="宋体"/>
                <w:sz w:val="24"/>
              </w:rPr>
              <w:t>企业所通过的体系认证情况</w:t>
            </w:r>
          </w:p>
        </w:tc>
        <w:tc>
          <w:tcPr>
            <w:tcW w:w="6232" w:type="dxa"/>
            <w:gridSpan w:val="7"/>
            <w:vAlign w:val="center"/>
          </w:tcPr>
          <w:p>
            <w:pPr>
              <w:jc w:val="righ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pPr>
              <w:jc w:val="center"/>
              <w:rPr>
                <w:rFonts w:ascii="宋体" w:hAnsi="宋体"/>
                <w:sz w:val="24"/>
              </w:rPr>
            </w:pPr>
            <w:r>
              <w:rPr>
                <w:rFonts w:hint="eastAsia" w:ascii="宋体" w:hAnsi="宋体"/>
                <w:sz w:val="24"/>
              </w:rPr>
              <w:t>公司现有主要检测设备、实验室数量及规模等、具有自行检测资质的指标。</w:t>
            </w:r>
          </w:p>
        </w:tc>
        <w:tc>
          <w:tcPr>
            <w:tcW w:w="7493" w:type="dxa"/>
            <w:gridSpan w:val="8"/>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针对本招标项目的服务方案及承诺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pPr>
              <w:jc w:val="center"/>
              <w:rPr>
                <w:rFonts w:ascii="宋体" w:hAnsi="宋体"/>
                <w:sz w:val="24"/>
              </w:rPr>
            </w:pPr>
            <w:r>
              <w:rPr>
                <w:rFonts w:hint="eastAsia" w:ascii="宋体" w:hAnsi="宋体"/>
                <w:sz w:val="24"/>
              </w:rPr>
              <w:t>检测人员（名）</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实验设备（功能、型号、数量）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检测设备（功能、型号、数量）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szCs w:val="24"/>
              </w:rPr>
            </w:pPr>
            <w:r>
              <w:rPr>
                <w:rFonts w:hint="eastAsia" w:ascii="宋体" w:hAnsi="宋体"/>
                <w:sz w:val="24"/>
              </w:rPr>
              <w:t>车辆（品牌、型号、数量）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其他</w:t>
            </w: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bl>
    <w:p>
      <w:pPr>
        <w:pStyle w:val="9"/>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pPr>
        <w:pStyle w:val="9"/>
        <w:spacing w:line="360" w:lineRule="auto"/>
        <w:ind w:left="708" w:leftChars="115" w:hanging="467" w:hangingChars="194"/>
        <w:rPr>
          <w:rFonts w:hAnsi="宋体"/>
          <w:b/>
          <w:sz w:val="24"/>
        </w:rPr>
      </w:pPr>
    </w:p>
    <w:p>
      <w:pPr>
        <w:pStyle w:val="9"/>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pPr>
        <w:pStyle w:val="9"/>
        <w:spacing w:line="360" w:lineRule="auto"/>
        <w:ind w:left="661" w:leftChars="315" w:firstLine="480"/>
        <w:rPr>
          <w:rFonts w:hAnsi="宋体"/>
          <w:sz w:val="24"/>
        </w:rPr>
      </w:pPr>
      <w:r>
        <w:rPr>
          <w:rFonts w:hint="eastAsia" w:hAnsi="宋体"/>
          <w:sz w:val="24"/>
        </w:rPr>
        <w:t>2.投标人可在上表内容基础上，酌情自行增加相关条目，以便更好的满足项目开展之需要。</w:t>
      </w:r>
    </w:p>
    <w:p>
      <w:pPr>
        <w:pStyle w:val="76"/>
        <w:ind w:firstLine="0" w:firstLineChars="0"/>
        <w:outlineLvl w:val="1"/>
        <w:rPr>
          <w:rFonts w:eastAsia="黑体"/>
          <w:sz w:val="28"/>
        </w:rPr>
      </w:pPr>
      <w:r>
        <w:rPr>
          <w:rFonts w:eastAsia="黑体"/>
          <w:b w:val="0"/>
          <w:bCs w:val="0"/>
          <w:sz w:val="28"/>
        </w:rPr>
        <w:br w:type="page"/>
      </w:r>
      <w:r>
        <w:rPr>
          <w:rFonts w:hint="eastAsia" w:eastAsia="黑体"/>
          <w:b w:val="0"/>
          <w:bCs w:val="0"/>
          <w:sz w:val="28"/>
        </w:rPr>
        <w:t>附件</w:t>
      </w:r>
      <w:r>
        <w:rPr>
          <w:rFonts w:eastAsia="黑体"/>
          <w:sz w:val="28"/>
        </w:rPr>
        <w:t>10</w:t>
      </w:r>
      <w:r>
        <w:rPr>
          <w:rFonts w:hint="eastAsia" w:eastAsia="黑体"/>
          <w:sz w:val="28"/>
        </w:rPr>
        <w:t xml:space="preserve"> </w:t>
      </w:r>
      <w:r>
        <w:rPr>
          <w:rFonts w:hint="eastAsia" w:eastAsia="黑体"/>
          <w:sz w:val="28"/>
          <w:lang w:val="en-US" w:eastAsia="zh-CN"/>
        </w:rPr>
        <w:t>近三年业绩一览表</w:t>
      </w:r>
      <w:r>
        <w:rPr>
          <w:rFonts w:hint="eastAsia" w:eastAsia="黑体"/>
          <w:sz w:val="28"/>
        </w:rPr>
        <w:t xml:space="preserve">      </w:t>
      </w:r>
    </w:p>
    <w:p>
      <w:pPr>
        <w:rPr>
          <w:rFonts w:ascii="宋体" w:hAnsi="宋体"/>
        </w:rPr>
      </w:pPr>
      <w:r>
        <w:rPr>
          <w:rFonts w:hint="eastAsia" w:ascii="宋体" w:hAnsi="宋体"/>
        </w:rPr>
        <w:t>项目名称：</w:t>
      </w:r>
      <w:r>
        <w:rPr>
          <w:rFonts w:hint="eastAsia" w:ascii="宋体" w:hAnsi="宋体"/>
          <w:u w:val="single"/>
        </w:rPr>
        <w:t>中国重汽集团杭州发动机有限公司</w:t>
      </w:r>
      <w:r>
        <w:rPr>
          <w:rFonts w:hint="eastAsia"/>
          <w:szCs w:val="22"/>
          <w:u w:val="single"/>
        </w:rPr>
        <w:t>污水站委托运营项目</w:t>
      </w:r>
    </w:p>
    <w:p>
      <w:pPr>
        <w:rPr>
          <w:rFonts w:ascii="宋体" w:hAnsi="宋体"/>
          <w:szCs w:val="21"/>
        </w:rPr>
      </w:pPr>
    </w:p>
    <w:p>
      <w:pPr>
        <w:rPr>
          <w:rFonts w:ascii="宋体" w:hAnsi="宋体"/>
          <w:szCs w:val="21"/>
        </w:rPr>
      </w:pPr>
      <w:r>
        <w:rPr>
          <w:rFonts w:hint="eastAsia" w:ascii="宋体" w:hAnsi="宋体"/>
          <w:szCs w:val="21"/>
        </w:rPr>
        <w:t>日期：  年   月   日</w:t>
      </w:r>
    </w:p>
    <w:p>
      <w:pPr>
        <w:pStyle w:val="76"/>
        <w:ind w:firstLine="0" w:firstLineChars="0"/>
        <w:jc w:val="center"/>
      </w:pPr>
    </w:p>
    <w:p>
      <w:pPr>
        <w:pStyle w:val="76"/>
        <w:ind w:firstLine="0" w:firstLineChars="0"/>
        <w:jc w:val="center"/>
      </w:pPr>
      <w:r>
        <w:rPr>
          <w:rFonts w:hint="eastAsia"/>
        </w:rPr>
        <w:t>近三年业绩一览表</w:t>
      </w:r>
    </w:p>
    <w:p>
      <w:r>
        <w:rPr>
          <w:rFonts w:hint="eastAsia"/>
        </w:rPr>
        <w:t xml:space="preserve">                                          </w:t>
      </w:r>
    </w:p>
    <w:p/>
    <w:tbl>
      <w:tblPr>
        <w:tblStyle w:val="14"/>
        <w:tblpPr w:leftFromText="180" w:rightFromText="180" w:vertAnchor="text" w:horzAnchor="margin" w:tblpY="-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176"/>
        <w:gridCol w:w="1317"/>
        <w:gridCol w:w="1194"/>
        <w:gridCol w:w="1225"/>
        <w:gridCol w:w="1513"/>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3" w:type="dxa"/>
            <w:vAlign w:val="center"/>
          </w:tcPr>
          <w:p>
            <w:pPr>
              <w:pStyle w:val="12"/>
              <w:ind w:left="422" w:hanging="422"/>
              <w:jc w:val="center"/>
              <w:rPr>
                <w:rFonts w:ascii="宋体" w:hAnsi="宋体"/>
                <w:b/>
                <w:szCs w:val="21"/>
              </w:rPr>
            </w:pPr>
            <w:r>
              <w:rPr>
                <w:rFonts w:hint="eastAsia" w:ascii="宋体" w:hAnsi="宋体"/>
                <w:b/>
                <w:szCs w:val="21"/>
              </w:rPr>
              <w:t>序号</w:t>
            </w:r>
          </w:p>
        </w:tc>
        <w:tc>
          <w:tcPr>
            <w:tcW w:w="2176" w:type="dxa"/>
            <w:vAlign w:val="center"/>
          </w:tcPr>
          <w:p>
            <w:pPr>
              <w:pStyle w:val="12"/>
              <w:ind w:left="422" w:hanging="422"/>
              <w:jc w:val="center"/>
              <w:rPr>
                <w:rFonts w:ascii="宋体" w:hAnsi="宋体"/>
                <w:b/>
                <w:szCs w:val="21"/>
              </w:rPr>
            </w:pPr>
            <w:r>
              <w:rPr>
                <w:rFonts w:hint="eastAsia" w:ascii="宋体" w:hAnsi="宋体"/>
                <w:b/>
                <w:szCs w:val="21"/>
              </w:rPr>
              <w:t>服务单位</w:t>
            </w:r>
          </w:p>
        </w:tc>
        <w:tc>
          <w:tcPr>
            <w:tcW w:w="1317" w:type="dxa"/>
            <w:vAlign w:val="center"/>
          </w:tcPr>
          <w:p>
            <w:pPr>
              <w:pStyle w:val="12"/>
              <w:ind w:left="422" w:hanging="422"/>
              <w:jc w:val="center"/>
              <w:rPr>
                <w:rFonts w:ascii="宋体" w:hAnsi="宋体"/>
                <w:b/>
                <w:szCs w:val="21"/>
              </w:rPr>
            </w:pPr>
            <w:r>
              <w:rPr>
                <w:rFonts w:hint="eastAsia" w:ascii="宋体" w:hAnsi="宋体"/>
                <w:b/>
                <w:szCs w:val="21"/>
              </w:rPr>
              <w:t>项目名称</w:t>
            </w:r>
          </w:p>
        </w:tc>
        <w:tc>
          <w:tcPr>
            <w:tcW w:w="1194" w:type="dxa"/>
            <w:vAlign w:val="center"/>
          </w:tcPr>
          <w:p>
            <w:pPr>
              <w:pStyle w:val="12"/>
              <w:ind w:left="422" w:hanging="422"/>
              <w:jc w:val="center"/>
              <w:rPr>
                <w:rFonts w:ascii="宋体" w:hAnsi="宋体"/>
                <w:b/>
                <w:szCs w:val="21"/>
              </w:rPr>
            </w:pPr>
            <w:r>
              <w:rPr>
                <w:rFonts w:hint="eastAsia" w:ascii="宋体" w:hAnsi="宋体"/>
                <w:b/>
                <w:szCs w:val="21"/>
              </w:rPr>
              <w:t>涉及种类</w:t>
            </w:r>
          </w:p>
        </w:tc>
        <w:tc>
          <w:tcPr>
            <w:tcW w:w="1225" w:type="dxa"/>
            <w:vAlign w:val="center"/>
          </w:tcPr>
          <w:p>
            <w:pPr>
              <w:pStyle w:val="12"/>
              <w:ind w:left="422" w:hanging="422"/>
              <w:jc w:val="center"/>
              <w:rPr>
                <w:rFonts w:ascii="宋体" w:hAnsi="宋体"/>
                <w:b/>
                <w:szCs w:val="21"/>
              </w:rPr>
            </w:pPr>
            <w:r>
              <w:rPr>
                <w:rFonts w:hint="eastAsia" w:ascii="宋体" w:hAnsi="宋体"/>
                <w:b/>
                <w:szCs w:val="21"/>
              </w:rPr>
              <w:t>合同金额（万元）</w:t>
            </w:r>
          </w:p>
        </w:tc>
        <w:tc>
          <w:tcPr>
            <w:tcW w:w="1513" w:type="dxa"/>
            <w:vAlign w:val="center"/>
          </w:tcPr>
          <w:p>
            <w:pPr>
              <w:pStyle w:val="12"/>
              <w:ind w:left="422" w:hanging="422"/>
              <w:jc w:val="center"/>
              <w:rPr>
                <w:rFonts w:ascii="宋体" w:hAnsi="宋体"/>
                <w:b/>
                <w:szCs w:val="21"/>
              </w:rPr>
            </w:pPr>
            <w:r>
              <w:rPr>
                <w:rFonts w:hint="eastAsia" w:ascii="宋体" w:hAnsi="宋体"/>
                <w:b/>
                <w:szCs w:val="21"/>
              </w:rPr>
              <w:t>合同签订时间</w:t>
            </w:r>
          </w:p>
        </w:tc>
        <w:tc>
          <w:tcPr>
            <w:tcW w:w="1164" w:type="dxa"/>
            <w:vAlign w:val="center"/>
          </w:tcPr>
          <w:p>
            <w:pPr>
              <w:pStyle w:val="12"/>
              <w:ind w:left="422" w:hanging="422"/>
              <w:jc w:val="center"/>
              <w:rPr>
                <w:rFonts w:ascii="宋体" w:hAnsi="宋体"/>
                <w:b/>
                <w:szCs w:val="21"/>
              </w:rPr>
            </w:pPr>
            <w:r>
              <w:rPr>
                <w:rFonts w:hint="eastAsia" w:ascii="宋体" w:hAnsi="宋体"/>
                <w:b/>
                <w:szCs w:val="21"/>
              </w:rPr>
              <w:t>联系人及</w:t>
            </w:r>
          </w:p>
          <w:p>
            <w:pPr>
              <w:pStyle w:val="12"/>
              <w:ind w:left="422" w:hanging="422"/>
              <w:jc w:val="center"/>
              <w:rPr>
                <w:rFonts w:ascii="宋体" w:hAnsi="宋体"/>
                <w:b/>
                <w:szCs w:val="21"/>
              </w:rPr>
            </w:pPr>
            <w:r>
              <w:rPr>
                <w:rFonts w:hint="eastAsia" w:ascii="宋体" w:hAnsi="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3" w:type="dxa"/>
          </w:tcPr>
          <w:p>
            <w:pPr>
              <w:pStyle w:val="12"/>
              <w:ind w:left="422" w:hanging="422"/>
              <w:rPr>
                <w:rFonts w:ascii="宋体" w:hAnsi="宋体"/>
                <w:b/>
              </w:rPr>
            </w:pPr>
          </w:p>
        </w:tc>
        <w:tc>
          <w:tcPr>
            <w:tcW w:w="2176" w:type="dxa"/>
          </w:tcPr>
          <w:p>
            <w:pPr>
              <w:pStyle w:val="12"/>
              <w:ind w:left="422" w:hanging="422"/>
              <w:rPr>
                <w:rFonts w:ascii="宋体" w:hAnsi="宋体"/>
                <w:b/>
              </w:rPr>
            </w:pPr>
          </w:p>
        </w:tc>
        <w:tc>
          <w:tcPr>
            <w:tcW w:w="1317" w:type="dxa"/>
          </w:tcPr>
          <w:p>
            <w:pPr>
              <w:pStyle w:val="12"/>
              <w:ind w:left="422" w:hanging="422"/>
              <w:rPr>
                <w:rFonts w:ascii="宋体" w:hAnsi="宋体"/>
                <w:b/>
              </w:rPr>
            </w:pPr>
          </w:p>
        </w:tc>
        <w:tc>
          <w:tcPr>
            <w:tcW w:w="1194" w:type="dxa"/>
          </w:tcPr>
          <w:p>
            <w:pPr>
              <w:pStyle w:val="12"/>
              <w:ind w:left="422" w:hanging="422"/>
              <w:rPr>
                <w:rFonts w:ascii="宋体" w:hAnsi="宋体"/>
                <w:b/>
              </w:rPr>
            </w:pPr>
          </w:p>
        </w:tc>
        <w:tc>
          <w:tcPr>
            <w:tcW w:w="1225" w:type="dxa"/>
          </w:tcPr>
          <w:p>
            <w:pPr>
              <w:pStyle w:val="12"/>
              <w:ind w:left="422" w:hanging="422"/>
              <w:rPr>
                <w:rFonts w:ascii="宋体" w:hAnsi="宋体"/>
                <w:b/>
              </w:rPr>
            </w:pPr>
          </w:p>
        </w:tc>
        <w:tc>
          <w:tcPr>
            <w:tcW w:w="1513" w:type="dxa"/>
          </w:tcPr>
          <w:p>
            <w:pPr>
              <w:pStyle w:val="12"/>
              <w:ind w:left="422" w:hanging="422"/>
              <w:rPr>
                <w:rFonts w:ascii="宋体" w:hAnsi="宋体"/>
                <w:b/>
              </w:rPr>
            </w:pPr>
          </w:p>
        </w:tc>
        <w:tc>
          <w:tcPr>
            <w:tcW w:w="1164" w:type="dxa"/>
          </w:tcPr>
          <w:p>
            <w:pPr>
              <w:pStyle w:val="12"/>
              <w:ind w:left="422" w:hanging="422"/>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3" w:type="dxa"/>
          </w:tcPr>
          <w:p>
            <w:pPr>
              <w:pStyle w:val="12"/>
              <w:ind w:left="422" w:hanging="422"/>
              <w:rPr>
                <w:rFonts w:ascii="宋体" w:hAnsi="宋体"/>
                <w:b/>
              </w:rPr>
            </w:pPr>
          </w:p>
        </w:tc>
        <w:tc>
          <w:tcPr>
            <w:tcW w:w="2176" w:type="dxa"/>
          </w:tcPr>
          <w:p>
            <w:pPr>
              <w:pStyle w:val="12"/>
              <w:ind w:left="422" w:hanging="422"/>
              <w:rPr>
                <w:rFonts w:ascii="宋体" w:hAnsi="宋体"/>
                <w:b/>
              </w:rPr>
            </w:pPr>
          </w:p>
        </w:tc>
        <w:tc>
          <w:tcPr>
            <w:tcW w:w="1317" w:type="dxa"/>
          </w:tcPr>
          <w:p>
            <w:pPr>
              <w:pStyle w:val="12"/>
              <w:ind w:left="422" w:hanging="422"/>
              <w:rPr>
                <w:rFonts w:ascii="宋体" w:hAnsi="宋体"/>
                <w:b/>
              </w:rPr>
            </w:pPr>
          </w:p>
        </w:tc>
        <w:tc>
          <w:tcPr>
            <w:tcW w:w="1194" w:type="dxa"/>
          </w:tcPr>
          <w:p>
            <w:pPr>
              <w:pStyle w:val="12"/>
              <w:ind w:left="422" w:hanging="422"/>
              <w:rPr>
                <w:rFonts w:ascii="宋体" w:hAnsi="宋体"/>
                <w:b/>
              </w:rPr>
            </w:pPr>
          </w:p>
        </w:tc>
        <w:tc>
          <w:tcPr>
            <w:tcW w:w="1225" w:type="dxa"/>
          </w:tcPr>
          <w:p>
            <w:pPr>
              <w:pStyle w:val="12"/>
              <w:ind w:left="422" w:hanging="422"/>
              <w:rPr>
                <w:rFonts w:ascii="宋体" w:hAnsi="宋体"/>
                <w:b/>
              </w:rPr>
            </w:pPr>
          </w:p>
        </w:tc>
        <w:tc>
          <w:tcPr>
            <w:tcW w:w="1513" w:type="dxa"/>
          </w:tcPr>
          <w:p>
            <w:pPr>
              <w:pStyle w:val="12"/>
              <w:ind w:left="422" w:hanging="422"/>
              <w:rPr>
                <w:rFonts w:ascii="宋体" w:hAnsi="宋体"/>
                <w:b/>
              </w:rPr>
            </w:pPr>
          </w:p>
        </w:tc>
        <w:tc>
          <w:tcPr>
            <w:tcW w:w="1164" w:type="dxa"/>
          </w:tcPr>
          <w:p>
            <w:pPr>
              <w:pStyle w:val="12"/>
              <w:ind w:left="422" w:hanging="422"/>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3" w:type="dxa"/>
          </w:tcPr>
          <w:p>
            <w:pPr>
              <w:pStyle w:val="12"/>
              <w:ind w:left="422" w:hanging="422"/>
              <w:rPr>
                <w:rFonts w:ascii="宋体" w:hAnsi="宋体"/>
                <w:b/>
              </w:rPr>
            </w:pPr>
          </w:p>
        </w:tc>
        <w:tc>
          <w:tcPr>
            <w:tcW w:w="2176" w:type="dxa"/>
          </w:tcPr>
          <w:p>
            <w:pPr>
              <w:pStyle w:val="12"/>
              <w:ind w:left="422" w:hanging="422"/>
              <w:rPr>
                <w:rFonts w:ascii="宋体" w:hAnsi="宋体"/>
                <w:b/>
              </w:rPr>
            </w:pPr>
          </w:p>
        </w:tc>
        <w:tc>
          <w:tcPr>
            <w:tcW w:w="1317" w:type="dxa"/>
          </w:tcPr>
          <w:p>
            <w:pPr>
              <w:pStyle w:val="12"/>
              <w:ind w:left="422" w:hanging="422"/>
              <w:rPr>
                <w:rFonts w:ascii="宋体" w:hAnsi="宋体"/>
                <w:b/>
              </w:rPr>
            </w:pPr>
          </w:p>
        </w:tc>
        <w:tc>
          <w:tcPr>
            <w:tcW w:w="1194" w:type="dxa"/>
          </w:tcPr>
          <w:p>
            <w:pPr>
              <w:pStyle w:val="12"/>
              <w:ind w:left="422" w:hanging="422"/>
              <w:rPr>
                <w:rFonts w:ascii="宋体" w:hAnsi="宋体"/>
                <w:b/>
              </w:rPr>
            </w:pPr>
          </w:p>
        </w:tc>
        <w:tc>
          <w:tcPr>
            <w:tcW w:w="1225" w:type="dxa"/>
          </w:tcPr>
          <w:p>
            <w:pPr>
              <w:pStyle w:val="12"/>
              <w:ind w:left="422" w:hanging="422"/>
              <w:rPr>
                <w:rFonts w:ascii="宋体" w:hAnsi="宋体"/>
                <w:b/>
              </w:rPr>
            </w:pPr>
          </w:p>
        </w:tc>
        <w:tc>
          <w:tcPr>
            <w:tcW w:w="1513" w:type="dxa"/>
          </w:tcPr>
          <w:p>
            <w:pPr>
              <w:pStyle w:val="12"/>
              <w:ind w:left="422" w:hanging="422"/>
              <w:rPr>
                <w:rFonts w:ascii="宋体" w:hAnsi="宋体"/>
                <w:b/>
              </w:rPr>
            </w:pPr>
          </w:p>
        </w:tc>
        <w:tc>
          <w:tcPr>
            <w:tcW w:w="1164" w:type="dxa"/>
          </w:tcPr>
          <w:p>
            <w:pPr>
              <w:pStyle w:val="12"/>
              <w:ind w:left="422" w:hanging="422"/>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3" w:type="dxa"/>
          </w:tcPr>
          <w:p>
            <w:pPr>
              <w:pStyle w:val="12"/>
              <w:ind w:left="422" w:hanging="422"/>
              <w:rPr>
                <w:rFonts w:ascii="宋体" w:hAnsi="宋体"/>
                <w:b/>
              </w:rPr>
            </w:pPr>
          </w:p>
        </w:tc>
        <w:tc>
          <w:tcPr>
            <w:tcW w:w="2176" w:type="dxa"/>
          </w:tcPr>
          <w:p>
            <w:pPr>
              <w:pStyle w:val="12"/>
              <w:ind w:left="422" w:hanging="422"/>
              <w:rPr>
                <w:rFonts w:ascii="宋体" w:hAnsi="宋体"/>
                <w:b/>
              </w:rPr>
            </w:pPr>
          </w:p>
        </w:tc>
        <w:tc>
          <w:tcPr>
            <w:tcW w:w="1317" w:type="dxa"/>
          </w:tcPr>
          <w:p>
            <w:pPr>
              <w:pStyle w:val="12"/>
              <w:ind w:left="422" w:hanging="422"/>
              <w:rPr>
                <w:rFonts w:ascii="宋体" w:hAnsi="宋体"/>
                <w:b/>
              </w:rPr>
            </w:pPr>
          </w:p>
        </w:tc>
        <w:tc>
          <w:tcPr>
            <w:tcW w:w="1194" w:type="dxa"/>
          </w:tcPr>
          <w:p>
            <w:pPr>
              <w:pStyle w:val="12"/>
              <w:ind w:left="422" w:hanging="422"/>
              <w:rPr>
                <w:rFonts w:ascii="宋体" w:hAnsi="宋体"/>
                <w:b/>
              </w:rPr>
            </w:pPr>
          </w:p>
        </w:tc>
        <w:tc>
          <w:tcPr>
            <w:tcW w:w="1225" w:type="dxa"/>
          </w:tcPr>
          <w:p>
            <w:pPr>
              <w:pStyle w:val="12"/>
              <w:ind w:left="422" w:hanging="422"/>
              <w:rPr>
                <w:rFonts w:ascii="宋体" w:hAnsi="宋体"/>
                <w:b/>
              </w:rPr>
            </w:pPr>
          </w:p>
        </w:tc>
        <w:tc>
          <w:tcPr>
            <w:tcW w:w="1513" w:type="dxa"/>
          </w:tcPr>
          <w:p>
            <w:pPr>
              <w:pStyle w:val="12"/>
              <w:ind w:left="422" w:hanging="422"/>
              <w:rPr>
                <w:rFonts w:ascii="宋体" w:hAnsi="宋体"/>
                <w:b/>
              </w:rPr>
            </w:pPr>
          </w:p>
        </w:tc>
        <w:tc>
          <w:tcPr>
            <w:tcW w:w="1164" w:type="dxa"/>
          </w:tcPr>
          <w:p>
            <w:pPr>
              <w:pStyle w:val="12"/>
              <w:ind w:left="422" w:hanging="422"/>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3" w:type="dxa"/>
          </w:tcPr>
          <w:p>
            <w:pPr>
              <w:pStyle w:val="12"/>
              <w:ind w:left="422" w:hanging="422"/>
              <w:rPr>
                <w:rFonts w:ascii="宋体" w:hAnsi="宋体"/>
                <w:b/>
              </w:rPr>
            </w:pPr>
          </w:p>
        </w:tc>
        <w:tc>
          <w:tcPr>
            <w:tcW w:w="2176" w:type="dxa"/>
          </w:tcPr>
          <w:p>
            <w:pPr>
              <w:pStyle w:val="12"/>
              <w:ind w:left="422" w:hanging="422"/>
              <w:rPr>
                <w:rFonts w:ascii="宋体" w:hAnsi="宋体"/>
                <w:b/>
              </w:rPr>
            </w:pPr>
          </w:p>
        </w:tc>
        <w:tc>
          <w:tcPr>
            <w:tcW w:w="1317" w:type="dxa"/>
          </w:tcPr>
          <w:p>
            <w:pPr>
              <w:pStyle w:val="12"/>
              <w:ind w:left="422" w:hanging="422"/>
              <w:rPr>
                <w:rFonts w:ascii="宋体" w:hAnsi="宋体"/>
                <w:b/>
              </w:rPr>
            </w:pPr>
          </w:p>
        </w:tc>
        <w:tc>
          <w:tcPr>
            <w:tcW w:w="1194" w:type="dxa"/>
          </w:tcPr>
          <w:p>
            <w:pPr>
              <w:pStyle w:val="12"/>
              <w:ind w:left="422" w:hanging="422"/>
              <w:rPr>
                <w:rFonts w:ascii="宋体" w:hAnsi="宋体"/>
                <w:b/>
              </w:rPr>
            </w:pPr>
          </w:p>
        </w:tc>
        <w:tc>
          <w:tcPr>
            <w:tcW w:w="1225" w:type="dxa"/>
          </w:tcPr>
          <w:p>
            <w:pPr>
              <w:pStyle w:val="12"/>
              <w:ind w:left="422" w:hanging="422"/>
              <w:rPr>
                <w:rFonts w:ascii="宋体" w:hAnsi="宋体"/>
                <w:b/>
              </w:rPr>
            </w:pPr>
          </w:p>
        </w:tc>
        <w:tc>
          <w:tcPr>
            <w:tcW w:w="1513" w:type="dxa"/>
          </w:tcPr>
          <w:p>
            <w:pPr>
              <w:pStyle w:val="12"/>
              <w:ind w:left="422" w:hanging="422"/>
              <w:rPr>
                <w:rFonts w:ascii="宋体" w:hAnsi="宋体"/>
                <w:b/>
              </w:rPr>
            </w:pPr>
          </w:p>
        </w:tc>
        <w:tc>
          <w:tcPr>
            <w:tcW w:w="1164" w:type="dxa"/>
          </w:tcPr>
          <w:p>
            <w:pPr>
              <w:pStyle w:val="12"/>
              <w:ind w:left="422" w:hanging="422"/>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3" w:type="dxa"/>
          </w:tcPr>
          <w:p>
            <w:pPr>
              <w:pStyle w:val="12"/>
              <w:ind w:left="422" w:hanging="422"/>
              <w:rPr>
                <w:rFonts w:ascii="宋体" w:hAnsi="宋体"/>
                <w:b/>
              </w:rPr>
            </w:pPr>
          </w:p>
        </w:tc>
        <w:tc>
          <w:tcPr>
            <w:tcW w:w="2176" w:type="dxa"/>
          </w:tcPr>
          <w:p>
            <w:pPr>
              <w:pStyle w:val="12"/>
              <w:ind w:left="422" w:hanging="422"/>
              <w:rPr>
                <w:rFonts w:ascii="宋体" w:hAnsi="宋体"/>
                <w:b/>
              </w:rPr>
            </w:pPr>
          </w:p>
        </w:tc>
        <w:tc>
          <w:tcPr>
            <w:tcW w:w="1317" w:type="dxa"/>
          </w:tcPr>
          <w:p>
            <w:pPr>
              <w:pStyle w:val="12"/>
              <w:ind w:left="422" w:hanging="422"/>
              <w:rPr>
                <w:rFonts w:ascii="宋体" w:hAnsi="宋体"/>
                <w:b/>
              </w:rPr>
            </w:pPr>
          </w:p>
        </w:tc>
        <w:tc>
          <w:tcPr>
            <w:tcW w:w="1194" w:type="dxa"/>
          </w:tcPr>
          <w:p>
            <w:pPr>
              <w:pStyle w:val="12"/>
              <w:ind w:left="422" w:hanging="422"/>
              <w:rPr>
                <w:rFonts w:ascii="宋体" w:hAnsi="宋体"/>
                <w:b/>
              </w:rPr>
            </w:pPr>
          </w:p>
        </w:tc>
        <w:tc>
          <w:tcPr>
            <w:tcW w:w="1225" w:type="dxa"/>
          </w:tcPr>
          <w:p>
            <w:pPr>
              <w:pStyle w:val="12"/>
              <w:ind w:left="422" w:hanging="422"/>
              <w:rPr>
                <w:rFonts w:ascii="宋体" w:hAnsi="宋体"/>
                <w:b/>
              </w:rPr>
            </w:pPr>
          </w:p>
        </w:tc>
        <w:tc>
          <w:tcPr>
            <w:tcW w:w="1513" w:type="dxa"/>
          </w:tcPr>
          <w:p>
            <w:pPr>
              <w:pStyle w:val="12"/>
              <w:ind w:left="422" w:hanging="422"/>
              <w:rPr>
                <w:rFonts w:ascii="宋体" w:hAnsi="宋体"/>
                <w:b/>
              </w:rPr>
            </w:pPr>
          </w:p>
        </w:tc>
        <w:tc>
          <w:tcPr>
            <w:tcW w:w="1164" w:type="dxa"/>
          </w:tcPr>
          <w:p>
            <w:pPr>
              <w:pStyle w:val="12"/>
              <w:ind w:left="422" w:hanging="422"/>
              <w:rPr>
                <w:rFonts w:ascii="宋体" w:hAnsi="宋体"/>
                <w:b/>
              </w:rPr>
            </w:pPr>
          </w:p>
        </w:tc>
      </w:tr>
    </w:tbl>
    <w:p/>
    <w:p/>
    <w:p/>
    <w:p/>
    <w:p/>
    <w:p/>
    <w:p/>
    <w:p/>
    <w:p/>
    <w:p/>
    <w:p>
      <w:pPr>
        <w:pStyle w:val="2"/>
      </w:pPr>
    </w:p>
    <w:p/>
    <w:p>
      <w:pPr>
        <w:pStyle w:val="2"/>
      </w:pPr>
    </w:p>
    <w:p/>
    <w:p>
      <w:pPr>
        <w:pStyle w:val="2"/>
      </w:pPr>
    </w:p>
    <w:p/>
    <w:p>
      <w:pPr>
        <w:pStyle w:val="2"/>
      </w:pPr>
    </w:p>
    <w:p/>
    <w:p>
      <w:pPr>
        <w:pStyle w:val="76"/>
        <w:ind w:firstLine="0" w:firstLineChars="0"/>
        <w:outlineLvl w:val="1"/>
        <w:rPr>
          <w:rFonts w:eastAsia="黑体"/>
          <w:sz w:val="28"/>
        </w:rPr>
      </w:pPr>
      <w:r>
        <w:rPr>
          <w:rFonts w:hint="eastAsia" w:eastAsia="黑体"/>
          <w:b w:val="0"/>
          <w:bCs w:val="0"/>
          <w:sz w:val="28"/>
        </w:rPr>
        <w:t>附件</w:t>
      </w:r>
      <w:r>
        <w:rPr>
          <w:rFonts w:eastAsia="黑体"/>
          <w:sz w:val="28"/>
        </w:rPr>
        <w:t>11</w:t>
      </w:r>
      <w:r>
        <w:rPr>
          <w:rFonts w:hint="eastAsia" w:eastAsia="黑体"/>
          <w:sz w:val="28"/>
        </w:rPr>
        <w:t xml:space="preserve">    </w:t>
      </w:r>
      <w:r>
        <w:rPr>
          <w:rFonts w:hint="eastAsia" w:eastAsia="黑体"/>
          <w:sz w:val="28"/>
          <w:lang w:val="en-US" w:eastAsia="zh-CN"/>
        </w:rPr>
        <w:t>现场勘察记录表</w:t>
      </w:r>
      <w:r>
        <w:rPr>
          <w:rFonts w:hint="eastAsia" w:eastAsia="黑体"/>
          <w:sz w:val="28"/>
        </w:rPr>
        <w:t xml:space="preserve">   </w:t>
      </w:r>
    </w:p>
    <w:p>
      <w:pPr>
        <w:rPr>
          <w:rFonts w:ascii="宋体" w:hAnsi="宋体"/>
        </w:rPr>
      </w:pPr>
      <w:r>
        <w:rPr>
          <w:rFonts w:hint="eastAsia" w:ascii="宋体" w:hAnsi="宋体"/>
        </w:rPr>
        <w:t>项目名称：</w:t>
      </w:r>
      <w:r>
        <w:rPr>
          <w:rFonts w:hint="eastAsia" w:ascii="宋体" w:hAnsi="宋体"/>
          <w:u w:val="single"/>
        </w:rPr>
        <w:t>中国重汽集团杭州发动机有限公司</w:t>
      </w:r>
      <w:r>
        <w:rPr>
          <w:rFonts w:hint="eastAsia"/>
          <w:szCs w:val="22"/>
          <w:u w:val="single"/>
        </w:rPr>
        <w:t>污水站委托运营项目</w:t>
      </w:r>
    </w:p>
    <w:p>
      <w:pPr>
        <w:rPr>
          <w:rFonts w:ascii="宋体" w:hAnsi="宋体"/>
          <w:szCs w:val="21"/>
        </w:rPr>
      </w:pPr>
    </w:p>
    <w:p>
      <w:pPr>
        <w:rPr>
          <w:rFonts w:ascii="宋体" w:hAnsi="宋体"/>
          <w:szCs w:val="21"/>
        </w:rPr>
      </w:pPr>
      <w:r>
        <w:rPr>
          <w:rFonts w:hint="eastAsia" w:ascii="宋体" w:hAnsi="宋体"/>
          <w:szCs w:val="21"/>
        </w:rPr>
        <w:t>日期：  年   月   日</w:t>
      </w:r>
    </w:p>
    <w:p>
      <w:pPr>
        <w:pStyle w:val="2"/>
      </w:pPr>
    </w:p>
    <w:p>
      <w:pPr>
        <w:pStyle w:val="76"/>
        <w:ind w:firstLine="442" w:firstLineChars="100"/>
        <w:rPr>
          <w:sz w:val="44"/>
          <w:szCs w:val="44"/>
        </w:rPr>
      </w:pPr>
      <w:r>
        <w:rPr>
          <w:rFonts w:hint="eastAsia"/>
          <w:sz w:val="44"/>
          <w:szCs w:val="44"/>
        </w:rPr>
        <w:t>污水站委托运营项目现场勘察记录表</w:t>
      </w:r>
    </w:p>
    <w:p>
      <w:pPr>
        <w:jc w:val="center"/>
        <w:rPr>
          <w:rFonts w:ascii="宋体" w:hAnsi="宋体"/>
          <w:sz w:val="44"/>
          <w:szCs w:val="4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5103"/>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rFonts w:ascii="宋体" w:hAnsi="宋体"/>
                <w:sz w:val="28"/>
                <w:szCs w:val="28"/>
              </w:rPr>
            </w:pPr>
            <w:r>
              <w:rPr>
                <w:rFonts w:hint="eastAsia" w:ascii="宋体" w:hAnsi="宋体"/>
                <w:sz w:val="28"/>
                <w:szCs w:val="28"/>
              </w:rPr>
              <w:t>项目名称</w:t>
            </w:r>
          </w:p>
        </w:tc>
        <w:tc>
          <w:tcPr>
            <w:tcW w:w="6741" w:type="dxa"/>
            <w:gridSpan w:val="2"/>
          </w:tcPr>
          <w:p>
            <w:pPr>
              <w:jc w:val="center"/>
              <w:rPr>
                <w:rFonts w:ascii="宋体" w:hAnsi="宋体"/>
                <w:sz w:val="28"/>
                <w:szCs w:val="28"/>
              </w:rPr>
            </w:pPr>
            <w:r>
              <w:rPr>
                <w:rFonts w:hint="eastAsia" w:ascii="宋体" w:hAnsi="宋体"/>
                <w:sz w:val="28"/>
                <w:szCs w:val="28"/>
              </w:rPr>
              <w:t>杭发公司污水站委托运营项目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rFonts w:ascii="宋体" w:hAnsi="宋体"/>
                <w:sz w:val="28"/>
                <w:szCs w:val="28"/>
              </w:rPr>
            </w:pPr>
            <w:r>
              <w:rPr>
                <w:rFonts w:hint="eastAsia" w:ascii="宋体" w:hAnsi="宋体"/>
                <w:sz w:val="28"/>
                <w:szCs w:val="28"/>
              </w:rPr>
              <w:t>勘察时间</w:t>
            </w:r>
          </w:p>
        </w:tc>
        <w:tc>
          <w:tcPr>
            <w:tcW w:w="6741" w:type="dxa"/>
            <w:gridSpan w:val="2"/>
          </w:tcPr>
          <w:p>
            <w:pP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tcPr>
          <w:p>
            <w:pPr>
              <w:jc w:val="center"/>
              <w:rPr>
                <w:rFonts w:ascii="宋体" w:hAnsi="宋体"/>
                <w:sz w:val="28"/>
                <w:szCs w:val="28"/>
              </w:rPr>
            </w:pPr>
          </w:p>
          <w:p>
            <w:pPr>
              <w:jc w:val="center"/>
              <w:rPr>
                <w:rFonts w:ascii="宋体" w:hAnsi="宋体"/>
                <w:sz w:val="28"/>
                <w:szCs w:val="28"/>
              </w:rPr>
            </w:pPr>
          </w:p>
          <w:p>
            <w:pPr>
              <w:rPr>
                <w:rFonts w:ascii="宋体" w:hAnsi="宋体"/>
                <w:sz w:val="28"/>
                <w:szCs w:val="28"/>
              </w:rPr>
            </w:pPr>
            <w:r>
              <w:rPr>
                <w:rFonts w:hint="eastAsia" w:ascii="宋体" w:hAnsi="宋体"/>
                <w:sz w:val="28"/>
                <w:szCs w:val="28"/>
              </w:rPr>
              <w:t>勘察内容</w:t>
            </w:r>
          </w:p>
        </w:tc>
        <w:tc>
          <w:tcPr>
            <w:tcW w:w="5103" w:type="dxa"/>
          </w:tcPr>
          <w:p>
            <w:pPr>
              <w:rPr>
                <w:rFonts w:ascii="宋体" w:hAnsi="宋体"/>
                <w:sz w:val="28"/>
                <w:szCs w:val="28"/>
              </w:rPr>
            </w:pPr>
            <w:r>
              <w:rPr>
                <w:rFonts w:hint="eastAsia" w:ascii="宋体" w:hAnsi="宋体"/>
                <w:sz w:val="28"/>
                <w:szCs w:val="28"/>
              </w:rPr>
              <w:t>1、对投标人的污水性质是否清楚？</w:t>
            </w:r>
          </w:p>
        </w:tc>
        <w:tc>
          <w:tcPr>
            <w:tcW w:w="1638" w:type="dxa"/>
          </w:tcPr>
          <w:p>
            <w:pPr>
              <w:rPr>
                <w:rFonts w:ascii="宋体" w:hAnsi="宋体"/>
                <w:sz w:val="28"/>
                <w:szCs w:val="28"/>
              </w:rPr>
            </w:pPr>
            <w:r>
              <w:rPr>
                <w:rFonts w:hint="eastAsia" w:ascii="宋体" w:hAnsi="宋体"/>
                <w:sz w:val="28"/>
                <w:szCs w:val="28"/>
              </w:rPr>
              <w:t xml:space="preserve">是□ </w:t>
            </w:r>
            <w:r>
              <w:rPr>
                <w:rFonts w:ascii="宋体" w:hAnsi="宋体"/>
                <w:sz w:val="28"/>
                <w:szCs w:val="28"/>
              </w:rPr>
              <w:t xml:space="preserve"> </w:t>
            </w:r>
            <w:r>
              <w:rPr>
                <w:rFonts w:hint="eastAsia" w:ascii="宋体" w:hAnsi="宋体"/>
                <w:sz w:val="28"/>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tcPr>
          <w:p>
            <w:pPr>
              <w:rPr>
                <w:rFonts w:ascii="宋体" w:hAnsi="宋体"/>
                <w:sz w:val="28"/>
                <w:szCs w:val="28"/>
              </w:rPr>
            </w:pPr>
          </w:p>
        </w:tc>
        <w:tc>
          <w:tcPr>
            <w:tcW w:w="5103" w:type="dxa"/>
          </w:tcPr>
          <w:p>
            <w:pPr>
              <w:rPr>
                <w:rFonts w:ascii="宋体" w:hAnsi="宋体"/>
                <w:sz w:val="28"/>
                <w:szCs w:val="28"/>
              </w:rPr>
            </w:pPr>
            <w:r>
              <w:rPr>
                <w:rFonts w:hint="eastAsia" w:ascii="宋体" w:hAnsi="宋体"/>
                <w:sz w:val="28"/>
                <w:szCs w:val="28"/>
              </w:rPr>
              <w:t>2、对投标人的污水处理工艺是否清楚？</w:t>
            </w:r>
          </w:p>
        </w:tc>
        <w:tc>
          <w:tcPr>
            <w:tcW w:w="1638" w:type="dxa"/>
          </w:tcPr>
          <w:p>
            <w:pPr>
              <w:rPr>
                <w:rFonts w:ascii="宋体" w:hAnsi="宋体"/>
                <w:sz w:val="28"/>
                <w:szCs w:val="28"/>
              </w:rPr>
            </w:pPr>
            <w:r>
              <w:rPr>
                <w:rFonts w:hint="eastAsia" w:ascii="宋体" w:hAnsi="宋体"/>
                <w:sz w:val="28"/>
                <w:szCs w:val="28"/>
              </w:rPr>
              <w:t xml:space="preserve">是□ </w:t>
            </w:r>
            <w:r>
              <w:rPr>
                <w:rFonts w:ascii="宋体" w:hAnsi="宋体"/>
                <w:sz w:val="28"/>
                <w:szCs w:val="28"/>
              </w:rPr>
              <w:t xml:space="preserve"> </w:t>
            </w:r>
            <w:r>
              <w:rPr>
                <w:rFonts w:hint="eastAsia" w:ascii="宋体" w:hAnsi="宋体"/>
                <w:sz w:val="28"/>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vMerge w:val="continue"/>
          </w:tcPr>
          <w:p>
            <w:pPr>
              <w:rPr>
                <w:rFonts w:ascii="宋体" w:hAnsi="宋体"/>
                <w:sz w:val="28"/>
                <w:szCs w:val="28"/>
              </w:rPr>
            </w:pPr>
          </w:p>
        </w:tc>
        <w:tc>
          <w:tcPr>
            <w:tcW w:w="5103" w:type="dxa"/>
          </w:tcPr>
          <w:p>
            <w:pPr>
              <w:rPr>
                <w:rFonts w:ascii="宋体" w:hAnsi="宋体"/>
                <w:sz w:val="28"/>
                <w:szCs w:val="28"/>
              </w:rPr>
            </w:pPr>
            <w:r>
              <w:rPr>
                <w:rFonts w:hint="eastAsia" w:ascii="宋体" w:hAnsi="宋体"/>
                <w:sz w:val="28"/>
                <w:szCs w:val="28"/>
              </w:rPr>
              <w:t>3、对该项目的人员配置是否清楚？</w:t>
            </w:r>
          </w:p>
        </w:tc>
        <w:tc>
          <w:tcPr>
            <w:tcW w:w="1638" w:type="dxa"/>
          </w:tcPr>
          <w:p>
            <w:pPr>
              <w:rPr>
                <w:rFonts w:ascii="宋体" w:hAnsi="宋体"/>
                <w:sz w:val="28"/>
                <w:szCs w:val="28"/>
              </w:rPr>
            </w:pPr>
            <w:r>
              <w:rPr>
                <w:rFonts w:hint="eastAsia" w:ascii="宋体" w:hAnsi="宋体"/>
                <w:sz w:val="28"/>
                <w:szCs w:val="28"/>
              </w:rPr>
              <w:t xml:space="preserve">是□ </w:t>
            </w:r>
            <w:r>
              <w:rPr>
                <w:rFonts w:ascii="宋体" w:hAnsi="宋体"/>
                <w:sz w:val="28"/>
                <w:szCs w:val="28"/>
              </w:rPr>
              <w:t xml:space="preserve"> </w:t>
            </w:r>
            <w:r>
              <w:rPr>
                <w:rFonts w:hint="eastAsia" w:ascii="宋体" w:hAnsi="宋体"/>
                <w:sz w:val="28"/>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vMerge w:val="continue"/>
          </w:tcPr>
          <w:p>
            <w:pPr>
              <w:rPr>
                <w:rFonts w:ascii="宋体" w:hAnsi="宋体"/>
                <w:sz w:val="28"/>
                <w:szCs w:val="28"/>
              </w:rPr>
            </w:pPr>
          </w:p>
        </w:tc>
        <w:tc>
          <w:tcPr>
            <w:tcW w:w="5103" w:type="dxa"/>
          </w:tcPr>
          <w:p>
            <w:pPr>
              <w:rPr>
                <w:rFonts w:ascii="宋体" w:hAnsi="宋体"/>
                <w:sz w:val="28"/>
                <w:szCs w:val="28"/>
              </w:rPr>
            </w:pPr>
            <w:r>
              <w:rPr>
                <w:rFonts w:hint="eastAsia" w:ascii="宋体" w:hAnsi="宋体"/>
                <w:sz w:val="28"/>
                <w:szCs w:val="28"/>
              </w:rPr>
              <w:t>4、污水排放指标是否能达到投标人的要求？</w:t>
            </w:r>
          </w:p>
        </w:tc>
        <w:tc>
          <w:tcPr>
            <w:tcW w:w="1638" w:type="dxa"/>
          </w:tcPr>
          <w:p>
            <w:pPr>
              <w:rPr>
                <w:rFonts w:ascii="宋体" w:hAnsi="宋体"/>
                <w:sz w:val="28"/>
                <w:szCs w:val="28"/>
              </w:rPr>
            </w:pPr>
            <w:r>
              <w:rPr>
                <w:rFonts w:hint="eastAsia" w:ascii="宋体" w:hAnsi="宋体"/>
                <w:sz w:val="28"/>
                <w:szCs w:val="28"/>
              </w:rPr>
              <w:t xml:space="preserve">是□ </w:t>
            </w:r>
            <w:r>
              <w:rPr>
                <w:rFonts w:ascii="宋体" w:hAnsi="宋体"/>
                <w:sz w:val="28"/>
                <w:szCs w:val="28"/>
              </w:rPr>
              <w:t xml:space="preserve"> </w:t>
            </w:r>
            <w:r>
              <w:rPr>
                <w:rFonts w:hint="eastAsia" w:ascii="宋体" w:hAnsi="宋体"/>
                <w:sz w:val="28"/>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tcPr>
          <w:p>
            <w:pPr>
              <w:rPr>
                <w:rFonts w:ascii="宋体" w:hAnsi="宋体"/>
                <w:sz w:val="28"/>
                <w:szCs w:val="28"/>
              </w:rPr>
            </w:pPr>
          </w:p>
        </w:tc>
        <w:tc>
          <w:tcPr>
            <w:tcW w:w="6741" w:type="dxa"/>
            <w:gridSpan w:val="2"/>
          </w:tcPr>
          <w:p>
            <w:pPr>
              <w:rPr>
                <w:rFonts w:ascii="宋体" w:hAnsi="宋体"/>
                <w:sz w:val="28"/>
                <w:szCs w:val="28"/>
              </w:rPr>
            </w:pPr>
            <w:r>
              <w:rPr>
                <w:rFonts w:hint="eastAsia" w:ascii="宋体" w:hAnsi="宋体"/>
                <w:sz w:val="28"/>
                <w:szCs w:val="28"/>
              </w:rPr>
              <w:t>5、其他补充内容</w:t>
            </w:r>
          </w:p>
          <w:p>
            <w:pPr>
              <w:rPr>
                <w:rFonts w:ascii="宋体" w:hAnsi="宋体"/>
                <w:sz w:val="28"/>
                <w:szCs w:val="28"/>
              </w:rPr>
            </w:pPr>
          </w:p>
          <w:p>
            <w:pPr>
              <w:rPr>
                <w:rFonts w:ascii="宋体" w:hAnsi="宋体"/>
                <w:sz w:val="28"/>
                <w:szCs w:val="28"/>
              </w:rPr>
            </w:pPr>
          </w:p>
          <w:p>
            <w:pP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rFonts w:ascii="宋体" w:hAnsi="宋体"/>
                <w:sz w:val="28"/>
                <w:szCs w:val="28"/>
              </w:rPr>
            </w:pPr>
            <w:r>
              <w:rPr>
                <w:rFonts w:hint="eastAsia" w:ascii="宋体" w:hAnsi="宋体"/>
                <w:sz w:val="28"/>
                <w:szCs w:val="28"/>
              </w:rPr>
              <w:t>现场勘察单位名称</w:t>
            </w:r>
          </w:p>
        </w:tc>
        <w:tc>
          <w:tcPr>
            <w:tcW w:w="6741" w:type="dxa"/>
            <w:gridSpan w:val="2"/>
          </w:tcPr>
          <w:p>
            <w:pP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rFonts w:ascii="宋体" w:hAnsi="宋体"/>
                <w:sz w:val="28"/>
                <w:szCs w:val="28"/>
              </w:rPr>
            </w:pPr>
            <w:r>
              <w:rPr>
                <w:rFonts w:hint="eastAsia" w:ascii="宋体" w:hAnsi="宋体"/>
                <w:sz w:val="28"/>
                <w:szCs w:val="28"/>
              </w:rPr>
              <w:t>现场勘察代表签字</w:t>
            </w:r>
          </w:p>
        </w:tc>
        <w:tc>
          <w:tcPr>
            <w:tcW w:w="6741" w:type="dxa"/>
            <w:gridSpan w:val="2"/>
          </w:tcPr>
          <w:p>
            <w:pP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rFonts w:ascii="宋体" w:hAnsi="宋体"/>
                <w:sz w:val="28"/>
                <w:szCs w:val="28"/>
              </w:rPr>
            </w:pPr>
            <w:r>
              <w:rPr>
                <w:rFonts w:hint="eastAsia" w:ascii="宋体" w:hAnsi="宋体"/>
                <w:sz w:val="28"/>
                <w:szCs w:val="28"/>
              </w:rPr>
              <w:t>实施单位陪同人员</w:t>
            </w:r>
          </w:p>
        </w:tc>
        <w:tc>
          <w:tcPr>
            <w:tcW w:w="6741" w:type="dxa"/>
            <w:gridSpan w:val="2"/>
          </w:tcPr>
          <w:p>
            <w:pPr>
              <w:rPr>
                <w:rFonts w:ascii="宋体" w:hAnsi="宋体"/>
                <w:sz w:val="28"/>
                <w:szCs w:val="28"/>
              </w:rPr>
            </w:pPr>
          </w:p>
        </w:tc>
      </w:tr>
    </w:tbl>
    <w:p>
      <w:pPr>
        <w:pStyle w:val="9"/>
        <w:outlineLvl w:val="1"/>
        <w:rPr>
          <w:rFonts w:hAnsi="宋体" w:cs="宋体"/>
          <w:b/>
          <w:bCs/>
          <w:color w:val="000000"/>
          <w:sz w:val="24"/>
          <w:szCs w:val="24"/>
        </w:rPr>
      </w:pPr>
      <w:r>
        <w:rPr>
          <w:rFonts w:hint="eastAsia" w:hAnsi="宋体" w:cs="宋体"/>
          <w:b/>
          <w:bCs/>
          <w:color w:val="000000"/>
          <w:sz w:val="24"/>
          <w:szCs w:val="24"/>
        </w:rPr>
        <w:t>附件</w:t>
      </w:r>
      <w:r>
        <w:rPr>
          <w:rFonts w:hint="eastAsia" w:hAnsi="宋体" w:cs="宋体"/>
          <w:b/>
          <w:bCs/>
          <w:color w:val="000000"/>
          <w:sz w:val="24"/>
          <w:szCs w:val="24"/>
          <w:lang w:val="en-US" w:eastAsia="zh-CN"/>
        </w:rPr>
        <w:t>12</w:t>
      </w:r>
      <w:r>
        <w:rPr>
          <w:rFonts w:hint="eastAsia" w:hAnsi="宋体" w:cs="宋体"/>
          <w:b/>
          <w:bCs/>
          <w:color w:val="000000"/>
          <w:sz w:val="24"/>
          <w:szCs w:val="24"/>
        </w:rPr>
        <w:t xml:space="preserve">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pPr>
        <w:numPr>
          <w:ilvl w:val="0"/>
          <w:numId w:val="8"/>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pPr>
        <w:pStyle w:val="9"/>
      </w:pPr>
    </w:p>
    <w:p>
      <w:pPr>
        <w:rPr>
          <w:rFonts w:ascii="宋体" w:hAnsi="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0" cstate="print"/>
                    <a:srcRect/>
                    <a:stretch>
                      <a:fillRect/>
                    </a:stretch>
                  </pic:blipFill>
                  <pic:spPr>
                    <a:xfrm>
                      <a:off x="0" y="0"/>
                      <a:ext cx="5760085" cy="2809875"/>
                    </a:xfrm>
                    <a:prstGeom prst="rect">
                      <a:avLst/>
                    </a:prstGeom>
                  </pic:spPr>
                </pic:pic>
              </a:graphicData>
            </a:graphic>
          </wp:inline>
        </w:drawing>
      </w:r>
    </w:p>
    <w:p>
      <w:pPr>
        <w:pStyle w:val="9"/>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1" cstate="print"/>
                    <a:srcRect/>
                    <a:stretch>
                      <a:fillRect/>
                    </a:stretch>
                  </pic:blipFill>
                  <pic:spPr>
                    <a:xfrm>
                      <a:off x="0" y="0"/>
                      <a:ext cx="5760085" cy="2820035"/>
                    </a:xfrm>
                    <a:prstGeom prst="rect">
                      <a:avLst/>
                    </a:prstGeom>
                  </pic:spPr>
                </pic:pic>
              </a:graphicData>
            </a:graphic>
          </wp:inline>
        </w:drawing>
      </w:r>
    </w:p>
    <w:p>
      <w:pPr>
        <w:pStyle w:val="9"/>
      </w:pPr>
    </w:p>
    <w:p>
      <w:pPr>
        <w:pStyle w:val="9"/>
      </w:pPr>
    </w:p>
    <w:p>
      <w:pPr>
        <w:rPr>
          <w:rFonts w:ascii="宋体" w:hAnsi="宋体" w:cs="宋体"/>
          <w:b/>
          <w:bCs/>
          <w:color w:val="000000"/>
          <w:sz w:val="24"/>
          <w:szCs w:val="28"/>
        </w:rPr>
      </w:pPr>
      <w:r>
        <w:rPr>
          <w:rFonts w:hint="eastAsia" w:ascii="宋体" w:hAnsi="宋体" w:cs="宋体"/>
          <w:b/>
          <w:bCs/>
          <w:color w:val="000000"/>
          <w:sz w:val="24"/>
          <w:szCs w:val="28"/>
        </w:rPr>
        <w:t>注：</w:t>
      </w:r>
    </w:p>
    <w:p>
      <w:pPr>
        <w:rPr>
          <w:rFonts w:ascii="宋体" w:hAnsi="宋体" w:cs="宋体"/>
          <w:b/>
          <w:bCs/>
          <w:color w:val="000000"/>
          <w:sz w:val="24"/>
          <w:szCs w:val="28"/>
        </w:rPr>
      </w:pPr>
      <w:r>
        <w:rPr>
          <w:rFonts w:hint="eastAsia" w:ascii="宋体" w:hAnsi="宋体" w:cs="宋体"/>
          <w:b/>
          <w:bCs/>
          <w:color w:val="000000"/>
          <w:sz w:val="24"/>
          <w:szCs w:val="28"/>
        </w:rPr>
        <w:t>1.“项目名称”和“采购形式编号”见投标须知前附表1.1；</w:t>
      </w:r>
    </w:p>
    <w:p>
      <w:pPr>
        <w:pStyle w:val="9"/>
      </w:pPr>
      <w:r>
        <w:rPr>
          <w:rFonts w:hint="eastAsia" w:hAnsi="宋体" w:cs="宋体"/>
          <w:b/>
          <w:bCs/>
          <w:color w:val="000000"/>
          <w:sz w:val="24"/>
          <w:szCs w:val="28"/>
        </w:rPr>
        <w:t>2.配套能力“供货类别”填“直管单位非生产招标 / 服务 / 职业健康”，业务主管部门选择“安全环保部”。</w:t>
      </w:r>
    </w:p>
    <w:p>
      <w:pPr>
        <w:pStyle w:val="9"/>
        <w:sectPr>
          <w:headerReference r:id="rId8" w:type="first"/>
          <w:footerReference r:id="rId10" w:type="first"/>
          <w:headerReference r:id="rId7" w:type="default"/>
          <w:footerReference r:id="rId9" w:type="default"/>
          <w:pgSz w:w="11906" w:h="16838"/>
          <w:pgMar w:top="1588" w:right="1418" w:bottom="1134" w:left="1418" w:header="851" w:footer="992" w:gutter="0"/>
          <w:cols w:space="720" w:num="1"/>
          <w:titlePg/>
          <w:docGrid w:type="lines" w:linePitch="312" w:charSpace="0"/>
        </w:sectPr>
      </w:pPr>
    </w:p>
    <w:p>
      <w:pPr>
        <w:pStyle w:val="9"/>
        <w:outlineLvl w:val="1"/>
        <w:rPr>
          <w:rFonts w:hAnsi="宋体"/>
          <w:b/>
          <w:color w:val="000000"/>
          <w:sz w:val="24"/>
          <w:szCs w:val="24"/>
        </w:rPr>
      </w:pPr>
      <w:r>
        <w:rPr>
          <w:rFonts w:hint="eastAsia" w:hAnsi="宋体" w:cs="宋体"/>
          <w:b/>
          <w:bCs/>
          <w:color w:val="000000"/>
          <w:sz w:val="24"/>
          <w:szCs w:val="24"/>
        </w:rPr>
        <w:t>附件</w:t>
      </w:r>
      <w:r>
        <w:rPr>
          <w:rFonts w:hint="eastAsia" w:hAnsi="宋体" w:cs="宋体"/>
          <w:b/>
          <w:bCs/>
          <w:color w:val="000000"/>
          <w:sz w:val="24"/>
          <w:szCs w:val="24"/>
          <w:lang w:val="en-US" w:eastAsia="zh-CN"/>
        </w:rPr>
        <w:t>13</w:t>
      </w:r>
      <w:r>
        <w:rPr>
          <w:rFonts w:hint="eastAsia" w:hAnsi="宋体" w:cs="宋体"/>
          <w:b/>
          <w:bCs/>
          <w:color w:val="000000"/>
          <w:sz w:val="24"/>
          <w:szCs w:val="24"/>
        </w:rPr>
        <w:t xml:space="preserve"> </w:t>
      </w:r>
      <w:r>
        <w:rPr>
          <w:rFonts w:hint="eastAsia" w:hAnsi="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cs="宋体"/>
          <w:sz w:val="24"/>
          <w:szCs w:val="24"/>
        </w:rPr>
        <w:t>https://ecaitong.sinotruk.com:8012/</w:t>
      </w:r>
      <w:r>
        <w:rPr>
          <w:rStyle w:val="1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pPr>
        <w:spacing w:line="360" w:lineRule="auto"/>
        <w:rPr>
          <w:rFonts w:ascii="宋体" w:hAnsi="宋体" w:cs="宋体"/>
          <w:sz w:val="24"/>
          <w:szCs w:val="24"/>
        </w:rPr>
      </w:pPr>
      <w:r>
        <w:rPr>
          <w:rFonts w:hint="eastAsia" w:ascii="宋体" w:hAnsi="宋体" w:cs="宋体"/>
          <w:color w:val="000000"/>
          <w:sz w:val="24"/>
          <w:szCs w:val="24"/>
        </w:rPr>
        <w:t>初始密码：scm@2022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2"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3"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9"/>
      </w:pPr>
      <w:r>
        <w:rPr>
          <w:rFonts w:hint="eastAsia" w:hAnsi="宋体" w:cs="宋体"/>
          <w:b/>
          <w:bCs/>
          <w:color w:val="000000"/>
          <w:sz w:val="24"/>
          <w:szCs w:val="28"/>
          <w:highlight w:val="yellow"/>
        </w:rPr>
        <w:t>注意：系统内的投标报价单位为“万元”，如开标现场发现填错报价，即直接淘汰。</w:t>
      </w:r>
    </w:p>
    <w:p>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4"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hint="eastAsia" w:ascii="宋体" w:hAnsi="宋体" w:cs="宋体"/>
          <w:color w:val="000000"/>
          <w:sz w:val="24"/>
          <w:szCs w:val="24"/>
        </w:rPr>
        <w:t>。</w:t>
      </w:r>
    </w:p>
    <w:p>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5"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6"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ascii="宋体" w:hAnsi="宋体" w:cs="宋体"/>
          <w:sz w:val="24"/>
          <w:szCs w:val="24"/>
        </w:rPr>
      </w:pPr>
      <w:r>
        <w:rPr>
          <w:rFonts w:ascii="宋体" w:hAnsi="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7" cstate="print"/>
                    <a:srcRect/>
                    <a:stretch>
                      <a:fillRect/>
                    </a:stretch>
                  </pic:blipFill>
                  <pic:spPr>
                    <a:xfrm>
                      <a:off x="0" y="0"/>
                      <a:ext cx="5760085" cy="1956435"/>
                    </a:xfrm>
                    <a:prstGeom prst="rect">
                      <a:avLst/>
                    </a:prstGeom>
                  </pic:spPr>
                </pic:pic>
              </a:graphicData>
            </a:graphic>
          </wp:inline>
        </w:drawing>
      </w:r>
    </w:p>
    <w:p>
      <w:pPr>
        <w:pStyle w:val="9"/>
        <w:rPr>
          <w:rFonts w:hAnsi="宋体"/>
          <w:b/>
          <w:color w:val="000000"/>
          <w:sz w:val="24"/>
          <w:szCs w:val="24"/>
        </w:rPr>
      </w:pPr>
    </w:p>
    <w:p>
      <w:pPr>
        <w:pStyle w:val="9"/>
        <w:rPr>
          <w:rFonts w:hAnsi="宋体"/>
          <w:b/>
          <w:color w:val="000000"/>
          <w:sz w:val="24"/>
          <w:szCs w:val="24"/>
        </w:rPr>
      </w:pPr>
    </w:p>
    <w:p>
      <w:pPr>
        <w:pStyle w:val="22"/>
        <w:rPr>
          <w:rFonts w:hAnsi="宋体"/>
          <w:sz w:val="24"/>
        </w:rPr>
      </w:pPr>
    </w:p>
    <w:p>
      <w:pPr>
        <w:pStyle w:val="5"/>
      </w:pPr>
    </w:p>
    <w:sectPr>
      <w:footerReference r:id="rId14" w:type="first"/>
      <w:headerReference r:id="rId11" w:type="default"/>
      <w:footerReference r:id="rId12" w:type="default"/>
      <w:footerReference r:id="rId13"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247650" cy="13144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19.5pt;mso-position-horizontal:center;mso-position-horizontal-relative:margin;mso-wrap-style:none;z-index:251681792;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exSODQAAAAAwEAAA8AAAAAAAAAAQAgAAAAIgAAAGRycy9k&#10;b3ducmV2LnhtbFBLAQIUABQAAAAIAIdO4kBAQmVeCgIAAAIEAAAOAAAAAAAAAAEAIAAAAB8BAABk&#10;cnMvZTJvRG9jLnhtbFBLBQYAAAAABgAGAFkBAACbBQAAAAA=&#10;">
              <v:fill on="f" focussize="0,0"/>
              <v:stroke on="f"/>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0"/>
                          </w:pPr>
                          <w:r>
                            <w:fldChar w:fldCharType="begin"/>
                          </w:r>
                          <w:r>
                            <w:instrText xml:space="preserve"> PAGE  \* MERGEFORMAT </w:instrText>
                          </w:r>
                          <w:r>
                            <w:fldChar w:fldCharType="separate"/>
                          </w:r>
                          <w:r>
                            <w:t>22</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22</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0"/>
                          </w:pPr>
                          <w:r>
                            <w:fldChar w:fldCharType="begin"/>
                          </w:r>
                          <w:r>
                            <w:instrText xml:space="preserve"> PAGE  \* MERGEFORMAT </w:instrText>
                          </w:r>
                          <w:r>
                            <w:fldChar w:fldCharType="separate"/>
                          </w:r>
                          <w:r>
                            <w:t>17</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17</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pPr>
                      <w:pStyle w:val="1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7"/>
      </w:rPr>
    </w:pPr>
    <w:r>
      <w:fldChar w:fldCharType="begin"/>
    </w:r>
    <w:r>
      <w:rPr>
        <w:rStyle w:val="17"/>
      </w:rPr>
      <w:instrText xml:space="preserve">PAGE  </w:instrText>
    </w:r>
    <w:r>
      <w:fldChar w:fldCharType="end"/>
    </w:r>
  </w:p>
  <w:p>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82816" behindDoc="0" locked="0" layoutInCell="1" allowOverlap="1">
          <wp:simplePos x="0" y="0"/>
          <wp:positionH relativeFrom="column">
            <wp:posOffset>-191770</wp:posOffset>
          </wp:positionH>
          <wp:positionV relativeFrom="paragraph">
            <wp:posOffset>-173355</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p>
    <w:pPr>
      <w:pStyle w:val="4"/>
    </w:pPr>
    <w:r>
      <w:pict>
        <v:shape id="PowerPlusWaterMarkObject29041277" o:spid="_x0000_s4097" o:spt="136" type="#_x0000_t136" style="position:absolute;left:0pt;margin-left:557.4pt;margin-top:199.95pt;height:10pt;width:94pt;mso-position-horizontal-relative:margin;mso-position-vertical-relative:margin;rotation:-2949120f;z-index:-251635712;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9012108" o:spid="_x0000_s4098" o:spt="136" type="#_x0000_t136" style="position:absolute;left:0pt;margin-left:476.1pt;margin-top:281.25pt;height:10pt;width:94pt;mso-position-horizontal-relative:margin;mso-position-vertical-relative:margin;rotation:-2949120f;z-index:-251636736;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989906" o:spid="_x0000_s4099" o:spt="136" type="#_x0000_t136" style="position:absolute;left:0pt;margin-left:394.8pt;margin-top:362.6pt;height:10pt;width:94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977019" o:spid="_x0000_s4100" o:spt="136" type="#_x0000_t136" style="position:absolute;left:0pt;margin-left:313.45pt;margin-top:443.9pt;height:10pt;width:94pt;mso-position-horizontal-relative:margin;mso-position-vertical-relative:margin;rotation:-2949120f;z-index:-251638784;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958634" o:spid="_x0000_s4101" o:spt="136" type="#_x0000_t136" style="position:absolute;left:0pt;margin-left:232.15pt;margin-top:525.2pt;height:10pt;width:94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931278" o:spid="_x0000_s4102" o:spt="136" type="#_x0000_t136" style="position:absolute;left:0pt;margin-left:150.85pt;margin-top:606.55pt;height:10pt;width:94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894137" o:spid="_x0000_s4103" o:spt="136" type="#_x0000_t136" style="position:absolute;left:0pt;margin-left:69.5pt;margin-top:687.85pt;height:10pt;width:94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862384" o:spid="_x0000_s4104" o:spt="136" type="#_x0000_t136" style="position:absolute;left:0pt;margin-left:-11.8pt;margin-top:769.15pt;height:10pt;width:94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847258" o:spid="_x0000_s4105" o:spt="136" type="#_x0000_t136" style="position:absolute;left:0pt;margin-left:-93.1pt;margin-top:850.5pt;height:10pt;width:94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828348" o:spid="_x0000_s4106" o:spt="136" type="#_x0000_t136" style="position:absolute;left:0pt;margin-left:557.4pt;margin-top:-279.1pt;height:10pt;width:94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800869" o:spid="_x0000_s4107" o:spt="136" type="#_x0000_t136" style="position:absolute;left:0pt;margin-left:476.1pt;margin-top:-197.8pt;height:10pt;width:94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786745" o:spid="_x0000_s4108" o:spt="136" type="#_x0000_t136" style="position:absolute;left:0pt;margin-left:394.8pt;margin-top:-116.5pt;height:10pt;width:94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775752" o:spid="_x0000_s4109" o:spt="136" type="#_x0000_t136" style="position:absolute;left:0pt;margin-left:313.45pt;margin-top:-35.15pt;height:10pt;width:94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750129" o:spid="_x0000_s4110" o:spt="136" type="#_x0000_t136" style="position:absolute;left:0pt;margin-left:232.15pt;margin-top:46.15pt;height:10pt;width:94pt;mso-position-horizontal-relative:margin;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736440" o:spid="_x0000_s4111" o:spt="136" type="#_x0000_t136" style="position:absolute;left:0pt;margin-left:150.85pt;margin-top:127.45pt;height:10pt;width:94pt;mso-position-horizontal-relative:margin;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702503" o:spid="_x0000_s4112" o:spt="136" type="#_x0000_t136" style="position:absolute;left:0pt;margin-left:69.5pt;margin-top:208.8pt;height:10pt;width:94pt;mso-position-horizontal-relative:margin;mso-position-vertical-relative:margin;rotation:-2949120f;z-index:-251651072;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686865" o:spid="_x0000_s4113" o:spt="136" type="#_x0000_t136" style="position:absolute;left:0pt;margin-left:-11.8pt;margin-top:290.1pt;height:10pt;width:94pt;mso-position-horizontal-relative:margin;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r>
      <w:pict>
        <v:shape id="PowerPlusWaterMarkObject28660153" o:spid="_x0000_s4114" o:spt="136" type="#_x0000_t136" style="position:absolute;left:0pt;margin-left:-93.1pt;margin-top:371.45pt;height:10pt;width:94pt;mso-position-horizontal-relative:margin;mso-position-vertical-relative:margin;rotation:-2949120f;z-index:-251653120;mso-width-relative:page;mso-height-relative:page;" fillcolor="#C0C0C0" filled="t" stroked="f" coordsize="21600,21600">
          <v:path/>
          <v:fill on="t" opacity="32768f" focussize="0,0"/>
          <v:stroke on="f"/>
          <v:imagedata o:title=""/>
          <o:lock v:ext="edit" aspectratio="t"/>
          <v:textpath on="t" fitshape="t" fitpath="t" trim="t" xscale="f" string="朱春晓0672852022-03-05" style="font-family:微软雅黑;font-size:10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286BA8"/>
    <w:multiLevelType w:val="singleLevel"/>
    <w:tmpl w:val="A4286BA8"/>
    <w:lvl w:ilvl="0" w:tentative="0">
      <w:start w:val="2"/>
      <w:numFmt w:val="decimal"/>
      <w:suff w:val="nothing"/>
      <w:lvlText w:val="%1、"/>
      <w:lvlJc w:val="left"/>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E9DDACA4"/>
    <w:multiLevelType w:val="singleLevel"/>
    <w:tmpl w:val="E9DDACA4"/>
    <w:lvl w:ilvl="0" w:tentative="0">
      <w:start w:val="3"/>
      <w:numFmt w:val="decimal"/>
      <w:lvlText w:val="%1."/>
      <w:lvlJc w:val="left"/>
      <w:pPr>
        <w:tabs>
          <w:tab w:val="left" w:pos="312"/>
        </w:tabs>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5">
    <w:nsid w:val="5A303661"/>
    <w:multiLevelType w:val="multilevel"/>
    <w:tmpl w:val="5A303661"/>
    <w:lvl w:ilvl="0" w:tentative="0">
      <w:start w:val="1"/>
      <w:numFmt w:val="decimal"/>
      <w:lvlText w:val="（%1）"/>
      <w:lvlJc w:val="left"/>
      <w:pPr>
        <w:ind w:left="1365" w:hanging="720"/>
      </w:pPr>
      <w:rPr>
        <w:rFonts w:hint="default"/>
      </w:rPr>
    </w:lvl>
    <w:lvl w:ilvl="1" w:tentative="0">
      <w:start w:val="1"/>
      <w:numFmt w:val="lowerLetter"/>
      <w:lvlText w:val="%2)"/>
      <w:lvlJc w:val="left"/>
      <w:pPr>
        <w:ind w:left="1485" w:hanging="420"/>
      </w:pPr>
    </w:lvl>
    <w:lvl w:ilvl="2" w:tentative="0">
      <w:start w:val="1"/>
      <w:numFmt w:val="lowerRoman"/>
      <w:lvlText w:val="%3."/>
      <w:lvlJc w:val="right"/>
      <w:pPr>
        <w:ind w:left="1905" w:hanging="420"/>
      </w:pPr>
    </w:lvl>
    <w:lvl w:ilvl="3" w:tentative="0">
      <w:start w:val="1"/>
      <w:numFmt w:val="decimal"/>
      <w:lvlText w:val="%4."/>
      <w:lvlJc w:val="left"/>
      <w:pPr>
        <w:ind w:left="2325" w:hanging="420"/>
      </w:pPr>
    </w:lvl>
    <w:lvl w:ilvl="4" w:tentative="0">
      <w:start w:val="1"/>
      <w:numFmt w:val="lowerLetter"/>
      <w:lvlText w:val="%5)"/>
      <w:lvlJc w:val="left"/>
      <w:pPr>
        <w:ind w:left="2745" w:hanging="420"/>
      </w:pPr>
    </w:lvl>
    <w:lvl w:ilvl="5" w:tentative="0">
      <w:start w:val="1"/>
      <w:numFmt w:val="lowerRoman"/>
      <w:lvlText w:val="%6."/>
      <w:lvlJc w:val="right"/>
      <w:pPr>
        <w:ind w:left="3165" w:hanging="420"/>
      </w:pPr>
    </w:lvl>
    <w:lvl w:ilvl="6" w:tentative="0">
      <w:start w:val="1"/>
      <w:numFmt w:val="decimal"/>
      <w:lvlText w:val="%7."/>
      <w:lvlJc w:val="left"/>
      <w:pPr>
        <w:ind w:left="3585" w:hanging="420"/>
      </w:pPr>
    </w:lvl>
    <w:lvl w:ilvl="7" w:tentative="0">
      <w:start w:val="1"/>
      <w:numFmt w:val="lowerLetter"/>
      <w:lvlText w:val="%8)"/>
      <w:lvlJc w:val="left"/>
      <w:pPr>
        <w:ind w:left="4005" w:hanging="420"/>
      </w:pPr>
    </w:lvl>
    <w:lvl w:ilvl="8" w:tentative="0">
      <w:start w:val="1"/>
      <w:numFmt w:val="lowerRoman"/>
      <w:lvlText w:val="%9."/>
      <w:lvlJc w:val="right"/>
      <w:pPr>
        <w:ind w:left="4425" w:hanging="420"/>
      </w:pPr>
    </w:lvl>
  </w:abstractNum>
  <w:abstractNum w:abstractNumId="6">
    <w:nsid w:val="656A6EAE"/>
    <w:multiLevelType w:val="multilevel"/>
    <w:tmpl w:val="656A6EAE"/>
    <w:lvl w:ilvl="0" w:tentative="0">
      <w:start w:val="1"/>
      <w:numFmt w:val="chineseCountingThousand"/>
      <w:pStyle w:val="21"/>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70EB3FAA"/>
    <w:multiLevelType w:val="singleLevel"/>
    <w:tmpl w:val="70EB3FAA"/>
    <w:lvl w:ilvl="0" w:tentative="0">
      <w:start w:val="1"/>
      <w:numFmt w:val="decimal"/>
      <w:lvlText w:val="%1."/>
      <w:lvlJc w:val="left"/>
      <w:pPr>
        <w:ind w:left="425" w:hanging="425"/>
      </w:pPr>
      <w:rPr>
        <w:rFonts w:hint="default"/>
      </w:rPr>
    </w:lvl>
  </w:abstractNum>
  <w:num w:numId="1">
    <w:abstractNumId w:val="6"/>
  </w:num>
  <w:num w:numId="2">
    <w:abstractNumId w:val="7"/>
  </w:num>
  <w:num w:numId="3">
    <w:abstractNumId w:val="1"/>
  </w:num>
  <w:num w:numId="4">
    <w:abstractNumId w:val="2"/>
  </w:num>
  <w:num w:numId="5">
    <w:abstractNumId w:val="5"/>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036CFE"/>
    <w:rsid w:val="001279E2"/>
    <w:rsid w:val="00151455"/>
    <w:rsid w:val="001632D3"/>
    <w:rsid w:val="00174F7D"/>
    <w:rsid w:val="001868AC"/>
    <w:rsid w:val="00193D4A"/>
    <w:rsid w:val="00197039"/>
    <w:rsid w:val="001C4D73"/>
    <w:rsid w:val="00213CF6"/>
    <w:rsid w:val="00216B1A"/>
    <w:rsid w:val="002205A4"/>
    <w:rsid w:val="00250068"/>
    <w:rsid w:val="002601FB"/>
    <w:rsid w:val="00265616"/>
    <w:rsid w:val="00277B46"/>
    <w:rsid w:val="002A4A1D"/>
    <w:rsid w:val="002B4448"/>
    <w:rsid w:val="00367E77"/>
    <w:rsid w:val="0039409A"/>
    <w:rsid w:val="003E6058"/>
    <w:rsid w:val="003F0CE6"/>
    <w:rsid w:val="003F6DF9"/>
    <w:rsid w:val="00410E45"/>
    <w:rsid w:val="0045779D"/>
    <w:rsid w:val="00485BF3"/>
    <w:rsid w:val="00495C70"/>
    <w:rsid w:val="004E4EBF"/>
    <w:rsid w:val="004E57DC"/>
    <w:rsid w:val="00556B9F"/>
    <w:rsid w:val="00567104"/>
    <w:rsid w:val="005C0638"/>
    <w:rsid w:val="005E4B39"/>
    <w:rsid w:val="005F7B31"/>
    <w:rsid w:val="00610347"/>
    <w:rsid w:val="00611193"/>
    <w:rsid w:val="0062296E"/>
    <w:rsid w:val="006351D0"/>
    <w:rsid w:val="00681F8D"/>
    <w:rsid w:val="00684492"/>
    <w:rsid w:val="00694CDE"/>
    <w:rsid w:val="006F0622"/>
    <w:rsid w:val="0070456F"/>
    <w:rsid w:val="00735702"/>
    <w:rsid w:val="007753DE"/>
    <w:rsid w:val="00784799"/>
    <w:rsid w:val="00800578"/>
    <w:rsid w:val="008A3049"/>
    <w:rsid w:val="008D0A7D"/>
    <w:rsid w:val="008D1694"/>
    <w:rsid w:val="008F7520"/>
    <w:rsid w:val="00AA3D22"/>
    <w:rsid w:val="00AB71F0"/>
    <w:rsid w:val="00AB776D"/>
    <w:rsid w:val="00AD0DCF"/>
    <w:rsid w:val="00AF17BF"/>
    <w:rsid w:val="00B22546"/>
    <w:rsid w:val="00B57466"/>
    <w:rsid w:val="00BB067B"/>
    <w:rsid w:val="00BB3D5F"/>
    <w:rsid w:val="00BC2EE4"/>
    <w:rsid w:val="00BE4D3A"/>
    <w:rsid w:val="00C5037E"/>
    <w:rsid w:val="00C52E5D"/>
    <w:rsid w:val="00C93DCE"/>
    <w:rsid w:val="00D315FE"/>
    <w:rsid w:val="00DC7B62"/>
    <w:rsid w:val="00E43073"/>
    <w:rsid w:val="00E53BAE"/>
    <w:rsid w:val="00E663DD"/>
    <w:rsid w:val="00E6747F"/>
    <w:rsid w:val="00E84462"/>
    <w:rsid w:val="00E93F5D"/>
    <w:rsid w:val="00EC3C7D"/>
    <w:rsid w:val="00EE7A3F"/>
    <w:rsid w:val="00F27441"/>
    <w:rsid w:val="00F625D4"/>
    <w:rsid w:val="00FC5707"/>
    <w:rsid w:val="012478C3"/>
    <w:rsid w:val="015679D0"/>
    <w:rsid w:val="01EE5E5A"/>
    <w:rsid w:val="02427F54"/>
    <w:rsid w:val="03AA5078"/>
    <w:rsid w:val="03C1780B"/>
    <w:rsid w:val="040645B1"/>
    <w:rsid w:val="04275653"/>
    <w:rsid w:val="04436B89"/>
    <w:rsid w:val="0462668B"/>
    <w:rsid w:val="054E2512"/>
    <w:rsid w:val="05720B50"/>
    <w:rsid w:val="05850883"/>
    <w:rsid w:val="05FE0636"/>
    <w:rsid w:val="0754675F"/>
    <w:rsid w:val="07660241"/>
    <w:rsid w:val="07AB0349"/>
    <w:rsid w:val="09727371"/>
    <w:rsid w:val="09AE43B9"/>
    <w:rsid w:val="0A256191"/>
    <w:rsid w:val="0A434869"/>
    <w:rsid w:val="0A906BC4"/>
    <w:rsid w:val="0BC33EB3"/>
    <w:rsid w:val="0BF347E8"/>
    <w:rsid w:val="0CC021A1"/>
    <w:rsid w:val="0D083FB4"/>
    <w:rsid w:val="0D5A377C"/>
    <w:rsid w:val="0DCF4A41"/>
    <w:rsid w:val="0EE7610B"/>
    <w:rsid w:val="0EFE3455"/>
    <w:rsid w:val="0F010326"/>
    <w:rsid w:val="0F946D68"/>
    <w:rsid w:val="0FB104C7"/>
    <w:rsid w:val="103F3D25"/>
    <w:rsid w:val="10991687"/>
    <w:rsid w:val="10A84534"/>
    <w:rsid w:val="11286567"/>
    <w:rsid w:val="11295BB9"/>
    <w:rsid w:val="1147185D"/>
    <w:rsid w:val="115B2DE0"/>
    <w:rsid w:val="118B27F3"/>
    <w:rsid w:val="119A3908"/>
    <w:rsid w:val="121E1ADF"/>
    <w:rsid w:val="123D3537"/>
    <w:rsid w:val="125515DD"/>
    <w:rsid w:val="12DD37BE"/>
    <w:rsid w:val="136E6A2E"/>
    <w:rsid w:val="139D4FEA"/>
    <w:rsid w:val="1517661E"/>
    <w:rsid w:val="15657D89"/>
    <w:rsid w:val="16C44F84"/>
    <w:rsid w:val="16D76A65"/>
    <w:rsid w:val="16EA2C3C"/>
    <w:rsid w:val="17032A46"/>
    <w:rsid w:val="17726840"/>
    <w:rsid w:val="17BA0860"/>
    <w:rsid w:val="18EA7524"/>
    <w:rsid w:val="193A152D"/>
    <w:rsid w:val="19444B5F"/>
    <w:rsid w:val="19722A75"/>
    <w:rsid w:val="19CE23A1"/>
    <w:rsid w:val="1A134258"/>
    <w:rsid w:val="1CAA49F8"/>
    <w:rsid w:val="1CBE2546"/>
    <w:rsid w:val="1D623FD6"/>
    <w:rsid w:val="1E1E766F"/>
    <w:rsid w:val="1F8A033E"/>
    <w:rsid w:val="20801F1B"/>
    <w:rsid w:val="215B7B93"/>
    <w:rsid w:val="21B93937"/>
    <w:rsid w:val="220D5A31"/>
    <w:rsid w:val="22160D89"/>
    <w:rsid w:val="23244DE0"/>
    <w:rsid w:val="235B27CC"/>
    <w:rsid w:val="23714228"/>
    <w:rsid w:val="23CB7951"/>
    <w:rsid w:val="23E9442E"/>
    <w:rsid w:val="24694FDB"/>
    <w:rsid w:val="24D665AE"/>
    <w:rsid w:val="259C2031"/>
    <w:rsid w:val="25A5657F"/>
    <w:rsid w:val="26C07516"/>
    <w:rsid w:val="27035654"/>
    <w:rsid w:val="272A0AD1"/>
    <w:rsid w:val="280E0B21"/>
    <w:rsid w:val="287560DE"/>
    <w:rsid w:val="29C76E0D"/>
    <w:rsid w:val="2A1132FB"/>
    <w:rsid w:val="2A2D4EC2"/>
    <w:rsid w:val="2A5103CA"/>
    <w:rsid w:val="2A895E70"/>
    <w:rsid w:val="2AAD6003"/>
    <w:rsid w:val="2ACB0237"/>
    <w:rsid w:val="2B2E2E69"/>
    <w:rsid w:val="2B6366C1"/>
    <w:rsid w:val="2B8925CC"/>
    <w:rsid w:val="2C3818FC"/>
    <w:rsid w:val="2CDA6E57"/>
    <w:rsid w:val="2D236108"/>
    <w:rsid w:val="2D50441C"/>
    <w:rsid w:val="2D962D7E"/>
    <w:rsid w:val="2E026666"/>
    <w:rsid w:val="2F216C64"/>
    <w:rsid w:val="2F61560E"/>
    <w:rsid w:val="2FF47BED"/>
    <w:rsid w:val="308E2433"/>
    <w:rsid w:val="30F027A5"/>
    <w:rsid w:val="31DD5420"/>
    <w:rsid w:val="32BA306B"/>
    <w:rsid w:val="341E587B"/>
    <w:rsid w:val="34E73EBF"/>
    <w:rsid w:val="35E0728C"/>
    <w:rsid w:val="36B67FED"/>
    <w:rsid w:val="370451FC"/>
    <w:rsid w:val="373A29CC"/>
    <w:rsid w:val="382A0C93"/>
    <w:rsid w:val="38523D46"/>
    <w:rsid w:val="387651EF"/>
    <w:rsid w:val="38F176D4"/>
    <w:rsid w:val="39A20CFD"/>
    <w:rsid w:val="39A71E6F"/>
    <w:rsid w:val="3A033549"/>
    <w:rsid w:val="3A46703D"/>
    <w:rsid w:val="3AEA4709"/>
    <w:rsid w:val="3B365BA1"/>
    <w:rsid w:val="3B4756B8"/>
    <w:rsid w:val="3BC1546A"/>
    <w:rsid w:val="3C4D6CFE"/>
    <w:rsid w:val="3CCF1E09"/>
    <w:rsid w:val="3D8B21D4"/>
    <w:rsid w:val="3F144495"/>
    <w:rsid w:val="3F760C61"/>
    <w:rsid w:val="3F863274"/>
    <w:rsid w:val="3FE61943"/>
    <w:rsid w:val="3FF322B2"/>
    <w:rsid w:val="40EC18A8"/>
    <w:rsid w:val="414D154E"/>
    <w:rsid w:val="41656898"/>
    <w:rsid w:val="41962EF5"/>
    <w:rsid w:val="41AC44C7"/>
    <w:rsid w:val="420C5DAD"/>
    <w:rsid w:val="42141C1A"/>
    <w:rsid w:val="423A5F76"/>
    <w:rsid w:val="42D54FED"/>
    <w:rsid w:val="434B5F61"/>
    <w:rsid w:val="439416B6"/>
    <w:rsid w:val="43F54DA9"/>
    <w:rsid w:val="44A27E03"/>
    <w:rsid w:val="45A35BE1"/>
    <w:rsid w:val="45CD0EAF"/>
    <w:rsid w:val="47BC567F"/>
    <w:rsid w:val="49CA5E32"/>
    <w:rsid w:val="4C325F10"/>
    <w:rsid w:val="4C432784"/>
    <w:rsid w:val="4CDA761C"/>
    <w:rsid w:val="4CFE4F27"/>
    <w:rsid w:val="4D6F029E"/>
    <w:rsid w:val="4D996326"/>
    <w:rsid w:val="4E832A53"/>
    <w:rsid w:val="4F4F0335"/>
    <w:rsid w:val="4F732AC8"/>
    <w:rsid w:val="4FC926E8"/>
    <w:rsid w:val="50367907"/>
    <w:rsid w:val="507029B3"/>
    <w:rsid w:val="50A72271"/>
    <w:rsid w:val="50B96959"/>
    <w:rsid w:val="512A365A"/>
    <w:rsid w:val="51300A07"/>
    <w:rsid w:val="517C731C"/>
    <w:rsid w:val="52A66D10"/>
    <w:rsid w:val="52EA12F3"/>
    <w:rsid w:val="53226CDE"/>
    <w:rsid w:val="53277100"/>
    <w:rsid w:val="53934391"/>
    <w:rsid w:val="5435659E"/>
    <w:rsid w:val="5663112E"/>
    <w:rsid w:val="569021B1"/>
    <w:rsid w:val="575E405D"/>
    <w:rsid w:val="57B65C47"/>
    <w:rsid w:val="57B8376D"/>
    <w:rsid w:val="57D936E4"/>
    <w:rsid w:val="57EF1159"/>
    <w:rsid w:val="59280444"/>
    <w:rsid w:val="59712E03"/>
    <w:rsid w:val="5BDF6DA3"/>
    <w:rsid w:val="5CDF79EE"/>
    <w:rsid w:val="5D465377"/>
    <w:rsid w:val="5D4E06D0"/>
    <w:rsid w:val="5D973E25"/>
    <w:rsid w:val="5DC50992"/>
    <w:rsid w:val="5DD159D8"/>
    <w:rsid w:val="5DDE1A77"/>
    <w:rsid w:val="5E2F405E"/>
    <w:rsid w:val="5E3873B6"/>
    <w:rsid w:val="5EA031AD"/>
    <w:rsid w:val="60EE1FAE"/>
    <w:rsid w:val="611A2DA3"/>
    <w:rsid w:val="616B0B5C"/>
    <w:rsid w:val="619568CD"/>
    <w:rsid w:val="61EA1238"/>
    <w:rsid w:val="62051CA5"/>
    <w:rsid w:val="621C2B4B"/>
    <w:rsid w:val="63293771"/>
    <w:rsid w:val="63343EC4"/>
    <w:rsid w:val="63B41E9C"/>
    <w:rsid w:val="63C70946"/>
    <w:rsid w:val="646F3406"/>
    <w:rsid w:val="64BA4740"/>
    <w:rsid w:val="64E01C52"/>
    <w:rsid w:val="654E019A"/>
    <w:rsid w:val="654F3237"/>
    <w:rsid w:val="658F7EFB"/>
    <w:rsid w:val="661F2C0A"/>
    <w:rsid w:val="66650F64"/>
    <w:rsid w:val="666D1BC7"/>
    <w:rsid w:val="67874F0A"/>
    <w:rsid w:val="683F57E5"/>
    <w:rsid w:val="6874548F"/>
    <w:rsid w:val="68993147"/>
    <w:rsid w:val="689B09AB"/>
    <w:rsid w:val="68EB3A39"/>
    <w:rsid w:val="68EB3DB7"/>
    <w:rsid w:val="69467F49"/>
    <w:rsid w:val="696A60B8"/>
    <w:rsid w:val="696A6892"/>
    <w:rsid w:val="697D44FA"/>
    <w:rsid w:val="6B3E3B32"/>
    <w:rsid w:val="6B480E55"/>
    <w:rsid w:val="6B6C68F1"/>
    <w:rsid w:val="6B822971"/>
    <w:rsid w:val="6C35284A"/>
    <w:rsid w:val="6C7749C2"/>
    <w:rsid w:val="6CC91FF4"/>
    <w:rsid w:val="6CEF4D79"/>
    <w:rsid w:val="6E2711F5"/>
    <w:rsid w:val="6F6532C9"/>
    <w:rsid w:val="6FA81EC2"/>
    <w:rsid w:val="6FAA3E8C"/>
    <w:rsid w:val="70407F78"/>
    <w:rsid w:val="70B34FC2"/>
    <w:rsid w:val="715611F3"/>
    <w:rsid w:val="71F633B8"/>
    <w:rsid w:val="7298621E"/>
    <w:rsid w:val="72E01973"/>
    <w:rsid w:val="72F74E03"/>
    <w:rsid w:val="73C53042"/>
    <w:rsid w:val="73DE4104"/>
    <w:rsid w:val="73F77193"/>
    <w:rsid w:val="73FD2E3F"/>
    <w:rsid w:val="7416564C"/>
    <w:rsid w:val="745B39A7"/>
    <w:rsid w:val="7476258E"/>
    <w:rsid w:val="74CC6652"/>
    <w:rsid w:val="74F945A2"/>
    <w:rsid w:val="75033B24"/>
    <w:rsid w:val="75AC3A76"/>
    <w:rsid w:val="75E654F2"/>
    <w:rsid w:val="761B163F"/>
    <w:rsid w:val="76515061"/>
    <w:rsid w:val="770E0474"/>
    <w:rsid w:val="77437B39"/>
    <w:rsid w:val="77EB3293"/>
    <w:rsid w:val="78063C29"/>
    <w:rsid w:val="797E7695"/>
    <w:rsid w:val="7A6B246A"/>
    <w:rsid w:val="7B7B048A"/>
    <w:rsid w:val="7B8A691F"/>
    <w:rsid w:val="7D0F17D2"/>
    <w:rsid w:val="7DA168CE"/>
    <w:rsid w:val="7DC720AD"/>
    <w:rsid w:val="7E464D80"/>
    <w:rsid w:val="7E7F64E4"/>
    <w:rsid w:val="7F547970"/>
    <w:rsid w:val="7FC44AF6"/>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98"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semiHidden/>
    <w:qFormat/>
    <w:uiPriority w:val="0"/>
    <w:pPr>
      <w:keepNext/>
      <w:keepLines/>
      <w:spacing w:line="416" w:lineRule="auto"/>
      <w:outlineLvl w:val="2"/>
    </w:pPr>
    <w:rPr>
      <w:b/>
      <w:bCs/>
      <w:sz w:val="32"/>
      <w:szCs w:val="32"/>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unhideWhenUsed/>
    <w:qFormat/>
    <w:uiPriority w:val="99"/>
    <w:pPr>
      <w:spacing w:after="120"/>
      <w:ind w:left="420" w:leftChars="200"/>
    </w:pPr>
    <w:rPr>
      <w:rFonts w:ascii="Calibri" w:hAnsi="Calibri"/>
      <w:szCs w:val="22"/>
    </w:rPr>
  </w:style>
  <w:style w:type="paragraph" w:styleId="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caption"/>
    <w:basedOn w:val="1"/>
    <w:next w:val="1"/>
    <w:semiHidden/>
    <w:qFormat/>
    <w:uiPriority w:val="98"/>
    <w:pPr>
      <w:spacing w:before="152" w:after="160"/>
    </w:pPr>
    <w:rPr>
      <w:rFonts w:ascii="Arial" w:hAnsi="Arial" w:eastAsia="黑体" w:cs="Arial"/>
      <w:sz w:val="20"/>
    </w:rPr>
  </w:style>
  <w:style w:type="paragraph" w:styleId="8">
    <w:name w:val="Body Text"/>
    <w:basedOn w:val="1"/>
    <w:link w:val="75"/>
    <w:qFormat/>
    <w:uiPriority w:val="0"/>
    <w:rPr>
      <w:rFonts w:ascii="仿宋_GB2312" w:eastAsia="仿宋_GB2312"/>
      <w:sz w:val="32"/>
    </w:rPr>
  </w:style>
  <w:style w:type="paragraph" w:styleId="9">
    <w:name w:val="Plain Text"/>
    <w:basedOn w:val="1"/>
    <w:link w:val="72"/>
    <w:qFormat/>
    <w:uiPriority w:val="0"/>
    <w:rPr>
      <w:rFonts w:ascii="宋体" w:hAnsi="Courier New"/>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2">
    <w:name w:val="List"/>
    <w:basedOn w:val="1"/>
    <w:qFormat/>
    <w:uiPriority w:val="0"/>
    <w:pPr>
      <w:ind w:left="200" w:hanging="200" w:hangingChars="200"/>
    </w:pPr>
  </w:style>
  <w:style w:type="paragraph" w:styleId="13">
    <w:name w:val="Normal (Web)"/>
    <w:basedOn w:val="1"/>
    <w:qFormat/>
    <w:uiPriority w:val="0"/>
    <w:rPr>
      <w:sz w:val="24"/>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semiHidden/>
    <w:qFormat/>
    <w:uiPriority w:val="99"/>
    <w:rPr>
      <w:rFonts w:cs="Times New Roman"/>
      <w:color w:val="1F4F88"/>
      <w:u w:val="none"/>
    </w:rPr>
  </w:style>
  <w:style w:type="paragraph" w:customStyle="1" w:styleId="1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20">
    <w:name w:val="List Paragraph"/>
    <w:basedOn w:val="1"/>
    <w:qFormat/>
    <w:uiPriority w:val="34"/>
    <w:pPr>
      <w:ind w:firstLine="420" w:firstLineChars="200"/>
    </w:pPr>
  </w:style>
  <w:style w:type="paragraph" w:customStyle="1" w:styleId="21">
    <w:name w:val="一级标题"/>
    <w:basedOn w:val="9"/>
    <w:qFormat/>
    <w:uiPriority w:val="1"/>
    <w:pPr>
      <w:numPr>
        <w:ilvl w:val="0"/>
        <w:numId w:val="1"/>
      </w:numPr>
      <w:spacing w:line="360" w:lineRule="auto"/>
      <w:ind w:left="420"/>
      <w:outlineLvl w:val="1"/>
    </w:pPr>
    <w:rPr>
      <w:rFonts w:ascii="黑体" w:eastAsia="黑体"/>
      <w:b/>
      <w:bCs/>
      <w:sz w:val="28"/>
    </w:rPr>
  </w:style>
  <w:style w:type="paragraph" w:customStyle="1" w:styleId="22">
    <w:name w:val="标书正文"/>
    <w:basedOn w:val="9"/>
    <w:qFormat/>
    <w:uiPriority w:val="9"/>
    <w:pPr>
      <w:spacing w:line="360" w:lineRule="auto"/>
      <w:jc w:val="left"/>
    </w:pPr>
  </w:style>
  <w:style w:type="paragraph" w:customStyle="1" w:styleId="23">
    <w:name w:val="标书正文格式"/>
    <w:basedOn w:val="9"/>
    <w:qFormat/>
    <w:uiPriority w:val="0"/>
    <w:pPr>
      <w:spacing w:line="360" w:lineRule="auto"/>
      <w:ind w:firstLine="200" w:firstLineChars="200"/>
    </w:pPr>
    <w:rPr>
      <w:rFonts w:hAnsi="宋体" w:eastAsiaTheme="minorEastAsia"/>
      <w:color w:val="000000"/>
      <w:sz w:val="24"/>
      <w:szCs w:val="24"/>
    </w:rPr>
  </w:style>
  <w:style w:type="paragraph" w:customStyle="1" w:styleId="24">
    <w:name w:val="Table Paragraph"/>
    <w:basedOn w:val="1"/>
    <w:qFormat/>
    <w:uiPriority w:val="1"/>
    <w:rPr>
      <w:rFonts w:ascii="宋体" w:hAnsi="宋体" w:cs="宋体"/>
    </w:rPr>
  </w:style>
  <w:style w:type="table" w:customStyle="1" w:styleId="25">
    <w:name w:val="Table Normal"/>
    <w:qFormat/>
    <w:uiPriority w:val="0"/>
    <w:tblPr>
      <w:tblCellMar>
        <w:top w:w="0" w:type="dxa"/>
        <w:left w:w="0" w:type="dxa"/>
        <w:bottom w:w="0" w:type="dxa"/>
        <w:right w:w="0" w:type="dxa"/>
      </w:tblCellMar>
    </w:tblPr>
  </w:style>
  <w:style w:type="paragraph" w:customStyle="1" w:styleId="26">
    <w:name w:val="null22"/>
    <w:qFormat/>
    <w:uiPriority w:val="0"/>
    <w:rPr>
      <w:rFonts w:ascii="Times New Roman" w:hAnsi="Times New Roman" w:eastAsia="宋体" w:cs="Times New Roman"/>
      <w:szCs w:val="21"/>
      <w:lang w:val="en-US" w:eastAsia="zh-CN" w:bidi="ar-SA"/>
    </w:rPr>
  </w:style>
  <w:style w:type="paragraph" w:customStyle="1" w:styleId="27">
    <w:name w:val="null23"/>
    <w:qFormat/>
    <w:uiPriority w:val="0"/>
    <w:rPr>
      <w:rFonts w:ascii="Times New Roman" w:hAnsi="Times New Roman" w:eastAsia="宋体" w:cs="Times New Roman"/>
      <w:szCs w:val="21"/>
      <w:lang w:val="en-US" w:eastAsia="zh-CN" w:bidi="ar-SA"/>
    </w:rPr>
  </w:style>
  <w:style w:type="paragraph" w:customStyle="1" w:styleId="28">
    <w:name w:val="null24"/>
    <w:qFormat/>
    <w:uiPriority w:val="0"/>
    <w:rPr>
      <w:rFonts w:ascii="Times New Roman" w:hAnsi="Times New Roman" w:eastAsia="宋体" w:cs="Times New Roman"/>
      <w:szCs w:val="21"/>
      <w:lang w:val="en-US" w:eastAsia="zh-CN" w:bidi="ar-SA"/>
    </w:rPr>
  </w:style>
  <w:style w:type="paragraph" w:customStyle="1" w:styleId="29">
    <w:name w:val="null25"/>
    <w:qFormat/>
    <w:uiPriority w:val="0"/>
    <w:rPr>
      <w:rFonts w:ascii="Times New Roman" w:hAnsi="Times New Roman" w:eastAsia="宋体" w:cs="Times New Roman"/>
      <w:szCs w:val="21"/>
      <w:lang w:val="en-US" w:eastAsia="zh-CN" w:bidi="ar-SA"/>
    </w:rPr>
  </w:style>
  <w:style w:type="paragraph" w:customStyle="1" w:styleId="30">
    <w:name w:val="null26"/>
    <w:qFormat/>
    <w:uiPriority w:val="0"/>
    <w:rPr>
      <w:rFonts w:ascii="Times New Roman" w:hAnsi="Times New Roman" w:eastAsia="宋体" w:cs="Times New Roman"/>
      <w:szCs w:val="21"/>
      <w:lang w:val="en-US" w:eastAsia="zh-CN" w:bidi="ar-SA"/>
    </w:rPr>
  </w:style>
  <w:style w:type="paragraph" w:customStyle="1" w:styleId="31">
    <w:name w:val="null27"/>
    <w:qFormat/>
    <w:uiPriority w:val="0"/>
    <w:rPr>
      <w:rFonts w:ascii="Times New Roman" w:hAnsi="Times New Roman" w:eastAsia="宋体" w:cs="Times New Roman"/>
      <w:szCs w:val="21"/>
      <w:lang w:val="en-US" w:eastAsia="zh-CN" w:bidi="ar-SA"/>
    </w:rPr>
  </w:style>
  <w:style w:type="paragraph" w:customStyle="1" w:styleId="32">
    <w:name w:val="null28"/>
    <w:qFormat/>
    <w:uiPriority w:val="0"/>
    <w:rPr>
      <w:rFonts w:ascii="Times New Roman" w:hAnsi="Times New Roman" w:eastAsia="宋体" w:cs="Times New Roman"/>
      <w:szCs w:val="21"/>
      <w:lang w:val="en-US" w:eastAsia="zh-CN" w:bidi="ar-SA"/>
    </w:rPr>
  </w:style>
  <w:style w:type="paragraph" w:customStyle="1" w:styleId="33">
    <w:name w:val="null29"/>
    <w:qFormat/>
    <w:uiPriority w:val="0"/>
    <w:rPr>
      <w:rFonts w:ascii="Times New Roman" w:hAnsi="Times New Roman" w:eastAsia="宋体" w:cs="Times New Roman"/>
      <w:szCs w:val="21"/>
      <w:lang w:val="en-US" w:eastAsia="zh-CN" w:bidi="ar-SA"/>
    </w:rPr>
  </w:style>
  <w:style w:type="paragraph" w:customStyle="1" w:styleId="34">
    <w:name w:val="null30"/>
    <w:qFormat/>
    <w:uiPriority w:val="0"/>
    <w:rPr>
      <w:rFonts w:ascii="Times New Roman" w:hAnsi="Times New Roman" w:eastAsia="宋体" w:cs="Times New Roman"/>
      <w:szCs w:val="21"/>
      <w:lang w:val="en-US" w:eastAsia="zh-CN" w:bidi="ar-SA"/>
    </w:rPr>
  </w:style>
  <w:style w:type="paragraph" w:customStyle="1" w:styleId="35">
    <w:name w:val="null31"/>
    <w:qFormat/>
    <w:uiPriority w:val="0"/>
    <w:rPr>
      <w:rFonts w:ascii="Times New Roman" w:hAnsi="Times New Roman" w:eastAsia="宋体" w:cs="Times New Roman"/>
      <w:szCs w:val="21"/>
      <w:lang w:val="en-US" w:eastAsia="zh-CN" w:bidi="ar-SA"/>
    </w:rPr>
  </w:style>
  <w:style w:type="paragraph" w:customStyle="1" w:styleId="36">
    <w:name w:val="null32"/>
    <w:qFormat/>
    <w:uiPriority w:val="0"/>
    <w:rPr>
      <w:rFonts w:ascii="Times New Roman" w:hAnsi="Times New Roman" w:eastAsia="宋体" w:cs="Times New Roman"/>
      <w:szCs w:val="21"/>
      <w:lang w:val="en-US" w:eastAsia="zh-CN" w:bidi="ar-SA"/>
    </w:rPr>
  </w:style>
  <w:style w:type="paragraph" w:customStyle="1" w:styleId="37">
    <w:name w:val="null33"/>
    <w:qFormat/>
    <w:uiPriority w:val="0"/>
    <w:rPr>
      <w:rFonts w:ascii="Times New Roman" w:hAnsi="Times New Roman" w:eastAsia="宋体" w:cs="Times New Roman"/>
      <w:szCs w:val="21"/>
      <w:lang w:val="en-US" w:eastAsia="zh-CN" w:bidi="ar-SA"/>
    </w:rPr>
  </w:style>
  <w:style w:type="paragraph" w:customStyle="1" w:styleId="38">
    <w:name w:val="null34"/>
    <w:qFormat/>
    <w:uiPriority w:val="0"/>
    <w:rPr>
      <w:rFonts w:ascii="Times New Roman" w:hAnsi="Times New Roman" w:eastAsia="宋体" w:cs="Times New Roman"/>
      <w:szCs w:val="21"/>
      <w:lang w:val="en-US" w:eastAsia="zh-CN" w:bidi="ar-SA"/>
    </w:rPr>
  </w:style>
  <w:style w:type="paragraph" w:customStyle="1" w:styleId="39">
    <w:name w:val="null35"/>
    <w:qFormat/>
    <w:uiPriority w:val="0"/>
    <w:rPr>
      <w:rFonts w:ascii="Times New Roman" w:hAnsi="Times New Roman" w:eastAsia="宋体" w:cs="Times New Roman"/>
      <w:szCs w:val="21"/>
      <w:lang w:val="en-US" w:eastAsia="zh-CN" w:bidi="ar-SA"/>
    </w:rPr>
  </w:style>
  <w:style w:type="paragraph" w:customStyle="1" w:styleId="40">
    <w:name w:val="null36"/>
    <w:qFormat/>
    <w:uiPriority w:val="0"/>
    <w:rPr>
      <w:rFonts w:ascii="Times New Roman" w:hAnsi="Times New Roman" w:eastAsia="宋体" w:cs="Times New Roman"/>
      <w:szCs w:val="21"/>
      <w:lang w:val="en-US" w:eastAsia="zh-CN" w:bidi="ar-SA"/>
    </w:rPr>
  </w:style>
  <w:style w:type="paragraph" w:customStyle="1" w:styleId="41">
    <w:name w:val="null37"/>
    <w:qFormat/>
    <w:uiPriority w:val="0"/>
    <w:rPr>
      <w:rFonts w:ascii="Times New Roman" w:hAnsi="Times New Roman" w:eastAsia="宋体" w:cs="Times New Roman"/>
      <w:szCs w:val="21"/>
      <w:lang w:val="en-US" w:eastAsia="zh-CN" w:bidi="ar-SA"/>
    </w:rPr>
  </w:style>
  <w:style w:type="paragraph" w:customStyle="1" w:styleId="42">
    <w:name w:val="null38"/>
    <w:qFormat/>
    <w:uiPriority w:val="0"/>
    <w:rPr>
      <w:rFonts w:ascii="Times New Roman" w:hAnsi="Times New Roman" w:eastAsia="宋体" w:cs="Times New Roman"/>
      <w:szCs w:val="21"/>
      <w:lang w:val="en-US" w:eastAsia="zh-CN" w:bidi="ar-SA"/>
    </w:rPr>
  </w:style>
  <w:style w:type="paragraph" w:customStyle="1" w:styleId="43">
    <w:name w:val="null39"/>
    <w:qFormat/>
    <w:uiPriority w:val="0"/>
    <w:rPr>
      <w:rFonts w:ascii="Times New Roman" w:hAnsi="Times New Roman" w:eastAsia="宋体" w:cs="Times New Roman"/>
      <w:szCs w:val="21"/>
      <w:lang w:val="en-US" w:eastAsia="zh-CN" w:bidi="ar-SA"/>
    </w:rPr>
  </w:style>
  <w:style w:type="paragraph" w:customStyle="1" w:styleId="44">
    <w:name w:val="null40"/>
    <w:qFormat/>
    <w:uiPriority w:val="0"/>
    <w:rPr>
      <w:rFonts w:ascii="Times New Roman" w:hAnsi="Times New Roman" w:eastAsia="宋体" w:cs="Times New Roman"/>
      <w:szCs w:val="21"/>
      <w:lang w:val="en-US" w:eastAsia="zh-CN" w:bidi="ar-SA"/>
    </w:rPr>
  </w:style>
  <w:style w:type="paragraph" w:customStyle="1" w:styleId="45">
    <w:name w:val="null41"/>
    <w:qFormat/>
    <w:uiPriority w:val="0"/>
    <w:rPr>
      <w:rFonts w:ascii="Times New Roman" w:hAnsi="Times New Roman" w:eastAsia="宋体" w:cs="Times New Roman"/>
      <w:szCs w:val="21"/>
      <w:lang w:val="en-US" w:eastAsia="zh-CN" w:bidi="ar-SA"/>
    </w:rPr>
  </w:style>
  <w:style w:type="paragraph" w:customStyle="1" w:styleId="46">
    <w:name w:val="null42"/>
    <w:qFormat/>
    <w:uiPriority w:val="0"/>
    <w:rPr>
      <w:rFonts w:ascii="Times New Roman" w:hAnsi="Times New Roman" w:eastAsia="宋体" w:cs="Times New Roman"/>
      <w:szCs w:val="21"/>
      <w:lang w:val="en-US" w:eastAsia="zh-CN" w:bidi="ar-SA"/>
    </w:rPr>
  </w:style>
  <w:style w:type="paragraph" w:customStyle="1" w:styleId="47">
    <w:name w:val="null43"/>
    <w:qFormat/>
    <w:uiPriority w:val="0"/>
    <w:rPr>
      <w:rFonts w:ascii="Times New Roman" w:hAnsi="Times New Roman" w:eastAsia="宋体" w:cs="Times New Roman"/>
      <w:szCs w:val="21"/>
      <w:lang w:val="en-US" w:eastAsia="zh-CN" w:bidi="ar-SA"/>
    </w:rPr>
  </w:style>
  <w:style w:type="paragraph" w:customStyle="1" w:styleId="48">
    <w:name w:val="null44"/>
    <w:qFormat/>
    <w:uiPriority w:val="0"/>
    <w:rPr>
      <w:rFonts w:ascii="Times New Roman" w:hAnsi="Times New Roman" w:eastAsia="宋体" w:cs="Times New Roman"/>
      <w:szCs w:val="21"/>
      <w:lang w:val="en-US" w:eastAsia="zh-CN" w:bidi="ar-SA"/>
    </w:rPr>
  </w:style>
  <w:style w:type="paragraph" w:customStyle="1" w:styleId="49">
    <w:name w:val="null45"/>
    <w:qFormat/>
    <w:uiPriority w:val="0"/>
    <w:rPr>
      <w:rFonts w:ascii="Times New Roman" w:hAnsi="Times New Roman" w:eastAsia="宋体" w:cs="Times New Roman"/>
      <w:szCs w:val="21"/>
      <w:lang w:val="en-US" w:eastAsia="zh-CN" w:bidi="ar-SA"/>
    </w:rPr>
  </w:style>
  <w:style w:type="paragraph" w:customStyle="1" w:styleId="50">
    <w:name w:val="null46"/>
    <w:qFormat/>
    <w:uiPriority w:val="0"/>
    <w:rPr>
      <w:rFonts w:ascii="Times New Roman" w:hAnsi="Times New Roman" w:eastAsia="宋体" w:cs="Times New Roman"/>
      <w:szCs w:val="21"/>
      <w:lang w:val="en-US" w:eastAsia="zh-CN" w:bidi="ar-SA"/>
    </w:rPr>
  </w:style>
  <w:style w:type="paragraph" w:customStyle="1" w:styleId="51">
    <w:name w:val="null47"/>
    <w:qFormat/>
    <w:uiPriority w:val="0"/>
    <w:rPr>
      <w:rFonts w:ascii="Times New Roman" w:hAnsi="Times New Roman" w:eastAsia="宋体" w:cs="Times New Roman"/>
      <w:szCs w:val="21"/>
      <w:lang w:val="en-US" w:eastAsia="zh-CN" w:bidi="ar-SA"/>
    </w:rPr>
  </w:style>
  <w:style w:type="paragraph" w:customStyle="1" w:styleId="52">
    <w:name w:val="null48"/>
    <w:qFormat/>
    <w:uiPriority w:val="0"/>
    <w:rPr>
      <w:rFonts w:ascii="Times New Roman" w:hAnsi="Times New Roman" w:eastAsia="宋体" w:cs="Times New Roman"/>
      <w:szCs w:val="21"/>
      <w:lang w:val="en-US" w:eastAsia="zh-CN" w:bidi="ar-SA"/>
    </w:rPr>
  </w:style>
  <w:style w:type="paragraph" w:customStyle="1" w:styleId="53">
    <w:name w:val="null58"/>
    <w:qFormat/>
    <w:uiPriority w:val="0"/>
    <w:rPr>
      <w:rFonts w:ascii="Times New Roman" w:hAnsi="Times New Roman" w:eastAsia="宋体" w:cs="Times New Roman"/>
      <w:szCs w:val="21"/>
      <w:lang w:val="en-US" w:eastAsia="zh-CN" w:bidi="ar-SA"/>
    </w:rPr>
  </w:style>
  <w:style w:type="paragraph" w:customStyle="1" w:styleId="54">
    <w:name w:val="null59"/>
    <w:qFormat/>
    <w:uiPriority w:val="0"/>
    <w:rPr>
      <w:rFonts w:ascii="Times New Roman" w:hAnsi="Times New Roman" w:eastAsia="宋体" w:cs="Times New Roman"/>
      <w:szCs w:val="21"/>
      <w:lang w:val="en-US" w:eastAsia="zh-CN" w:bidi="ar-SA"/>
    </w:rPr>
  </w:style>
  <w:style w:type="paragraph" w:customStyle="1" w:styleId="55">
    <w:name w:val="null60"/>
    <w:qFormat/>
    <w:uiPriority w:val="0"/>
    <w:rPr>
      <w:rFonts w:ascii="Times New Roman" w:hAnsi="Times New Roman" w:eastAsia="宋体" w:cs="Times New Roman"/>
      <w:szCs w:val="21"/>
      <w:lang w:val="en-US" w:eastAsia="zh-CN" w:bidi="ar-SA"/>
    </w:rPr>
  </w:style>
  <w:style w:type="paragraph" w:customStyle="1" w:styleId="56">
    <w:name w:val="null67"/>
    <w:qFormat/>
    <w:uiPriority w:val="0"/>
    <w:rPr>
      <w:rFonts w:ascii="Times New Roman" w:hAnsi="Times New Roman" w:eastAsia="宋体" w:cs="Times New Roman"/>
      <w:szCs w:val="21"/>
      <w:lang w:val="en-US" w:eastAsia="zh-CN" w:bidi="ar-SA"/>
    </w:rPr>
  </w:style>
  <w:style w:type="paragraph" w:customStyle="1" w:styleId="57">
    <w:name w:val="null68"/>
    <w:qFormat/>
    <w:uiPriority w:val="0"/>
    <w:rPr>
      <w:rFonts w:ascii="Times New Roman" w:hAnsi="Times New Roman" w:eastAsia="宋体" w:cs="Times New Roman"/>
      <w:szCs w:val="21"/>
      <w:lang w:val="en-US" w:eastAsia="zh-CN" w:bidi="ar-SA"/>
    </w:rPr>
  </w:style>
  <w:style w:type="paragraph" w:customStyle="1" w:styleId="58">
    <w:name w:val="null69"/>
    <w:qFormat/>
    <w:uiPriority w:val="0"/>
    <w:rPr>
      <w:rFonts w:ascii="Times New Roman" w:hAnsi="Times New Roman" w:eastAsia="宋体" w:cs="Times New Roman"/>
      <w:szCs w:val="21"/>
      <w:lang w:val="en-US" w:eastAsia="zh-CN" w:bidi="ar-SA"/>
    </w:rPr>
  </w:style>
  <w:style w:type="paragraph" w:customStyle="1" w:styleId="59">
    <w:name w:val="null70"/>
    <w:qFormat/>
    <w:uiPriority w:val="0"/>
    <w:rPr>
      <w:rFonts w:ascii="Times New Roman" w:hAnsi="Times New Roman" w:eastAsia="宋体" w:cs="Times New Roman"/>
      <w:szCs w:val="21"/>
      <w:lang w:val="en-US" w:eastAsia="zh-CN" w:bidi="ar-SA"/>
    </w:rPr>
  </w:style>
  <w:style w:type="paragraph" w:customStyle="1" w:styleId="60">
    <w:name w:val="null71"/>
    <w:qFormat/>
    <w:uiPriority w:val="0"/>
    <w:rPr>
      <w:rFonts w:ascii="Times New Roman" w:hAnsi="Times New Roman" w:eastAsia="宋体" w:cs="Times New Roman"/>
      <w:szCs w:val="21"/>
      <w:lang w:val="en-US" w:eastAsia="zh-CN" w:bidi="ar-SA"/>
    </w:rPr>
  </w:style>
  <w:style w:type="paragraph" w:customStyle="1" w:styleId="61">
    <w:name w:val="null72"/>
    <w:qFormat/>
    <w:uiPriority w:val="0"/>
    <w:rPr>
      <w:rFonts w:ascii="Times New Roman" w:hAnsi="Times New Roman" w:eastAsia="宋体" w:cs="Times New Roman"/>
      <w:szCs w:val="21"/>
      <w:lang w:val="en-US" w:eastAsia="zh-CN" w:bidi="ar-SA"/>
    </w:rPr>
  </w:style>
  <w:style w:type="paragraph" w:customStyle="1" w:styleId="62">
    <w:name w:val="null76"/>
    <w:qFormat/>
    <w:uiPriority w:val="0"/>
    <w:rPr>
      <w:rFonts w:ascii="Times New Roman" w:hAnsi="Times New Roman" w:eastAsia="宋体" w:cs="Times New Roman"/>
      <w:szCs w:val="21"/>
      <w:lang w:val="en-US" w:eastAsia="zh-CN" w:bidi="ar-SA"/>
    </w:rPr>
  </w:style>
  <w:style w:type="paragraph" w:customStyle="1" w:styleId="63">
    <w:name w:val="null77"/>
    <w:qFormat/>
    <w:uiPriority w:val="0"/>
    <w:rPr>
      <w:rFonts w:ascii="Times New Roman" w:hAnsi="Times New Roman" w:eastAsia="宋体" w:cs="Times New Roman"/>
      <w:szCs w:val="21"/>
      <w:lang w:val="en-US" w:eastAsia="zh-CN" w:bidi="ar-SA"/>
    </w:rPr>
  </w:style>
  <w:style w:type="paragraph" w:customStyle="1" w:styleId="64">
    <w:name w:val="null78"/>
    <w:qFormat/>
    <w:uiPriority w:val="0"/>
    <w:rPr>
      <w:rFonts w:ascii="Times New Roman" w:hAnsi="Times New Roman" w:eastAsia="宋体" w:cs="Times New Roman"/>
      <w:szCs w:val="21"/>
      <w:lang w:val="en-US" w:eastAsia="zh-CN" w:bidi="ar-SA"/>
    </w:rPr>
  </w:style>
  <w:style w:type="paragraph" w:customStyle="1" w:styleId="65">
    <w:name w:val="null82"/>
    <w:qFormat/>
    <w:uiPriority w:val="0"/>
    <w:rPr>
      <w:rFonts w:ascii="Times New Roman" w:hAnsi="Times New Roman" w:eastAsia="宋体" w:cs="Times New Roman"/>
      <w:szCs w:val="21"/>
      <w:lang w:val="en-US" w:eastAsia="zh-CN" w:bidi="ar-SA"/>
    </w:rPr>
  </w:style>
  <w:style w:type="paragraph" w:customStyle="1" w:styleId="66">
    <w:name w:val="null83"/>
    <w:qFormat/>
    <w:uiPriority w:val="0"/>
    <w:rPr>
      <w:rFonts w:ascii="Times New Roman" w:hAnsi="Times New Roman" w:eastAsia="宋体" w:cs="Times New Roman"/>
      <w:szCs w:val="21"/>
      <w:lang w:val="en-US" w:eastAsia="zh-CN" w:bidi="ar-SA"/>
    </w:rPr>
  </w:style>
  <w:style w:type="paragraph" w:customStyle="1" w:styleId="67">
    <w:name w:val="null84"/>
    <w:qFormat/>
    <w:uiPriority w:val="0"/>
    <w:rPr>
      <w:rFonts w:ascii="Times New Roman" w:hAnsi="Times New Roman" w:eastAsia="宋体" w:cs="Times New Roman"/>
      <w:szCs w:val="21"/>
      <w:lang w:val="en-US" w:eastAsia="zh-CN" w:bidi="ar-SA"/>
    </w:rPr>
  </w:style>
  <w:style w:type="paragraph" w:customStyle="1" w:styleId="68">
    <w:name w:val="null85"/>
    <w:qFormat/>
    <w:uiPriority w:val="0"/>
    <w:rPr>
      <w:rFonts w:ascii="Times New Roman" w:hAnsi="Times New Roman" w:eastAsia="宋体" w:cs="Times New Roman"/>
      <w:szCs w:val="21"/>
      <w:lang w:val="en-US" w:eastAsia="zh-CN" w:bidi="ar-SA"/>
    </w:rPr>
  </w:style>
  <w:style w:type="paragraph" w:customStyle="1" w:styleId="69">
    <w:name w:val="null86"/>
    <w:qFormat/>
    <w:uiPriority w:val="0"/>
    <w:rPr>
      <w:rFonts w:ascii="Times New Roman" w:hAnsi="Times New Roman" w:eastAsia="宋体" w:cs="Times New Roman"/>
      <w:szCs w:val="21"/>
      <w:lang w:val="en-US" w:eastAsia="zh-CN" w:bidi="ar-SA"/>
    </w:rPr>
  </w:style>
  <w:style w:type="paragraph" w:customStyle="1" w:styleId="70">
    <w:name w:val="null87"/>
    <w:qFormat/>
    <w:uiPriority w:val="0"/>
    <w:rPr>
      <w:rFonts w:ascii="Times New Roman" w:hAnsi="Times New Roman" w:eastAsia="宋体" w:cs="Times New Roman"/>
      <w:szCs w:val="21"/>
      <w:lang w:val="en-US" w:eastAsia="zh-CN" w:bidi="ar-SA"/>
    </w:rPr>
  </w:style>
  <w:style w:type="paragraph" w:customStyle="1" w:styleId="71">
    <w:name w:val="正文_18"/>
    <w:qFormat/>
    <w:uiPriority w:val="0"/>
    <w:pPr>
      <w:widowControl w:val="0"/>
      <w:jc w:val="both"/>
    </w:pPr>
    <w:rPr>
      <w:rFonts w:ascii="Calibri" w:hAnsi="Calibri" w:eastAsia="宋体" w:cs="Times New Roman"/>
      <w:kern w:val="2"/>
      <w:sz w:val="21"/>
      <w:lang w:val="en-US" w:eastAsia="zh-CN" w:bidi="ar-SA"/>
    </w:rPr>
  </w:style>
  <w:style w:type="character" w:customStyle="1" w:styleId="72">
    <w:name w:val="纯文本 字符1"/>
    <w:link w:val="9"/>
    <w:qFormat/>
    <w:uiPriority w:val="0"/>
    <w:rPr>
      <w:rFonts w:ascii="宋体" w:hAnsi="Courier New"/>
      <w:kern w:val="2"/>
      <w:sz w:val="21"/>
    </w:rPr>
  </w:style>
  <w:style w:type="character" w:customStyle="1" w:styleId="73">
    <w:name w:val="纯文本 字符"/>
    <w:qFormat/>
    <w:uiPriority w:val="0"/>
    <w:rPr>
      <w:rFonts w:ascii="宋体" w:hAnsi="Courier New"/>
      <w:kern w:val="2"/>
      <w:sz w:val="21"/>
      <w:szCs w:val="21"/>
    </w:rPr>
  </w:style>
  <w:style w:type="character" w:customStyle="1" w:styleId="74">
    <w:name w:val="wf-form-textarea"/>
    <w:basedOn w:val="16"/>
    <w:qFormat/>
    <w:uiPriority w:val="0"/>
  </w:style>
  <w:style w:type="character" w:customStyle="1" w:styleId="75">
    <w:name w:val="正文文本 字符"/>
    <w:link w:val="8"/>
    <w:qFormat/>
    <w:uiPriority w:val="0"/>
    <w:rPr>
      <w:rFonts w:ascii="仿宋_GB2312" w:eastAsia="仿宋_GB2312"/>
      <w:kern w:val="2"/>
      <w:sz w:val="32"/>
    </w:rPr>
  </w:style>
  <w:style w:type="paragraph" w:customStyle="1" w:styleId="76">
    <w:name w:val="标书三级标题"/>
    <w:basedOn w:val="6"/>
    <w:qFormat/>
    <w:uiPriority w:val="0"/>
    <w:pPr>
      <w:spacing w:line="240" w:lineRule="auto"/>
      <w:ind w:firstLine="482" w:firstLineChars="200"/>
    </w:pPr>
    <w:rPr>
      <w:color w:val="000000"/>
      <w:sz w:val="24"/>
      <w:szCs w:val="24"/>
    </w:rPr>
  </w:style>
  <w:style w:type="paragraph" w:customStyle="1" w:styleId="77">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36</Pages>
  <Words>2584</Words>
  <Characters>14734</Characters>
  <Lines>122</Lines>
  <Paragraphs>34</Paragraphs>
  <TotalTime>1</TotalTime>
  <ScaleCrop>false</ScaleCrop>
  <LinksUpToDate>false</LinksUpToDate>
  <CharactersWithSpaces>17284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赵力</cp:lastModifiedBy>
  <dcterms:modified xsi:type="dcterms:W3CDTF">2025-11-18T02:05:08Z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FB00008AF9734EEFAAAAF752AA3E152D_13</vt:lpwstr>
  </property>
  <property fmtid="{D5CDD505-2E9C-101B-9397-08002B2CF9AE}" pid="4" name="KSOTemplateDocerSaveRecord">
    <vt:lpwstr>eyJoZGlkIjoiZTZkNDE3ZGE4Mjk4YmFlZDAwMWNlODJlYzdjMzk3YmQiLCJ1c2VySWQiOiI4MjIwMDM3MTEifQ==</vt:lpwstr>
  </property>
</Properties>
</file>