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adjustRightInd w:val="0"/>
        <w:ind w:firstLine="0" w:firstLineChars="0"/>
        <w:jc w:val="center"/>
        <w:rPr>
          <w:rFonts w:hint="eastAsia" w:ascii="黑体" w:eastAsia="黑体" w:cs="黑体"/>
          <w:b/>
          <w:sz w:val="52"/>
          <w:szCs w:val="52"/>
          <w:lang w:val="en-US" w:eastAsia="zh-CN"/>
        </w:rPr>
      </w:pPr>
      <w:bookmarkStart w:id="0" w:name="_Hlk49436153"/>
      <w:r>
        <w:rPr>
          <w:rFonts w:hint="eastAsia" w:ascii="黑体" w:eastAsia="黑体" w:cs="黑体"/>
          <w:b/>
          <w:sz w:val="52"/>
          <w:szCs w:val="52"/>
          <w:lang w:val="en-US" w:eastAsia="zh-CN"/>
        </w:rPr>
        <w:t>办公室商务</w:t>
      </w:r>
      <w:r>
        <w:rPr>
          <w:rFonts w:ascii="黑体" w:eastAsia="黑体" w:cs="黑体"/>
          <w:b/>
          <w:sz w:val="52"/>
          <w:szCs w:val="52"/>
        </w:rPr>
        <w:t>中心会议设备备件</w:t>
      </w:r>
      <w:r>
        <w:rPr>
          <w:rFonts w:hint="eastAsia" w:ascii="黑体" w:eastAsia="黑体" w:cs="黑体"/>
          <w:b/>
          <w:sz w:val="52"/>
          <w:szCs w:val="52"/>
          <w:lang w:val="en-US" w:eastAsia="zh-CN"/>
        </w:rPr>
        <w:t>采购</w:t>
      </w:r>
    </w:p>
    <w:bookmarkEnd w:id="0"/>
    <w:p>
      <w:pPr>
        <w:pStyle w:val="14"/>
        <w:widowControl/>
        <w:adjustRightInd w:val="0"/>
        <w:ind w:firstLine="0" w:firstLineChars="0"/>
        <w:jc w:val="center"/>
        <w:rPr>
          <w:rFonts w:hint="default" w:ascii="黑体" w:hAnsi="黑体" w:eastAsia="黑体"/>
          <w:b/>
          <w:sz w:val="72"/>
          <w:szCs w:val="52"/>
        </w:rPr>
      </w:pPr>
    </w:p>
    <w:p>
      <w:pPr>
        <w:pStyle w:val="14"/>
        <w:widowControl/>
        <w:adjustRightInd w:val="0"/>
        <w:ind w:firstLine="0" w:firstLineChars="0"/>
        <w:jc w:val="center"/>
        <w:rPr>
          <w:rFonts w:hint="default"/>
          <w:b/>
          <w:sz w:val="84"/>
          <w:szCs w:val="52"/>
        </w:rPr>
      </w:pPr>
      <w:r>
        <w:rPr>
          <w:b/>
          <w:sz w:val="84"/>
          <w:szCs w:val="52"/>
        </w:rPr>
        <w:t>招</w:t>
      </w:r>
    </w:p>
    <w:p>
      <w:pPr>
        <w:pStyle w:val="14"/>
        <w:widowControl/>
        <w:adjustRightInd w:val="0"/>
        <w:ind w:firstLine="0" w:firstLineChars="0"/>
        <w:jc w:val="center"/>
        <w:rPr>
          <w:rFonts w:hint="default"/>
          <w:b/>
          <w:sz w:val="84"/>
          <w:szCs w:val="52"/>
        </w:rPr>
      </w:pPr>
      <w:r>
        <w:rPr>
          <w:b/>
          <w:sz w:val="84"/>
          <w:szCs w:val="52"/>
        </w:rPr>
        <w:t>标</w:t>
      </w:r>
    </w:p>
    <w:p>
      <w:pPr>
        <w:pStyle w:val="14"/>
        <w:widowControl/>
        <w:adjustRightInd w:val="0"/>
        <w:ind w:firstLine="0" w:firstLineChars="0"/>
        <w:jc w:val="center"/>
        <w:rPr>
          <w:rFonts w:hint="default"/>
          <w:b/>
          <w:sz w:val="84"/>
          <w:szCs w:val="52"/>
        </w:rPr>
      </w:pPr>
      <w:r>
        <w:rPr>
          <w:b/>
          <w:sz w:val="84"/>
          <w:szCs w:val="52"/>
        </w:rPr>
        <w:t>文</w:t>
      </w:r>
    </w:p>
    <w:p>
      <w:pPr>
        <w:pStyle w:val="14"/>
        <w:widowControl/>
        <w:adjustRightInd w:val="0"/>
        <w:ind w:firstLine="0" w:firstLineChars="0"/>
        <w:jc w:val="center"/>
        <w:rPr>
          <w:rFonts w:hint="default"/>
          <w:b/>
          <w:sz w:val="72"/>
          <w:szCs w:val="52"/>
        </w:rPr>
      </w:pPr>
      <w:r>
        <w:rPr>
          <w:b/>
          <w:sz w:val="84"/>
          <w:szCs w:val="52"/>
        </w:rPr>
        <w:t>件</w:t>
      </w:r>
    </w:p>
    <w:p>
      <w:pPr>
        <w:pStyle w:val="14"/>
        <w:widowControl/>
        <w:ind w:firstLine="0" w:firstLineChars="0"/>
        <w:jc w:val="center"/>
        <w:rPr>
          <w:rFonts w:hint="eastAsia" w:eastAsia="宋体"/>
          <w:spacing w:val="20"/>
          <w:kern w:val="0"/>
          <w:sz w:val="28"/>
          <w:szCs w:val="20"/>
          <w:lang w:eastAsia="zh-CN"/>
        </w:rPr>
      </w:pPr>
    </w:p>
    <w:p>
      <w:pPr>
        <w:pStyle w:val="14"/>
        <w:widowControl/>
        <w:ind w:firstLine="0" w:firstLineChars="0"/>
        <w:jc w:val="center"/>
        <w:rPr>
          <w:rFonts w:hint="default"/>
          <w:spacing w:val="20"/>
          <w:kern w:val="0"/>
          <w:sz w:val="28"/>
          <w:szCs w:val="20"/>
        </w:rPr>
      </w:pPr>
    </w:p>
    <w:p>
      <w:pPr>
        <w:pStyle w:val="14"/>
        <w:widowControl/>
        <w:ind w:firstLine="0" w:firstLineChars="0"/>
        <w:jc w:val="center"/>
        <w:rPr>
          <w:rFonts w:hint="default"/>
          <w:sz w:val="32"/>
        </w:rPr>
      </w:pPr>
    </w:p>
    <w:p>
      <w:pPr>
        <w:pStyle w:val="5"/>
        <w:spacing w:line="360" w:lineRule="auto"/>
        <w:ind w:left="0"/>
        <w:jc w:val="center"/>
        <w:rPr>
          <w:rFonts w:hint="eastAsia"/>
          <w:sz w:val="32"/>
          <w:lang w:val="en-US" w:eastAsia="zh-CN"/>
        </w:rPr>
      </w:pPr>
      <w:r>
        <w:rPr>
          <w:rFonts w:hint="eastAsia"/>
          <w:sz w:val="32"/>
          <w:lang w:val="en-US" w:eastAsia="zh-CN"/>
        </w:rPr>
        <w:t>招标人：中国重型汽车集团有限公司办公室商务中心</w:t>
      </w:r>
    </w:p>
    <w:p>
      <w:pPr>
        <w:pStyle w:val="5"/>
        <w:spacing w:line="360" w:lineRule="auto"/>
        <w:ind w:left="0"/>
        <w:jc w:val="center"/>
        <w:rPr>
          <w:rFonts w:ascii="宋体" w:cs="宋体"/>
          <w:sz w:val="32"/>
          <w:szCs w:val="32"/>
        </w:rPr>
      </w:pPr>
      <w:r>
        <w:fldChar w:fldCharType="begin"/>
      </w:r>
      <w:r>
        <w:rPr>
          <w:rFonts w:hint="eastAsia" w:ascii="宋体" w:cs="宋体"/>
          <w:sz w:val="28"/>
          <w:szCs w:val="36"/>
        </w:rPr>
        <w:instrText xml:space="preserve">TIME \@ "yyyy年M月"</w:instrText>
      </w:r>
      <w:r>
        <w:rPr>
          <w:rFonts w:ascii="宋体" w:cs="宋体"/>
          <w:sz w:val="28"/>
          <w:szCs w:val="36"/>
        </w:rPr>
        <w:fldChar w:fldCharType="separate"/>
      </w:r>
      <w:r>
        <w:rPr>
          <w:rFonts w:hint="eastAsia" w:ascii="宋体" w:cs="宋体"/>
          <w:sz w:val="28"/>
          <w:szCs w:val="36"/>
        </w:rPr>
        <w:t>2025年11月</w:t>
      </w:r>
      <w:r>
        <w:fldChar w:fldCharType="end"/>
      </w:r>
      <w:bookmarkStart w:id="1" w:name="_Toc290401046"/>
      <w:bookmarkStart w:id="2" w:name="_Toc287879065"/>
      <w:bookmarkStart w:id="3" w:name="_Toc533251924"/>
    </w:p>
    <w:bookmarkEnd w:id="1"/>
    <w:bookmarkEnd w:id="2"/>
    <w:bookmarkEnd w:id="3"/>
    <w:p>
      <w:pPr>
        <w:sectPr>
          <w:pgSz w:w="11906" w:h="16838"/>
          <w:pgMar w:top="1440" w:right="1800" w:bottom="1440" w:left="1800" w:header="851" w:footer="992" w:gutter="0"/>
          <w:cols w:space="425" w:num="1"/>
          <w:docGrid w:type="lines" w:linePitch="312" w:charSpace="0"/>
        </w:sectPr>
      </w:pPr>
    </w:p>
    <w:p>
      <w:pPr>
        <w:pStyle w:val="3"/>
        <w:spacing w:line="360" w:lineRule="auto"/>
        <w:jc w:val="center"/>
        <w:rPr>
          <w:rFonts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第一章招标公告</w:t>
      </w:r>
    </w:p>
    <w:p>
      <w:pPr>
        <w:widowControl/>
        <w:jc w:val="left"/>
        <w:outlineLvl w:val="1"/>
        <w:rPr>
          <w:rStyle w:val="16"/>
          <w:rFonts w:ascii="黑体" w:hAnsi="黑体" w:eastAsia="黑体" w:cs="黑体"/>
          <w:b w:val="0"/>
          <w:bCs w:val="0"/>
          <w:sz w:val="28"/>
          <w:szCs w:val="28"/>
        </w:rPr>
      </w:pPr>
      <w:r>
        <w:rPr>
          <w:rStyle w:val="16"/>
          <w:rFonts w:hint="eastAsia" w:ascii="黑体" w:hAnsi="黑体" w:eastAsia="黑体" w:cs="黑体"/>
          <w:b w:val="0"/>
          <w:bCs w:val="0"/>
          <w:sz w:val="28"/>
          <w:szCs w:val="28"/>
        </w:rPr>
        <w:t>一、项目名称</w:t>
      </w:r>
    </w:p>
    <w:p>
      <w:pPr>
        <w:spacing w:line="360" w:lineRule="auto"/>
        <w:rPr>
          <w:rFonts w:hint="default" w:asciiTheme="minorEastAsia" w:hAnsiTheme="minorEastAsia" w:eastAsiaTheme="minorEastAsia"/>
          <w:b/>
          <w:sz w:val="48"/>
          <w:szCs w:val="48"/>
          <w:lang w:val="en-US" w:eastAsia="zh-CN"/>
        </w:rPr>
      </w:pPr>
      <w:r>
        <w:rPr>
          <w:rFonts w:hint="eastAsia"/>
          <w:szCs w:val="24"/>
        </w:rPr>
        <w:t>项目名</w:t>
      </w:r>
      <w:r>
        <w:rPr>
          <w:rFonts w:hint="eastAsia" w:asciiTheme="minorEastAsia" w:hAnsiTheme="minorEastAsia" w:cstheme="minorEastAsia"/>
          <w:szCs w:val="24"/>
        </w:rPr>
        <w:t>称：</w:t>
      </w:r>
      <w:bookmarkStart w:id="4" w:name="OLE_LINK1"/>
      <w:r>
        <w:rPr>
          <w:rFonts w:hint="eastAsia" w:asciiTheme="minorEastAsia" w:hAnsiTheme="minorEastAsia"/>
          <w:bCs/>
          <w:szCs w:val="24"/>
          <w:lang w:val="en-US" w:eastAsia="zh-CN"/>
        </w:rPr>
        <w:t>办公室商务中心会议设备备件采购</w:t>
      </w:r>
    </w:p>
    <w:bookmarkEnd w:id="4"/>
    <w:p>
      <w:pPr>
        <w:pStyle w:val="8"/>
        <w:spacing w:line="360" w:lineRule="auto"/>
        <w:outlineLvl w:val="1"/>
        <w:rPr>
          <w:rStyle w:val="16"/>
          <w:rFonts w:ascii="黑体" w:hAnsi="黑体" w:eastAsia="黑体" w:cs="黑体"/>
          <w:b w:val="0"/>
          <w:bCs w:val="0"/>
          <w:sz w:val="28"/>
          <w:szCs w:val="28"/>
        </w:rPr>
      </w:pPr>
      <w:r>
        <w:rPr>
          <w:rStyle w:val="16"/>
          <w:rFonts w:hint="eastAsia" w:ascii="黑体" w:hAnsi="黑体" w:eastAsia="黑体" w:cs="黑体"/>
          <w:b w:val="0"/>
          <w:bCs w:val="0"/>
          <w:sz w:val="28"/>
          <w:szCs w:val="28"/>
        </w:rPr>
        <w:t>二、招标内容及形式</w:t>
      </w:r>
    </w:p>
    <w:p>
      <w:pPr>
        <w:pStyle w:val="8"/>
        <w:spacing w:line="360" w:lineRule="auto"/>
        <w:rPr>
          <w:rFonts w:hAnsi="宋体" w:cs="宋体"/>
          <w:szCs w:val="21"/>
        </w:rPr>
      </w:pPr>
      <w:r>
        <w:rPr>
          <w:rFonts w:hint="eastAsia"/>
        </w:rPr>
        <w:t>1、招标内容-见附件1</w:t>
      </w:r>
    </w:p>
    <w:p>
      <w:pPr>
        <w:pStyle w:val="8"/>
        <w:spacing w:line="360" w:lineRule="auto"/>
        <w:rPr>
          <w:rFonts w:ascii="黑体" w:hAnsi="黑体" w:eastAsia="黑体" w:cs="黑体"/>
          <w:bCs/>
          <w:sz w:val="28"/>
          <w:szCs w:val="28"/>
        </w:rPr>
      </w:pPr>
      <w:r>
        <w:rPr>
          <w:rFonts w:hint="eastAsia"/>
        </w:rPr>
        <w:t>2、招标形式-邀请招标</w:t>
      </w:r>
    </w:p>
    <w:p>
      <w:pPr>
        <w:pStyle w:val="17"/>
        <w:spacing w:line="360" w:lineRule="auto"/>
        <w:rPr>
          <w:rFonts w:ascii="黑体" w:hAnsi="黑体" w:cs="黑体"/>
          <w:szCs w:val="28"/>
        </w:rPr>
      </w:pPr>
      <w:r>
        <w:rPr>
          <w:rStyle w:val="16"/>
          <w:rFonts w:hint="eastAsia" w:ascii="黑体" w:hAnsi="黑体" w:eastAsia="黑体" w:cs="黑体"/>
          <w:b w:val="0"/>
          <w:bCs/>
          <w:sz w:val="28"/>
          <w:szCs w:val="28"/>
        </w:rPr>
        <w:t>三、</w:t>
      </w:r>
      <w:r>
        <w:rPr>
          <w:rFonts w:hint="eastAsia" w:ascii="黑体" w:hAnsi="黑体" w:cs="黑体"/>
          <w:szCs w:val="28"/>
        </w:rPr>
        <w:t>交货及付款</w:t>
      </w:r>
    </w:p>
    <w:p>
      <w:pPr>
        <w:pStyle w:val="8"/>
        <w:spacing w:line="360" w:lineRule="auto"/>
      </w:pPr>
      <w:r>
        <w:rPr>
          <w:rFonts w:hint="eastAsia"/>
          <w:lang w:val="en-US" w:eastAsia="zh-CN"/>
        </w:rPr>
        <w:t>1、</w:t>
      </w:r>
      <w:r>
        <w:rPr>
          <w:rFonts w:hint="eastAsia"/>
        </w:rPr>
        <w:t xml:space="preserve">交货期：根据合同签订日期交付。 </w:t>
      </w:r>
    </w:p>
    <w:p>
      <w:pPr>
        <w:pStyle w:val="8"/>
        <w:spacing w:line="360" w:lineRule="auto"/>
      </w:pPr>
      <w:r>
        <w:rPr>
          <w:rFonts w:hint="eastAsia"/>
        </w:rPr>
        <w:t>2、交货地点：具体交货数量及详细地点以合同约定为准。</w:t>
      </w:r>
    </w:p>
    <w:p>
      <w:pPr>
        <w:pStyle w:val="8"/>
        <w:spacing w:line="360" w:lineRule="auto"/>
      </w:pPr>
      <w:r>
        <w:rPr>
          <w:rFonts w:hint="eastAsia"/>
        </w:rPr>
        <w:t>3、交货方式：具体交货方式根据合同签订方式交货。</w:t>
      </w:r>
    </w:p>
    <w:p>
      <w:pPr>
        <w:pStyle w:val="8"/>
        <w:spacing w:line="360" w:lineRule="auto"/>
      </w:pPr>
      <w:r>
        <w:rPr>
          <w:rFonts w:hint="eastAsia"/>
        </w:rPr>
        <w:t>4、付款方式</w:t>
      </w:r>
      <w:r>
        <w:rPr>
          <w:rFonts w:hint="eastAsia"/>
          <w:lang w:eastAsia="zh-CN"/>
        </w:rPr>
        <w:t>：</w:t>
      </w:r>
      <w:r>
        <w:rPr>
          <w:rFonts w:hint="eastAsia"/>
        </w:rPr>
        <w:t>（半年期</w:t>
      </w:r>
      <w:r>
        <w:rPr>
          <w:rFonts w:hint="eastAsia"/>
          <w:lang w:val="en-US" w:eastAsia="zh-CN"/>
        </w:rPr>
        <w:t>商业</w:t>
      </w:r>
      <w:r>
        <w:rPr>
          <w:rFonts w:hint="eastAsia"/>
        </w:rPr>
        <w:t xml:space="preserve">承兑汇票） </w:t>
      </w:r>
    </w:p>
    <w:p>
      <w:pPr>
        <w:pStyle w:val="8"/>
        <w:spacing w:line="360" w:lineRule="auto"/>
        <w:outlineLvl w:val="1"/>
        <w:rPr>
          <w:rStyle w:val="16"/>
          <w:rFonts w:asciiTheme="minorEastAsia" w:hAnsiTheme="minorEastAsia" w:eastAsiaTheme="minorEastAsia" w:cstheme="minorEastAsia"/>
          <w:sz w:val="24"/>
          <w:szCs w:val="24"/>
        </w:rPr>
      </w:pPr>
      <w:r>
        <w:rPr>
          <w:rStyle w:val="16"/>
          <w:rFonts w:hint="eastAsia" w:ascii="黑体" w:hAnsi="黑体" w:eastAsia="黑体" w:cs="黑体"/>
          <w:b w:val="0"/>
          <w:bCs w:val="0"/>
          <w:sz w:val="28"/>
          <w:szCs w:val="28"/>
        </w:rPr>
        <w:t>四、投标说明</w:t>
      </w:r>
    </w:p>
    <w:p>
      <w:pPr>
        <w:pStyle w:val="8"/>
        <w:spacing w:line="360" w:lineRule="auto"/>
        <w:rPr>
          <w:b/>
        </w:rPr>
      </w:pPr>
      <w:r>
        <w:rPr>
          <w:rFonts w:hint="eastAsia"/>
          <w:b/>
        </w:rPr>
        <w:t>1、报名方式</w:t>
      </w:r>
    </w:p>
    <w:p>
      <w:pPr>
        <w:pStyle w:val="8"/>
        <w:spacing w:line="360" w:lineRule="auto"/>
        <w:rPr>
          <w:rFonts w:hint="eastAsia" w:hAnsi="宋体"/>
        </w:rPr>
      </w:pPr>
      <w:r>
        <w:rPr>
          <w:rFonts w:hint="eastAsia"/>
        </w:rPr>
        <w:t>根据招标人邀请拟投标人填写《投标报名表》</w:t>
      </w:r>
      <w:r>
        <w:rPr>
          <w:rFonts w:hint="eastAsia"/>
          <w:color w:val="FF0000"/>
        </w:rPr>
        <w:t>（附件2)</w:t>
      </w:r>
      <w:r>
        <w:rPr>
          <w:rFonts w:hint="eastAsia"/>
        </w:rPr>
        <w:t>根据报名截止时间要求自主报名</w:t>
      </w:r>
      <w:r>
        <w:rPr>
          <w:rFonts w:hint="eastAsia" w:hAnsi="宋体"/>
        </w:rPr>
        <w:t>。</w:t>
      </w:r>
    </w:p>
    <w:p>
      <w:pPr>
        <w:pStyle w:val="22"/>
        <w:snapToGrid w:val="0"/>
        <w:spacing w:line="360" w:lineRule="auto"/>
        <w:ind w:firstLineChars="0"/>
        <w:rPr>
          <w:rFonts w:ascii="宋体" w:hAnsi="宋体" w:cs="宋体"/>
          <w:sz w:val="24"/>
        </w:rPr>
      </w:pPr>
      <w:r>
        <w:rPr>
          <w:rFonts w:hint="eastAsia" w:ascii="宋体" w:hAnsi="宋体" w:cs="宋体"/>
          <w:b/>
          <w:sz w:val="24"/>
          <w:lang w:val="en-US" w:eastAsia="zh-CN"/>
        </w:rPr>
        <w:t>1）</w:t>
      </w:r>
      <w:r>
        <w:rPr>
          <w:rFonts w:hint="eastAsia" w:ascii="宋体" w:hAnsi="宋体" w:cs="宋体"/>
          <w:b/>
          <w:sz w:val="24"/>
        </w:rPr>
        <w:t>发送招标文件时间：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日（以E采通时间为准）</w:t>
      </w:r>
    </w:p>
    <w:p>
      <w:pPr>
        <w:pStyle w:val="22"/>
        <w:snapToGrid w:val="0"/>
        <w:spacing w:line="360" w:lineRule="auto"/>
        <w:ind w:firstLineChars="0"/>
        <w:rPr>
          <w:rFonts w:hint="eastAsia" w:ascii="宋体" w:hAnsi="宋体" w:cs="宋体"/>
          <w:sz w:val="24"/>
        </w:rPr>
      </w:pPr>
      <w:r>
        <w:rPr>
          <w:rFonts w:hint="eastAsia" w:ascii="宋体" w:hAnsi="宋体" w:cs="宋体"/>
          <w:b/>
          <w:sz w:val="24"/>
          <w:lang w:val="en-US" w:eastAsia="zh-CN"/>
        </w:rPr>
        <w:t>2）应</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25</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22"/>
        <w:snapToGrid w:val="0"/>
        <w:spacing w:line="360" w:lineRule="auto"/>
        <w:rPr>
          <w:rFonts w:hint="eastAsia" w:ascii="宋体" w:hAnsi="宋体" w:cs="宋体"/>
          <w:sz w:val="24"/>
        </w:rPr>
      </w:pPr>
      <w:r>
        <w:rPr>
          <w:rFonts w:hint="eastAsia" w:ascii="宋体" w:hAnsi="宋体" w:cs="宋体"/>
          <w:b/>
          <w:sz w:val="24"/>
          <w:lang w:val="en-US" w:eastAsia="zh-CN"/>
        </w:rPr>
        <w:t>3）投</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30</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22"/>
        <w:snapToGrid w:val="0"/>
        <w:spacing w:line="360" w:lineRule="auto"/>
        <w:ind w:firstLineChars="0"/>
        <w:rPr>
          <w:rFonts w:ascii="宋体" w:hAnsi="宋体" w:cs="宋体"/>
          <w:sz w:val="24"/>
        </w:rPr>
      </w:pPr>
      <w:r>
        <w:rPr>
          <w:rFonts w:hint="eastAsia" w:ascii="宋体" w:hAnsi="宋体" w:cs="宋体"/>
          <w:b/>
          <w:sz w:val="24"/>
          <w:lang w:val="en-US" w:eastAsia="zh-CN"/>
        </w:rPr>
        <w:t>4）</w:t>
      </w:r>
      <w:r>
        <w:rPr>
          <w:rFonts w:ascii="宋体" w:hAnsi="宋体" w:cs="宋体"/>
          <w:b/>
          <w:sz w:val="24"/>
        </w:rPr>
        <w:t>开标地点</w:t>
      </w:r>
      <w:r>
        <w:rPr>
          <w:rFonts w:hint="eastAsia" w:ascii="宋体" w:hAnsi="宋体" w:cs="宋体"/>
          <w:b/>
          <w:sz w:val="24"/>
        </w:rPr>
        <w:t>：</w:t>
      </w:r>
      <w:r>
        <w:rPr>
          <w:rFonts w:hint="eastAsia" w:ascii="宋体" w:hAnsi="宋体" w:cs="宋体"/>
          <w:sz w:val="24"/>
        </w:rPr>
        <w:t>线上开标</w:t>
      </w:r>
    </w:p>
    <w:p>
      <w:pPr>
        <w:pStyle w:val="22"/>
        <w:snapToGrid w:val="0"/>
        <w:spacing w:line="360" w:lineRule="auto"/>
        <w:ind w:firstLineChars="0"/>
        <w:rPr>
          <w:rFonts w:hint="eastAsia" w:hAnsi="宋体"/>
        </w:rPr>
      </w:pPr>
      <w:r>
        <w:rPr>
          <w:rFonts w:hint="eastAsia" w:ascii="宋体" w:hAnsi="宋体" w:cs="宋体"/>
          <w:b/>
          <w:sz w:val="24"/>
          <w:lang w:val="en-US" w:eastAsia="zh-CN"/>
        </w:rPr>
        <w:t>5）</w:t>
      </w:r>
      <w:r>
        <w:rPr>
          <w:rFonts w:hint="eastAsia" w:ascii="宋体" w:hAnsi="宋体" w:cs="宋体"/>
          <w:b/>
          <w:sz w:val="24"/>
        </w:rPr>
        <w:t>开标时间：</w:t>
      </w:r>
      <w:r>
        <w:rPr>
          <w:rFonts w:hint="eastAsia" w:ascii="宋体" w:hAnsi="宋体" w:cs="宋体"/>
          <w:sz w:val="24"/>
        </w:rPr>
        <w:t>（</w:t>
      </w:r>
      <w:r>
        <w:rPr>
          <w:rFonts w:hint="eastAsia" w:ascii="宋体" w:hAnsi="宋体" w:cs="宋体"/>
          <w:sz w:val="24"/>
          <w:highlight w:val="yellow"/>
          <w:lang w:val="en-US" w:eastAsia="zh-CN"/>
        </w:rPr>
        <w:t>具体时间地点另行通知</w:t>
      </w:r>
      <w:r>
        <w:rPr>
          <w:rFonts w:hint="eastAsia" w:ascii="宋体" w:hAnsi="宋体" w:cs="宋体"/>
          <w:sz w:val="24"/>
        </w:rPr>
        <w:t>）</w:t>
      </w:r>
    </w:p>
    <w:p>
      <w:pPr>
        <w:pStyle w:val="8"/>
        <w:spacing w:line="360" w:lineRule="auto"/>
        <w:rPr>
          <w:rFonts w:hint="default" w:eastAsia="宋体"/>
          <w:b/>
          <w:lang w:val="en-US" w:eastAsia="zh-CN"/>
        </w:rPr>
      </w:pPr>
      <w:r>
        <w:rPr>
          <w:rFonts w:hint="eastAsia"/>
          <w:b/>
        </w:rPr>
        <w:t>2、</w:t>
      </w:r>
      <w:r>
        <w:rPr>
          <w:rFonts w:hint="eastAsia"/>
          <w:b/>
          <w:lang w:val="en-US" w:eastAsia="zh-CN"/>
        </w:rPr>
        <w:t>资质要求</w:t>
      </w:r>
    </w:p>
    <w:p>
      <w:pPr>
        <w:pStyle w:val="8"/>
        <w:spacing w:line="360" w:lineRule="auto"/>
        <w:rPr>
          <w:b/>
        </w:rPr>
      </w:pPr>
      <w:r>
        <w:rPr>
          <w:rFonts w:hint="eastAsia"/>
          <w:b/>
        </w:rPr>
        <w:t>所有拟投标人需满足以下条件，并经招标人审核通过后方可获得该项目的投标资格：</w:t>
      </w:r>
    </w:p>
    <w:p>
      <w:pPr>
        <w:pStyle w:val="8"/>
        <w:spacing w:line="360" w:lineRule="auto"/>
        <w:rPr>
          <w:b/>
        </w:rPr>
      </w:pPr>
      <w:r>
        <w:rPr>
          <w:rFonts w:hint="eastAsia"/>
          <w:szCs w:val="21"/>
        </w:rPr>
        <w:t>（1）拟标投人必须是在中华人民共和国境内注册的独立法人机构，具有独立承担民事责任能力，注册资金不少于30万人民币；公司成立一年以上（以营业执照成立日期到开标当日满一年为准）；且经营范围满足招标人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pPr>
        <w:pStyle w:val="8"/>
        <w:spacing w:line="360" w:lineRule="auto"/>
        <w:rPr>
          <w:szCs w:val="21"/>
        </w:rPr>
      </w:pPr>
      <w:r>
        <w:rPr>
          <w:rFonts w:hint="eastAsia"/>
          <w:szCs w:val="21"/>
        </w:rPr>
        <w:t>（2）拟投标人应提供三证合一的供营业执照原件；</w:t>
      </w:r>
    </w:p>
    <w:p>
      <w:pPr>
        <w:pStyle w:val="8"/>
        <w:spacing w:line="360" w:lineRule="auto"/>
        <w:rPr>
          <w:szCs w:val="21"/>
        </w:rPr>
      </w:pPr>
      <w:r>
        <w:rPr>
          <w:rFonts w:hint="eastAsia"/>
          <w:szCs w:val="21"/>
        </w:rPr>
        <w:t>（3）拟投标人应提供法定代表人资格证明；</w:t>
      </w:r>
    </w:p>
    <w:p>
      <w:pPr>
        <w:pStyle w:val="8"/>
        <w:spacing w:line="360" w:lineRule="auto"/>
        <w:rPr>
          <w:rFonts w:hAnsi="宋体"/>
        </w:rPr>
      </w:pPr>
      <w:r>
        <w:rPr>
          <w:rFonts w:hint="eastAsia" w:hAnsi="宋体"/>
        </w:rPr>
        <w:t>（4）拟投标人在工商行政管理局的《国家企业信用信息公示系统（山东）》中查询不存在不良记录；</w:t>
      </w:r>
    </w:p>
    <w:p>
      <w:pPr>
        <w:pStyle w:val="8"/>
        <w:spacing w:line="360" w:lineRule="auto"/>
        <w:rPr>
          <w:rFonts w:hint="eastAsia" w:hAnsi="宋体"/>
          <w:color w:val="000000"/>
        </w:rPr>
      </w:pPr>
      <w:r>
        <w:rPr>
          <w:rFonts w:hint="eastAsia" w:hAnsi="宋体"/>
        </w:rPr>
        <w:t>（5）拟投标人不存在严重违规或被列入招标人“黑名单”的</w:t>
      </w:r>
      <w:r>
        <w:rPr>
          <w:rFonts w:hint="eastAsia" w:hAnsi="宋体"/>
          <w:color w:val="000000"/>
        </w:rPr>
        <w:t>。</w:t>
      </w:r>
    </w:p>
    <w:p>
      <w:pPr>
        <w:pStyle w:val="8"/>
        <w:spacing w:line="360" w:lineRule="auto"/>
        <w:rPr>
          <w:rFonts w:hint="default" w:hAnsi="宋体" w:eastAsia="宋体"/>
          <w:color w:val="000000"/>
          <w:lang w:val="en-US" w:eastAsia="zh-CN"/>
        </w:rPr>
      </w:pPr>
      <w:r>
        <w:rPr>
          <w:rFonts w:hint="eastAsia" w:hAnsi="宋体"/>
          <w:color w:val="000000"/>
          <w:lang w:eastAsia="zh-CN"/>
        </w:rPr>
        <w:t>（</w:t>
      </w:r>
      <w:r>
        <w:rPr>
          <w:rFonts w:hint="eastAsia" w:hAnsi="宋体"/>
          <w:color w:val="000000"/>
          <w:lang w:val="en-US" w:eastAsia="zh-CN"/>
        </w:rPr>
        <w:t>6</w:t>
      </w:r>
      <w:r>
        <w:rPr>
          <w:rFonts w:hint="eastAsia" w:hAnsi="宋体"/>
          <w:color w:val="000000"/>
          <w:lang w:eastAsia="zh-CN"/>
        </w:rPr>
        <w:t>）</w:t>
      </w:r>
      <w:r>
        <w:rPr>
          <w:rFonts w:hint="eastAsia" w:hAnsi="宋体"/>
          <w:color w:val="000000"/>
          <w:lang w:val="en-US" w:eastAsia="zh-CN"/>
        </w:rPr>
        <w:t>投标保证金缴纳凭证。</w:t>
      </w:r>
    </w:p>
    <w:p>
      <w:pPr>
        <w:pStyle w:val="8"/>
        <w:spacing w:line="360" w:lineRule="auto"/>
        <w:rPr>
          <w:b/>
        </w:rPr>
      </w:pPr>
      <w:r>
        <w:rPr>
          <w:rFonts w:hint="eastAsia"/>
          <w:b/>
        </w:rPr>
        <w:t>3、报价</w:t>
      </w:r>
    </w:p>
    <w:p>
      <w:pPr>
        <w:pStyle w:val="8"/>
        <w:spacing w:line="360" w:lineRule="auto"/>
      </w:pPr>
      <w:r>
        <w:rPr>
          <w:rFonts w:hint="eastAsia"/>
        </w:rPr>
        <w:t>（1）报价应投标总报价应包括设税费、运杂、与其他专业配合及可预见的风险、以及其它不可预见等全部费用。</w:t>
      </w:r>
    </w:p>
    <w:p>
      <w:pPr>
        <w:pStyle w:val="8"/>
        <w:spacing w:line="360" w:lineRule="auto"/>
      </w:pPr>
      <w:r>
        <w:rPr>
          <w:rFonts w:hint="eastAsia"/>
        </w:rPr>
        <w:t>（2）报价货币单位为：元（人民币</w:t>
      </w:r>
      <w:r>
        <w:rPr>
          <w:rFonts w:hint="eastAsia"/>
          <w:b/>
        </w:rPr>
        <w:t>含税</w:t>
      </w:r>
      <w:r>
        <w:rPr>
          <w:rFonts w:hint="eastAsia"/>
        </w:rPr>
        <w:t>）</w:t>
      </w:r>
    </w:p>
    <w:p>
      <w:pPr>
        <w:pStyle w:val="8"/>
        <w:spacing w:line="360" w:lineRule="auto"/>
        <w:rPr>
          <w:rFonts w:hint="eastAsia"/>
        </w:rPr>
      </w:pPr>
      <w:r>
        <w:rPr>
          <w:rFonts w:hint="eastAsia"/>
          <w:b/>
        </w:rPr>
        <w:t>4、</w:t>
      </w:r>
      <w:r>
        <w:rPr>
          <w:rFonts w:hint="eastAsia"/>
        </w:rPr>
        <w:t>凡对本次招标提出的询问，均以招标方的书面答复为准。</w:t>
      </w:r>
    </w:p>
    <w:p>
      <w:pPr>
        <w:pStyle w:val="8"/>
        <w:spacing w:line="360" w:lineRule="auto"/>
        <w:rPr>
          <w:rFonts w:hint="eastAsia"/>
          <w:lang w:val="en-US" w:eastAsia="zh-CN"/>
        </w:rPr>
      </w:pPr>
      <w:r>
        <w:rPr>
          <w:rFonts w:hint="eastAsia"/>
          <w:lang w:val="en-US" w:eastAsia="zh-CN"/>
        </w:rPr>
        <w:t>5、投标保证金</w:t>
      </w:r>
    </w:p>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000.00元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pStyle w:val="8"/>
        <w:spacing w:line="360" w:lineRule="auto"/>
        <w:rPr>
          <w:rFonts w:hint="default" w:eastAsia="宋体"/>
          <w:highlight w:val="yellow"/>
          <w:lang w:val="en-US" w:eastAsia="zh-CN"/>
        </w:rPr>
      </w:pPr>
      <w:r>
        <w:rPr>
          <w:rFonts w:hint="eastAsia" w:eastAsia="宋体" w:cs="Times New Roman"/>
          <w:sz w:val="24"/>
          <w:szCs w:val="28"/>
        </w:rPr>
        <w:t>转账附言：</w:t>
      </w:r>
      <w:r>
        <w:rPr>
          <w:rFonts w:hint="eastAsia" w:eastAsia="宋体" w:cs="Times New Roman"/>
          <w:sz w:val="24"/>
          <w:szCs w:val="28"/>
          <w:highlight w:val="yellow"/>
        </w:rPr>
        <w:t>公司名称+项目名称+投标保证金。</w:t>
      </w:r>
      <w:r>
        <w:rPr>
          <w:rFonts w:hint="eastAsia" w:eastAsia="宋体" w:cs="Times New Roman"/>
          <w:sz w:val="24"/>
          <w:szCs w:val="28"/>
          <w:highlight w:val="yellow"/>
          <w:lang w:val="en-US" w:eastAsia="zh-CN"/>
        </w:rPr>
        <w:t>不按要求备注不保证保证金退回时间。</w:t>
      </w:r>
    </w:p>
    <w:p>
      <w:pPr>
        <w:pStyle w:val="8"/>
        <w:spacing w:line="360" w:lineRule="auto"/>
        <w:outlineLvl w:val="1"/>
        <w:rPr>
          <w:rStyle w:val="16"/>
          <w:rFonts w:ascii="黑体" w:hAnsi="黑体" w:eastAsia="黑体" w:cs="黑体"/>
          <w:b w:val="0"/>
          <w:bCs w:val="0"/>
          <w:sz w:val="28"/>
          <w:szCs w:val="28"/>
        </w:rPr>
      </w:pPr>
      <w:r>
        <w:rPr>
          <w:rStyle w:val="16"/>
          <w:rFonts w:hint="eastAsia" w:ascii="黑体" w:hAnsi="黑体" w:eastAsia="黑体" w:cs="黑体"/>
          <w:b w:val="0"/>
          <w:bCs w:val="0"/>
          <w:sz w:val="28"/>
          <w:szCs w:val="28"/>
        </w:rPr>
        <w:t>五、议程安排</w:t>
      </w:r>
    </w:p>
    <w:p>
      <w:pPr>
        <w:pStyle w:val="8"/>
        <w:spacing w:line="360" w:lineRule="auto"/>
      </w:pPr>
      <w:r>
        <w:rPr>
          <w:rFonts w:hint="eastAsia"/>
        </w:rPr>
        <w:t>1、各供应商需在http</w:t>
      </w:r>
      <w:r>
        <w:rPr>
          <w:rFonts w:hint="eastAsia"/>
          <w:lang w:val="en-US" w:eastAsia="zh-CN"/>
        </w:rPr>
        <w:t>s</w:t>
      </w:r>
      <w:r>
        <w:rPr>
          <w:rFonts w:hint="eastAsia"/>
        </w:rPr>
        <w:t>://ecaitong.sinotruk.com:8012/重汽E采通网站进行供应商注册，注册审批完成后，收到正式账号密码，使用正式账号密码进行招投标业务；</w:t>
      </w:r>
      <w:r>
        <w:rPr>
          <w:rFonts w:hint="eastAsia" w:ascii="宋体" w:hAnsi="宋体"/>
          <w:bCs/>
          <w:color w:val="auto"/>
          <w:sz w:val="24"/>
          <w:highlight w:val="yellow"/>
          <w:lang w:val="en-US" w:eastAsia="zh-CN"/>
        </w:rPr>
        <w:t>操作方式请看附件三、四。</w:t>
      </w:r>
    </w:p>
    <w:p>
      <w:pPr>
        <w:pStyle w:val="8"/>
        <w:spacing w:line="360" w:lineRule="auto"/>
      </w:pPr>
      <w:r>
        <w:rPr>
          <w:rFonts w:hint="eastAsia"/>
        </w:rPr>
        <w:t>2、按要求应标、投标，及时关注http</w:t>
      </w:r>
      <w:r>
        <w:rPr>
          <w:rFonts w:hint="eastAsia"/>
          <w:lang w:val="en-US" w:eastAsia="zh-CN"/>
        </w:rPr>
        <w:t>s</w:t>
      </w:r>
      <w:r>
        <w:rPr>
          <w:rFonts w:hint="eastAsia"/>
        </w:rPr>
        <w:t>://ecaitong.sinotruk.com:8012/重汽E采通，根据规定时间应标、投标，现场开标，凡不按时、不按要求应标、投标、参与开标会议的投标单位一律视为放弃投标活动。招标单位依次检查投标文件的密封及送达情况，按签到的先后顺序竞价，招标人有权根据项目情况，采取多级评标模式，最终确定中标人；</w:t>
      </w:r>
    </w:p>
    <w:p>
      <w:pPr>
        <w:pStyle w:val="8"/>
        <w:spacing w:line="360" w:lineRule="auto"/>
      </w:pPr>
      <w:r>
        <w:rPr>
          <w:rFonts w:hint="eastAsia"/>
        </w:rPr>
        <w:t>3、答疑方式：书面及电话</w:t>
      </w:r>
    </w:p>
    <w:p>
      <w:pPr>
        <w:pStyle w:val="8"/>
        <w:spacing w:line="360" w:lineRule="auto"/>
        <w:rPr>
          <w:rFonts w:hint="eastAsia"/>
        </w:rPr>
      </w:pPr>
      <w:r>
        <w:rPr>
          <w:rFonts w:hint="eastAsia"/>
        </w:rPr>
        <w:t xml:space="preserve">   </w:t>
      </w:r>
      <w:r>
        <w:rPr>
          <w:rFonts w:hint="eastAsia"/>
          <w:lang w:val="en-US" w:eastAsia="zh-CN"/>
        </w:rPr>
        <w:t>技术</w:t>
      </w:r>
      <w:r>
        <w:rPr>
          <w:rFonts w:hint="eastAsia"/>
        </w:rPr>
        <w:t>联 系 人 ：</w:t>
      </w:r>
      <w:r>
        <w:rPr>
          <w:rFonts w:hint="eastAsia"/>
          <w:lang w:val="en-US" w:eastAsia="zh-CN"/>
        </w:rPr>
        <w:t>王玺</w:t>
      </w:r>
      <w:r>
        <w:rPr>
          <w:rFonts w:hint="eastAsia"/>
        </w:rPr>
        <w:t xml:space="preserve">  </w:t>
      </w:r>
    </w:p>
    <w:p>
      <w:pPr>
        <w:pStyle w:val="8"/>
        <w:spacing w:line="360" w:lineRule="auto"/>
        <w:ind w:firstLine="210" w:firstLineChars="100"/>
        <w:rPr>
          <w:rFonts w:hint="eastAsia"/>
          <w:lang w:val="en-US" w:eastAsia="zh-CN"/>
        </w:rPr>
      </w:pPr>
      <w:r>
        <w:rPr>
          <w:rFonts w:hint="eastAsia"/>
        </w:rPr>
        <w:t xml:space="preserve"> 电  话： 1786060</w:t>
      </w:r>
      <w:r>
        <w:rPr>
          <w:rFonts w:hint="eastAsia"/>
          <w:lang w:val="en-US" w:eastAsia="zh-CN"/>
        </w:rPr>
        <w:t>6182</w:t>
      </w:r>
      <w:bookmarkStart w:id="5" w:name="_GoBack"/>
      <w:bookmarkEnd w:id="5"/>
    </w:p>
    <w:p>
      <w:pPr>
        <w:pStyle w:val="8"/>
        <w:spacing w:line="360" w:lineRule="auto"/>
        <w:ind w:firstLine="420" w:firstLineChars="200"/>
        <w:rPr>
          <w:rFonts w:hint="default"/>
          <w:lang w:val="en-US" w:eastAsia="zh-CN"/>
        </w:rPr>
      </w:pPr>
      <w:r>
        <w:rPr>
          <w:rFonts w:hint="eastAsia"/>
          <w:lang w:val="en-US" w:eastAsia="zh-CN"/>
        </w:rPr>
        <w:t>商务联系人：赵力/17860606595</w:t>
      </w:r>
    </w:p>
    <w:p>
      <w:pPr>
        <w:pStyle w:val="8"/>
        <w:spacing w:line="360" w:lineRule="auto"/>
      </w:pPr>
      <w:r>
        <w:rPr>
          <w:rFonts w:hint="eastAsia"/>
        </w:rPr>
        <w:t>4、开标时间：具体时间</w:t>
      </w:r>
      <w:r>
        <w:rPr>
          <w:rFonts w:hint="eastAsia"/>
          <w:lang w:val="en-US" w:eastAsia="zh-CN"/>
        </w:rPr>
        <w:t>地点</w:t>
      </w:r>
      <w:r>
        <w:rPr>
          <w:rFonts w:hint="eastAsia"/>
        </w:rPr>
        <w:t xml:space="preserve">另行通知；  </w:t>
      </w:r>
    </w:p>
    <w:p>
      <w:pPr>
        <w:pStyle w:val="8"/>
        <w:spacing w:line="360" w:lineRule="auto"/>
        <w:rPr>
          <w:b/>
        </w:rPr>
      </w:pPr>
      <w:r>
        <w:rPr>
          <w:rFonts w:hint="eastAsia"/>
          <w:b/>
        </w:rPr>
        <w:t>投标人应提供营业执照副本原件、法人授权委托书原件，经销商投标提供生产厂家授权。</w:t>
      </w:r>
    </w:p>
    <w:p>
      <w:pPr>
        <w:pStyle w:val="8"/>
        <w:spacing w:line="360" w:lineRule="auto"/>
        <w:ind w:left="1890" w:hanging="1890" w:hangingChars="900"/>
        <w:rPr>
          <w:rFonts w:hint="default" w:eastAsia="宋体"/>
          <w:lang w:val="en-US" w:eastAsia="zh-CN"/>
        </w:rPr>
      </w:pPr>
      <w:r>
        <w:rPr>
          <w:rFonts w:hint="eastAsia"/>
        </w:rPr>
        <w:t>地    址： 济南市高新区</w:t>
      </w:r>
      <w:r>
        <w:rPr>
          <w:rFonts w:hint="eastAsia"/>
          <w:lang w:val="en-US" w:eastAsia="zh-CN"/>
        </w:rPr>
        <w:t>舜华南路688号</w:t>
      </w:r>
    </w:p>
    <w:p>
      <w:pPr>
        <w:pStyle w:val="8"/>
        <w:spacing w:line="360" w:lineRule="auto"/>
        <w:rPr>
          <w:rFonts w:ascii="黑体" w:eastAsia="黑体"/>
          <w:b/>
          <w:bCs/>
          <w:sz w:val="28"/>
        </w:rPr>
      </w:pPr>
      <w:r>
        <w:rPr>
          <w:rFonts w:hint="eastAsia" w:ascii="黑体" w:eastAsia="黑体"/>
          <w:b/>
          <w:bCs/>
          <w:sz w:val="28"/>
          <w:lang w:val="en-US" w:eastAsia="zh-CN"/>
        </w:rPr>
        <w:t>六</w:t>
      </w:r>
      <w:r>
        <w:rPr>
          <w:rFonts w:hint="eastAsia" w:ascii="黑体" w:eastAsia="黑体"/>
          <w:b/>
          <w:bCs/>
          <w:sz w:val="28"/>
        </w:rPr>
        <w:t>、评标</w:t>
      </w:r>
    </w:p>
    <w:p>
      <w:pPr>
        <w:pStyle w:val="8"/>
        <w:spacing w:line="360" w:lineRule="auto"/>
      </w:pPr>
      <w:r>
        <w:rPr>
          <w:rFonts w:hint="eastAsia"/>
        </w:rPr>
        <w:t>1、评标</w:t>
      </w:r>
    </w:p>
    <w:p>
      <w:pPr>
        <w:pStyle w:val="8"/>
        <w:spacing w:line="360" w:lineRule="auto"/>
      </w:pPr>
      <w:r>
        <w:rPr>
          <w:rFonts w:hint="eastAsia" w:hAnsi="宋体"/>
          <w:szCs w:val="21"/>
        </w:rPr>
        <w:t>为保证项目顺利实施，由招标人组织、按国家法律法规及公司相关规章制度要求，设立评标工作小组，</w:t>
      </w:r>
      <w:r>
        <w:rPr>
          <w:rFonts w:hint="eastAsia"/>
        </w:rPr>
        <w:t>采用综合评定法，本着公平、公正、公开的原则，在最大限度地满足招标文件实质性要求的前提下，对招标文件中规定的各项因素进行综合评审，</w:t>
      </w:r>
      <w:r>
        <w:rPr>
          <w:rFonts w:hint="eastAsia" w:hAnsi="宋体"/>
          <w:szCs w:val="21"/>
        </w:rPr>
        <w:t>确定中标候选供应商或者中标供应商</w:t>
      </w:r>
      <w:r>
        <w:rPr>
          <w:rFonts w:hint="eastAsia" w:hAnsi="宋体"/>
          <w:b/>
          <w:szCs w:val="21"/>
        </w:rPr>
        <w:t>（在确保参数标准符合要求的情况下，最低价中标），对未中标单位不做任何解释</w:t>
      </w:r>
      <w:r>
        <w:rPr>
          <w:rFonts w:hint="eastAsia"/>
          <w:b/>
        </w:rPr>
        <w:t>。</w:t>
      </w:r>
    </w:p>
    <w:p>
      <w:pPr>
        <w:pStyle w:val="8"/>
        <w:spacing w:line="360" w:lineRule="auto"/>
        <w:rPr>
          <w:rFonts w:ascii="黑体" w:eastAsia="黑体"/>
          <w:b/>
          <w:bCs/>
          <w:sz w:val="28"/>
        </w:rPr>
      </w:pPr>
      <w:r>
        <w:rPr>
          <w:rFonts w:hint="eastAsia" w:ascii="黑体" w:eastAsia="黑体"/>
          <w:b/>
          <w:bCs/>
          <w:sz w:val="28"/>
          <w:lang w:val="en-US" w:eastAsia="zh-CN"/>
        </w:rPr>
        <w:t>七</w:t>
      </w:r>
      <w:r>
        <w:rPr>
          <w:rFonts w:hint="eastAsia" w:ascii="黑体" w:eastAsia="黑体"/>
          <w:b/>
          <w:bCs/>
          <w:sz w:val="28"/>
        </w:rPr>
        <w:t>、合同签订</w:t>
      </w:r>
    </w:p>
    <w:p>
      <w:pPr>
        <w:pStyle w:val="8"/>
        <w:spacing w:line="360" w:lineRule="auto"/>
      </w:pPr>
      <w:r>
        <w:rPr>
          <w:rFonts w:hint="eastAsia"/>
        </w:rPr>
        <w:t>1、招标人根据评标工作小组的评标结果确定中标人，并书面通知中标人，招标人不承诺将合同授予报价最低的投标人。中标人与招标人关联单位签署具体采购合同。</w:t>
      </w:r>
    </w:p>
    <w:p>
      <w:pPr>
        <w:pStyle w:val="8"/>
        <w:spacing w:line="360" w:lineRule="auto"/>
      </w:pPr>
      <w:r>
        <w:rPr>
          <w:rFonts w:hint="eastAsia"/>
        </w:rPr>
        <w:t>2、招标人发送《中标通知书》给中标人，中标人应及时与招标人联系，在规定的时间内（一般为接到通知后3个工作日内）到招标单位对《中标人推荐表》进行确认，如果中标人接到《中标通知书》后，无</w:t>
      </w:r>
      <w:r>
        <w:t>不正当理由</w:t>
      </w:r>
      <w:r>
        <w:rPr>
          <w:rFonts w:hint="eastAsia"/>
        </w:rPr>
        <w:t>拒签</w:t>
      </w:r>
      <w:r>
        <w:t>合同</w:t>
      </w:r>
      <w:r>
        <w:rPr>
          <w:rFonts w:hint="eastAsia"/>
        </w:rPr>
        <w:t>、</w:t>
      </w:r>
      <w:r>
        <w:t>在签订合同时向招标人提出</w:t>
      </w:r>
      <w:r>
        <w:rPr>
          <w:rFonts w:hint="eastAsia"/>
        </w:rPr>
        <w:t>无理</w:t>
      </w:r>
      <w:r>
        <w:t>附加条件</w:t>
      </w:r>
      <w:r>
        <w:rPr>
          <w:rFonts w:hint="eastAsia"/>
        </w:rPr>
        <w:t>的，取消该投标人的中标资格</w:t>
      </w:r>
      <w:r>
        <w:t>，</w:t>
      </w:r>
      <w:r>
        <w:rPr>
          <w:rFonts w:hint="eastAsia"/>
        </w:rPr>
        <w:t>该投标人2</w:t>
      </w:r>
      <w:r>
        <w:t>年</w:t>
      </w:r>
      <w:r>
        <w:rPr>
          <w:rFonts w:hint="eastAsia"/>
        </w:rPr>
        <w:t>内不得参与招标人关于该类产品的招投标项目。</w:t>
      </w:r>
    </w:p>
    <w:p>
      <w:pPr>
        <w:pStyle w:val="8"/>
        <w:spacing w:line="360" w:lineRule="auto"/>
      </w:pPr>
      <w:r>
        <w:rPr>
          <w:rFonts w:hint="eastAsia"/>
        </w:rPr>
        <w:t>3、中标人应当按照合同约定的履约责任，在保证质量的前提下完成中标项目，不得将中标项目转包或分包给他人，否则视为违约，招标人有权解除合同。</w:t>
      </w:r>
    </w:p>
    <w:p>
      <w:pPr>
        <w:pStyle w:val="8"/>
        <w:spacing w:line="360" w:lineRule="auto"/>
      </w:pPr>
      <w:r>
        <w:rPr>
          <w:rFonts w:hint="eastAsia"/>
        </w:rPr>
        <w:t>4、中标人由于履行义务的能力或信用有严重缺陷，招标人有权取消其中标资格，招标人将从中标候选单位中依序重新确定中标人，或重新组织招标。</w:t>
      </w:r>
    </w:p>
    <w:p>
      <w:pPr>
        <w:pStyle w:val="8"/>
        <w:spacing w:line="360" w:lineRule="auto"/>
      </w:pPr>
      <w:r>
        <w:rPr>
          <w:rFonts w:hint="eastAsia"/>
        </w:rPr>
        <w:t>5、在履行合同过程中，如出现市场变化带来的有关价格下调，中标人应及时告之招标人相应下调供货价格，并由招标人统一修改价格下发子公司，中标人承诺不得以任何理由上调中标价格，否则视为违约。</w:t>
      </w:r>
    </w:p>
    <w:p>
      <w:pPr>
        <w:pStyle w:val="8"/>
        <w:spacing w:line="360" w:lineRule="auto"/>
        <w:rPr>
          <w:rFonts w:ascii="黑体" w:eastAsia="黑体"/>
          <w:b/>
          <w:bCs/>
          <w:sz w:val="28"/>
        </w:rPr>
      </w:pPr>
      <w:r>
        <w:rPr>
          <w:rFonts w:hint="eastAsia" w:ascii="黑体" w:eastAsia="黑体"/>
          <w:b/>
          <w:bCs/>
          <w:sz w:val="28"/>
          <w:lang w:val="en-US" w:eastAsia="zh-CN"/>
        </w:rPr>
        <w:t>八</w:t>
      </w:r>
      <w:r>
        <w:rPr>
          <w:rFonts w:hint="eastAsia" w:ascii="黑体" w:eastAsia="黑体"/>
          <w:b/>
          <w:bCs/>
          <w:sz w:val="28"/>
        </w:rPr>
        <w:t>、废标及终止招标</w:t>
      </w:r>
    </w:p>
    <w:p>
      <w:pPr>
        <w:spacing w:line="520" w:lineRule="exact"/>
        <w:ind w:right="2"/>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rPr>
          <w:rFonts w:ascii="宋体" w:hAnsi="Courier New"/>
        </w:rPr>
      </w:pPr>
      <w:r>
        <w:rPr>
          <w:rFonts w:hint="eastAsia" w:ascii="宋体" w:hAnsi="Courier New"/>
        </w:rPr>
        <w:t>（1）投标人提供的有关资格、资质证明文件不合格、不真实或提供虚假投标材料；</w:t>
      </w:r>
    </w:p>
    <w:p>
      <w:pPr>
        <w:spacing w:line="520" w:lineRule="exact"/>
        <w:ind w:right="2"/>
        <w:rPr>
          <w:rFonts w:ascii="宋体" w:hAnsi="Courier New"/>
        </w:rPr>
      </w:pPr>
      <w:r>
        <w:rPr>
          <w:rFonts w:hint="eastAsia" w:ascii="宋体" w:hAnsi="Courier New"/>
        </w:rPr>
        <w:t>（2）投标人在报价有效期内撤回投标；</w:t>
      </w:r>
    </w:p>
    <w:p>
      <w:pPr>
        <w:spacing w:line="520" w:lineRule="exact"/>
        <w:ind w:right="2"/>
        <w:rPr>
          <w:rFonts w:ascii="宋体" w:hAnsi="Courier New"/>
        </w:rPr>
      </w:pPr>
      <w:r>
        <w:rPr>
          <w:rFonts w:hint="eastAsia" w:ascii="宋体" w:hAnsi="Courier New"/>
        </w:rPr>
        <w:t>（3）在整个评标过程中，投标人有企图影响评标结果公正性的任何活动；</w:t>
      </w:r>
    </w:p>
    <w:p>
      <w:pPr>
        <w:spacing w:line="520" w:lineRule="exact"/>
        <w:ind w:right="2"/>
        <w:rPr>
          <w:rFonts w:ascii="宋体" w:hAnsi="Courier New"/>
        </w:rPr>
      </w:pPr>
      <w:r>
        <w:rPr>
          <w:rFonts w:hint="eastAsia" w:ascii="宋体" w:hAnsi="Courier New"/>
        </w:rPr>
        <w:t>（4）投标人以任何方式诋毁其他投标人；</w:t>
      </w:r>
    </w:p>
    <w:p>
      <w:pPr>
        <w:spacing w:line="520" w:lineRule="exact"/>
        <w:ind w:right="2"/>
        <w:rPr>
          <w:rFonts w:ascii="宋体" w:hAnsi="Courier New"/>
        </w:rPr>
      </w:pPr>
      <w:r>
        <w:rPr>
          <w:rFonts w:hint="eastAsia" w:ascii="宋体" w:hAnsi="Courier New"/>
        </w:rPr>
        <w:t>（5）投标人串通投标；</w:t>
      </w:r>
    </w:p>
    <w:p>
      <w:pPr>
        <w:spacing w:line="520" w:lineRule="exact"/>
        <w:ind w:right="2"/>
        <w:rPr>
          <w:rFonts w:ascii="宋体" w:hAnsi="Courier New"/>
        </w:rPr>
      </w:pPr>
      <w:r>
        <w:rPr>
          <w:rFonts w:hint="eastAsia" w:ascii="宋体" w:hAnsi="Courier New"/>
        </w:rPr>
        <w:t>（6）以他人名义投标或者以其他方式弄虚作假，骗取中标的；</w:t>
      </w:r>
    </w:p>
    <w:p>
      <w:pPr>
        <w:spacing w:line="520" w:lineRule="exact"/>
        <w:ind w:right="2"/>
        <w:rPr>
          <w:rFonts w:ascii="宋体" w:hAnsi="Courier New"/>
        </w:rPr>
      </w:pPr>
      <w:r>
        <w:rPr>
          <w:rFonts w:hint="eastAsia" w:ascii="宋体" w:hAnsi="Courier New"/>
        </w:rPr>
        <w:t>（7）法律、法规规定的其他情况。</w:t>
      </w:r>
    </w:p>
    <w:p>
      <w:pPr>
        <w:spacing w:line="520" w:lineRule="exact"/>
        <w:ind w:right="2"/>
        <w:rPr>
          <w:rFonts w:ascii="宋体" w:hAnsi="Courier New"/>
        </w:rPr>
      </w:pPr>
      <w:r>
        <w:rPr>
          <w:rFonts w:hint="eastAsia" w:ascii="宋体" w:hAnsi="Courier New"/>
        </w:rPr>
        <w:t>2、出现下列情形之一，招标人有权否决所有投标人的投标，并终止招标</w:t>
      </w:r>
    </w:p>
    <w:p>
      <w:pPr>
        <w:spacing w:line="520" w:lineRule="exact"/>
        <w:ind w:right="2"/>
        <w:rPr>
          <w:rFonts w:ascii="宋体" w:hAnsi="Courier New"/>
          <w:b/>
        </w:rPr>
      </w:pPr>
      <w:r>
        <w:rPr>
          <w:rFonts w:hint="eastAsia" w:ascii="宋体" w:hAnsi="Courier New"/>
        </w:rPr>
        <w:t>（1）符合条件的投标人或者对招标文件做实质响应的投标人不足三家的；</w:t>
      </w:r>
      <w:r>
        <w:rPr>
          <w:rFonts w:hint="eastAsia" w:ascii="宋体" w:hAnsi="Courier New"/>
          <w:b/>
        </w:rPr>
        <w:t xml:space="preserve"> </w:t>
      </w:r>
    </w:p>
    <w:p>
      <w:pPr>
        <w:spacing w:line="520" w:lineRule="exact"/>
        <w:ind w:right="2"/>
        <w:rPr>
          <w:rFonts w:ascii="宋体" w:hAnsi="Courier New"/>
        </w:rPr>
      </w:pPr>
      <w:r>
        <w:rPr>
          <w:rFonts w:hint="eastAsia" w:ascii="宋体" w:hAnsi="Courier New"/>
        </w:rPr>
        <w:t>（2）出现影响采购公正的违法、违规行为的；</w:t>
      </w:r>
    </w:p>
    <w:p>
      <w:pPr>
        <w:spacing w:line="520" w:lineRule="exact"/>
        <w:ind w:right="2"/>
        <w:rPr>
          <w:rFonts w:ascii="宋体" w:hAnsi="Courier New"/>
        </w:rPr>
      </w:pPr>
      <w:r>
        <w:rPr>
          <w:rFonts w:hint="eastAsia" w:ascii="宋体" w:hAnsi="Courier New"/>
        </w:rPr>
        <w:t>（3）评标委员会经评审，认为所有投标都不符合招标文件要求的；</w:t>
      </w:r>
    </w:p>
    <w:p>
      <w:pPr>
        <w:spacing w:line="520" w:lineRule="exact"/>
        <w:ind w:right="2"/>
        <w:rPr>
          <w:rFonts w:ascii="宋体" w:hAnsi="Courier New"/>
        </w:rPr>
      </w:pPr>
      <w:r>
        <w:rPr>
          <w:rFonts w:hint="eastAsia" w:ascii="宋体" w:hAnsi="Courier New"/>
        </w:rPr>
        <w:t>（4）因重大变故，采购任务取消的；</w:t>
      </w:r>
    </w:p>
    <w:p>
      <w:pPr>
        <w:pStyle w:val="8"/>
        <w:spacing w:line="360" w:lineRule="auto"/>
        <w:rPr>
          <w:rFonts w:hint="eastAsia" w:ascii="黑体" w:hAnsi="黑体" w:eastAsia="黑体" w:cs="黑体"/>
          <w:b/>
          <w:bCs/>
          <w:sz w:val="28"/>
          <w:szCs w:val="28"/>
        </w:rPr>
      </w:pPr>
      <w:r>
        <w:rPr>
          <w:rFonts w:hint="eastAsia" w:ascii="黑体" w:hAnsi="黑体" w:eastAsia="黑体" w:cs="黑体"/>
          <w:b/>
          <w:bCs/>
          <w:sz w:val="28"/>
          <w:szCs w:val="28"/>
          <w:lang w:val="en-US" w:eastAsia="zh-CN"/>
        </w:rPr>
        <w:t>九</w:t>
      </w:r>
      <w:r>
        <w:rPr>
          <w:rFonts w:hint="eastAsia" w:ascii="黑体" w:hAnsi="黑体" w:eastAsia="黑体" w:cs="黑体"/>
          <w:b/>
          <w:bCs/>
          <w:sz w:val="28"/>
          <w:szCs w:val="28"/>
        </w:rPr>
        <w:t>、投标文件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本项目投标文件由</w:t>
      </w:r>
      <w:r>
        <w:rPr>
          <w:rFonts w:hint="eastAsia" w:ascii="宋体" w:hAnsi="宋体" w:eastAsia="宋体" w:cs="宋体"/>
          <w:b/>
          <w:sz w:val="24"/>
          <w:szCs w:val="24"/>
        </w:rPr>
        <w:t>《投标文件（资质标）》、《投标文件（商务标）》（开标一览表）</w:t>
      </w:r>
      <w:r>
        <w:rPr>
          <w:rFonts w:hint="eastAsia" w:ascii="宋体" w:hAnsi="宋体" w:eastAsia="宋体" w:cs="宋体"/>
          <w:bCs/>
          <w:sz w:val="24"/>
          <w:szCs w:val="24"/>
        </w:rPr>
        <w:t>文件组成</w:t>
      </w:r>
    </w:p>
    <w:p>
      <w:pPr>
        <w:numPr>
          <w:ilvl w:val="0"/>
          <w:numId w:val="2"/>
        </w:num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《投标文件（资质标）》包括</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同应标资质文件</w:t>
      </w:r>
      <w:r>
        <w:rPr>
          <w:rFonts w:hint="eastAsia" w:ascii="宋体" w:hAnsi="宋体" w:eastAsia="宋体" w:cs="宋体"/>
          <w:b/>
          <w:bCs/>
          <w:sz w:val="24"/>
          <w:szCs w:val="24"/>
          <w:lang w:eastAsia="zh-CN"/>
        </w:rPr>
        <w:t>）</w:t>
      </w:r>
      <w:r>
        <w:rPr>
          <w:rFonts w:hint="eastAsia" w:ascii="宋体" w:hAnsi="宋体" w:eastAsia="宋体" w:cs="宋体"/>
          <w:color w:val="000000"/>
          <w:sz w:val="24"/>
          <w:szCs w:val="24"/>
        </w:rPr>
        <w:t>：</w:t>
      </w:r>
    </w:p>
    <w:p>
      <w:pPr>
        <w:pStyle w:val="23"/>
        <w:numPr>
          <w:ilvl w:val="0"/>
          <w:numId w:val="0"/>
        </w:numPr>
        <w:ind w:leftChars="0"/>
        <w:rPr>
          <w:b w:val="0"/>
          <w:bCs/>
          <w:highlight w:val="none"/>
        </w:rPr>
      </w:pPr>
      <w:r>
        <w:rPr>
          <w:rFonts w:hint="eastAsia"/>
          <w:b w:val="0"/>
          <w:bCs/>
          <w:highlight w:val="none"/>
          <w:lang w:eastAsia="zh-CN"/>
        </w:rPr>
        <w:t>（</w:t>
      </w:r>
      <w:r>
        <w:rPr>
          <w:rFonts w:hint="eastAsia"/>
          <w:b w:val="0"/>
          <w:bCs/>
          <w:highlight w:val="none"/>
          <w:lang w:val="en-US" w:eastAsia="zh-CN"/>
        </w:rPr>
        <w:t>1</w:t>
      </w:r>
      <w:r>
        <w:rPr>
          <w:rFonts w:hint="eastAsia"/>
          <w:b w:val="0"/>
          <w:bCs/>
          <w:highlight w:val="none"/>
          <w:lang w:eastAsia="zh-CN"/>
        </w:rPr>
        <w:t>）</w:t>
      </w:r>
      <w:r>
        <w:rPr>
          <w:rFonts w:hint="eastAsia"/>
          <w:b w:val="0"/>
          <w:bCs/>
          <w:highlight w:val="none"/>
        </w:rPr>
        <w:t>法定代表人身份证明；</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2</w:t>
      </w:r>
      <w:r>
        <w:rPr>
          <w:rFonts w:hint="eastAsia" w:ascii="宋体"/>
          <w:b w:val="0"/>
          <w:bCs/>
          <w:highlight w:val="none"/>
          <w:lang w:eastAsia="zh-CN"/>
        </w:rPr>
        <w:t>）法定代表人授权委托书（授权人需带身份证原件）；</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3</w:t>
      </w:r>
      <w:r>
        <w:rPr>
          <w:rFonts w:hint="eastAsia" w:ascii="宋体"/>
          <w:b w:val="0"/>
          <w:bCs/>
          <w:highlight w:val="none"/>
          <w:lang w:eastAsia="zh-CN"/>
        </w:rPr>
        <w:t>）营业执照副本原件</w:t>
      </w:r>
      <w:r>
        <w:rPr>
          <w:rFonts w:hint="eastAsia" w:ascii="宋体"/>
          <w:b w:val="0"/>
          <w:bCs/>
          <w:highlight w:val="none"/>
          <w:lang w:val="en-US" w:eastAsia="zh-CN"/>
        </w:rPr>
        <w:t>或复印件并加盖公章</w:t>
      </w:r>
      <w:r>
        <w:rPr>
          <w:rFonts w:hint="eastAsia" w:ascii="宋体"/>
          <w:b w:val="0"/>
          <w:bCs/>
          <w:highlight w:val="none"/>
          <w:lang w:eastAsia="zh-CN"/>
        </w:rPr>
        <w:t>；</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4</w:t>
      </w:r>
      <w:r>
        <w:rPr>
          <w:rFonts w:hint="eastAsia" w:ascii="宋体"/>
          <w:b w:val="0"/>
          <w:bCs/>
          <w:highlight w:val="none"/>
          <w:lang w:eastAsia="zh-CN"/>
        </w:rPr>
        <w:t>）投标人应具有相应生产证明，若</w:t>
      </w:r>
      <w:r>
        <w:rPr>
          <w:rFonts w:hint="eastAsia" w:ascii="宋体"/>
          <w:b w:val="0"/>
          <w:bCs/>
          <w:highlight w:val="none"/>
          <w:lang w:val="en-US" w:eastAsia="zh-CN"/>
        </w:rPr>
        <w:t>非原厂商</w:t>
      </w:r>
      <w:r>
        <w:rPr>
          <w:rFonts w:hint="eastAsia" w:ascii="宋体"/>
          <w:b w:val="0"/>
          <w:bCs/>
          <w:highlight w:val="none"/>
          <w:lang w:eastAsia="zh-CN"/>
        </w:rPr>
        <w:t>需提供</w:t>
      </w:r>
      <w:r>
        <w:rPr>
          <w:rFonts w:hint="eastAsia" w:ascii="宋体"/>
          <w:b w:val="0"/>
          <w:bCs/>
          <w:highlight w:val="none"/>
          <w:lang w:val="en-US" w:eastAsia="zh-CN"/>
        </w:rPr>
        <w:t>原厂商</w:t>
      </w:r>
      <w:r>
        <w:rPr>
          <w:rFonts w:hint="eastAsia" w:ascii="宋体"/>
          <w:b w:val="0"/>
          <w:bCs/>
          <w:highlight w:val="none"/>
          <w:lang w:eastAsia="zh-CN"/>
        </w:rPr>
        <w:t>授权书（原件或加盖投标单位公章的彩色打印件）；</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5</w:t>
      </w:r>
      <w:r>
        <w:rPr>
          <w:rFonts w:hint="eastAsia" w:ascii="宋体"/>
          <w:b w:val="0"/>
          <w:bCs/>
          <w:highlight w:val="none"/>
          <w:lang w:eastAsia="zh-CN"/>
        </w:rPr>
        <w:t>）证明投标人满足投标资料表中列出的业绩要求的文件；</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6</w:t>
      </w:r>
      <w:r>
        <w:rPr>
          <w:rFonts w:hint="eastAsia" w:ascii="宋体"/>
          <w:b w:val="0"/>
          <w:bCs/>
          <w:highlight w:val="none"/>
          <w:lang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7</w:t>
      </w:r>
      <w:r>
        <w:rPr>
          <w:rFonts w:hint="eastAsia" w:ascii="宋体"/>
          <w:b w:val="0"/>
          <w:bCs/>
          <w:highlight w:val="none"/>
          <w:lang w:eastAsia="zh-CN"/>
        </w:rPr>
        <w:t>）企业最近半年完税证明、信用证明材料（征信报告）；</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8</w:t>
      </w:r>
      <w:r>
        <w:rPr>
          <w:rFonts w:hint="eastAsia" w:ascii="宋体"/>
          <w:b w:val="0"/>
          <w:bCs/>
          <w:highlight w:val="none"/>
          <w:lang w:eastAsia="zh-CN"/>
        </w:rPr>
        <w:t>）年度纳税信用评价信息（可从电子税务局查询截图，需加盖公章）；</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9</w:t>
      </w:r>
      <w:r>
        <w:rPr>
          <w:rFonts w:hint="eastAsia" w:ascii="宋体"/>
          <w:b w:val="0"/>
          <w:bCs/>
          <w:highlight w:val="none"/>
          <w:lang w:eastAsia="zh-CN"/>
        </w:rPr>
        <w:t>）企业对外担保说明（写明贵单位对外有无对外担保和质押业务，需加盖公章）。</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10</w:t>
      </w:r>
      <w:r>
        <w:rPr>
          <w:rFonts w:hint="eastAsia" w:ascii="宋体"/>
          <w:b w:val="0"/>
          <w:bCs/>
          <w:highlight w:val="none"/>
          <w:lang w:eastAsia="zh-CN"/>
        </w:rPr>
        <w:t>）信用中国截图或国家企业信用信息公示系统截图；</w:t>
      </w:r>
    </w:p>
    <w:p>
      <w:pPr>
        <w:pStyle w:val="23"/>
        <w:numPr>
          <w:ilvl w:val="0"/>
          <w:numId w:val="0"/>
        </w:numPr>
        <w:ind w:leftChars="0"/>
        <w:rPr>
          <w:rFonts w:hint="eastAsia" w:ascii="宋体"/>
          <w:b w:val="0"/>
          <w:bCs/>
          <w:highlight w:val="none"/>
          <w:lang w:eastAsia="zh-CN"/>
        </w:rPr>
      </w:pPr>
      <w:r>
        <w:rPr>
          <w:rFonts w:hint="eastAsia" w:ascii="宋体"/>
          <w:b w:val="0"/>
          <w:bCs/>
          <w:highlight w:val="none"/>
          <w:lang w:eastAsia="zh-CN"/>
        </w:rPr>
        <w:t>（</w:t>
      </w:r>
      <w:r>
        <w:rPr>
          <w:rFonts w:hint="eastAsia" w:ascii="宋体"/>
          <w:b w:val="0"/>
          <w:bCs/>
          <w:highlight w:val="none"/>
          <w:lang w:val="en-US" w:eastAsia="zh-CN"/>
        </w:rPr>
        <w:t>11</w:t>
      </w:r>
      <w:r>
        <w:rPr>
          <w:rFonts w:hint="eastAsia" w:ascii="宋体"/>
          <w:b w:val="0"/>
          <w:bCs/>
          <w:highlight w:val="none"/>
          <w:lang w:eastAsia="zh-CN"/>
        </w:rPr>
        <w:t>）招标文件中要求的其它资格证明文件。</w:t>
      </w:r>
    </w:p>
    <w:p>
      <w:pPr>
        <w:pStyle w:val="23"/>
        <w:numPr>
          <w:ilvl w:val="0"/>
          <w:numId w:val="0"/>
        </w:numPr>
        <w:ind w:leftChars="0"/>
        <w:rPr>
          <w:rFonts w:hint="default" w:ascii="宋体"/>
          <w:b w:val="0"/>
          <w:bCs/>
          <w:highlight w:val="none"/>
          <w:lang w:val="en-US" w:eastAsia="zh-CN"/>
        </w:rPr>
      </w:pPr>
      <w:r>
        <w:rPr>
          <w:rFonts w:hint="eastAsia" w:ascii="宋体"/>
          <w:b w:val="0"/>
          <w:bCs/>
          <w:highlight w:val="none"/>
          <w:lang w:eastAsia="zh-CN"/>
        </w:rPr>
        <w:t>（</w:t>
      </w:r>
      <w:r>
        <w:rPr>
          <w:rFonts w:hint="eastAsia" w:ascii="宋体"/>
          <w:b w:val="0"/>
          <w:bCs/>
          <w:highlight w:val="none"/>
          <w:lang w:val="en-US" w:eastAsia="zh-CN"/>
        </w:rPr>
        <w:t>12</w:t>
      </w:r>
      <w:r>
        <w:rPr>
          <w:rFonts w:hint="eastAsia" w:ascii="宋体"/>
          <w:b w:val="0"/>
          <w:bCs/>
          <w:highlight w:val="none"/>
          <w:lang w:eastAsia="zh-CN"/>
        </w:rPr>
        <w:t>）</w:t>
      </w:r>
      <w:r>
        <w:rPr>
          <w:rFonts w:hint="eastAsia" w:ascii="宋体"/>
          <w:b w:val="0"/>
          <w:bCs/>
          <w:highlight w:val="none"/>
          <w:lang w:val="en-US" w:eastAsia="zh-CN"/>
        </w:rPr>
        <w:t>投标保证金缴纳凭证。</w:t>
      </w:r>
    </w:p>
    <w:p>
      <w:pPr>
        <w:pStyle w:val="23"/>
        <w:keepNext w:val="0"/>
        <w:keepLines w:val="0"/>
        <w:pageBreakBefore w:val="0"/>
        <w:widowControl w:val="0"/>
        <w:numPr>
          <w:ilvl w:val="0"/>
          <w:numId w:val="3"/>
        </w:numPr>
        <w:kinsoku/>
        <w:wordWrap/>
        <w:overflowPunct/>
        <w:topLinePunct w:val="0"/>
        <w:autoSpaceDE/>
        <w:autoSpaceDN/>
        <w:bidi w:val="0"/>
        <w:adjustRightInd/>
        <w:snapToGrid/>
        <w:ind w:left="10" w:leftChars="0" w:firstLine="0"/>
        <w:textAlignment w:val="auto"/>
        <w:rPr>
          <w:rFonts w:hint="eastAsia" w:ascii="宋体" w:hAnsi="宋体" w:eastAsia="宋体" w:cs="宋体"/>
          <w:color w:val="000000"/>
          <w:sz w:val="24"/>
          <w:szCs w:val="24"/>
        </w:rPr>
      </w:pPr>
      <w:r>
        <w:rPr>
          <w:rFonts w:hint="eastAsia"/>
          <w:b w:val="0"/>
          <w:bCs/>
          <w:highlight w:val="none"/>
        </w:rPr>
        <w:t>对于投标人资质审核不通过的，招标人有权拒绝其投标。</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pStyle w:val="23"/>
        <w:keepNext w:val="0"/>
        <w:keepLines w:val="0"/>
        <w:pageBreakBefore w:val="0"/>
        <w:widowControl w:val="0"/>
        <w:numPr>
          <w:ilvl w:val="0"/>
          <w:numId w:val="4"/>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pPr>
        <w:pStyle w:val="23"/>
        <w:numPr>
          <w:ilvl w:val="0"/>
          <w:numId w:val="4"/>
        </w:numPr>
        <w:ind w:left="425" w:leftChars="0" w:hanging="425" w:firstLineChars="0"/>
        <w:rPr>
          <w:b w:val="0"/>
          <w:bCs/>
          <w:highlight w:val="yellow"/>
        </w:rPr>
      </w:pPr>
      <w:r>
        <w:rPr>
          <w:rFonts w:hint="eastAsia"/>
          <w:b w:val="0"/>
          <w:bCs/>
          <w:highlight w:val="yellow"/>
          <w:lang w:val="en-US" w:eastAsia="zh-CN"/>
        </w:rPr>
        <w:t>投标报名表</w:t>
      </w:r>
      <w:r>
        <w:rPr>
          <w:rFonts w:hint="eastAsia"/>
          <w:b w:val="0"/>
          <w:bCs/>
          <w:highlight w:val="yellow"/>
        </w:rPr>
        <w:t>;</w:t>
      </w:r>
    </w:p>
    <w:p>
      <w:pPr>
        <w:pStyle w:val="23"/>
        <w:numPr>
          <w:ilvl w:val="0"/>
          <w:numId w:val="4"/>
        </w:numPr>
        <w:ind w:left="425" w:leftChars="0" w:hanging="425" w:firstLineChars="0"/>
        <w:rPr>
          <w:b w:val="0"/>
          <w:bCs/>
          <w:highlight w:val="yellow"/>
        </w:rPr>
      </w:pPr>
      <w:r>
        <w:rPr>
          <w:rFonts w:hint="eastAsia"/>
          <w:b w:val="0"/>
          <w:bCs/>
          <w:highlight w:val="yellow"/>
        </w:rPr>
        <w:t>商务条款偏离表；</w:t>
      </w:r>
    </w:p>
    <w:p>
      <w:pPr>
        <w:pStyle w:val="8"/>
        <w:spacing w:line="360" w:lineRule="auto"/>
        <w:rPr>
          <w:rFonts w:hint="eastAsia" w:ascii="黑体" w:hAnsi="黑体" w:eastAsia="黑体" w:cs="黑体"/>
          <w:b/>
          <w:bCs/>
          <w:sz w:val="28"/>
          <w:szCs w:val="28"/>
        </w:rPr>
      </w:pPr>
    </w:p>
    <w:p>
      <w:pPr>
        <w:pStyle w:val="8"/>
        <w:spacing w:line="360" w:lineRule="auto"/>
        <w:rPr>
          <w:rFonts w:hint="eastAsia" w:ascii="黑体" w:hAnsi="黑体" w:eastAsia="黑体" w:cs="黑体"/>
          <w:b/>
          <w:bCs/>
          <w:sz w:val="28"/>
          <w:szCs w:val="28"/>
        </w:rPr>
      </w:pPr>
    </w:p>
    <w:p>
      <w:pPr>
        <w:pStyle w:val="8"/>
        <w:spacing w:line="360" w:lineRule="auto"/>
        <w:rPr>
          <w:rFonts w:ascii="黑体" w:eastAsia="黑体"/>
          <w:b/>
          <w:bCs/>
          <w:sz w:val="28"/>
        </w:rPr>
      </w:pPr>
      <w:r>
        <w:rPr>
          <w:rFonts w:hint="eastAsia" w:ascii="黑体" w:eastAsia="黑体"/>
          <w:b/>
          <w:bCs/>
          <w:sz w:val="28"/>
        </w:rPr>
        <w:t>十、技术协议书及《合同范本》</w:t>
      </w:r>
    </w:p>
    <w:p>
      <w:pPr>
        <w:pStyle w:val="8"/>
        <w:spacing w:line="360" w:lineRule="auto"/>
        <w:ind w:left="420" w:hanging="420" w:hangingChars="200"/>
      </w:pPr>
      <w:r>
        <w:rPr>
          <w:rFonts w:hint="eastAsia"/>
        </w:rPr>
        <w:t xml:space="preserve">    附后，以最后签订版本为准。</w:t>
      </w:r>
    </w:p>
    <w:p>
      <w:pPr>
        <w:pStyle w:val="8"/>
        <w:numPr>
          <w:ilvl w:val="0"/>
          <w:numId w:val="0"/>
        </w:numPr>
        <w:spacing w:line="360" w:lineRule="auto"/>
        <w:rPr>
          <w:rFonts w:hint="default" w:ascii="黑体" w:eastAsia="黑体"/>
          <w:b/>
          <w:bCs/>
          <w:sz w:val="28"/>
          <w:lang w:val="en-US" w:eastAsia="zh-CN"/>
        </w:rPr>
      </w:pPr>
      <w:r>
        <w:rPr>
          <w:rFonts w:hint="eastAsia" w:ascii="黑体" w:eastAsia="黑体"/>
          <w:b/>
          <w:bCs/>
          <w:sz w:val="28"/>
          <w:lang w:val="en-US" w:eastAsia="zh-CN"/>
        </w:rPr>
        <w:t>十一、</w:t>
      </w:r>
      <w:r>
        <w:rPr>
          <w:rFonts w:hint="eastAsia" w:ascii="黑体" w:eastAsia="黑体"/>
          <w:b/>
          <w:bCs/>
          <w:sz w:val="28"/>
        </w:rPr>
        <w:t>本次招标最终解释权归</w:t>
      </w:r>
      <w:r>
        <w:rPr>
          <w:rFonts w:hint="eastAsia" w:ascii="黑体" w:eastAsia="黑体"/>
          <w:b/>
          <w:bCs/>
          <w:sz w:val="28"/>
          <w:lang w:val="en-US" w:eastAsia="zh-CN"/>
        </w:rPr>
        <w:t>中国重型汽车集团有限公司</w:t>
      </w:r>
    </w:p>
    <w:p>
      <w:pPr>
        <w:pStyle w:val="8"/>
        <w:numPr>
          <w:ilvl w:val="0"/>
          <w:numId w:val="5"/>
        </w:numPr>
        <w:spacing w:line="360" w:lineRule="auto"/>
        <w:ind w:left="-82" w:leftChars="0" w:firstLine="562" w:firstLineChars="0"/>
        <w:rPr>
          <w:rFonts w:ascii="黑体" w:eastAsia="黑体"/>
          <w:b/>
          <w:bCs/>
          <w:sz w:val="28"/>
        </w:rPr>
      </w:pPr>
      <w:r>
        <w:rPr>
          <w:rFonts w:hint="eastAsia" w:eastAsia="黑体"/>
          <w:b/>
          <w:bCs/>
          <w:sz w:val="28"/>
        </w:rPr>
        <w:t>第二章 附件（投标文件格式）</w:t>
      </w:r>
    </w:p>
    <w:p>
      <w:pPr>
        <w:pStyle w:val="18"/>
        <w:spacing w:line="360" w:lineRule="auto"/>
        <w:ind w:firstLine="560"/>
        <w:outlineLvl w:val="1"/>
        <w:rPr>
          <w:rFonts w:ascii="黑体" w:hAnsi="黑体" w:eastAsia="黑体" w:cs="黑体"/>
          <w:b w:val="0"/>
          <w:bCs w:val="0"/>
          <w:color w:val="auto"/>
          <w:sz w:val="28"/>
          <w:szCs w:val="28"/>
        </w:rPr>
      </w:pPr>
      <w:r>
        <w:rPr>
          <w:rFonts w:hint="eastAsia" w:ascii="黑体" w:hAnsi="黑体" w:eastAsia="黑体" w:cs="黑体"/>
          <w:b w:val="0"/>
          <w:bCs w:val="0"/>
          <w:color w:val="auto"/>
          <w:sz w:val="28"/>
          <w:szCs w:val="28"/>
        </w:rPr>
        <w:t>附件</w:t>
      </w:r>
      <w:r>
        <w:rPr>
          <w:rFonts w:hint="eastAsia" w:ascii="黑体" w:hAnsi="黑体" w:eastAsia="黑体" w:cs="黑体"/>
          <w:b w:val="0"/>
          <w:bCs w:val="0"/>
          <w:color w:val="auto"/>
          <w:sz w:val="28"/>
          <w:szCs w:val="28"/>
          <w:lang w:val="en-US" w:eastAsia="zh-CN"/>
        </w:rPr>
        <w:t xml:space="preserve">1  </w:t>
      </w:r>
      <w:r>
        <w:rPr>
          <w:rFonts w:hint="eastAsia" w:ascii="黑体" w:hAnsi="黑体" w:eastAsia="黑体" w:cs="黑体"/>
          <w:b w:val="0"/>
          <w:bCs w:val="0"/>
          <w:color w:val="auto"/>
          <w:sz w:val="28"/>
          <w:szCs w:val="28"/>
        </w:rPr>
        <w:t>开标一览表</w:t>
      </w:r>
    </w:p>
    <w:p>
      <w:pPr>
        <w:pStyle w:val="19"/>
        <w:ind w:firstLine="211" w:firstLineChars="100"/>
        <w:rPr>
          <w:rFonts w:hint="eastAsia"/>
          <w:b/>
          <w:color w:val="auto"/>
        </w:rPr>
      </w:pPr>
      <w:r>
        <w:rPr>
          <w:rFonts w:hint="eastAsia"/>
          <w:b/>
          <w:color w:val="auto"/>
        </w:rPr>
        <w:t>《开标一览表》单独封存，以备唱标使用</w:t>
      </w:r>
    </w:p>
    <w:p>
      <w:pPr>
        <w:spacing w:line="360" w:lineRule="auto"/>
        <w:rPr>
          <w:rFonts w:hint="eastAsia" w:asciiTheme="minorEastAsia" w:hAnsiTheme="minorEastAsia"/>
          <w:bCs/>
          <w:szCs w:val="24"/>
          <w:lang w:val="en-US" w:eastAsia="zh-CN"/>
        </w:rPr>
      </w:pPr>
      <w:r>
        <w:rPr>
          <w:rFonts w:hint="eastAsia"/>
          <w:color w:val="auto"/>
        </w:rPr>
        <w:t>项目名称：</w:t>
      </w:r>
      <w:r>
        <w:rPr>
          <w:rFonts w:hint="eastAsia" w:asciiTheme="minorEastAsia" w:hAnsiTheme="minorEastAsia"/>
          <w:bCs/>
          <w:szCs w:val="24"/>
          <w:lang w:val="en-US" w:eastAsia="zh-CN"/>
        </w:rPr>
        <w:t>办公司商务中心会议设备备件采购</w:t>
      </w:r>
    </w:p>
    <w:tbl>
      <w:tblPr>
        <w:tblStyle w:val="10"/>
        <w:tblW w:w="1039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9"/>
        <w:gridCol w:w="3183"/>
        <w:gridCol w:w="1683"/>
        <w:gridCol w:w="1100"/>
        <w:gridCol w:w="1250"/>
        <w:gridCol w:w="700"/>
        <w:gridCol w:w="17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物资/设备/...名称</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地面安装超低音支架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356018-0110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Jewel中置扬声器壁挂架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757658-0010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Jewel中置扬声器壁挂架-白</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757658-0020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Jewel扬声器落地架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763197-0010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Jewel扬声器台式支架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764522-0010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Jewel扬声器天花挂架-黑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764731-0010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Omni Jewel扬声器天花挂架-白</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764731-0020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SoundTouch无线连接器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767397-5160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EM90/180 黑色网罩</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788330-0110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WB-300壁挂架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766489-0010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SOUNDLink Revolve 充电底座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782298-0010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WB-50超薄墙架-黑色</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716402-0010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UFS20 II通用落地架-白</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722139-0020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UFS20 II通用台架-白</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722140-0020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UFS20 II通用墙架-黑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722141-0010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Sub1/Sub2 可调节扬声器杆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857000-0110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AM M 112 U型安装支架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843364-0010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SHOWMATCH SM5WG55 导波管（SM5）</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766712-2410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SHOWMATCH SM20WG12导波管（SM20）</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766713-9610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BOSE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可充电电池</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SB900A</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适配器配件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PS60CHN</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锂电池配件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SBC203-CN</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锂电池配件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SB903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8单元充电配件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SBC800-CHN</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充电配件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SBC200-CHN</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M-F3A BF</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M-F3A UB</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SPS 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M-F3A FA34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SMX 12 UB</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3/8"Adaptor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3/8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GSP2332B</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COX 8 WB</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堆叠架配件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 B 15 SFi 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600*600*1200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兰贝</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HDMI网传</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CAT-HDMI-CT/CR-P</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凯新创达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VMF16</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唯美</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VMM1000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 SP2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NB</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电线RVHF</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4PT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音频线RVVPSNT</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2×0.37平方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电线RVFPT</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电线RVJFC</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多讯道音频线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RVHF8PT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电线RVFPT</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8PT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电线SYV</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May-75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电线SDI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F-3GSD-100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F-Cat5e-NW1-305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电线DRVB</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12PT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电线DRV</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3×2.5平方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电线DRVF</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8×2.5平方+4*D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电线RVJF</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电线RVJFC</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音频线RVVPSNT</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4×0.37平方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电线RVV</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F-RVV-325  3*2.5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电线RVV</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F-RVV-315  3*1.5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RVHF4PT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ZRDRVB2*2.5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DMXT512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RVFPT2*0.3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RVJFC2*2.5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RVJFC2*1.5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ZRDRVF9*2.5+2*DMX</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SB900B-A</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SHURE</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VGA3+4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SYV75-5-2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天诚</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六类4对非屏蔽线缆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4*2*0.57</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HDMI延长器（高清传输器）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网线传输器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UTP六类局部区域网络电缆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F-Cat6-NW3-305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DVI(24+1)连接线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罗际</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罗际</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HD-SDI</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HD-SDI</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HDMI线</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CABLE</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麦克风导线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卡依公-卡侬母</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黑色卡侬母</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卡侬母</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卡侬公</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卡侬公</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SFTP六类网络跳线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公-母/公-公</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3G-SDI 144编</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3G-SDI</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6芯40米延长电缆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CBL6PS-40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6芯5米延长电缆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CBL6PS-05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6芯30米延长电缆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CBL6PS-30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30米收发器专用电缆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CBL5300-30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HCS-4352T/50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6芯03米延长电缆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CBL6PS-03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6芯1米延长电缆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CBL6PS-01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会议系统原厂专用延长电缆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S-UTP CABLE</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接线地座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HCS-4353/06</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20米收发器专用电缆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CBL5300-20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会议系统原厂专用延长线缆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CBL4C-CMP</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可拆卸式4芯（DIN）标准公头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4P-DIN(公头)</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可拆卸式4芯（DIN）标准母头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4P-DIN(母头)</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电机线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 3*1.5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信号线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 3*0.5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 3*2.5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收线筐</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1200mm×300mm×450mm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苏北舞台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喇叭线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3P镀黑卡侬公头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SVP555SC-BK-SR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3P镀黑卡侬母头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SVP556S-BK-SR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Q2007R 红色音频插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莲花头</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6.35插头单声</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大二芯</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蓝色四芯音响插头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SVP562L-GY-WP-CP-ER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2B2AT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4*1.5喇叭线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CMI-HDMI02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创思辰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CMI-SDI02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创思辰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CMI-VGA02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创思辰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会议地插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HGD-146K</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华工</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DH-PFM920I-6U/线颈0.57</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大华</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DH-PFM920I-5EUN/线颈0.45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大华</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DH-PFM920I-5EU/线颈0.5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大华</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犀牛插一组</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400A</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犀牛</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色带</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9mm</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硕方</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盘</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话筒支架</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K&amp;M-21021-300-55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K&amp;M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RVV3*2.5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RVV3*6.0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高清线-HDMI公对公2.0版 圆线 锌合金外壳 带编织 灰色 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50110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成型款  圆线 黄黑头 15米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11106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成型款  圆线 黄黑头 8米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成型款  圆线 绿黑头 10米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圆线 成型款 黑色 3米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圆线 成型款 细线 黑色 2米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60175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圆线 成型款 黑色 15米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圆线 成型款 黑色 10米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10110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成型款  圆线 黄黑头 8米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高清线-HDMI公对公 成型款  圆线 黄黑头 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音频线/色差线-3.5MM公转3RCA公 圆线 铝壳款 黑色（小米盒子款） 1.5米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20894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音频转换器-光纤+同轴转换2RCA+3.5</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USB-C 转换器-type c 转 HDMI 转接短线 小巧款白色</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40273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DVI/VGA 转换器-VGA转HDMI 带Micro USB供电</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60814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扩展坞-USB-C 转 3xUSB3.0 + HDMI + VGA + RJ45（千兆）+ SD/TF +3.5mm单声音+ PD</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80133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扩展坞-USB-C 3xUSB3.1+HDMI+VGA+RJ45(千兆）+TF/SD 带PD</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70490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转换器-SDI转HDMI音视频转换器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40965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HDMI-DVI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转换器-HDMI TO HDMI+光纤+3.5 铝壳款</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40281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蓝牙接收器-蓝牙音频接收器 3.5+RCA接口版 官方标配 标准款</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分配器-HDMI2.0 分配器 一进二出 4K60Hz；HDMI2.0；DC5.5 5V/1A 电源适配器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90804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切换器-HDMI 2.0  切换器  三进一出（LY）</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DVI/VGA/DP 分配器-40254  VGA分配器 一分二线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40254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DVI/VGA/射频线-BNC公对公视频连接线 插头镀镍 1.5m</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50925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音频转换器-光纤+同轴转换2RCA+3.5</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30523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声卡-USB声卡  ABS壳 黑色</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30724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Lightning 数据充电线-USB2.0A公转Micro USB+Lightning+TYPE-C铝壳镀镍带编织银白色1.5米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网络箱线/水晶头-超五类网络水晶头 100个</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50246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电话线-电话线水晶头 6P2C   100pcs/包</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80106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音频转换器-HDMI 音频分离器 带光纤+3.5mm音频  4K@30Hz</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60649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音频线/色差线-3.5MM公对公铝壳款 直对直 圆线 黑色 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10737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USB转VGA多功能扩展显示适配器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20158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音频转换器-同轴+光钎转模拟音频转换器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30360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音频线/色差线-单RCA公对公同轴线  铜壳款  棉网  黑色 2米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音频线/色差线-RCA同轴线  3m</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40299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音频线/色差线-2RCA公转2RCA公 圆线 成型款 黑色 1.5米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音频线/色差线-AV126 3.5转双6.35左右声转换线 黑色 3米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40793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音频线/色差线-AV122  Toslink公对公数字光纤线  3米（黑色）</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70893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转换器-HDMI转SDI音视频转换器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40966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矩阵-HDMI矩阵 4进4出 4Kx2K@60Hz（LY）</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70436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2.5/3.5寸硬盘盒-3.5硬盘盒 配线款</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30849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转换器-视频采集卡 单HDMI输入</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40189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旅充/桌充-USB充电器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80340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串口转换/扩展卡-RS232转RS485无源转换器 工程级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70613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RZ-232转RS-426接口转换器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80112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调试线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50773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调试线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60813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HDMI双向切换器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50966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HDMI2.0 1进4出分配器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50708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Type-o视频采集卡</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80088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 2进1出切换器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30711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 HVM 4进1出切换器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50280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USB2.0百兆网卡 升级款</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20254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USB延长线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USB延长线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10316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1进2分配器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40201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DP转HDMI线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10203</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HDMI延长器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10939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3.5mm公转2号转换线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30620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Lighting公转3.5mm母音频转接线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30756</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VGA转HDMI 10带3.5mm音频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50945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 3.0转4口USB分线器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10915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DVI(24+1)公转HDMI母转接头可相互转换</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20124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3.5mm公转2RCA母转接线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10547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USB2.0A对公B公打印线黑色0.5米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20591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 3.0转RJ45 网卡</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20915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HDMI1进4出分配器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90805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10APDU 1.8米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80935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PD快充充电器20W(绿标)</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80575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Type-C数据线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70429</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HDMI2.0锌合金光纤线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50717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HDMI细线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60174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视频设备</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10937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同轴电缆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70684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USB2.0公对公线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30127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HDMI高清线5米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10167</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HDMI高清线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10130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HDMI高清线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70565</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11634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USB转485线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80434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蓝牙接收器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40761</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音频隔离器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金银音响线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百事达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透明音响线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百事达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金银音响线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2*4平方</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百事达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MT-H-AV02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AV分配器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MT-108AV</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KVM切换器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MT-HK401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HDMI分配器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MT-SP104-M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同轴线缆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HCAAYZ-50-12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13.8V</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双工器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460MHz</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全向天线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三水 TQJ-460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对讲机</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S24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海能达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RG58线（含TNC接头）5M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JS-DC146</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JS-U102H定制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地面插座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JS-DC180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JS-Z300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桌面插座</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JS-620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镀黑卡农头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舞台喇叭线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1828</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舞台喇叭线2*1.5mm</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1470</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3G-SD高清视频线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Q2114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视频线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18384</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25米</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4芯</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12芯</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ODF</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24芯</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ODF</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48芯</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千兆单模</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光纤跳线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光纤跳线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光纤跳线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光纤跳线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东方之光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电线电缆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铜缆/305米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884036494/10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康普</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多媒体桌面接口盒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WPB-6555-B</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精仪达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地面信息接口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DCC-210*210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翻盖式墙面信息接口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QMC-F2012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ZMC-F2210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地面信息接口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DCC-150*150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翻盖式桌面信息接口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QMC-F3280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QMC-F3280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墙面信息面板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XMB-8600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墙面信息接口</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QMC-F1810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芙蓉</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5米</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0.5米</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QGQHDMI30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QGQHDMI40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QGQHDMI25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QGQHDMI50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音响线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百事达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TYPE-C转C</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QGQHDMI35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QGQHDMI10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光纤HDMI</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QMCHDMI20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启豪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TS-18D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T-G5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T-F5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T-G1.8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T-P5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T-K1.8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ict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power 时序电源</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px-81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亚特龙 电源</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AT-OME-MS52W</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亚特龙</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博西尼-门禁控制器电源</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sdc12v5a</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博西尼</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CRESTRON编解码器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NVX-E30,NVX-D200,NVX-D30,NVX-360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快思聪</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EZpro刷脸屏</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EZ-rk3288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EZ</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sony 监看电视</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SONY-kd55x9000h</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索尼</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wireless meeting话筒主机</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room-01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allen&amp;haeth-模拟调音台</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allen&amp;haeth-WZ4 12:2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allen&amp;haeth</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大屏控制电脑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三星 DDR-4</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Wacom 批注屏</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DTK-1661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Wacom</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TAIDEN(台电)话筒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HCS_1858ds_Z,HCS_4860D,HCS_4860C</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台电</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华为充电套装 65W</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华为</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惠普笔记本电池 HS04</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惠普</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戴尔笔记本电池</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戴尔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 3.5母-双莲花 0.2米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 双莲花转双莲花5M</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 VGA切换器 二进一出</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迈拓维矩</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锐捷睿易 交换机 </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5口千兆铁壳 RG-ES105GD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锐捷睿易</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HDMI2.0 4K数字光纤线 10M</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HDMI2.0 4K数字光纤线 10M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AX1800无线网卡外置双天线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AX1800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USB三口氮化镓快速充电器65W 桌面旅充折</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USB三口氮化镓快速充电器65W</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DANGER激光笔 Laser 303</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Laser 303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DANGER</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强力布基胶带</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48mm*10m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斯图</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罗技激光笔 </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R500s</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罗技</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标签机色带</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PL-631</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PUTY</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松下纽扣电池 3v（5粒）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松下 CR2032 纽扣电池</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CR2032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松下电池  </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CR123A</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松下</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节</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联想 电池</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L19M4PGO</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联想</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USB三口氮化镓快速充电器65W</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USB三口氮化镓快速充电器65W</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Type-C公对公数据线黑色 2米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Type-C公对公数据线黑色 2米</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USB 3.0千兆网卡</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3.0千兆网卡</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 七类圆形全铜网线黑色双屏蔽铜壳镀金水晶头 10米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七类圆形全铜网线黑色双屏蔽铜壳镀金水晶头 10米</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 光纤（分离式）</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HDMI F-TF-20M</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菲伯尔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日升话筒线  </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3.2过机线</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永泰电源线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RVV3*1.5黑色</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RVFP2*0.3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公牛插头三插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公牛</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 BNC双通/09双通 母对母(锌合金)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BNC双通/09双通 母对母(锌合金)</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 SDI公焊接头 -5公纯铜</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SDI公焊接头 -5公纯铜</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 SDI母焊接头 -5母纯铜</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SDI母焊接头 -5母纯铜</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虹洲</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 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QMJ10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3.5mm 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QMJ15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2RCA-2RCA音频线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QRCA10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卡侬公-母 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QXLRMF3</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卡侬公-母 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QXLRMF20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大二芯-卡侬公 音频线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QDEXKLM10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秋叶原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光纤USB3.0</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QGQUSB3.0MF15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SDI线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Q3GSDI100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6类网线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QCAT6305</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欧式大二芯</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SP102-CP2-PA-SR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欧式大三芯</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SP101-CP2-PA-SR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3P镀金卡农母头（锌壳镀黑）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SVP556V-BK-PG-SR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3P镀金卡农公头（锌壳镀黑）</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SVP555V-BK-PG-SR</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4P音箱转接头</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SVP563MM-Q</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激光笔</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L1003绿光充电款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CLOLV KISS</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插排</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LD017/2P2U</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绿导</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332</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数据传输线</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3A60WUSB转C</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333</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标签机</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PT-D210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brother</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334</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网络寻线仪</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NF-802</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精明鼠</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网线钳</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SZ-2068</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山泽</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螺丝刀套装</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22040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麦思德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337</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拓展坞</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CR113/Ports USB3.0</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w:t>
            </w:r>
          </w:p>
        </w:tc>
        <w:tc>
          <w:tcPr>
            <w:tcW w:w="3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多功能转换器</w:t>
            </w:r>
          </w:p>
        </w:tc>
        <w:tc>
          <w:tcPr>
            <w:tcW w:w="1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MD108/Mini</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绿联</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spacing w:line="360" w:lineRule="auto"/>
        <w:rPr>
          <w:rFonts w:hint="default" w:asciiTheme="minorEastAsia" w:hAnsiTheme="minorEastAsia"/>
          <w:bCs/>
          <w:szCs w:val="24"/>
          <w:lang w:val="en-US" w:eastAsia="zh-CN"/>
        </w:rPr>
      </w:pPr>
    </w:p>
    <w:p>
      <w:pPr>
        <w:pStyle w:val="19"/>
        <w:ind w:firstLine="482"/>
        <w:rPr>
          <w:b/>
          <w:color w:val="auto"/>
        </w:rPr>
      </w:pPr>
    </w:p>
    <w:p>
      <w:pPr>
        <w:spacing w:line="360" w:lineRule="auto"/>
        <w:ind w:firstLine="280" w:firstLineChars="100"/>
        <w:rPr>
          <w:rFonts w:ascii="黑体" w:hAnsi="黑体" w:eastAsia="黑体" w:cs="黑体"/>
          <w:sz w:val="28"/>
          <w:szCs w:val="28"/>
        </w:rPr>
      </w:pPr>
      <w:r>
        <w:rPr>
          <w:rFonts w:hint="eastAsia" w:ascii="黑体" w:hAnsi="黑体" w:eastAsia="黑体" w:cs="黑体"/>
          <w:sz w:val="28"/>
          <w:szCs w:val="28"/>
        </w:rPr>
        <w:t>注：1、此表中的报价必须与相应的报价明细表中的报价一致。</w:t>
      </w:r>
    </w:p>
    <w:p>
      <w:pPr>
        <w:spacing w:line="360" w:lineRule="auto"/>
        <w:rPr>
          <w:rFonts w:ascii="宋体" w:hAnsi="宋体" w:eastAsia="宋体" w:cs="宋体"/>
          <w:szCs w:val="21"/>
        </w:rPr>
        <w:sectPr>
          <w:headerReference r:id="rId4" w:type="first"/>
          <w:footerReference r:id="rId6" w:type="first"/>
          <w:headerReference r:id="rId3" w:type="default"/>
          <w:footerReference r:id="rId5" w:type="default"/>
          <w:pgSz w:w="11906" w:h="16838"/>
          <w:pgMar w:top="1701" w:right="567" w:bottom="1134" w:left="624" w:header="851" w:footer="992" w:gutter="0"/>
          <w:pgNumType w:fmt="numberInDash" w:start="1"/>
          <w:cols w:space="720" w:num="1"/>
          <w:titlePg/>
          <w:docGrid w:type="lines" w:linePitch="312" w:charSpace="0"/>
        </w:sectPr>
      </w:pPr>
    </w:p>
    <w:p>
      <w:pPr>
        <w:outlineLvl w:val="1"/>
        <w:rPr>
          <w:rFonts w:hint="default" w:eastAsia="黑体"/>
          <w:b/>
          <w:bCs/>
          <w:sz w:val="11"/>
          <w:szCs w:val="11"/>
          <w:lang w:val="en-US" w:eastAsia="zh-CN"/>
        </w:rPr>
      </w:pPr>
      <w:r>
        <w:rPr>
          <w:rFonts w:hint="eastAsia" w:eastAsia="黑体"/>
          <w:b/>
          <w:bCs/>
          <w:sz w:val="28"/>
        </w:rPr>
        <w:t>附件2:</w:t>
      </w:r>
      <w:r>
        <w:rPr>
          <w:rFonts w:hint="eastAsia" w:eastAsia="黑体"/>
          <w:b/>
          <w:bCs/>
          <w:sz w:val="28"/>
          <w:lang w:val="en-US" w:eastAsia="zh-CN"/>
        </w:rPr>
        <w:t>投标报名表</w:t>
      </w:r>
    </w:p>
    <w:p>
      <w:pPr>
        <w:jc w:val="center"/>
        <w:rPr>
          <w:rFonts w:eastAsia="黑体"/>
          <w:b/>
          <w:bCs/>
          <w:sz w:val="28"/>
        </w:rPr>
      </w:pPr>
      <w:r>
        <w:rPr>
          <w:rFonts w:hint="eastAsia" w:eastAsia="黑体"/>
          <w:b/>
          <w:bCs/>
          <w:sz w:val="28"/>
        </w:rPr>
        <w:t xml:space="preserve">  投标报名表</w:t>
      </w:r>
    </w:p>
    <w:p>
      <w:pPr>
        <w:ind w:firstLine="120" w:firstLineChars="50"/>
        <w:rPr>
          <w:sz w:val="24"/>
        </w:rPr>
      </w:pPr>
      <w:r>
        <w:rPr>
          <w:rFonts w:hint="eastAsia"/>
          <w:sz w:val="24"/>
        </w:rPr>
        <w:t>公章：</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2052" w:type="dxa"/>
            <w:vAlign w:val="center"/>
          </w:tcPr>
          <w:p>
            <w:pPr>
              <w:jc w:val="center"/>
              <w:rPr>
                <w:sz w:val="24"/>
                <w:szCs w:val="24"/>
              </w:rPr>
            </w:pPr>
            <w:r>
              <w:rPr>
                <w:rFonts w:hint="eastAsia"/>
                <w:sz w:val="24"/>
                <w:szCs w:val="24"/>
              </w:rPr>
              <w:t>项目名称</w:t>
            </w:r>
          </w:p>
        </w:tc>
        <w:tc>
          <w:tcPr>
            <w:tcW w:w="7123" w:type="dxa"/>
            <w:gridSpan w:val="3"/>
            <w:vAlign w:val="center"/>
          </w:tcPr>
          <w:p>
            <w:pPr>
              <w:spacing w:line="360" w:lineRule="auto"/>
              <w:ind w:firstLine="480" w:firstLineChars="200"/>
              <w:jc w:val="both"/>
              <w:rPr>
                <w:rFonts w:hint="default" w:ascii="宋体" w:hAnsi="Courier New" w:eastAsiaTheme="minorEastAsia"/>
                <w:sz w:val="28"/>
                <w:szCs w:val="28"/>
                <w:lang w:val="en-US" w:eastAsia="zh-CN"/>
              </w:rPr>
            </w:pPr>
            <w:r>
              <w:rPr>
                <w:rFonts w:hint="eastAsia" w:ascii="宋体" w:hAnsi="Courier New"/>
                <w:sz w:val="24"/>
                <w:szCs w:val="24"/>
                <w:lang w:val="en-US" w:eastAsia="zh-CN"/>
              </w:rPr>
              <w:t>办公室商务中心会议设备备件采购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2052" w:type="dxa"/>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123" w:type="dxa"/>
            <w:gridSpan w:val="3"/>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052" w:type="dxa"/>
            <w:vAlign w:val="center"/>
          </w:tcPr>
          <w:p>
            <w:pPr>
              <w:jc w:val="center"/>
              <w:rPr>
                <w:sz w:val="24"/>
                <w:szCs w:val="24"/>
              </w:rPr>
            </w:pPr>
            <w:r>
              <w:rPr>
                <w:rFonts w:hint="eastAsia"/>
                <w:sz w:val="24"/>
                <w:szCs w:val="24"/>
              </w:rPr>
              <w:t>项目负责人</w:t>
            </w:r>
          </w:p>
        </w:tc>
        <w:tc>
          <w:tcPr>
            <w:tcW w:w="2526" w:type="dxa"/>
            <w:vAlign w:val="center"/>
          </w:tcPr>
          <w:p>
            <w:pPr>
              <w:jc w:val="center"/>
              <w:rPr>
                <w:sz w:val="24"/>
                <w:szCs w:val="24"/>
              </w:rPr>
            </w:pPr>
          </w:p>
        </w:tc>
        <w:tc>
          <w:tcPr>
            <w:tcW w:w="2272" w:type="dxa"/>
            <w:vAlign w:val="center"/>
          </w:tcPr>
          <w:p>
            <w:pPr>
              <w:jc w:val="center"/>
              <w:rPr>
                <w:sz w:val="24"/>
                <w:szCs w:val="24"/>
              </w:rPr>
            </w:pPr>
            <w:r>
              <w:rPr>
                <w:rFonts w:hint="eastAsia"/>
                <w:sz w:val="24"/>
                <w:szCs w:val="24"/>
              </w:rPr>
              <w:t>联系电话</w:t>
            </w:r>
          </w:p>
        </w:tc>
        <w:tc>
          <w:tcPr>
            <w:tcW w:w="232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052" w:type="dxa"/>
            <w:vAlign w:val="center"/>
          </w:tcPr>
          <w:p>
            <w:pPr>
              <w:jc w:val="center"/>
              <w:rPr>
                <w:sz w:val="24"/>
                <w:szCs w:val="24"/>
              </w:rPr>
            </w:pPr>
            <w:r>
              <w:rPr>
                <w:rFonts w:hint="eastAsia"/>
                <w:sz w:val="24"/>
                <w:szCs w:val="24"/>
              </w:rPr>
              <w:t>公司电话</w:t>
            </w:r>
          </w:p>
        </w:tc>
        <w:tc>
          <w:tcPr>
            <w:tcW w:w="2526" w:type="dxa"/>
            <w:vAlign w:val="center"/>
          </w:tcPr>
          <w:p>
            <w:pPr>
              <w:jc w:val="center"/>
              <w:rPr>
                <w:sz w:val="24"/>
                <w:szCs w:val="24"/>
              </w:rPr>
            </w:pPr>
          </w:p>
        </w:tc>
        <w:tc>
          <w:tcPr>
            <w:tcW w:w="2272" w:type="dxa"/>
            <w:vAlign w:val="center"/>
          </w:tcPr>
          <w:p>
            <w:pPr>
              <w:jc w:val="center"/>
              <w:rPr>
                <w:sz w:val="24"/>
                <w:szCs w:val="24"/>
              </w:rPr>
            </w:pPr>
            <w:r>
              <w:rPr>
                <w:rFonts w:hint="eastAsia"/>
                <w:sz w:val="24"/>
                <w:szCs w:val="24"/>
              </w:rPr>
              <w:t>传真</w:t>
            </w:r>
          </w:p>
        </w:tc>
        <w:tc>
          <w:tcPr>
            <w:tcW w:w="2325" w:type="dxa"/>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052" w:type="dxa"/>
            <w:vAlign w:val="center"/>
          </w:tcPr>
          <w:p>
            <w:pPr>
              <w:jc w:val="center"/>
              <w:rPr>
                <w:sz w:val="24"/>
                <w:szCs w:val="24"/>
              </w:rPr>
            </w:pPr>
            <w:r>
              <w:rPr>
                <w:rFonts w:hint="eastAsia"/>
                <w:sz w:val="24"/>
                <w:szCs w:val="24"/>
              </w:rPr>
              <w:t>E-mail</w:t>
            </w:r>
          </w:p>
        </w:tc>
        <w:tc>
          <w:tcPr>
            <w:tcW w:w="7123" w:type="dxa"/>
            <w:gridSpan w:val="3"/>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2052" w:type="dxa"/>
            <w:vAlign w:val="center"/>
          </w:tcPr>
          <w:p>
            <w:pPr>
              <w:jc w:val="center"/>
              <w:rPr>
                <w:sz w:val="24"/>
                <w:szCs w:val="24"/>
              </w:rPr>
            </w:pPr>
            <w:r>
              <w:rPr>
                <w:rFonts w:hint="eastAsia"/>
                <w:sz w:val="24"/>
                <w:szCs w:val="24"/>
              </w:rPr>
              <w:t>报名时间</w:t>
            </w:r>
          </w:p>
        </w:tc>
        <w:tc>
          <w:tcPr>
            <w:tcW w:w="7123" w:type="dxa"/>
            <w:gridSpan w:val="3"/>
            <w:vAlign w:val="center"/>
          </w:tcPr>
          <w:p>
            <w:pPr>
              <w:jc w:val="center"/>
              <w:rPr>
                <w:sz w:val="24"/>
                <w:szCs w:val="24"/>
              </w:rPr>
            </w:pPr>
            <w:r>
              <w:rPr>
                <w:rFonts w:hint="eastAsia"/>
                <w:sz w:val="24"/>
                <w:szCs w:val="24"/>
              </w:rPr>
              <w:t>年    月    日</w:t>
            </w:r>
          </w:p>
        </w:tc>
      </w:tr>
    </w:tbl>
    <w:p>
      <w:pPr>
        <w:ind w:left="472" w:right="69" w:rightChars="33" w:hanging="472" w:hangingChars="1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ind w:firstLine="480" w:firstLineChars="200"/>
      </w:pPr>
      <w:r>
        <w:rPr>
          <w:rFonts w:hint="eastAsia" w:ascii="宋体" w:hAnsi="宋体"/>
          <w:sz w:val="24"/>
        </w:rPr>
        <w:t>联系人：</w:t>
      </w:r>
      <w:r>
        <w:rPr>
          <w:rFonts w:hint="eastAsia" w:ascii="宋体" w:hAnsi="宋体"/>
          <w:sz w:val="24"/>
          <w:lang w:val="en-US" w:eastAsia="zh-CN"/>
        </w:rPr>
        <w:t>王玺</w:t>
      </w:r>
      <w:r>
        <w:rPr>
          <w:rFonts w:hint="eastAsia" w:ascii="宋体" w:hAnsi="宋体"/>
          <w:sz w:val="24"/>
        </w:rPr>
        <w:t xml:space="preserve">       联系电话：1786060</w:t>
      </w:r>
      <w:r>
        <w:rPr>
          <w:rFonts w:hint="eastAsia" w:ascii="宋体" w:hAnsi="宋体"/>
          <w:sz w:val="24"/>
          <w:lang w:val="en-US" w:eastAsia="zh-CN"/>
        </w:rPr>
        <w:t>6182</w:t>
      </w:r>
      <w:r>
        <w:rPr>
          <w:rFonts w:hint="eastAsia" w:ascii="宋体" w:hAnsi="宋体"/>
          <w:sz w:val="24"/>
        </w:rPr>
        <w:t xml:space="preserve"> </w:t>
      </w:r>
    </w:p>
    <w:p>
      <w:pPr>
        <w:pStyle w:val="8"/>
        <w:outlineLvl w:val="1"/>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pPr>
        <w:pStyle w:val="8"/>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pPr>
        <w:pStyle w:val="8"/>
        <w:outlineLvl w:val="1"/>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
          <w:rFonts w:hint="eastAsia" w:ascii="宋体" w:hAnsi="宋体" w:eastAsia="宋体" w:cs="宋体"/>
          <w:sz w:val="24"/>
          <w:szCs w:val="24"/>
        </w:rPr>
        <w:t>http://ecaitong.sinotruk.com:8012/</w:t>
      </w:r>
      <w:r>
        <w:rPr>
          <w:rStyle w:val="13"/>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p>
      <w:pPr>
        <w:pStyle w:val="8"/>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9705" cy="1397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79705" cy="139700"/>
                      </a:xfrm>
                      <a:prstGeom prst="rect">
                        <a:avLst/>
                      </a:prstGeom>
                      <a:noFill/>
                      <a:ln>
                        <a:noFill/>
                      </a:ln>
                      <a:effectLst/>
                    </wps:spPr>
                    <wps:txbx>
                      <w:txbxContent>
                        <w:p>
                          <w:pPr>
                            <w:pStyle w:val="9"/>
                            <w:rPr>
                              <w:rFonts w:eastAsia="宋体"/>
                            </w:rPr>
                          </w:pPr>
                          <w:r>
                            <w:fldChar w:fldCharType="begin"/>
                          </w:r>
                          <w:r>
                            <w:instrText xml:space="preserve"> PAGE  \* MERGEFORMAT </w:instrText>
                          </w:r>
                          <w:r>
                            <w:fldChar w:fldCharType="separate"/>
                          </w:r>
                          <w:r>
                            <w:t>- 7 -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14.15pt;mso-position-horizontal:center;mso-position-horizontal-relative:margin;mso-wrap-style:none;z-index:251659264;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pFnrHQAAAAAwEAAA8AAAAAAAAAAQAgAAAAIgAAAGRycy9k&#10;b3ducmV2LnhtbFBLAQIUABQAAAAIAIdO4kBb154T0QEAAKUDAAAOAAAAAAAAAAEAIAAAAB8BAABk&#10;cnMvZTJvRG9jLnhtbFBLBQYAAAAABgAGAFkBAABiBQAAAAA=&#10;">
              <v:fill on="f" focussize="0,0"/>
              <v:stroke on="f"/>
              <v:imagedata o:title=""/>
              <o:lock v:ext="edit" aspectratio="f"/>
              <v:textbox inset="0mm,0mm,0mm,0mm" style="mso-fit-shape-to-text:t;">
                <w:txbxContent>
                  <w:p>
                    <w:pPr>
                      <w:pStyle w:val="9"/>
                      <w:rPr>
                        <w:rFonts w:eastAsia="宋体"/>
                      </w:rPr>
                    </w:pPr>
                    <w:r>
                      <w:fldChar w:fldCharType="begin"/>
                    </w:r>
                    <w:r>
                      <w:instrText xml:space="preserve"> PAGE  \* MERGEFORMAT </w:instrText>
                    </w:r>
                    <w:r>
                      <w:fldChar w:fldCharType="separate"/>
                    </w:r>
                    <w:r>
                      <w:t>- 7 -</w:t>
                    </w:r>
                    <w:r>
                      <w:fldChar w:fldCharType="end"/>
                    </w:r>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C7EE9C"/>
    <w:multiLevelType w:val="singleLevel"/>
    <w:tmpl w:val="96C7EE9C"/>
    <w:lvl w:ilvl="0" w:tentative="0">
      <w:start w:val="1"/>
      <w:numFmt w:val="decimal"/>
      <w:lvlText w:val="%1."/>
      <w:lvlJc w:val="left"/>
      <w:pPr>
        <w:tabs>
          <w:tab w:val="left" w:pos="312"/>
        </w:tabs>
      </w:pPr>
    </w:lvl>
  </w:abstractNum>
  <w:abstractNum w:abstractNumId="1">
    <w:nsid w:val="D9A4530E"/>
    <w:multiLevelType w:val="singleLevel"/>
    <w:tmpl w:val="D9A4530E"/>
    <w:lvl w:ilvl="0" w:tentative="0">
      <w:start w:val="1"/>
      <w:numFmt w:val="decimal"/>
      <w:lvlText w:val="(%1)"/>
      <w:lvlJc w:val="left"/>
      <w:pPr>
        <w:ind w:left="425" w:hanging="425"/>
      </w:pPr>
      <w:rPr>
        <w:rFonts w:hint="default"/>
      </w:rPr>
    </w:lvl>
  </w:abstractNum>
  <w:abstractNum w:abstractNumId="2">
    <w:nsid w:val="06882CE3"/>
    <w:multiLevelType w:val="multilevel"/>
    <w:tmpl w:val="06882CE3"/>
    <w:lvl w:ilvl="0" w:tentative="0">
      <w:start w:val="1"/>
      <w:numFmt w:val="decimal"/>
      <w:pStyle w:val="2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0E2C6B5E"/>
    <w:multiLevelType w:val="singleLevel"/>
    <w:tmpl w:val="0E2C6B5E"/>
    <w:lvl w:ilvl="0" w:tentative="0">
      <w:start w:val="11"/>
      <w:numFmt w:val="chineseCounting"/>
      <w:suff w:val="nothing"/>
      <w:lvlText w:val="%1、"/>
      <w:lvlJc w:val="left"/>
      <w:pPr>
        <w:ind w:left="-82"/>
      </w:pPr>
      <w:rPr>
        <w:rFonts w:hint="eastAsia"/>
      </w:rPr>
    </w:lvl>
  </w:abstractNum>
  <w:abstractNum w:abstractNumId="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hM2ZlMTg4YjY2YTUxZTE4MmU0YTc5OWNhYTNjOTkifQ=="/>
  </w:docVars>
  <w:rsids>
    <w:rsidRoot w:val="00000000"/>
    <w:rsid w:val="06B57B1C"/>
    <w:rsid w:val="13E631F8"/>
    <w:rsid w:val="1B8F5EA0"/>
    <w:rsid w:val="1BEC4D61"/>
    <w:rsid w:val="1E44295B"/>
    <w:rsid w:val="343A7D3A"/>
    <w:rsid w:val="3DBC2A16"/>
    <w:rsid w:val="3F474202"/>
    <w:rsid w:val="441243C7"/>
    <w:rsid w:val="5B2036EA"/>
    <w:rsid w:val="70336E0A"/>
    <w:rsid w:val="73412163"/>
    <w:rsid w:val="75B110C4"/>
    <w:rsid w:val="76A42E74"/>
    <w:rsid w:val="76AC2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ascii="Calibri" w:hAnsi="Calibri" w:eastAsia="宋体" w:cs="Times New Roman"/>
      <w:b/>
      <w:bCs/>
      <w:kern w:val="44"/>
      <w:sz w:val="44"/>
      <w:szCs w:val="44"/>
    </w:rPr>
  </w:style>
  <w:style w:type="paragraph" w:styleId="2">
    <w:name w:val="heading 2"/>
    <w:basedOn w:val="1"/>
    <w:next w:val="1"/>
    <w:link w:val="16"/>
    <w:unhideWhenUsed/>
    <w:qFormat/>
    <w:uiPriority w:val="0"/>
    <w:pPr>
      <w:adjustRightInd w:val="0"/>
      <w:spacing w:before="120" w:after="60" w:line="360" w:lineRule="auto"/>
      <w:outlineLvl w:val="1"/>
    </w:pPr>
    <w:rPr>
      <w:rFonts w:hint="eastAsia" w:ascii="宋体" w:hAnsi="Times New Roman" w:eastAsia="宋体" w:cs="Times New Roman"/>
      <w:b/>
      <w:sz w:val="28"/>
      <w:szCs w:val="20"/>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widowControl/>
      <w:overflowPunct w:val="0"/>
      <w:autoSpaceDE w:val="0"/>
      <w:autoSpaceDN w:val="0"/>
      <w:adjustRightInd w:val="0"/>
      <w:spacing w:before="120" w:after="120"/>
      <w:ind w:left="2520"/>
      <w:jc w:val="left"/>
    </w:pPr>
    <w:rPr>
      <w:rFonts w:ascii="Book Antiqua" w:hAnsi="Book Antiqua" w:eastAsia="宋体" w:cs="Times New Roman"/>
      <w:kern w:val="0"/>
      <w:sz w:val="20"/>
      <w:szCs w:val="20"/>
    </w:rPr>
  </w:style>
  <w:style w:type="paragraph" w:styleId="6">
    <w:name w:val="Body Text Indent"/>
    <w:basedOn w:val="1"/>
    <w:next w:val="7"/>
    <w:qFormat/>
    <w:uiPriority w:val="0"/>
    <w:pPr>
      <w:ind w:firstLine="420" w:firstLineChars="200"/>
    </w:pPr>
    <w:rPr>
      <w:rFonts w:ascii="Calibri" w:hAnsi="Calibri"/>
      <w:color w:val="000000"/>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Plain Text"/>
    <w:basedOn w:val="1"/>
    <w:qFormat/>
    <w:uiPriority w:val="0"/>
    <w:rPr>
      <w:rFonts w:hint="eastAsia" w:ascii="宋体" w:hAnsi="Times New Roman" w:eastAsia="宋体" w:cs="Times New Roman"/>
      <w:szCs w:val="21"/>
    </w:rPr>
  </w:style>
  <w:style w:type="paragraph" w:styleId="9">
    <w:name w:val="footer"/>
    <w:basedOn w:val="1"/>
    <w:unhideWhenUsed/>
    <w:qFormat/>
    <w:uiPriority w:val="0"/>
    <w:pPr>
      <w:tabs>
        <w:tab w:val="center" w:pos="4153"/>
        <w:tab w:val="right" w:pos="8306"/>
      </w:tabs>
      <w:snapToGrid w:val="0"/>
      <w:jc w:val="left"/>
    </w:pPr>
    <w:rPr>
      <w:sz w:val="18"/>
      <w:szCs w:val="18"/>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1."/>
    <w:basedOn w:val="1"/>
    <w:qFormat/>
    <w:uiPriority w:val="0"/>
    <w:pPr>
      <w:spacing w:line="360" w:lineRule="auto"/>
      <w:ind w:firstLine="200" w:firstLineChars="200"/>
    </w:pPr>
    <w:rPr>
      <w:rFonts w:hint="eastAsia" w:ascii="宋体" w:hAnsi="Times New Roman" w:eastAsia="宋体" w:cs="Times New Roman"/>
      <w:sz w:val="24"/>
    </w:rPr>
  </w:style>
  <w:style w:type="paragraph" w:customStyle="1" w:styleId="15">
    <w:name w:val="样式 标题 3h3H3sect1.2.3 + 五号 段前: 6 磅 段后: 6 磅 行距: 单倍行距"/>
    <w:basedOn w:val="1"/>
    <w:qFormat/>
    <w:uiPriority w:val="0"/>
    <w:pPr>
      <w:keepNext/>
      <w:keepLines/>
      <w:adjustRightInd w:val="0"/>
      <w:spacing w:before="120" w:after="120"/>
      <w:jc w:val="left"/>
      <w:outlineLvl w:val="2"/>
    </w:pPr>
    <w:rPr>
      <w:rFonts w:ascii="Times New Roman" w:hAnsi="Times New Roman" w:eastAsia="宋体" w:cs="Times New Roman"/>
      <w:b/>
      <w:kern w:val="0"/>
      <w:szCs w:val="20"/>
    </w:rPr>
  </w:style>
  <w:style w:type="character" w:customStyle="1" w:styleId="16">
    <w:name w:val="标题 2 字符"/>
    <w:basedOn w:val="11"/>
    <w:link w:val="2"/>
    <w:qFormat/>
    <w:uiPriority w:val="9"/>
    <w:rPr>
      <w:rFonts w:hint="eastAsia" w:ascii="宋体" w:hAnsi="Times New Roman" w:eastAsia="宋体" w:cs="Times New Roman"/>
      <w:b/>
      <w:sz w:val="28"/>
      <w:szCs w:val="20"/>
    </w:rPr>
  </w:style>
  <w:style w:type="paragraph" w:customStyle="1" w:styleId="17">
    <w:name w:val="标书二级标题"/>
    <w:basedOn w:val="2"/>
    <w:qFormat/>
    <w:uiPriority w:val="0"/>
    <w:pPr>
      <w:spacing w:before="0" w:after="0" w:line="240" w:lineRule="auto"/>
      <w:jc w:val="left"/>
    </w:pPr>
    <w:rPr>
      <w:rFonts w:ascii="宋体" w:hAnsi="宋体" w:eastAsia="黑体"/>
      <w:b w:val="0"/>
      <w:sz w:val="28"/>
      <w:szCs w:val="30"/>
    </w:rPr>
  </w:style>
  <w:style w:type="paragraph" w:customStyle="1" w:styleId="18">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19">
    <w:name w:val="标书正文格式"/>
    <w:basedOn w:val="8"/>
    <w:qFormat/>
    <w:uiPriority w:val="0"/>
    <w:pPr>
      <w:spacing w:line="360" w:lineRule="auto"/>
      <w:ind w:firstLine="200" w:firstLineChars="200"/>
    </w:pPr>
    <w:rPr>
      <w:rFonts w:hAnsi="宋体"/>
      <w:color w:val="000000"/>
      <w:szCs w:val="24"/>
    </w:rPr>
  </w:style>
  <w:style w:type="character" w:customStyle="1" w:styleId="20">
    <w:name w:val="font21"/>
    <w:basedOn w:val="11"/>
    <w:qFormat/>
    <w:uiPriority w:val="0"/>
    <w:rPr>
      <w:rFonts w:hint="eastAsia" w:ascii="宋体" w:hAnsi="宋体" w:eastAsia="宋体" w:cs="宋体"/>
      <w:color w:val="000000"/>
      <w:sz w:val="20"/>
      <w:szCs w:val="20"/>
      <w:u w:val="none"/>
    </w:rPr>
  </w:style>
  <w:style w:type="character" w:customStyle="1" w:styleId="21">
    <w:name w:val="font11"/>
    <w:basedOn w:val="11"/>
    <w:qFormat/>
    <w:uiPriority w:val="0"/>
    <w:rPr>
      <w:rFonts w:hint="eastAsia" w:ascii="宋体" w:hAnsi="宋体" w:eastAsia="宋体" w:cs="宋体"/>
      <w:color w:val="000000"/>
      <w:sz w:val="20"/>
      <w:szCs w:val="20"/>
      <w:u w:val="none"/>
    </w:rPr>
  </w:style>
  <w:style w:type="paragraph" w:styleId="22">
    <w:name w:val="List Paragraph"/>
    <w:basedOn w:val="1"/>
    <w:qFormat/>
    <w:uiPriority w:val="34"/>
    <w:pPr>
      <w:ind w:firstLine="420" w:firstLineChars="200"/>
    </w:pPr>
  </w:style>
  <w:style w:type="paragraph" w:customStyle="1" w:styleId="23">
    <w:name w:val="（4）级标题"/>
    <w:basedOn w:val="8"/>
    <w:qFormat/>
    <w:uiPriority w:val="8"/>
    <w:pPr>
      <w:numPr>
        <w:ilvl w:val="0"/>
        <w:numId w:val="1"/>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TotalTime>
  <ScaleCrop>false</ScaleCrop>
  <LinksUpToDate>false</LinksUpToDate>
  <CharactersWithSpaces>0</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2024-07-01T06:40:00Z</dcterms:created>
  <dc:creator>ZGZQ</dc:creator>
  <cp:lastModifiedBy>赵力</cp:lastModifiedBy>
  <dcterms:modified xsi:type="dcterms:W3CDTF">2025-11-22T08:48:13Z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AF2BAD1991CB46388BAA023B4A2E3EFB_12</vt:lpwstr>
  </property>
  <property fmtid="{D5CDD505-2E9C-101B-9397-08002B2CF9AE}" pid="4" name="KSOTemplateDocerSaveRecord">
    <vt:lpwstr>eyJoZGlkIjoiMjFhM2ZlMTg4YjY2YTUxZTE4MmU0YTc5OWNhYTNjOTkiLCJ1c2VySWQiOiIxMDQ2Mjg5NDk4In0=</vt:lpwstr>
  </property>
</Properties>
</file>