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轻型车销售部配件仓储业务外包新增预算项目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4"/>
        <w:jc w:val="both"/>
        <w:rPr>
          <w:rFonts w:hint="eastAsia" w:ascii="仿宋_GB2312" w:hAnsi="仿宋_GB2312" w:eastAsia="仿宋_GB2312" w:cs="仿宋_GB2312"/>
          <w:sz w:val="44"/>
        </w:rPr>
      </w:pPr>
      <w:bookmarkStart w:id="0" w:name="_Toc22242"/>
      <w:bookmarkStart w:id="1" w:name="_Toc5202"/>
      <w:bookmarkStart w:id="2" w:name="_Toc15480"/>
      <w:bookmarkStart w:id="3" w:name="_Toc23693"/>
      <w:bookmarkStart w:id="4" w:name="_Toc29994"/>
    </w:p>
    <w:p>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项目名称：轻型车销售部配件仓储业务外包新增预算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项目编号：FSCZB2025090120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招标内容：轻型汽车销售部配件库内配件仓储、包装服务项目招标。目前仓储区域分济南和重庆两地，月均出库约160万金额，其中重庆江津库120万，济南章丘库40万。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sz w:val="24"/>
                <w:szCs w:val="24"/>
                <w:u w:val="single"/>
              </w:rPr>
              <w:t>中国重汽集团济南动力有限公司</w:t>
            </w:r>
            <w:r>
              <w:rPr>
                <w:rFonts w:hint="eastAsia" w:ascii="仿宋_GB2312" w:hAnsi="仿宋_GB2312" w:eastAsia="仿宋_GB2312" w:cs="仿宋_GB2312"/>
                <w:bCs/>
                <w:snapToGrid w:val="0"/>
                <w:kern w:val="0"/>
                <w:sz w:val="24"/>
                <w:szCs w:val="24"/>
              </w:rPr>
              <w:t xml:space="preserve"> </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sz w:val="24"/>
                <w:szCs w:val="24"/>
                <w:u w:val="single"/>
              </w:rPr>
              <w:t>济南市历城区华奥路777号</w:t>
            </w:r>
            <w:r>
              <w:rPr>
                <w:rFonts w:hint="eastAsia" w:ascii="仿宋_GB2312" w:hAnsi="仿宋_GB2312" w:eastAsia="仿宋_GB2312" w:cs="仿宋_GB2312"/>
                <w:sz w:val="24"/>
                <w:szCs w:val="24"/>
              </w:rPr>
              <w:t xml:space="preserve"> </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技术联系人：白树年</w:t>
            </w:r>
          </w:p>
          <w:p>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电话：18996098220</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邮箱：baishunian@sinotruk.com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61.472</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13% </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1.投标方需为中华人民共和国境内注册的独立法人机构，具有独立承担民事责任能力。</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2.企业注册资本不低于</w:t>
            </w:r>
            <w:r>
              <w:rPr>
                <w:rFonts w:hint="eastAsia" w:ascii="宋体" w:hAnsi="Courier New" w:eastAsia="宋体" w:cs="Times New Roman"/>
                <w:kern w:val="2"/>
                <w:sz w:val="21"/>
                <w:highlight w:val="yellow"/>
                <w:lang w:val="en-US" w:eastAsia="zh-CN" w:bidi="ar-SA"/>
              </w:rPr>
              <w:t>200万元人民币</w:t>
            </w:r>
            <w:r>
              <w:rPr>
                <w:rFonts w:hint="eastAsia" w:ascii="宋体" w:hAnsi="Courier New" w:eastAsia="宋体" w:cs="Times New Roman"/>
                <w:kern w:val="2"/>
                <w:sz w:val="21"/>
                <w:lang w:val="en-US" w:eastAsia="zh-CN" w:bidi="ar-SA"/>
              </w:rPr>
              <w:t>（或等值外币）；</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3.成立时间不晚于2022年9月5日；</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4.具备</w:t>
            </w:r>
            <w:r>
              <w:rPr>
                <w:rFonts w:hint="eastAsia" w:ascii="宋体" w:hAnsi="Courier New" w:eastAsia="宋体" w:cs="Times New Roman"/>
                <w:kern w:val="2"/>
                <w:sz w:val="21"/>
                <w:highlight w:val="yellow"/>
                <w:lang w:val="en-US" w:eastAsia="zh-CN" w:bidi="ar-SA"/>
              </w:rPr>
              <w:t>仓储、配送、运输、整车物流运输</w:t>
            </w:r>
            <w:r>
              <w:rPr>
                <w:rFonts w:hint="eastAsia" w:ascii="宋体" w:hAnsi="Courier New" w:eastAsia="宋体" w:cs="Times New Roman"/>
                <w:kern w:val="2"/>
                <w:sz w:val="21"/>
                <w:lang w:val="en-US" w:eastAsia="zh-CN" w:bidi="ar-SA"/>
              </w:rPr>
              <w:t>等物流服务资质；</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5.投标人须优先接手招标人现行自主运营物流人员；</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6.设备、办公设备、耗材由投标人自行提供；中标后，配件仓储服务业务不允许再次外包；</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7.中标人须无条件接受招标人关于现场的所有管理规定；</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8.投标方须具有履行合同所必须的设备、财务、技术、服务等方面的资质和能力；</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9.投标方须具有完全履行招标文件的所有要求的能力；</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10.投标方须认可招标方的工作指令，包括节、假日能正常开展工作的要求；</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11.投标人近三年内在经营活动中无与本项目有关的违法及重大违规情况。</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12.无招标违规、谎报年度报告信息、提供虚假资质资料等行为或其他行政处罚记录。</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13.投标方的直接或间接股东、法定代表人、董事、监事、高管非重汽员工及其亲属。</w:t>
            </w:r>
          </w:p>
          <w:p>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14.没有被中国重汽集团列入黑名单。</w:t>
            </w:r>
          </w:p>
          <w:p>
            <w:pPr>
              <w:bidi w:val="0"/>
              <w:rPr>
                <w:rFonts w:hint="eastAsia" w:ascii="仿宋_GB2312" w:hAnsi="仿宋_GB2312" w:eastAsia="仿宋_GB2312" w:cs="仿宋_GB2312"/>
                <w:color w:val="000000"/>
                <w:sz w:val="24"/>
                <w:szCs w:val="24"/>
              </w:rPr>
            </w:pPr>
            <w:r>
              <w:rPr>
                <w:rFonts w:hint="eastAsia" w:ascii="宋体" w:hAnsi="Courier New" w:eastAsia="宋体" w:cs="Times New Roman"/>
                <w:kern w:val="2"/>
                <w:sz w:val="21"/>
                <w:lang w:val="en-US" w:eastAsia="zh-CN" w:bidi="ar-SA"/>
              </w:rPr>
              <w:t>15.法律法规对合格投标方的其他要求、规定。</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2025年10月15日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2025年11月11日前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2025年11月11日前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2</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2025年10月20日17：00前</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2025年11月11日17：00前</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2025年11月11日17：00前</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2025年11月12</w:t>
            </w:r>
            <w:bookmarkStart w:id="147" w:name="_GoBack"/>
            <w:bookmarkEnd w:id="147"/>
            <w:r>
              <w:rPr>
                <w:rFonts w:hint="eastAsia" w:ascii="仿宋_GB2312" w:hAnsi="仿宋_GB2312" w:eastAsia="仿宋_GB2312" w:cs="仿宋_GB2312"/>
                <w:color w:val="000000"/>
                <w:sz w:val="24"/>
                <w:szCs w:val="24"/>
                <w:highlight w:val="green"/>
                <w:lang w:val="en-US" w:eastAsia="zh-CN"/>
              </w:rPr>
              <w:t>日，9：00（若有改变另行通知）</w:t>
            </w:r>
          </w:p>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线上会议室（具体地点另行通知）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rPr>
              <w:t>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rPr>
              <w:t>江津区重庆汽车工厂配件库，章丘区中国重汽后市场园区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pPr>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其他付款节点①100%：乙方完成甲方的需求，乙方开具合同价款100%的收据并增值税专用发票，经甲方核对无误后支付。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7" w:name="_Toc19183"/>
      <w:bookmarkStart w:id="8" w:name="_Toc427"/>
      <w:bookmarkStart w:id="9" w:name="_Toc6577"/>
      <w:bookmarkStart w:id="10" w:name="_Toc9448"/>
      <w:bookmarkStart w:id="11" w:name="_Toc11216"/>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2</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r>
        <w:rPr>
          <w:rFonts w:hint="eastAsia" w:ascii="仿宋_GB2312" w:hAnsi="仿宋_GB2312" w:eastAsia="仿宋_GB2312" w:cs="仿宋_GB2312"/>
          <w:color w:val="000000"/>
          <w:sz w:val="24"/>
          <w:szCs w:val="24"/>
          <w:highlight w:val="green"/>
        </w:rPr>
        <w:t>。</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pStyle w:val="5"/>
        <w:ind w:left="420" w:leftChars="0" w:firstLine="420" w:firstLineChars="0"/>
        <w:rPr>
          <w:rFonts w:hint="eastAsia" w:ascii="仿宋_GB2312" w:hAnsi="仿宋_GB2312" w:eastAsia="仿宋_GB2312" w:cs="仿宋_GB2312"/>
          <w:color w:val="000000"/>
          <w:sz w:val="24"/>
          <w:szCs w:val="24"/>
          <w:highlight w:val="yellow"/>
          <w:lang w:val="en-US" w:eastAsia="zh-CN"/>
        </w:rPr>
      </w:pPr>
      <w:bookmarkStart w:id="19" w:name="_Toc33267001"/>
      <w:bookmarkStart w:id="20" w:name="_Toc33265752"/>
      <w:bookmarkStart w:id="21" w:name="_Toc33266627"/>
      <w:bookmarkStart w:id="22" w:name="_Toc30534"/>
      <w:bookmarkStart w:id="23" w:name="_Toc33285487"/>
      <w:bookmarkStart w:id="24" w:name="_Toc33265653"/>
      <w:bookmarkStart w:id="25" w:name="_Toc33266950"/>
      <w:bookmarkStart w:id="26" w:name="_Toc33266914"/>
      <w:r>
        <w:rPr>
          <w:rFonts w:hint="eastAsia" w:ascii="仿宋_GB2312" w:hAnsi="仿宋_GB2312" w:eastAsia="仿宋_GB2312" w:cs="仿宋_GB2312"/>
          <w:color w:val="000000"/>
          <w:sz w:val="24"/>
          <w:szCs w:val="24"/>
          <w:highlight w:val="yellow"/>
          <w:lang w:val="en-US" w:eastAsia="zh-CN"/>
        </w:rPr>
        <w:t>线上开标</w:t>
      </w:r>
    </w:p>
    <w:p>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95116634"/>
      <w:bookmarkStart w:id="29" w:name="_Toc33265753"/>
      <w:bookmarkStart w:id="30" w:name="_Toc33267002"/>
      <w:bookmarkStart w:id="31" w:name="_Toc33285489"/>
      <w:bookmarkStart w:id="32" w:name="_Toc33266951"/>
      <w:bookmarkStart w:id="33" w:name="_Toc33266915"/>
      <w:bookmarkStart w:id="34" w:name="_Toc33265654"/>
      <w:bookmarkStart w:id="35" w:name="_Toc33266628"/>
      <w:r>
        <w:rPr>
          <w:rFonts w:hint="eastAsia" w:ascii="仿宋_GB2312" w:hAnsi="仿宋_GB2312" w:eastAsia="仿宋_GB2312" w:cs="仿宋_GB2312"/>
          <w:b/>
          <w:sz w:val="24"/>
          <w:szCs w:val="24"/>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2</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宋体" w:hAnsi="宋体" w:eastAsia="宋体" w:cs="宋体"/>
          <w:b/>
          <w:color w:val="000000"/>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合理最低价确定中标</w:t>
      </w:r>
      <w:r>
        <w:rPr>
          <w:rFonts w:hint="eastAsia" w:ascii="仿宋_GB2312" w:hAnsi="仿宋_GB2312" w:eastAsia="仿宋_GB2312" w:cs="仿宋_GB2312"/>
          <w:b/>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pPr>
        <w:pStyle w:val="5"/>
        <w:rPr>
          <w:rFonts w:hint="eastAsia" w:ascii="仿宋_GB2312" w:hAnsi="仿宋_GB2312" w:eastAsia="仿宋_GB2312" w:cs="仿宋_GB2312"/>
          <w:sz w:val="36"/>
          <w:szCs w:val="36"/>
        </w:rPr>
      </w:pPr>
      <w:bookmarkStart w:id="36" w:name="_Toc28416"/>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5"/>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5"/>
      <w:bookmarkStart w:id="39" w:name="OLE_LINK29"/>
      <w:bookmarkStart w:id="40" w:name="OLE_LINK26"/>
      <w:bookmarkStart w:id="41" w:name="OLE_LINK28"/>
      <w:bookmarkStart w:id="42" w:name="OLE_LINK27"/>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5"/>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4"/>
        <w:rPr>
          <w:rFonts w:hint="eastAsia" w:ascii="仿宋_GB2312" w:hAnsi="仿宋_GB2312" w:eastAsia="仿宋_GB2312" w:cs="仿宋_GB2312"/>
          <w:sz w:val="44"/>
        </w:rPr>
      </w:pPr>
      <w:bookmarkStart w:id="44" w:name="_Toc762"/>
      <w:bookmarkStart w:id="45" w:name="_Toc13002"/>
      <w:bookmarkStart w:id="46" w:name="_Toc21022"/>
      <w:bookmarkStart w:id="47" w:name="_Toc13479"/>
      <w:bookmarkStart w:id="48" w:name="_Toc2363"/>
      <w:bookmarkStart w:id="49" w:name="_Toc3186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5"/>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5"/>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5"/>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lang w:val="en-US" w:eastAsia="zh-CN"/>
        </w:rPr>
      </w:pPr>
      <w:bookmarkStart w:id="53" w:name="_Toc212369515"/>
      <w:r>
        <w:rPr>
          <w:rFonts w:hint="eastAsia" w:ascii="仿宋_GB2312" w:hAnsi="仿宋_GB2312" w:eastAsia="仿宋_GB2312" w:cs="仿宋_GB2312"/>
          <w:color w:val="000000"/>
          <w:sz w:val="24"/>
          <w:szCs w:val="24"/>
          <w:lang w:val="en-US" w:eastAsia="zh-CN"/>
        </w:rPr>
        <w:t>1.具有统一社会信用代码的三证合一的营业执照副本复印件(加盖公章)并保证行政许可在有效期内；</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2.投标函（附件）；</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法定代表人授权书（附件）；法定代表人参加投标的，提供法人身份证明文件即可；被授权人参加投标的，需提供法定代表人授权委托书（含法人身份证和被授权人身份证正反面复印件）和被授权人近6个月及以上在授权单位的社保缴纳证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4.近三年经第三方机构审计的财务报表（资产负债表、损益表、现金流量表）复印件，必须连续，同时填写投标人基本情况及资产情况汇总表（附件）；若没有第三方财务审计报告，需提供资产负债表、利润表、现金流量表（加盖公章版），且未显示异常；</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6.投标单位在国家企业信用信息公示系统中无与本项目有关的行政处罚、经营异常和失信信息的声明；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7.企业信用证明材料（信用报告）；</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8.代理商投标要携带生产商的授权书、原厂售后服务承诺书，根据实际情况提供即可，无格式限制（包括所代理品牌针对项目的唯一授权书）；</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9.企业最近半年的完税证明，年度纳税信用评价信息（可从电子税务局查询截图，</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需加盖公章）；</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10.企业对外担保说明（写明贵单位对外有无对外担保和质押业务，需加盖公章）</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11.保密承诺函（附件）；</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12.2022年1月1日至今，企业近三年同类项目业绩证明；</w:t>
      </w:r>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13. 投标保证金缴纳凭证。</w:t>
      </w:r>
    </w:p>
    <w:p>
      <w:pPr>
        <w:spacing w:line="360" w:lineRule="auto"/>
        <w:ind w:firstLine="482" w:firstLineChars="200"/>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b/>
          <w:bCs/>
          <w:sz w:val="24"/>
          <w:szCs w:val="24"/>
          <w:highlight w:val="green"/>
        </w:rPr>
        <w:t>2.</w:t>
      </w:r>
      <w:r>
        <w:rPr>
          <w:rFonts w:hint="eastAsia" w:ascii="仿宋_GB2312" w:hAnsi="仿宋_GB2312" w:eastAsia="仿宋_GB2312" w:cs="仿宋_GB2312"/>
          <w:b/>
          <w:sz w:val="24"/>
          <w:szCs w:val="24"/>
          <w:highlight w:val="green"/>
        </w:rPr>
        <w:t>《投标文件（技术标）》</w:t>
      </w:r>
      <w:r>
        <w:rPr>
          <w:rFonts w:hint="eastAsia" w:ascii="仿宋_GB2312" w:hAnsi="仿宋_GB2312" w:eastAsia="仿宋_GB2312" w:cs="仿宋_GB2312"/>
          <w:b/>
          <w:bCs/>
          <w:sz w:val="24"/>
          <w:szCs w:val="24"/>
          <w:highlight w:val="green"/>
        </w:rPr>
        <w:t>：</w:t>
      </w:r>
      <w:bookmarkEnd w:id="53"/>
    </w:p>
    <w:p>
      <w:pPr>
        <w:spacing w:line="360" w:lineRule="auto"/>
        <w:ind w:firstLine="480" w:firstLineChars="200"/>
        <w:rPr>
          <w:rFonts w:hint="default" w:ascii="仿宋_GB2312" w:hAnsi="仿宋_GB2312" w:eastAsia="仿宋_GB2312" w:cs="仿宋_GB2312"/>
          <w:b/>
          <w:color w:val="000000"/>
          <w:sz w:val="24"/>
          <w:szCs w:val="24"/>
          <w:highlight w:val="yellow"/>
          <w:lang w:val="en-US" w:eastAsia="zh-CN"/>
        </w:rPr>
      </w:pPr>
      <w:r>
        <w:rPr>
          <w:rFonts w:hint="eastAsia" w:ascii="仿宋_GB2312" w:hAnsi="仿宋_GB2312" w:eastAsia="仿宋_GB2312" w:cs="仿宋_GB2312"/>
          <w:color w:val="000000"/>
          <w:sz w:val="24"/>
          <w:szCs w:val="24"/>
        </w:rPr>
        <w:t>2.1</w:t>
      </w:r>
      <w:r>
        <w:rPr>
          <w:rFonts w:hint="eastAsia" w:ascii="仿宋_GB2312" w:hAnsi="仿宋_GB2312" w:eastAsia="仿宋_GB2312" w:cs="仿宋_GB2312"/>
          <w:color w:val="000000"/>
          <w:sz w:val="24"/>
          <w:szCs w:val="24"/>
          <w:lang w:val="en-US" w:eastAsia="zh-CN"/>
        </w:rPr>
        <w:t>该项目的实施方案，从现场管理、安全及质量管理、紧急响应机制、项目总统规划几个维度来展开，</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2提供汽车行业服务或仓储物流项目相关项目案例</w:t>
      </w:r>
      <w:r>
        <w:rPr>
          <w:rFonts w:hint="eastAsia" w:ascii="仿宋_GB2312" w:hAnsi="仿宋_GB2312" w:eastAsia="仿宋_GB2312" w:cs="仿宋_GB2312"/>
          <w:color w:val="000000"/>
          <w:sz w:val="24"/>
          <w:szCs w:val="24"/>
        </w:rPr>
        <w:t>，并附合同复印件。该同类项目业绩一览表必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3投标人认为的自身优势</w:t>
      </w:r>
      <w:r>
        <w:rPr>
          <w:rFonts w:hint="eastAsia" w:ascii="仿宋_GB2312" w:hAnsi="仿宋_GB2312" w:eastAsia="仿宋_GB2312" w:cs="仿宋_GB2312"/>
          <w:color w:val="000000"/>
          <w:sz w:val="24"/>
          <w:szCs w:val="24"/>
        </w:rPr>
        <w:t>；</w:t>
      </w:r>
    </w:p>
    <w:p>
      <w:pPr>
        <w:pStyle w:val="2"/>
        <w:ind w:firstLine="420" w:firstLineChars="0"/>
        <w:rPr>
          <w:rFonts w:hint="default" w:eastAsia="仿宋_GB2312"/>
          <w:lang w:val="en-US" w:eastAsia="zh-CN"/>
        </w:rPr>
      </w:pPr>
      <w:r>
        <w:rPr>
          <w:rFonts w:hint="eastAsia" w:ascii="仿宋_GB2312" w:hAnsi="仿宋_GB2312" w:eastAsia="仿宋_GB2312" w:cs="仿宋_GB2312"/>
          <w:color w:val="000000"/>
          <w:sz w:val="24"/>
          <w:szCs w:val="24"/>
          <w:lang w:val="en-US" w:eastAsia="zh-CN"/>
        </w:rPr>
        <w:t>2.4是否偏离招标文件中的第四部分-技术标书要求（签字盖章）。</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9"/>
      <w:bookmarkStart w:id="55" w:name="OLE_LINK18"/>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pStyle w:val="5"/>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6957"/>
      <w:bookmarkStart w:id="58" w:name="_Toc4194"/>
      <w:bookmarkStart w:id="59" w:name="_Toc24913"/>
      <w:bookmarkStart w:id="60" w:name="_Toc30738"/>
      <w:bookmarkStart w:id="61" w:name="_Toc32378"/>
      <w:bookmarkStart w:id="62" w:name="_Toc20272"/>
      <w:bookmarkStart w:id="63" w:name="_Toc7511"/>
      <w:bookmarkStart w:id="64" w:name="_Toc12714"/>
      <w:bookmarkStart w:id="65" w:name="_Toc12552"/>
      <w:bookmarkStart w:id="66" w:name="_Toc19672"/>
      <w:bookmarkStart w:id="67" w:name="_Toc18805"/>
      <w:bookmarkStart w:id="68" w:name="_Toc7110"/>
      <w:bookmarkStart w:id="69" w:name="_Toc4029"/>
      <w:bookmarkStart w:id="70" w:name="_Toc21497"/>
      <w:bookmarkStart w:id="71" w:name="_Toc133783966"/>
      <w:bookmarkStart w:id="72" w:name="_Toc13605"/>
      <w:bookmarkStart w:id="73" w:name="_Toc3565"/>
      <w:bookmarkStart w:id="74" w:name="_Toc8202"/>
      <w:bookmarkStart w:id="75" w:name="_Toc13562"/>
      <w:bookmarkStart w:id="76" w:name="_Toc1884"/>
      <w:bookmarkStart w:id="77" w:name="_Toc14517"/>
      <w:bookmarkStart w:id="78" w:name="_Toc24964"/>
      <w:bookmarkStart w:id="79" w:name="_Toc3372"/>
      <w:bookmarkStart w:id="80" w:name="_Toc18182"/>
      <w:bookmarkStart w:id="81" w:name="_Toc13988"/>
      <w:bookmarkStart w:id="82" w:name="_Toc13555"/>
      <w:bookmarkStart w:id="83" w:name="_Toc11355"/>
      <w:bookmarkStart w:id="84" w:name="_Toc12563"/>
      <w:bookmarkStart w:id="85" w:name="_Toc16358"/>
      <w:bookmarkStart w:id="86" w:name="_Toc8032"/>
      <w:bookmarkStart w:id="87" w:name="_Toc4483"/>
      <w:bookmarkStart w:id="88" w:name="_Toc22649"/>
      <w:bookmarkStart w:id="89" w:name="_Toc28236"/>
      <w:bookmarkStart w:id="90" w:name="_Toc20467"/>
      <w:bookmarkStart w:id="91" w:name="_Toc23870"/>
      <w:bookmarkStart w:id="92" w:name="_Toc18606"/>
      <w:bookmarkStart w:id="93" w:name="_Toc4532"/>
      <w:bookmarkStart w:id="94" w:name="_Toc6346"/>
    </w:p>
    <w:p>
      <w:pPr>
        <w:bidi w:val="0"/>
        <w:rPr>
          <w:rFonts w:hint="eastAsia"/>
        </w:rPr>
      </w:pPr>
    </w:p>
    <w:p>
      <w:pPr>
        <w:bidi w:val="0"/>
        <w:rPr>
          <w:rFonts w:hint="eastAsia"/>
        </w:rPr>
      </w:pPr>
    </w:p>
    <w:p>
      <w:pPr>
        <w:bidi w:val="0"/>
        <w:rPr>
          <w:rFonts w:hint="eastAsia"/>
        </w:rPr>
      </w:pPr>
    </w:p>
    <w:p>
      <w:pPr>
        <w:bidi w:val="0"/>
        <w:rPr>
          <w:rFonts w:hint="eastAsia"/>
        </w:rPr>
      </w:pPr>
    </w:p>
    <w:p>
      <w:pPr>
        <w:pStyle w:val="4"/>
        <w:numPr>
          <w:ilvl w:val="0"/>
          <w:numId w:val="9"/>
        </w:numPr>
        <w:spacing w:line="360" w:lineRule="auto"/>
      </w:pPr>
      <w:bookmarkStart w:id="95" w:name="_Toc10008"/>
      <w:r>
        <w:rPr>
          <w:rFonts w:hint="eastAsia" w:ascii="仿宋_GB2312" w:hAnsi="仿宋_GB2312" w:eastAsia="仿宋_GB2312" w:cs="仿宋_GB2312"/>
          <w:sz w:val="44"/>
          <w:highlight w:val="green"/>
        </w:rPr>
        <w:t>技术标书</w:t>
      </w:r>
      <w:bookmarkEnd w:id="95"/>
    </w:p>
    <w:p>
      <w:pPr>
        <w:tabs>
          <w:tab w:val="center" w:pos="4535"/>
        </w:tabs>
        <w:bidi w:val="0"/>
        <w:jc w:val="left"/>
        <w:rPr>
          <w:rFonts w:hint="eastAsia" w:eastAsiaTheme="minorEastAsia"/>
          <w:lang w:eastAsia="zh-CN"/>
        </w:rPr>
        <w:sectPr>
          <w:headerReference r:id="rId8" w:type="default"/>
          <w:footerReference r:id="rId9" w:type="default"/>
          <w:pgSz w:w="11907" w:h="16840"/>
          <w:pgMar w:top="1304" w:right="1418" w:bottom="1304" w:left="1418" w:header="724" w:footer="851" w:gutter="0"/>
          <w:cols w:space="720" w:num="1"/>
          <w:docGrid w:linePitch="290" w:charSpace="-3931"/>
        </w:sectPr>
      </w:pPr>
    </w:p>
    <w:p>
      <w:pPr>
        <w:jc w:val="both"/>
        <w:rPr>
          <w:rFonts w:ascii="黑体" w:hAnsi="黑体" w:eastAsia="黑体"/>
          <w:sz w:val="44"/>
          <w:szCs w:val="44"/>
        </w:rPr>
      </w:pPr>
    </w:p>
    <w:p>
      <w:pPr>
        <w:pStyle w:val="2"/>
        <w:rPr>
          <w:rFonts w:ascii="黑体" w:hAnsi="黑体" w:eastAsia="黑体"/>
          <w:sz w:val="44"/>
          <w:szCs w:val="44"/>
        </w:rPr>
      </w:pPr>
    </w:p>
    <w:p>
      <w:pPr>
        <w:pStyle w:val="3"/>
        <w:rPr>
          <w:rFonts w:ascii="黑体" w:hAnsi="黑体" w:eastAsia="黑体"/>
          <w:sz w:val="44"/>
          <w:szCs w:val="44"/>
        </w:rPr>
      </w:pPr>
    </w:p>
    <w:p>
      <w:pPr>
        <w:rPr>
          <w:rFonts w:ascii="黑体" w:hAnsi="黑体" w:eastAsia="黑体"/>
          <w:sz w:val="44"/>
          <w:szCs w:val="44"/>
        </w:rPr>
      </w:pPr>
    </w:p>
    <w:p>
      <w:pPr>
        <w:pStyle w:val="2"/>
        <w:rPr>
          <w:rFonts w:ascii="黑体" w:hAnsi="黑体" w:eastAsia="黑体"/>
          <w:sz w:val="44"/>
          <w:szCs w:val="44"/>
        </w:rPr>
      </w:pPr>
    </w:p>
    <w:p>
      <w:pPr>
        <w:pStyle w:val="3"/>
        <w:rPr>
          <w:rFonts w:ascii="黑体" w:hAnsi="黑体" w:eastAsia="黑体"/>
          <w:sz w:val="44"/>
          <w:szCs w:val="44"/>
        </w:rPr>
      </w:pPr>
    </w:p>
    <w:p>
      <w:pPr>
        <w:rPr>
          <w:rFonts w:ascii="黑体" w:hAnsi="黑体" w:eastAsia="黑体"/>
          <w:sz w:val="44"/>
          <w:szCs w:val="44"/>
        </w:rPr>
      </w:pPr>
    </w:p>
    <w:p>
      <w:pPr>
        <w:pStyle w:val="2"/>
        <w:rPr>
          <w:rFonts w:ascii="黑体" w:hAnsi="黑体" w:eastAsia="黑体"/>
          <w:sz w:val="44"/>
          <w:szCs w:val="44"/>
        </w:rPr>
      </w:pPr>
    </w:p>
    <w:p>
      <w:pPr>
        <w:pStyle w:val="3"/>
      </w:pPr>
    </w:p>
    <w:p>
      <w:pPr>
        <w:jc w:val="center"/>
        <w:rPr>
          <w:rFonts w:hint="eastAsia" w:ascii="微软雅黑" w:hAnsi="微软雅黑" w:eastAsia="微软雅黑" w:cs="微软雅黑"/>
          <w:color w:val="000000"/>
          <w:sz w:val="36"/>
          <w:szCs w:val="36"/>
          <w:shd w:val="clear" w:color="auto" w:fill="FCFCFC"/>
          <w:lang w:val="en-US" w:eastAsia="zh-CN"/>
        </w:rPr>
      </w:pPr>
      <w:r>
        <w:rPr>
          <w:rFonts w:hint="eastAsia" w:ascii="微软雅黑" w:hAnsi="微软雅黑" w:eastAsia="微软雅黑" w:cs="微软雅黑"/>
          <w:color w:val="000000"/>
          <w:sz w:val="36"/>
          <w:szCs w:val="36"/>
          <w:shd w:val="clear" w:color="auto" w:fill="FCFCFC"/>
          <w:lang w:val="en-US" w:eastAsia="zh-CN"/>
        </w:rPr>
        <w:t>轻型汽车销售部</w:t>
      </w:r>
    </w:p>
    <w:p>
      <w:pPr>
        <w:jc w:val="center"/>
        <w:rPr>
          <w:rFonts w:ascii="微软雅黑" w:hAnsi="微软雅黑" w:eastAsia="微软雅黑" w:cs="微软雅黑"/>
          <w:color w:val="000000"/>
          <w:sz w:val="36"/>
          <w:szCs w:val="36"/>
          <w:shd w:val="clear" w:color="auto" w:fill="FCFCFC"/>
        </w:rPr>
      </w:pPr>
      <w:r>
        <w:rPr>
          <w:rFonts w:hint="eastAsia" w:ascii="微软雅黑" w:hAnsi="微软雅黑" w:eastAsia="微软雅黑" w:cs="微软雅黑"/>
          <w:color w:val="000000"/>
          <w:sz w:val="36"/>
          <w:szCs w:val="36"/>
          <w:shd w:val="clear" w:color="auto" w:fill="FCFCFC"/>
          <w:lang w:val="en-US" w:eastAsia="zh-CN"/>
        </w:rPr>
        <w:t>客户服务中心配件库房</w:t>
      </w:r>
      <w:r>
        <w:rPr>
          <w:rFonts w:ascii="微软雅黑" w:hAnsi="微软雅黑" w:eastAsia="微软雅黑" w:cs="微软雅黑"/>
          <w:color w:val="000000"/>
          <w:sz w:val="36"/>
          <w:szCs w:val="36"/>
          <w:shd w:val="clear" w:color="auto" w:fill="FCFCFC"/>
        </w:rPr>
        <w:t>外包服务</w:t>
      </w:r>
    </w:p>
    <w:p>
      <w:pPr>
        <w:spacing w:line="360" w:lineRule="auto"/>
        <w:rPr>
          <w:rFonts w:ascii="仿宋" w:hAnsi="仿宋" w:eastAsia="仿宋"/>
          <w:sz w:val="44"/>
          <w:szCs w:val="44"/>
          <w:u w:val="single"/>
        </w:rPr>
      </w:pPr>
    </w:p>
    <w:p>
      <w:pPr>
        <w:rPr>
          <w:rFonts w:ascii="黑体" w:hAnsi="黑体" w:eastAsia="黑体"/>
          <w:sz w:val="44"/>
          <w:szCs w:val="44"/>
        </w:rPr>
      </w:pPr>
      <w:r>
        <w:rPr>
          <w:rFonts w:hint="eastAsia" w:ascii="黑体" w:hAnsi="黑体" w:eastAsia="黑体"/>
          <w:sz w:val="44"/>
          <w:szCs w:val="44"/>
        </w:rPr>
        <w:t xml:space="preserve">               技术要求</w:t>
      </w: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both"/>
        <w:rPr>
          <w:rFonts w:ascii="黑体" w:hAnsi="黑体" w:eastAsia="黑体"/>
          <w:sz w:val="44"/>
          <w:szCs w:val="44"/>
        </w:rPr>
      </w:pPr>
    </w:p>
    <w:p>
      <w:pPr>
        <w:pStyle w:val="2"/>
      </w:pPr>
    </w:p>
    <w:sdt>
      <w:sdtPr>
        <w:rPr>
          <w:rFonts w:ascii="宋体" w:hAnsi="宋体" w:eastAsia="宋体"/>
        </w:rPr>
        <w:id w:val="147473894"/>
        <w15:color w:val="DBDBDB"/>
        <w:docPartObj>
          <w:docPartGallery w:val="Table of Contents"/>
          <w:docPartUnique/>
        </w:docPartObj>
      </w:sdtPr>
      <w:sdtEndPr>
        <w:rPr>
          <w:rFonts w:ascii="仿宋" w:hAnsi="仿宋" w:eastAsia="仿宋"/>
          <w:szCs w:val="24"/>
          <w:lang w:val="zh-CN"/>
        </w:rPr>
      </w:sdtEndPr>
      <w:sdtContent>
        <w:p>
          <w:pPr>
            <w:jc w:val="center"/>
          </w:pPr>
          <w:r>
            <w:rPr>
              <w:rFonts w:ascii="宋体" w:hAnsi="宋体" w:eastAsia="宋体"/>
            </w:rPr>
            <w:t>目录</w:t>
          </w:r>
        </w:p>
        <w:p>
          <w:pPr>
            <w:pStyle w:val="29"/>
            <w:tabs>
              <w:tab w:val="right" w:leader="dot" w:pos="8548"/>
            </w:tabs>
          </w:pPr>
          <w:r>
            <w:rPr>
              <w:rFonts w:ascii="仿宋" w:hAnsi="仿宋" w:eastAsia="仿宋"/>
              <w:sz w:val="24"/>
              <w:szCs w:val="24"/>
              <w:lang w:val="zh-CN"/>
            </w:rPr>
            <w:fldChar w:fldCharType="begin"/>
          </w:r>
          <w:r>
            <w:rPr>
              <w:rFonts w:ascii="仿宋" w:hAnsi="仿宋" w:eastAsia="仿宋"/>
              <w:sz w:val="24"/>
              <w:szCs w:val="24"/>
              <w:lang w:val="zh-CN"/>
            </w:rPr>
            <w:instrText xml:space="preserve">TOC \o "1-2" \h \u </w:instrText>
          </w:r>
          <w:r>
            <w:rPr>
              <w:rFonts w:ascii="仿宋" w:hAnsi="仿宋" w:eastAsia="仿宋"/>
              <w:sz w:val="24"/>
              <w:szCs w:val="24"/>
              <w:lang w:val="zh-CN"/>
            </w:rPr>
            <w:fldChar w:fldCharType="separate"/>
          </w:r>
          <w:r>
            <w:rPr>
              <w:rFonts w:ascii="仿宋" w:hAnsi="仿宋" w:eastAsia="仿宋"/>
              <w:szCs w:val="24"/>
              <w:lang w:val="zh-CN"/>
            </w:rPr>
            <w:fldChar w:fldCharType="begin"/>
          </w:r>
          <w:r>
            <w:rPr>
              <w:rFonts w:ascii="仿宋" w:hAnsi="仿宋" w:eastAsia="仿宋"/>
              <w:szCs w:val="24"/>
              <w:lang w:val="zh-CN"/>
            </w:rPr>
            <w:instrText xml:space="preserve"> HYPERLINK \l _Toc25754 </w:instrText>
          </w:r>
          <w:r>
            <w:rPr>
              <w:rFonts w:ascii="仿宋" w:hAnsi="仿宋" w:eastAsia="仿宋"/>
              <w:szCs w:val="24"/>
              <w:lang w:val="zh-CN"/>
            </w:rPr>
            <w:fldChar w:fldCharType="separate"/>
          </w:r>
          <w:r>
            <w:rPr>
              <w:rFonts w:hint="default" w:ascii="仿宋" w:hAnsi="仿宋" w:eastAsia="仿宋"/>
              <w:szCs w:val="24"/>
            </w:rPr>
            <w:t xml:space="preserve">1. </w:t>
          </w:r>
          <w:r>
            <w:rPr>
              <w:rFonts w:hint="eastAsia" w:ascii="仿宋" w:hAnsi="仿宋" w:eastAsia="仿宋"/>
              <w:szCs w:val="24"/>
            </w:rPr>
            <w:t>目的</w:t>
          </w:r>
          <w:r>
            <w:tab/>
          </w:r>
          <w:r>
            <w:fldChar w:fldCharType="begin"/>
          </w:r>
          <w:r>
            <w:instrText xml:space="preserve"> PAGEREF _Toc25754 \h </w:instrText>
          </w:r>
          <w:r>
            <w:fldChar w:fldCharType="separate"/>
          </w:r>
          <w:r>
            <w:t>2</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_Toc30043 </w:instrText>
          </w:r>
          <w:r>
            <w:rPr>
              <w:rFonts w:ascii="仿宋" w:hAnsi="仿宋" w:eastAsia="仿宋"/>
              <w:szCs w:val="24"/>
              <w:lang w:val="zh-CN"/>
            </w:rPr>
            <w:fldChar w:fldCharType="separate"/>
          </w:r>
          <w:r>
            <w:rPr>
              <w:rFonts w:hint="default" w:ascii="仿宋" w:hAnsi="仿宋" w:eastAsia="仿宋"/>
              <w:szCs w:val="24"/>
            </w:rPr>
            <w:t xml:space="preserve">2. </w:t>
          </w:r>
          <w:r>
            <w:rPr>
              <w:rFonts w:hint="eastAsia" w:ascii="仿宋" w:hAnsi="仿宋" w:eastAsia="仿宋"/>
              <w:szCs w:val="24"/>
            </w:rPr>
            <w:t>概述</w:t>
          </w:r>
          <w:r>
            <w:tab/>
          </w:r>
          <w:r>
            <w:fldChar w:fldCharType="begin"/>
          </w:r>
          <w:r>
            <w:instrText xml:space="preserve"> PAGEREF _Toc30043 \h </w:instrText>
          </w:r>
          <w:r>
            <w:fldChar w:fldCharType="separate"/>
          </w:r>
          <w:r>
            <w:t>3</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_Toc598 </w:instrText>
          </w:r>
          <w:r>
            <w:rPr>
              <w:rFonts w:ascii="仿宋" w:hAnsi="仿宋" w:eastAsia="仿宋"/>
              <w:szCs w:val="24"/>
              <w:lang w:val="zh-CN"/>
            </w:rPr>
            <w:fldChar w:fldCharType="separate"/>
          </w:r>
          <w:r>
            <w:rPr>
              <w:rFonts w:hint="default" w:ascii="仿宋" w:hAnsi="仿宋" w:eastAsia="仿宋"/>
              <w:szCs w:val="24"/>
            </w:rPr>
            <w:t xml:space="preserve">3. </w:t>
          </w:r>
          <w:r>
            <w:rPr>
              <w:rFonts w:hint="eastAsia" w:ascii="仿宋" w:hAnsi="仿宋" w:eastAsia="仿宋"/>
              <w:szCs w:val="24"/>
            </w:rPr>
            <w:t>报价基础信息</w:t>
          </w:r>
          <w:r>
            <w:tab/>
          </w:r>
          <w:r>
            <w:fldChar w:fldCharType="begin"/>
          </w:r>
          <w:r>
            <w:instrText xml:space="preserve"> PAGEREF _Toc598 \h </w:instrText>
          </w:r>
          <w:r>
            <w:fldChar w:fldCharType="separate"/>
          </w:r>
          <w:r>
            <w:t>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_Toc21596 </w:instrText>
          </w:r>
          <w:r>
            <w:rPr>
              <w:rFonts w:ascii="仿宋" w:hAnsi="仿宋" w:eastAsia="仿宋"/>
              <w:szCs w:val="24"/>
              <w:lang w:val="zh-CN"/>
            </w:rPr>
            <w:fldChar w:fldCharType="separate"/>
          </w:r>
          <w:r>
            <w:rPr>
              <w:rFonts w:hint="default" w:ascii="仿宋" w:hAnsi="仿宋" w:eastAsia="仿宋"/>
              <w:szCs w:val="24"/>
            </w:rPr>
            <w:t xml:space="preserve">3.1. </w:t>
          </w:r>
          <w:r>
            <w:rPr>
              <w:rFonts w:hint="eastAsia" w:ascii="仿宋" w:hAnsi="仿宋" w:eastAsia="仿宋"/>
              <w:szCs w:val="24"/>
              <w:lang w:val="en-US" w:eastAsia="zh-CN"/>
            </w:rPr>
            <w:t>仓储、包装</w:t>
          </w:r>
          <w:r>
            <w:rPr>
              <w:rFonts w:hint="eastAsia" w:ascii="仿宋" w:hAnsi="仿宋" w:eastAsia="仿宋"/>
              <w:szCs w:val="24"/>
            </w:rPr>
            <w:t>服务范围</w:t>
          </w:r>
          <w:r>
            <w:tab/>
          </w:r>
          <w:r>
            <w:fldChar w:fldCharType="begin"/>
          </w:r>
          <w:r>
            <w:instrText xml:space="preserve"> PAGEREF _Toc21596 \h </w:instrText>
          </w:r>
          <w:r>
            <w:fldChar w:fldCharType="separate"/>
          </w:r>
          <w:r>
            <w:t>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_Toc3929 </w:instrText>
          </w:r>
          <w:r>
            <w:rPr>
              <w:rFonts w:ascii="仿宋" w:hAnsi="仿宋" w:eastAsia="仿宋"/>
              <w:szCs w:val="24"/>
              <w:lang w:val="zh-CN"/>
            </w:rPr>
            <w:fldChar w:fldCharType="separate"/>
          </w:r>
          <w:r>
            <w:rPr>
              <w:rFonts w:hint="default" w:ascii="仿宋" w:hAnsi="仿宋" w:eastAsia="仿宋"/>
              <w:szCs w:val="24"/>
            </w:rPr>
            <w:t xml:space="preserve">3.2. </w:t>
          </w:r>
          <w:r>
            <w:rPr>
              <w:rFonts w:hint="eastAsia" w:ascii="仿宋" w:hAnsi="仿宋" w:eastAsia="仿宋"/>
              <w:szCs w:val="24"/>
            </w:rPr>
            <w:t>基础参数</w:t>
          </w:r>
          <w:r>
            <w:tab/>
          </w:r>
          <w:r>
            <w:fldChar w:fldCharType="begin"/>
          </w:r>
          <w:r>
            <w:instrText xml:space="preserve"> PAGEREF _Toc3929 \h </w:instrText>
          </w:r>
          <w:r>
            <w:fldChar w:fldCharType="separate"/>
          </w:r>
          <w:r>
            <w:t>4</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_Toc14186 </w:instrText>
          </w:r>
          <w:r>
            <w:rPr>
              <w:rFonts w:ascii="仿宋" w:hAnsi="仿宋" w:eastAsia="仿宋"/>
              <w:szCs w:val="24"/>
              <w:lang w:val="zh-CN"/>
            </w:rPr>
            <w:fldChar w:fldCharType="separate"/>
          </w:r>
          <w:r>
            <w:rPr>
              <w:rFonts w:hint="default" w:ascii="仿宋" w:hAnsi="仿宋" w:eastAsia="仿宋"/>
              <w:szCs w:val="24"/>
            </w:rPr>
            <w:t xml:space="preserve">4. </w:t>
          </w:r>
          <w:r>
            <w:rPr>
              <w:rFonts w:hint="eastAsia" w:ascii="仿宋" w:hAnsi="仿宋" w:eastAsia="仿宋"/>
              <w:szCs w:val="24"/>
            </w:rPr>
            <w:t>合作模式</w:t>
          </w:r>
          <w:r>
            <w:tab/>
          </w:r>
          <w:r>
            <w:fldChar w:fldCharType="begin"/>
          </w:r>
          <w:r>
            <w:instrText xml:space="preserve"> PAGEREF _Toc14186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_Toc12174 </w:instrText>
          </w:r>
          <w:r>
            <w:rPr>
              <w:rFonts w:ascii="仿宋" w:hAnsi="仿宋" w:eastAsia="仿宋"/>
              <w:szCs w:val="24"/>
              <w:lang w:val="zh-CN"/>
            </w:rPr>
            <w:fldChar w:fldCharType="separate"/>
          </w:r>
          <w:r>
            <w:rPr>
              <w:rFonts w:hint="default" w:ascii="仿宋" w:hAnsi="仿宋" w:eastAsia="仿宋"/>
            </w:rPr>
            <w:t xml:space="preserve">4.1. </w:t>
          </w:r>
          <w:r>
            <w:rPr>
              <w:rFonts w:ascii="仿宋" w:hAnsi="仿宋" w:eastAsia="仿宋"/>
            </w:rPr>
            <w:t>合同的签订事宜</w:t>
          </w:r>
          <w:r>
            <w:tab/>
          </w:r>
          <w:r>
            <w:fldChar w:fldCharType="begin"/>
          </w:r>
          <w:r>
            <w:instrText xml:space="preserve"> PAGEREF _Toc12174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_Toc17353 </w:instrText>
          </w:r>
          <w:r>
            <w:rPr>
              <w:rFonts w:ascii="仿宋" w:hAnsi="仿宋" w:eastAsia="仿宋"/>
              <w:szCs w:val="24"/>
              <w:lang w:val="zh-CN"/>
            </w:rPr>
            <w:fldChar w:fldCharType="separate"/>
          </w:r>
          <w:r>
            <w:rPr>
              <w:rFonts w:hint="default" w:ascii="仿宋" w:hAnsi="仿宋" w:eastAsia="仿宋"/>
            </w:rPr>
            <w:t xml:space="preserve">4.2. </w:t>
          </w:r>
          <w:r>
            <w:rPr>
              <w:rFonts w:ascii="仿宋" w:hAnsi="仿宋" w:eastAsia="仿宋"/>
            </w:rPr>
            <w:t>费用结算事宜</w:t>
          </w:r>
          <w:r>
            <w:tab/>
          </w:r>
          <w:r>
            <w:fldChar w:fldCharType="begin"/>
          </w:r>
          <w:r>
            <w:instrText xml:space="preserve"> PAGEREF _Toc17353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_Toc26638 </w:instrText>
          </w:r>
          <w:r>
            <w:rPr>
              <w:rFonts w:ascii="仿宋" w:hAnsi="仿宋" w:eastAsia="仿宋"/>
              <w:szCs w:val="24"/>
              <w:lang w:val="zh-CN"/>
            </w:rPr>
            <w:fldChar w:fldCharType="separate"/>
          </w:r>
          <w:r>
            <w:rPr>
              <w:rFonts w:hint="default" w:ascii="仿宋" w:hAnsi="仿宋" w:eastAsia="仿宋"/>
            </w:rPr>
            <w:t xml:space="preserve">4.3. </w:t>
          </w:r>
          <w:r>
            <w:rPr>
              <w:rFonts w:ascii="仿宋" w:hAnsi="仿宋" w:eastAsia="仿宋"/>
            </w:rPr>
            <w:t>费用支付方式</w:t>
          </w:r>
          <w:r>
            <w:tab/>
          </w:r>
          <w:r>
            <w:fldChar w:fldCharType="begin"/>
          </w:r>
          <w:r>
            <w:instrText xml:space="preserve"> PAGEREF _Toc26638 \h </w:instrText>
          </w:r>
          <w:r>
            <w:fldChar w:fldCharType="separate"/>
          </w:r>
          <w:r>
            <w:t>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_Toc5009 </w:instrText>
          </w:r>
          <w:r>
            <w:rPr>
              <w:rFonts w:ascii="仿宋" w:hAnsi="仿宋" w:eastAsia="仿宋"/>
              <w:szCs w:val="24"/>
              <w:lang w:val="zh-CN"/>
            </w:rPr>
            <w:fldChar w:fldCharType="separate"/>
          </w:r>
          <w:r>
            <w:rPr>
              <w:rFonts w:hint="default" w:ascii="仿宋" w:hAnsi="仿宋" w:eastAsia="仿宋"/>
              <w:szCs w:val="24"/>
            </w:rPr>
            <w:t xml:space="preserve">4.4. </w:t>
          </w:r>
          <w:r>
            <w:rPr>
              <w:rFonts w:hint="eastAsia" w:ascii="仿宋" w:hAnsi="仿宋" w:eastAsia="仿宋"/>
              <w:bCs/>
              <w:szCs w:val="24"/>
            </w:rPr>
            <w:t>系统、人员、场地、设备、能源事宜</w:t>
          </w:r>
          <w:r>
            <w:tab/>
          </w:r>
          <w:r>
            <w:fldChar w:fldCharType="begin"/>
          </w:r>
          <w:r>
            <w:instrText xml:space="preserve"> PAGEREF _Toc5009 \h </w:instrText>
          </w:r>
          <w:r>
            <w:fldChar w:fldCharType="separate"/>
          </w:r>
          <w:r>
            <w:t>4</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_Toc22150 </w:instrText>
          </w:r>
          <w:r>
            <w:rPr>
              <w:rFonts w:ascii="仿宋" w:hAnsi="仿宋" w:eastAsia="仿宋"/>
              <w:szCs w:val="24"/>
              <w:lang w:val="zh-CN"/>
            </w:rPr>
            <w:fldChar w:fldCharType="separate"/>
          </w:r>
          <w:r>
            <w:rPr>
              <w:rFonts w:hint="default" w:ascii="仿宋" w:hAnsi="仿宋" w:eastAsia="仿宋"/>
              <w:szCs w:val="24"/>
            </w:rPr>
            <w:t xml:space="preserve">5. </w:t>
          </w:r>
          <w:r>
            <w:rPr>
              <w:rFonts w:hint="eastAsia" w:ascii="仿宋" w:hAnsi="仿宋" w:eastAsia="仿宋"/>
              <w:szCs w:val="24"/>
            </w:rPr>
            <w:t>供应商资质能力审查</w:t>
          </w:r>
          <w:r>
            <w:tab/>
          </w:r>
          <w:r>
            <w:fldChar w:fldCharType="begin"/>
          </w:r>
          <w:r>
            <w:instrText xml:space="preserve"> PAGEREF _Toc22150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_Toc20957 </w:instrText>
          </w:r>
          <w:r>
            <w:rPr>
              <w:rFonts w:ascii="仿宋" w:hAnsi="仿宋" w:eastAsia="仿宋"/>
              <w:szCs w:val="24"/>
              <w:lang w:val="zh-CN"/>
            </w:rPr>
            <w:fldChar w:fldCharType="separate"/>
          </w:r>
          <w:r>
            <w:rPr>
              <w:rFonts w:hint="eastAsia" w:ascii="仿宋" w:hAnsi="仿宋" w:eastAsia="仿宋"/>
              <w:szCs w:val="24"/>
            </w:rPr>
            <w:t>5.1供应商准入条件</w:t>
          </w:r>
          <w:r>
            <w:tab/>
          </w:r>
          <w:r>
            <w:fldChar w:fldCharType="begin"/>
          </w:r>
          <w:r>
            <w:instrText xml:space="preserve"> PAGEREF _Toc20957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_Toc5411 </w:instrText>
          </w:r>
          <w:r>
            <w:rPr>
              <w:rFonts w:ascii="仿宋" w:hAnsi="仿宋" w:eastAsia="仿宋"/>
              <w:szCs w:val="24"/>
              <w:lang w:val="zh-CN"/>
            </w:rPr>
            <w:fldChar w:fldCharType="separate"/>
          </w:r>
          <w:r>
            <w:rPr>
              <w:rFonts w:hint="eastAsia" w:ascii="仿宋" w:hAnsi="仿宋" w:eastAsia="仿宋"/>
              <w:szCs w:val="24"/>
            </w:rPr>
            <w:t>5.2为保证外包服务商公司的合格性，外包服务商公司应向我公司提供以下资料：</w:t>
          </w:r>
          <w:r>
            <w:tab/>
          </w:r>
          <w:r>
            <w:fldChar w:fldCharType="begin"/>
          </w:r>
          <w:r>
            <w:instrText xml:space="preserve"> PAGEREF _Toc5411 \h </w:instrText>
          </w:r>
          <w:r>
            <w:fldChar w:fldCharType="separate"/>
          </w:r>
          <w:r>
            <w:t>6</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_Toc26022 </w:instrText>
          </w:r>
          <w:r>
            <w:rPr>
              <w:rFonts w:ascii="仿宋" w:hAnsi="仿宋" w:eastAsia="仿宋"/>
              <w:szCs w:val="24"/>
              <w:lang w:val="zh-CN"/>
            </w:rPr>
            <w:fldChar w:fldCharType="separate"/>
          </w:r>
          <w:r>
            <w:rPr>
              <w:rFonts w:hint="eastAsia" w:ascii="仿宋" w:hAnsi="仿宋" w:eastAsia="仿宋"/>
              <w:szCs w:val="24"/>
            </w:rPr>
            <w:t>6、业务运作需求</w:t>
          </w:r>
          <w:r>
            <w:tab/>
          </w:r>
          <w:r>
            <w:fldChar w:fldCharType="begin"/>
          </w:r>
          <w:r>
            <w:instrText xml:space="preserve"> PAGEREF _Toc26022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_Toc13963 </w:instrText>
          </w:r>
          <w:r>
            <w:rPr>
              <w:rFonts w:ascii="仿宋" w:hAnsi="仿宋" w:eastAsia="仿宋"/>
              <w:szCs w:val="24"/>
              <w:lang w:val="zh-CN"/>
            </w:rPr>
            <w:fldChar w:fldCharType="separate"/>
          </w:r>
          <w:r>
            <w:rPr>
              <w:rFonts w:hint="eastAsia" w:ascii="仿宋" w:hAnsi="仿宋" w:eastAsia="仿宋"/>
              <w:szCs w:val="24"/>
            </w:rPr>
            <w:t>6.1乙方人员要求</w:t>
          </w:r>
          <w:r>
            <w:tab/>
          </w:r>
          <w:r>
            <w:fldChar w:fldCharType="begin"/>
          </w:r>
          <w:r>
            <w:instrText xml:space="preserve"> PAGEREF _Toc13963 \h </w:instrText>
          </w:r>
          <w:r>
            <w:fldChar w:fldCharType="separate"/>
          </w:r>
          <w:r>
            <w:t>6</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_Toc2112 </w:instrText>
          </w:r>
          <w:r>
            <w:rPr>
              <w:rFonts w:ascii="仿宋" w:hAnsi="仿宋" w:eastAsia="仿宋"/>
              <w:szCs w:val="24"/>
              <w:lang w:val="zh-CN"/>
            </w:rPr>
            <w:fldChar w:fldCharType="separate"/>
          </w:r>
          <w:r>
            <w:rPr>
              <w:rFonts w:ascii="仿宋" w:hAnsi="仿宋" w:eastAsia="仿宋" w:cs="仿宋_GB2312"/>
              <w:kern w:val="44"/>
            </w:rPr>
            <w:t>6.2运作体系</w:t>
          </w:r>
          <w:r>
            <w:tab/>
          </w:r>
          <w:r>
            <w:fldChar w:fldCharType="begin"/>
          </w:r>
          <w:r>
            <w:instrText xml:space="preserve"> PAGEREF _Toc2112 \h </w:instrText>
          </w:r>
          <w:r>
            <w:fldChar w:fldCharType="separate"/>
          </w:r>
          <w:r>
            <w:t>7</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_Toc25320 </w:instrText>
          </w:r>
          <w:r>
            <w:rPr>
              <w:rFonts w:ascii="仿宋" w:hAnsi="仿宋" w:eastAsia="仿宋"/>
              <w:szCs w:val="24"/>
              <w:lang w:val="zh-CN"/>
            </w:rPr>
            <w:fldChar w:fldCharType="separate"/>
          </w:r>
          <w:r>
            <w:rPr>
              <w:rFonts w:hint="eastAsia" w:ascii="仿宋" w:hAnsi="仿宋" w:eastAsia="仿宋"/>
              <w:szCs w:val="24"/>
            </w:rPr>
            <w:t>6.3系统要求</w:t>
          </w:r>
          <w:r>
            <w:tab/>
          </w:r>
          <w:r>
            <w:fldChar w:fldCharType="begin"/>
          </w:r>
          <w:r>
            <w:instrText xml:space="preserve"> PAGEREF _Toc25320 \h </w:instrText>
          </w:r>
          <w:r>
            <w:fldChar w:fldCharType="separate"/>
          </w:r>
          <w:r>
            <w:t>8</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_Toc19653 </w:instrText>
          </w:r>
          <w:r>
            <w:rPr>
              <w:rFonts w:ascii="仿宋" w:hAnsi="仿宋" w:eastAsia="仿宋"/>
              <w:szCs w:val="24"/>
              <w:lang w:val="zh-CN"/>
            </w:rPr>
            <w:fldChar w:fldCharType="separate"/>
          </w:r>
          <w:r>
            <w:rPr>
              <w:rFonts w:hint="eastAsia" w:ascii="仿宋" w:hAnsi="仿宋" w:eastAsia="仿宋"/>
              <w:szCs w:val="24"/>
            </w:rPr>
            <w:t>6.4</w:t>
          </w:r>
          <w:r>
            <w:rPr>
              <w:rFonts w:hint="eastAsia" w:ascii="仿宋" w:hAnsi="仿宋" w:eastAsia="仿宋" w:cs="仿宋_GB2312"/>
              <w:kern w:val="44"/>
            </w:rPr>
            <w:t>场地/设备要求及资产权属</w:t>
          </w:r>
          <w:r>
            <w:tab/>
          </w:r>
          <w:r>
            <w:fldChar w:fldCharType="begin"/>
          </w:r>
          <w:r>
            <w:instrText xml:space="preserve"> PAGEREF _Toc19653 \h </w:instrText>
          </w:r>
          <w:r>
            <w:fldChar w:fldCharType="separate"/>
          </w:r>
          <w:r>
            <w:t>8</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_Toc9755 </w:instrText>
          </w:r>
          <w:r>
            <w:rPr>
              <w:rFonts w:ascii="仿宋" w:hAnsi="仿宋" w:eastAsia="仿宋"/>
              <w:szCs w:val="24"/>
              <w:lang w:val="zh-CN"/>
            </w:rPr>
            <w:fldChar w:fldCharType="separate"/>
          </w:r>
          <w:r>
            <w:rPr>
              <w:rFonts w:hint="eastAsia" w:ascii="仿宋" w:hAnsi="仿宋" w:eastAsia="仿宋"/>
              <w:szCs w:val="24"/>
            </w:rPr>
            <w:t>6.5账实管理</w:t>
          </w:r>
          <w:r>
            <w:tab/>
          </w:r>
          <w:r>
            <w:fldChar w:fldCharType="begin"/>
          </w:r>
          <w:r>
            <w:instrText xml:space="preserve"> PAGEREF _Toc9755 \h </w:instrText>
          </w:r>
          <w:r>
            <w:fldChar w:fldCharType="separate"/>
          </w:r>
          <w:r>
            <w:t>8</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_Toc2052 </w:instrText>
          </w:r>
          <w:r>
            <w:rPr>
              <w:rFonts w:ascii="仿宋" w:hAnsi="仿宋" w:eastAsia="仿宋"/>
              <w:szCs w:val="24"/>
              <w:lang w:val="zh-CN"/>
            </w:rPr>
            <w:fldChar w:fldCharType="separate"/>
          </w:r>
          <w:r>
            <w:rPr>
              <w:rFonts w:hint="eastAsia" w:ascii="仿宋" w:hAnsi="仿宋" w:eastAsia="仿宋"/>
              <w:szCs w:val="24"/>
            </w:rPr>
            <w:t>6.6现场运作管理</w:t>
          </w:r>
          <w:r>
            <w:tab/>
          </w:r>
          <w:r>
            <w:fldChar w:fldCharType="begin"/>
          </w:r>
          <w:r>
            <w:instrText xml:space="preserve"> PAGEREF _Toc2052 \h </w:instrText>
          </w:r>
          <w:r>
            <w:fldChar w:fldCharType="separate"/>
          </w:r>
          <w:r>
            <w:t>9</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_Toc16510 </w:instrText>
          </w:r>
          <w:r>
            <w:rPr>
              <w:rFonts w:ascii="仿宋" w:hAnsi="仿宋" w:eastAsia="仿宋"/>
              <w:szCs w:val="24"/>
              <w:lang w:val="zh-CN"/>
            </w:rPr>
            <w:fldChar w:fldCharType="separate"/>
          </w:r>
          <w:r>
            <w:rPr>
              <w:rFonts w:hint="eastAsia" w:ascii="仿宋" w:hAnsi="仿宋" w:eastAsia="仿宋"/>
              <w:szCs w:val="24"/>
            </w:rPr>
            <w:t>6.7盛具管理</w:t>
          </w:r>
          <w:r>
            <w:tab/>
          </w:r>
          <w:r>
            <w:fldChar w:fldCharType="begin"/>
          </w:r>
          <w:r>
            <w:instrText xml:space="preserve"> PAGEREF _Toc16510 \h </w:instrText>
          </w:r>
          <w:r>
            <w:fldChar w:fldCharType="separate"/>
          </w:r>
          <w:r>
            <w:t>13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_Toc17569 </w:instrText>
          </w:r>
          <w:r>
            <w:rPr>
              <w:rFonts w:ascii="仿宋" w:hAnsi="仿宋" w:eastAsia="仿宋"/>
              <w:szCs w:val="24"/>
              <w:lang w:val="zh-CN"/>
            </w:rPr>
            <w:fldChar w:fldCharType="separate"/>
          </w:r>
          <w:r>
            <w:rPr>
              <w:rFonts w:hint="eastAsia" w:ascii="仿宋" w:hAnsi="仿宋" w:eastAsia="仿宋"/>
              <w:szCs w:val="24"/>
            </w:rPr>
            <w:t>6.8异常紧急情况处理</w:t>
          </w:r>
          <w:r>
            <w:tab/>
          </w:r>
          <w:r>
            <w:fldChar w:fldCharType="begin"/>
          </w:r>
          <w:r>
            <w:instrText xml:space="preserve"> PAGEREF _Toc17569 \h </w:instrText>
          </w:r>
          <w:r>
            <w:fldChar w:fldCharType="separate"/>
          </w:r>
          <w:r>
            <w:t>13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_Toc5871 </w:instrText>
          </w:r>
          <w:r>
            <w:rPr>
              <w:rFonts w:ascii="仿宋" w:hAnsi="仿宋" w:eastAsia="仿宋"/>
              <w:szCs w:val="24"/>
              <w:lang w:val="zh-CN"/>
            </w:rPr>
            <w:fldChar w:fldCharType="separate"/>
          </w:r>
          <w:r>
            <w:rPr>
              <w:rFonts w:hint="eastAsia" w:ascii="仿宋" w:hAnsi="仿宋" w:eastAsia="仿宋"/>
              <w:szCs w:val="24"/>
            </w:rPr>
            <w:t>6.9物流安全管理</w:t>
          </w:r>
          <w:r>
            <w:tab/>
          </w:r>
          <w:r>
            <w:fldChar w:fldCharType="begin"/>
          </w:r>
          <w:r>
            <w:instrText xml:space="preserve"> PAGEREF _Toc5871 \h </w:instrText>
          </w:r>
          <w:r>
            <w:fldChar w:fldCharType="separate"/>
          </w:r>
          <w:r>
            <w:t>13</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_Toc3474 </w:instrText>
          </w:r>
          <w:r>
            <w:rPr>
              <w:rFonts w:ascii="仿宋" w:hAnsi="仿宋" w:eastAsia="仿宋"/>
              <w:szCs w:val="24"/>
              <w:lang w:val="zh-CN"/>
            </w:rPr>
            <w:fldChar w:fldCharType="separate"/>
          </w:r>
          <w:r>
            <w:rPr>
              <w:rFonts w:ascii="仿宋" w:hAnsi="仿宋" w:eastAsia="仿宋" w:cs="仿宋_GB2312"/>
              <w:kern w:val="44"/>
            </w:rPr>
            <w:t>6.10 废弃物处理</w:t>
          </w:r>
          <w:r>
            <w:tab/>
          </w:r>
          <w:r>
            <w:fldChar w:fldCharType="begin"/>
          </w:r>
          <w:r>
            <w:instrText xml:space="preserve"> PAGEREF _Toc3474 \h </w:instrText>
          </w:r>
          <w:r>
            <w:fldChar w:fldCharType="separate"/>
          </w:r>
          <w:r>
            <w:t>14</w:t>
          </w:r>
          <w:r>
            <w:fldChar w:fldCharType="end"/>
          </w:r>
          <w:r>
            <w:rPr>
              <w:rFonts w:ascii="仿宋" w:hAnsi="仿宋" w:eastAsia="仿宋"/>
              <w:szCs w:val="24"/>
              <w:lang w:val="zh-CN"/>
            </w:rPr>
            <w:fldChar w:fldCharType="end"/>
          </w:r>
        </w:p>
        <w:p>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_Toc1013 </w:instrText>
          </w:r>
          <w:r>
            <w:rPr>
              <w:rFonts w:ascii="仿宋" w:hAnsi="仿宋" w:eastAsia="仿宋"/>
              <w:szCs w:val="24"/>
              <w:lang w:val="zh-CN"/>
            </w:rPr>
            <w:fldChar w:fldCharType="separate"/>
          </w:r>
          <w:r>
            <w:rPr>
              <w:rFonts w:hint="eastAsia" w:ascii="仿宋" w:hAnsi="仿宋" w:eastAsia="仿宋"/>
              <w:szCs w:val="24"/>
            </w:rPr>
            <w:t>6.11 退出机制</w:t>
          </w:r>
          <w:r>
            <w:tab/>
          </w:r>
          <w:r>
            <w:fldChar w:fldCharType="begin"/>
          </w:r>
          <w:r>
            <w:instrText xml:space="preserve"> PAGEREF _Toc1013 \h </w:instrText>
          </w:r>
          <w:r>
            <w:fldChar w:fldCharType="separate"/>
          </w:r>
          <w:r>
            <w:t>15</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_Toc26905 </w:instrText>
          </w:r>
          <w:r>
            <w:rPr>
              <w:rFonts w:ascii="仿宋" w:hAnsi="仿宋" w:eastAsia="仿宋"/>
              <w:szCs w:val="24"/>
              <w:lang w:val="zh-CN"/>
            </w:rPr>
            <w:fldChar w:fldCharType="separate"/>
          </w:r>
          <w:r>
            <w:rPr>
              <w:rFonts w:hint="eastAsia" w:ascii="仿宋" w:hAnsi="仿宋" w:eastAsia="仿宋"/>
              <w:szCs w:val="24"/>
            </w:rPr>
            <w:t>7、KPI考核</w:t>
          </w:r>
          <w:r>
            <w:tab/>
          </w:r>
          <w:r>
            <w:fldChar w:fldCharType="begin"/>
          </w:r>
          <w:r>
            <w:instrText xml:space="preserve"> PAGEREF _Toc26905 \h </w:instrText>
          </w:r>
          <w:r>
            <w:fldChar w:fldCharType="separate"/>
          </w:r>
          <w:r>
            <w:t>15</w:t>
          </w:r>
          <w:r>
            <w:fldChar w:fldCharType="end"/>
          </w:r>
          <w:r>
            <w:rPr>
              <w:rFonts w:ascii="仿宋" w:hAnsi="仿宋" w:eastAsia="仿宋"/>
              <w:szCs w:val="24"/>
              <w:lang w:val="zh-CN"/>
            </w:rPr>
            <w:fldChar w:fldCharType="end"/>
          </w:r>
        </w:p>
        <w:p>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_Toc6969 </w:instrText>
          </w:r>
          <w:r>
            <w:rPr>
              <w:rFonts w:ascii="仿宋" w:hAnsi="仿宋" w:eastAsia="仿宋"/>
              <w:szCs w:val="24"/>
              <w:lang w:val="zh-CN"/>
            </w:rPr>
            <w:fldChar w:fldCharType="separate"/>
          </w:r>
          <w:r>
            <w:rPr>
              <w:rFonts w:hint="eastAsia" w:ascii="仿宋" w:hAnsi="仿宋" w:eastAsia="仿宋"/>
              <w:szCs w:val="24"/>
            </w:rPr>
            <w:t>8、知识产权及保密</w:t>
          </w:r>
          <w:r>
            <w:tab/>
          </w:r>
          <w:r>
            <w:fldChar w:fldCharType="begin"/>
          </w:r>
          <w:r>
            <w:instrText xml:space="preserve"> PAGEREF _Toc6969 \h </w:instrText>
          </w:r>
          <w:r>
            <w:fldChar w:fldCharType="separate"/>
          </w:r>
          <w:r>
            <w:t>15</w:t>
          </w:r>
          <w:r>
            <w:fldChar w:fldCharType="end"/>
          </w:r>
          <w:r>
            <w:rPr>
              <w:rFonts w:ascii="仿宋" w:hAnsi="仿宋" w:eastAsia="仿宋"/>
              <w:szCs w:val="24"/>
              <w:lang w:val="zh-CN"/>
            </w:rPr>
            <w:fldChar w:fldCharType="end"/>
          </w:r>
        </w:p>
        <w:p>
          <w:pPr>
            <w:spacing w:line="360" w:lineRule="auto"/>
            <w:rPr>
              <w:rFonts w:ascii="仿宋" w:hAnsi="仿宋" w:eastAsia="仿宋"/>
              <w:szCs w:val="24"/>
              <w:lang w:val="zh-CN"/>
            </w:rPr>
          </w:pPr>
          <w:r>
            <w:rPr>
              <w:rFonts w:ascii="仿宋" w:hAnsi="仿宋" w:eastAsia="仿宋"/>
              <w:szCs w:val="24"/>
              <w:lang w:val="zh-CN"/>
            </w:rPr>
            <w:fldChar w:fldCharType="end"/>
          </w:r>
        </w:p>
      </w:sdtContent>
    </w:sdt>
    <w:p>
      <w:pPr>
        <w:spacing w:line="360" w:lineRule="auto"/>
        <w:rPr>
          <w:rFonts w:ascii="仿宋" w:hAnsi="仿宋" w:eastAsia="仿宋"/>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spacing w:line="360" w:lineRule="auto"/>
        <w:rPr>
          <w:rFonts w:ascii="仿宋" w:hAnsi="仿宋" w:eastAsia="仿宋"/>
          <w:sz w:val="24"/>
          <w:szCs w:val="24"/>
          <w:lang w:val="zh-CN"/>
        </w:rPr>
      </w:pPr>
    </w:p>
    <w:p>
      <w:pPr>
        <w:pStyle w:val="131"/>
        <w:numPr>
          <w:ilvl w:val="0"/>
          <w:numId w:val="10"/>
        </w:numPr>
        <w:spacing w:line="360" w:lineRule="auto"/>
        <w:ind w:firstLineChars="0"/>
        <w:jc w:val="left"/>
        <w:outlineLvl w:val="0"/>
        <w:rPr>
          <w:rFonts w:ascii="仿宋" w:hAnsi="仿宋" w:eastAsia="仿宋"/>
          <w:b/>
          <w:sz w:val="24"/>
          <w:szCs w:val="24"/>
        </w:rPr>
      </w:pPr>
      <w:bookmarkStart w:id="96" w:name="_Toc25754"/>
      <w:r>
        <w:rPr>
          <w:rFonts w:hint="eastAsia" w:ascii="仿宋" w:hAnsi="仿宋" w:eastAsia="仿宋"/>
          <w:b/>
          <w:sz w:val="24"/>
          <w:szCs w:val="24"/>
        </w:rPr>
        <w:t>目的</w:t>
      </w:r>
      <w:bookmarkEnd w:id="96"/>
    </w:p>
    <w:p>
      <w:pPr>
        <w:spacing w:line="360" w:lineRule="auto"/>
        <w:ind w:firstLine="480" w:firstLineChars="200"/>
        <w:rPr>
          <w:rFonts w:ascii="仿宋" w:hAnsi="仿宋" w:eastAsia="仿宋"/>
          <w:sz w:val="24"/>
          <w:szCs w:val="24"/>
        </w:rPr>
      </w:pPr>
      <w:r>
        <w:rPr>
          <w:rFonts w:hint="eastAsia" w:ascii="仿宋" w:hAnsi="仿宋" w:eastAsia="仿宋"/>
          <w:sz w:val="24"/>
          <w:szCs w:val="24"/>
        </w:rPr>
        <w:t>本任务书适用于</w:t>
      </w:r>
      <w:r>
        <w:rPr>
          <w:rFonts w:hint="eastAsia" w:ascii="仿宋" w:hAnsi="仿宋" w:eastAsia="仿宋"/>
          <w:sz w:val="24"/>
          <w:szCs w:val="24"/>
          <w:lang w:val="en-US" w:eastAsia="zh-CN"/>
        </w:rPr>
        <w:t>轻型汽车销售部</w:t>
      </w:r>
      <w:r>
        <w:rPr>
          <w:rFonts w:hint="eastAsia" w:ascii="仿宋" w:hAnsi="仿宋" w:eastAsia="仿宋"/>
          <w:sz w:val="24"/>
          <w:szCs w:val="24"/>
        </w:rPr>
        <w:t>对</w:t>
      </w:r>
      <w:r>
        <w:rPr>
          <w:rFonts w:hint="eastAsia" w:ascii="仿宋" w:hAnsi="仿宋" w:eastAsia="仿宋"/>
          <w:sz w:val="24"/>
          <w:szCs w:val="24"/>
          <w:lang w:val="en-US" w:eastAsia="zh-CN"/>
        </w:rPr>
        <w:t>客户服务中心售后备件库房</w:t>
      </w:r>
      <w:r>
        <w:rPr>
          <w:rFonts w:hint="eastAsia" w:ascii="仿宋" w:hAnsi="仿宋" w:eastAsia="仿宋"/>
          <w:sz w:val="24"/>
          <w:szCs w:val="24"/>
        </w:rPr>
        <w:t>（</w:t>
      </w:r>
      <w:r>
        <w:rPr>
          <w:rFonts w:hint="eastAsia" w:ascii="仿宋" w:hAnsi="仿宋" w:eastAsia="仿宋"/>
          <w:sz w:val="24"/>
          <w:szCs w:val="24"/>
          <w:lang w:val="en-US" w:eastAsia="zh-CN"/>
        </w:rPr>
        <w:t>包含重庆双福和章丘库房</w:t>
      </w:r>
      <w:r>
        <w:rPr>
          <w:rFonts w:ascii="仿宋" w:hAnsi="仿宋" w:eastAsia="仿宋"/>
          <w:sz w:val="24"/>
          <w:szCs w:val="24"/>
        </w:rPr>
        <w:t>）</w:t>
      </w:r>
      <w:r>
        <w:rPr>
          <w:rFonts w:hint="eastAsia" w:ascii="仿宋" w:hAnsi="仿宋" w:eastAsia="仿宋"/>
          <w:sz w:val="24"/>
          <w:szCs w:val="24"/>
          <w:lang w:val="en-US" w:eastAsia="zh-CN"/>
        </w:rPr>
        <w:t>和</w:t>
      </w:r>
      <w:r>
        <w:rPr>
          <w:rFonts w:hint="eastAsia" w:ascii="仿宋" w:hAnsi="仿宋" w:eastAsia="仿宋"/>
          <w:sz w:val="24"/>
          <w:szCs w:val="24"/>
        </w:rPr>
        <w:t>第三方公司(以下简称外包服务商)进行商务谈判前使用。旨在让参与企业了解本</w:t>
      </w:r>
      <w:r>
        <w:rPr>
          <w:rFonts w:hint="eastAsia" w:ascii="仿宋" w:hAnsi="仿宋" w:eastAsia="仿宋"/>
          <w:sz w:val="24"/>
          <w:szCs w:val="24"/>
          <w:lang w:val="en-US" w:eastAsia="zh-CN"/>
        </w:rPr>
        <w:t>本次</w:t>
      </w:r>
      <w:r>
        <w:rPr>
          <w:rFonts w:hint="eastAsia" w:ascii="仿宋" w:hAnsi="仿宋" w:eastAsia="仿宋"/>
          <w:sz w:val="24"/>
          <w:szCs w:val="24"/>
        </w:rPr>
        <w:t>外包的范围以及对</w:t>
      </w:r>
      <w:r>
        <w:rPr>
          <w:rFonts w:hint="eastAsia" w:ascii="仿宋" w:hAnsi="仿宋" w:eastAsia="仿宋"/>
          <w:sz w:val="24"/>
          <w:szCs w:val="24"/>
          <w:lang w:val="en-US" w:eastAsia="zh-CN"/>
        </w:rPr>
        <w:t>外包</w:t>
      </w:r>
      <w:r>
        <w:rPr>
          <w:rFonts w:hint="eastAsia" w:ascii="仿宋" w:hAnsi="仿宋" w:eastAsia="仿宋"/>
          <w:sz w:val="24"/>
          <w:szCs w:val="24"/>
        </w:rPr>
        <w:t>公司的要求，</w:t>
      </w:r>
      <w:r>
        <w:rPr>
          <w:rFonts w:hint="eastAsia" w:ascii="仿宋" w:hAnsi="仿宋" w:eastAsia="仿宋"/>
          <w:sz w:val="24"/>
          <w:szCs w:val="24"/>
          <w:lang w:val="en-US" w:eastAsia="zh-CN"/>
        </w:rPr>
        <w:t>外包</w:t>
      </w:r>
      <w:r>
        <w:rPr>
          <w:rFonts w:hint="eastAsia" w:ascii="仿宋" w:hAnsi="仿宋" w:eastAsia="仿宋"/>
          <w:sz w:val="24"/>
          <w:szCs w:val="24"/>
        </w:rPr>
        <w:t>公司以此为参考，参与本</w:t>
      </w:r>
      <w:r>
        <w:rPr>
          <w:rFonts w:hint="eastAsia" w:ascii="仿宋" w:hAnsi="仿宋" w:eastAsia="仿宋"/>
          <w:sz w:val="24"/>
          <w:szCs w:val="24"/>
          <w:lang w:val="en-US" w:eastAsia="zh-CN"/>
        </w:rPr>
        <w:t>次</w:t>
      </w:r>
      <w:r>
        <w:rPr>
          <w:rFonts w:hint="eastAsia" w:ascii="仿宋" w:hAnsi="仿宋" w:eastAsia="仿宋"/>
          <w:sz w:val="24"/>
          <w:szCs w:val="24"/>
        </w:rPr>
        <w:t>的物流商务谈判工作。文中甲方代表</w:t>
      </w:r>
      <w:r>
        <w:rPr>
          <w:rFonts w:hint="eastAsia" w:ascii="仿宋" w:hAnsi="仿宋" w:eastAsia="仿宋"/>
          <w:sz w:val="24"/>
          <w:szCs w:val="24"/>
          <w:lang w:val="en-US" w:eastAsia="zh-CN"/>
        </w:rPr>
        <w:t>中国重汽集团济南商用车有限公司轻型汽车销售部</w:t>
      </w:r>
      <w:r>
        <w:rPr>
          <w:rFonts w:hint="eastAsia" w:ascii="仿宋" w:hAnsi="仿宋" w:eastAsia="仿宋"/>
          <w:sz w:val="24"/>
          <w:szCs w:val="24"/>
        </w:rPr>
        <w:t>，乙方代表</w:t>
      </w:r>
      <w:r>
        <w:rPr>
          <w:rFonts w:hint="eastAsia" w:ascii="仿宋" w:hAnsi="仿宋" w:eastAsia="仿宋"/>
          <w:sz w:val="24"/>
          <w:szCs w:val="24"/>
          <w:lang w:val="en-US" w:eastAsia="zh-CN"/>
        </w:rPr>
        <w:t>外包公司</w:t>
      </w:r>
      <w:r>
        <w:rPr>
          <w:rFonts w:hint="eastAsia" w:ascii="仿宋" w:hAnsi="仿宋" w:eastAsia="仿宋"/>
          <w:sz w:val="24"/>
          <w:szCs w:val="24"/>
        </w:rPr>
        <w:t>，即中标方。)</w:t>
      </w:r>
    </w:p>
    <w:p>
      <w:pPr>
        <w:pStyle w:val="131"/>
        <w:numPr>
          <w:ilvl w:val="0"/>
          <w:numId w:val="10"/>
        </w:numPr>
        <w:spacing w:line="360" w:lineRule="auto"/>
        <w:ind w:firstLineChars="0"/>
        <w:jc w:val="left"/>
        <w:outlineLvl w:val="0"/>
        <w:rPr>
          <w:rFonts w:ascii="仿宋" w:hAnsi="仿宋" w:eastAsia="仿宋"/>
          <w:b/>
          <w:sz w:val="24"/>
          <w:szCs w:val="24"/>
        </w:rPr>
      </w:pPr>
      <w:bookmarkStart w:id="97" w:name="_Toc407115412"/>
      <w:bookmarkStart w:id="98" w:name="_Toc433101452"/>
      <w:bookmarkStart w:id="99" w:name="_Toc407116927"/>
      <w:bookmarkStart w:id="100" w:name="_Toc30043"/>
      <w:bookmarkStart w:id="101" w:name="_Toc407117164"/>
      <w:bookmarkStart w:id="102" w:name="_Toc407305763"/>
      <w:r>
        <w:rPr>
          <w:rFonts w:hint="eastAsia" w:ascii="仿宋" w:hAnsi="仿宋" w:eastAsia="仿宋"/>
          <w:b/>
          <w:sz w:val="24"/>
          <w:szCs w:val="24"/>
        </w:rPr>
        <w:t>概述</w:t>
      </w:r>
      <w:bookmarkEnd w:id="97"/>
      <w:bookmarkEnd w:id="98"/>
      <w:bookmarkEnd w:id="99"/>
      <w:bookmarkEnd w:id="100"/>
      <w:bookmarkEnd w:id="101"/>
      <w:bookmarkEnd w:id="102"/>
    </w:p>
    <w:p>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rPr>
        <w:t>甲方</w:t>
      </w:r>
      <w:r>
        <w:rPr>
          <w:rFonts w:hint="eastAsia" w:ascii="仿宋" w:hAnsi="仿宋" w:eastAsia="仿宋"/>
          <w:sz w:val="24"/>
          <w:szCs w:val="24"/>
          <w:lang w:val="en-US" w:eastAsia="zh-CN"/>
        </w:rPr>
        <w:t>重庆库房占地2000</w:t>
      </w:r>
      <w:r>
        <w:rPr>
          <w:rFonts w:hint="eastAsia" w:ascii="仿宋" w:hAnsi="仿宋" w:eastAsia="仿宋"/>
          <w:sz w:val="24"/>
          <w:szCs w:val="24"/>
        </w:rPr>
        <w:t>㎡，位于重庆市江津区双福工业园</w:t>
      </w:r>
      <w:r>
        <w:rPr>
          <w:rFonts w:ascii="仿宋" w:hAnsi="仿宋" w:eastAsia="仿宋"/>
          <w:sz w:val="24"/>
          <w:szCs w:val="24"/>
        </w:rPr>
        <w:t>，</w:t>
      </w:r>
      <w:r>
        <w:rPr>
          <w:rFonts w:hint="eastAsia" w:ascii="仿宋" w:hAnsi="仿宋" w:eastAsia="仿宋"/>
          <w:sz w:val="24"/>
          <w:szCs w:val="24"/>
        </w:rPr>
        <w:t>距重庆外环高速双福入口2KM，</w:t>
      </w:r>
      <w:r>
        <w:rPr>
          <w:rFonts w:ascii="仿宋" w:hAnsi="仿宋" w:eastAsia="仿宋"/>
          <w:sz w:val="24"/>
          <w:szCs w:val="24"/>
        </w:rPr>
        <w:t>交通便利。</w:t>
      </w:r>
      <w:r>
        <w:rPr>
          <w:rFonts w:hint="eastAsia" w:ascii="仿宋" w:hAnsi="仿宋" w:eastAsia="仿宋"/>
          <w:sz w:val="24"/>
          <w:szCs w:val="24"/>
          <w:lang w:val="en-US" w:eastAsia="zh-CN"/>
        </w:rPr>
        <w:t>主要储备</w:t>
      </w:r>
      <w:r>
        <w:rPr>
          <w:rFonts w:hint="eastAsia" w:ascii="仿宋" w:hAnsi="仿宋" w:eastAsia="仿宋"/>
          <w:sz w:val="24"/>
          <w:szCs w:val="24"/>
        </w:rPr>
        <w:t>SUV车型平台系列、VAN车型平台系列</w:t>
      </w:r>
      <w:r>
        <w:rPr>
          <w:rFonts w:hint="eastAsia" w:ascii="仿宋" w:hAnsi="仿宋" w:eastAsia="仿宋"/>
          <w:sz w:val="24"/>
          <w:szCs w:val="24"/>
          <w:lang w:val="en-US" w:eastAsia="zh-CN"/>
        </w:rPr>
        <w:t>配件，负责国内、国际配件储备和发运工作；</w:t>
      </w:r>
    </w:p>
    <w:p>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lang w:val="en-US" w:eastAsia="zh-CN"/>
        </w:rPr>
        <w:t>甲方章丘库房占地500</w:t>
      </w:r>
      <w:r>
        <w:rPr>
          <w:rFonts w:hint="eastAsia" w:ascii="仿宋" w:hAnsi="仿宋" w:eastAsia="仿宋"/>
          <w:sz w:val="24"/>
          <w:szCs w:val="24"/>
        </w:rPr>
        <w:t>㎡</w:t>
      </w:r>
      <w:r>
        <w:rPr>
          <w:rFonts w:hint="eastAsia" w:ascii="仿宋" w:hAnsi="仿宋" w:eastAsia="仿宋"/>
          <w:sz w:val="24"/>
          <w:szCs w:val="24"/>
          <w:lang w:val="en-US" w:eastAsia="zh-CN"/>
        </w:rPr>
        <w:t>在，位于济南市章丘区枣园街道小义田村中国重汽后市场公司仓库内。主要储备已经量产的R皮卡车型配件，负责国内、国际配件储备和发运工作。</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甲方</w:t>
      </w:r>
      <w:r>
        <w:rPr>
          <w:rFonts w:hint="eastAsia" w:ascii="仿宋" w:hAnsi="仿宋" w:eastAsia="仿宋"/>
          <w:sz w:val="24"/>
          <w:szCs w:val="24"/>
          <w:lang w:val="en-US" w:eastAsia="zh-CN"/>
        </w:rPr>
        <w:t>本次</w:t>
      </w:r>
      <w:r>
        <w:rPr>
          <w:rFonts w:hint="eastAsia" w:ascii="仿宋" w:hAnsi="仿宋" w:eastAsia="仿宋"/>
          <w:sz w:val="24"/>
          <w:szCs w:val="24"/>
        </w:rPr>
        <w:t>拟将</w:t>
      </w:r>
      <w:r>
        <w:rPr>
          <w:rFonts w:hint="eastAsia" w:ascii="仿宋" w:hAnsi="仿宋" w:eastAsia="仿宋"/>
          <w:sz w:val="24"/>
          <w:szCs w:val="24"/>
          <w:lang w:val="en-US" w:eastAsia="zh-CN"/>
        </w:rPr>
        <w:t>配件接收入库（配件整理上架、货位整理、信息系统入库、单据打印等）、配件领料（生产库房领取）、配件发运包装、配件发运物流交接（含信息系统出库操作）、配件账务管理、现场管理等</w:t>
      </w:r>
      <w:r>
        <w:rPr>
          <w:rFonts w:hint="eastAsia" w:ascii="仿宋" w:hAnsi="仿宋" w:eastAsia="仿宋"/>
          <w:sz w:val="24"/>
          <w:szCs w:val="24"/>
        </w:rPr>
        <w:t>服务外包给乙方。</w:t>
      </w:r>
    </w:p>
    <w:p>
      <w:pPr>
        <w:pStyle w:val="131"/>
        <w:numPr>
          <w:ilvl w:val="0"/>
          <w:numId w:val="10"/>
        </w:numPr>
        <w:spacing w:line="360" w:lineRule="auto"/>
        <w:ind w:firstLineChars="0"/>
        <w:jc w:val="left"/>
        <w:outlineLvl w:val="0"/>
        <w:rPr>
          <w:rFonts w:ascii="仿宋" w:hAnsi="仿宋" w:eastAsia="仿宋"/>
          <w:b/>
          <w:sz w:val="24"/>
          <w:szCs w:val="24"/>
        </w:rPr>
      </w:pPr>
      <w:bookmarkStart w:id="103" w:name="_Toc598"/>
      <w:r>
        <w:rPr>
          <w:rFonts w:hint="eastAsia" w:ascii="仿宋" w:hAnsi="仿宋" w:eastAsia="仿宋"/>
          <w:b/>
          <w:sz w:val="24"/>
          <w:szCs w:val="24"/>
        </w:rPr>
        <w:t>报价基础信息</w:t>
      </w:r>
      <w:bookmarkEnd w:id="103"/>
    </w:p>
    <w:p>
      <w:pPr>
        <w:numPr>
          <w:ilvl w:val="1"/>
          <w:numId w:val="10"/>
        </w:numPr>
        <w:spacing w:line="360" w:lineRule="auto"/>
        <w:outlineLvl w:val="1"/>
        <w:rPr>
          <w:rFonts w:ascii="仿宋" w:hAnsi="仿宋" w:eastAsia="仿宋"/>
          <w:sz w:val="24"/>
          <w:szCs w:val="24"/>
        </w:rPr>
      </w:pPr>
      <w:bookmarkStart w:id="104" w:name="_Toc21596"/>
      <w:r>
        <w:rPr>
          <w:rFonts w:hint="eastAsia" w:ascii="仿宋" w:hAnsi="仿宋" w:eastAsia="仿宋"/>
          <w:sz w:val="24"/>
          <w:szCs w:val="24"/>
          <w:lang w:val="en-US" w:eastAsia="zh-CN"/>
        </w:rPr>
        <w:t>仓储、包装</w:t>
      </w:r>
      <w:r>
        <w:rPr>
          <w:rFonts w:hint="eastAsia" w:ascii="仿宋" w:hAnsi="仿宋" w:eastAsia="仿宋"/>
          <w:sz w:val="24"/>
          <w:szCs w:val="24"/>
        </w:rPr>
        <w:t>服务范围</w:t>
      </w:r>
      <w:bookmarkEnd w:id="104"/>
    </w:p>
    <w:p>
      <w:pPr>
        <w:spacing w:line="360" w:lineRule="auto"/>
        <w:rPr>
          <w:rFonts w:hint="eastAsia" w:ascii="仿宋" w:hAnsi="仿宋" w:eastAsia="仿宋"/>
          <w:sz w:val="24"/>
          <w:szCs w:val="24"/>
          <w:lang w:val="en-US" w:eastAsia="zh-CN"/>
        </w:rPr>
      </w:pPr>
      <w:r>
        <w:rPr>
          <w:rFonts w:hint="eastAsia" w:ascii="仿宋" w:hAnsi="仿宋" w:eastAsia="仿宋"/>
          <w:sz w:val="24"/>
          <w:szCs w:val="24"/>
        </w:rPr>
        <w:t>3.1.1</w:t>
      </w:r>
      <w:r>
        <w:rPr>
          <w:rFonts w:hint="eastAsia" w:ascii="仿宋" w:hAnsi="仿宋" w:eastAsia="仿宋"/>
          <w:sz w:val="24"/>
          <w:szCs w:val="24"/>
          <w:lang w:val="en-US" w:eastAsia="zh-CN"/>
        </w:rPr>
        <w:t>入库</w:t>
      </w:r>
      <w:r>
        <w:rPr>
          <w:rFonts w:hint="eastAsia" w:ascii="仿宋" w:hAnsi="仿宋" w:eastAsia="仿宋"/>
          <w:sz w:val="24"/>
          <w:szCs w:val="24"/>
        </w:rPr>
        <w:t>:</w:t>
      </w:r>
      <w:r>
        <w:rPr>
          <w:rFonts w:hint="eastAsia" w:ascii="仿宋" w:hAnsi="仿宋" w:eastAsia="仿宋"/>
          <w:sz w:val="24"/>
          <w:szCs w:val="24"/>
          <w:lang w:val="en-US" w:eastAsia="zh-CN"/>
        </w:rPr>
        <w:t>负责内外采配件、包材的入库管理和操作，配件到达库房</w:t>
      </w:r>
      <w:r>
        <w:rPr>
          <w:rFonts w:hint="eastAsia" w:ascii="仿宋" w:hAnsi="仿宋" w:eastAsia="仿宋"/>
          <w:sz w:val="24"/>
          <w:szCs w:val="24"/>
        </w:rPr>
        <w:t>入口开始的卸货</w:t>
      </w:r>
      <w:r>
        <w:rPr>
          <w:rFonts w:hint="eastAsia" w:ascii="仿宋" w:hAnsi="仿宋" w:eastAsia="仿宋"/>
          <w:sz w:val="24"/>
          <w:szCs w:val="24"/>
          <w:lang w:eastAsia="zh-CN"/>
        </w:rPr>
        <w:t>、</w:t>
      </w:r>
      <w:r>
        <w:rPr>
          <w:rFonts w:hint="eastAsia" w:ascii="仿宋" w:hAnsi="仿宋" w:eastAsia="仿宋"/>
          <w:sz w:val="24"/>
          <w:szCs w:val="24"/>
        </w:rPr>
        <w:t>收货、报检、入库、</w:t>
      </w:r>
      <w:r>
        <w:rPr>
          <w:rFonts w:hint="eastAsia" w:ascii="仿宋" w:hAnsi="仿宋" w:eastAsia="仿宋"/>
          <w:sz w:val="24"/>
          <w:szCs w:val="24"/>
          <w:lang w:val="en-US" w:eastAsia="zh-CN"/>
        </w:rPr>
        <w:t>包装上架</w:t>
      </w:r>
      <w:r>
        <w:rPr>
          <w:rFonts w:hint="eastAsia" w:ascii="仿宋" w:hAnsi="仿宋" w:eastAsia="仿宋"/>
          <w:sz w:val="24"/>
          <w:szCs w:val="24"/>
        </w:rPr>
        <w:t>和入库扫描及相关信息系统操作</w:t>
      </w:r>
      <w:r>
        <w:rPr>
          <w:rFonts w:hint="eastAsia" w:ascii="仿宋" w:hAnsi="仿宋" w:eastAsia="仿宋"/>
          <w:sz w:val="24"/>
          <w:szCs w:val="24"/>
          <w:lang w:eastAsia="zh-CN"/>
        </w:rPr>
        <w:t>，</w:t>
      </w:r>
      <w:r>
        <w:rPr>
          <w:rFonts w:hint="eastAsia" w:ascii="仿宋" w:hAnsi="仿宋" w:eastAsia="仿宋"/>
          <w:sz w:val="24"/>
          <w:szCs w:val="24"/>
          <w:lang w:val="en-US" w:eastAsia="zh-CN"/>
        </w:rPr>
        <w:t>根据仓储货位，对入库配件进行包装、上架和货位整理工作。入库时，根据仓储货位，合理调整和安排货位。负责</w:t>
      </w:r>
      <w:r>
        <w:rPr>
          <w:rFonts w:hint="eastAsia" w:ascii="仿宋" w:hAnsi="仿宋" w:eastAsia="仿宋"/>
          <w:sz w:val="24"/>
          <w:szCs w:val="24"/>
        </w:rPr>
        <w:t>供应商盛具回收整理、物料计划</w:t>
      </w:r>
      <w:r>
        <w:rPr>
          <w:rFonts w:hint="eastAsia" w:ascii="仿宋" w:hAnsi="仿宋" w:eastAsia="仿宋"/>
          <w:sz w:val="24"/>
          <w:szCs w:val="24"/>
          <w:lang w:val="en-US" w:eastAsia="zh-CN"/>
        </w:rPr>
        <w:t>单据打印</w:t>
      </w:r>
      <w:r>
        <w:rPr>
          <w:rFonts w:hint="eastAsia" w:ascii="仿宋" w:hAnsi="仿宋" w:eastAsia="仿宋"/>
          <w:sz w:val="24"/>
          <w:szCs w:val="24"/>
        </w:rPr>
        <w:t>、</w:t>
      </w:r>
      <w:r>
        <w:rPr>
          <w:rFonts w:hint="eastAsia" w:ascii="仿宋" w:hAnsi="仿宋" w:eastAsia="仿宋"/>
          <w:sz w:val="24"/>
          <w:szCs w:val="24"/>
          <w:lang w:val="en-US" w:eastAsia="zh-CN"/>
        </w:rPr>
        <w:t>DMS和</w:t>
      </w:r>
      <w:r>
        <w:rPr>
          <w:rFonts w:hint="eastAsia" w:ascii="仿宋" w:hAnsi="仿宋" w:eastAsia="仿宋"/>
          <w:sz w:val="24"/>
          <w:szCs w:val="24"/>
        </w:rPr>
        <w:t>SAP系统账实管理、盛具管理、不良品管理、盘点管理、现场5S管理、单证管理</w:t>
      </w:r>
      <w:r>
        <w:rPr>
          <w:rFonts w:hint="eastAsia" w:ascii="仿宋" w:hAnsi="仿宋" w:eastAsia="仿宋"/>
          <w:sz w:val="24"/>
          <w:szCs w:val="24"/>
          <w:lang w:val="en-US" w:eastAsia="zh-CN"/>
        </w:rPr>
        <w:t>等。</w:t>
      </w:r>
    </w:p>
    <w:p>
      <w:pPr>
        <w:spacing w:line="360" w:lineRule="auto"/>
        <w:rPr>
          <w:rFonts w:hint="eastAsia" w:ascii="仿宋" w:hAnsi="仿宋" w:eastAsia="仿宋"/>
          <w:sz w:val="24"/>
          <w:szCs w:val="24"/>
          <w:lang w:val="en-US" w:eastAsia="zh-CN"/>
        </w:rPr>
      </w:pPr>
      <w:r>
        <w:rPr>
          <w:rFonts w:hint="eastAsia" w:ascii="仿宋" w:hAnsi="仿宋" w:eastAsia="仿宋"/>
          <w:sz w:val="24"/>
          <w:szCs w:val="24"/>
        </w:rPr>
        <w:t>3.1.2</w:t>
      </w:r>
      <w:r>
        <w:rPr>
          <w:rFonts w:hint="eastAsia" w:ascii="仿宋" w:hAnsi="仿宋" w:eastAsia="仿宋"/>
          <w:sz w:val="24"/>
          <w:szCs w:val="24"/>
          <w:lang w:val="en-US" w:eastAsia="zh-CN"/>
        </w:rPr>
        <w:t>拣货</w:t>
      </w:r>
      <w:r>
        <w:rPr>
          <w:rFonts w:hint="eastAsia" w:ascii="仿宋" w:hAnsi="仿宋" w:eastAsia="仿宋"/>
          <w:sz w:val="24"/>
          <w:szCs w:val="24"/>
        </w:rPr>
        <w:t>:</w:t>
      </w:r>
      <w:r>
        <w:rPr>
          <w:rFonts w:hint="eastAsia" w:ascii="仿宋" w:hAnsi="仿宋" w:eastAsia="仿宋"/>
          <w:sz w:val="24"/>
          <w:szCs w:val="24"/>
          <w:lang w:val="en-US" w:eastAsia="zh-CN"/>
        </w:rPr>
        <w:t>根据订单销售系统打印的拣货单配件明细，从各个货位进行拣货做发运准备工作，所拣货物根据拣货单据进行堆放，并签字确认。以便包装岗位进行打包和登记，负责现场</w:t>
      </w:r>
      <w:r>
        <w:rPr>
          <w:rFonts w:hint="eastAsia" w:ascii="仿宋" w:hAnsi="仿宋" w:eastAsia="仿宋"/>
          <w:sz w:val="24"/>
          <w:szCs w:val="24"/>
        </w:rPr>
        <w:t>5S管理</w:t>
      </w:r>
      <w:r>
        <w:rPr>
          <w:rFonts w:hint="eastAsia" w:ascii="仿宋" w:hAnsi="仿宋" w:eastAsia="仿宋"/>
          <w:sz w:val="24"/>
          <w:szCs w:val="24"/>
          <w:lang w:val="en-US" w:eastAsia="zh-CN"/>
        </w:rPr>
        <w:t>工作。</w:t>
      </w:r>
    </w:p>
    <w:p>
      <w:pPr>
        <w:spacing w:line="360" w:lineRule="auto"/>
        <w:rPr>
          <w:rFonts w:ascii="仿宋" w:hAnsi="仿宋" w:eastAsia="仿宋"/>
          <w:sz w:val="24"/>
          <w:szCs w:val="24"/>
        </w:rPr>
      </w:pPr>
      <w:r>
        <w:rPr>
          <w:rFonts w:hint="eastAsia" w:ascii="仿宋" w:hAnsi="仿宋" w:eastAsia="仿宋"/>
          <w:sz w:val="24"/>
          <w:szCs w:val="24"/>
        </w:rPr>
        <w:t>3.1.3</w:t>
      </w:r>
      <w:r>
        <w:rPr>
          <w:rFonts w:hint="eastAsia" w:ascii="仿宋" w:hAnsi="仿宋" w:eastAsia="仿宋"/>
          <w:sz w:val="24"/>
          <w:szCs w:val="24"/>
          <w:lang w:val="en-US" w:eastAsia="zh-CN"/>
        </w:rPr>
        <w:t>领料</w:t>
      </w:r>
      <w:r>
        <w:rPr>
          <w:rFonts w:hint="eastAsia" w:ascii="仿宋" w:hAnsi="仿宋" w:eastAsia="仿宋"/>
          <w:sz w:val="24"/>
          <w:szCs w:val="24"/>
        </w:rPr>
        <w:t>：</w:t>
      </w:r>
      <w:r>
        <w:rPr>
          <w:rFonts w:hint="eastAsia" w:ascii="仿宋" w:hAnsi="仿宋" w:eastAsia="仿宋"/>
          <w:sz w:val="24"/>
          <w:szCs w:val="24"/>
          <w:lang w:val="en-US" w:eastAsia="zh-CN"/>
        </w:rPr>
        <w:t>根据配件计划单据，</w:t>
      </w:r>
      <w:r>
        <w:rPr>
          <w:rFonts w:hint="eastAsia" w:ascii="仿宋" w:hAnsi="仿宋" w:eastAsia="仿宋"/>
          <w:sz w:val="24"/>
          <w:szCs w:val="24"/>
        </w:rPr>
        <w:t>负责</w:t>
      </w:r>
      <w:r>
        <w:rPr>
          <w:rFonts w:hint="eastAsia" w:ascii="仿宋" w:hAnsi="仿宋" w:eastAsia="仿宋"/>
          <w:sz w:val="24"/>
          <w:szCs w:val="24"/>
          <w:lang w:val="en-US" w:eastAsia="zh-CN"/>
        </w:rPr>
        <w:t>单据找采购、生产物流等部门人员签字，负责开配件转运车或叉车从</w:t>
      </w:r>
      <w:r>
        <w:rPr>
          <w:rFonts w:hint="eastAsia" w:ascii="仿宋" w:hAnsi="仿宋" w:eastAsia="仿宋"/>
          <w:sz w:val="24"/>
          <w:szCs w:val="24"/>
        </w:rPr>
        <w:t>焊、涂、总</w:t>
      </w:r>
      <w:r>
        <w:rPr>
          <w:rFonts w:hint="eastAsia" w:ascii="仿宋" w:hAnsi="仿宋" w:eastAsia="仿宋"/>
          <w:sz w:val="24"/>
          <w:szCs w:val="24"/>
          <w:lang w:val="en-US" w:eastAsia="zh-CN"/>
        </w:rPr>
        <w:t>领取配件，负责入库配件的预包装（玻璃、机盖等配件的木架包装）和上架等工作，负责</w:t>
      </w:r>
      <w:r>
        <w:rPr>
          <w:rFonts w:hint="eastAsia" w:ascii="仿宋" w:hAnsi="仿宋" w:eastAsia="仿宋"/>
          <w:sz w:val="24"/>
          <w:szCs w:val="24"/>
        </w:rPr>
        <w:t>供应商盛具回收整理和</w:t>
      </w:r>
      <w:r>
        <w:rPr>
          <w:rFonts w:hint="eastAsia" w:ascii="仿宋" w:hAnsi="仿宋" w:eastAsia="仿宋"/>
          <w:sz w:val="24"/>
          <w:szCs w:val="24"/>
          <w:lang w:val="en-US" w:eastAsia="zh-CN"/>
        </w:rPr>
        <w:t>返回</w:t>
      </w:r>
      <w:r>
        <w:rPr>
          <w:rFonts w:hint="eastAsia" w:ascii="仿宋" w:hAnsi="仿宋" w:eastAsia="仿宋"/>
          <w:sz w:val="24"/>
          <w:szCs w:val="24"/>
        </w:rPr>
        <w:t>装卸</w:t>
      </w:r>
      <w:r>
        <w:rPr>
          <w:rFonts w:hint="eastAsia" w:ascii="仿宋" w:hAnsi="仿宋" w:eastAsia="仿宋"/>
          <w:sz w:val="24"/>
          <w:szCs w:val="24"/>
          <w:lang w:val="en-US" w:eastAsia="zh-CN"/>
        </w:rPr>
        <w:t>工作，负责</w:t>
      </w:r>
      <w:r>
        <w:rPr>
          <w:rFonts w:hint="eastAsia" w:ascii="仿宋" w:hAnsi="仿宋" w:eastAsia="仿宋"/>
          <w:sz w:val="24"/>
          <w:szCs w:val="24"/>
        </w:rPr>
        <w:t>盛具管理</w:t>
      </w:r>
      <w:r>
        <w:rPr>
          <w:rFonts w:hint="eastAsia" w:ascii="仿宋" w:hAnsi="仿宋" w:eastAsia="仿宋"/>
          <w:sz w:val="24"/>
          <w:szCs w:val="24"/>
          <w:lang w:eastAsia="zh-CN"/>
        </w:rPr>
        <w:t>。</w:t>
      </w:r>
    </w:p>
    <w:p>
      <w:pPr>
        <w:spacing w:line="360" w:lineRule="auto"/>
        <w:outlineLvl w:val="2"/>
        <w:rPr>
          <w:rFonts w:ascii="仿宋" w:hAnsi="仿宋" w:eastAsia="仿宋"/>
          <w:sz w:val="24"/>
          <w:szCs w:val="24"/>
        </w:rPr>
      </w:pPr>
      <w:r>
        <w:rPr>
          <w:rFonts w:hint="eastAsia" w:ascii="仿宋" w:hAnsi="仿宋" w:eastAsia="仿宋"/>
          <w:sz w:val="24"/>
          <w:szCs w:val="24"/>
        </w:rPr>
        <w:t>3.1.4</w:t>
      </w:r>
      <w:r>
        <w:rPr>
          <w:rFonts w:hint="eastAsia" w:ascii="仿宋" w:hAnsi="仿宋" w:eastAsia="仿宋"/>
          <w:sz w:val="24"/>
          <w:szCs w:val="24"/>
          <w:lang w:val="en-US" w:eastAsia="zh-CN"/>
        </w:rPr>
        <w:t>发运包装</w:t>
      </w:r>
      <w:r>
        <w:rPr>
          <w:rFonts w:hint="eastAsia" w:ascii="仿宋" w:hAnsi="仿宋" w:eastAsia="仿宋"/>
          <w:sz w:val="24"/>
          <w:szCs w:val="24"/>
        </w:rPr>
        <w:t>：</w:t>
      </w:r>
      <w:r>
        <w:rPr>
          <w:rFonts w:hint="eastAsia" w:ascii="仿宋" w:hAnsi="仿宋" w:eastAsia="仿宋"/>
          <w:sz w:val="24"/>
          <w:szCs w:val="24"/>
          <w:lang w:val="en-US" w:eastAsia="zh-CN"/>
        </w:rPr>
        <w:t>根据销售系统打印拣货单，进行配件包装工作，包装需考虑发运和包材成本，合理使用包材。包装时候进行所包货物的二次清点，并签字确认。</w:t>
      </w:r>
    </w:p>
    <w:p>
      <w:pPr>
        <w:spacing w:line="360" w:lineRule="auto"/>
        <w:rPr>
          <w:rFonts w:hint="eastAsia" w:ascii="仿宋" w:hAnsi="仿宋" w:eastAsia="仿宋"/>
          <w:sz w:val="24"/>
          <w:szCs w:val="24"/>
          <w:lang w:val="en-US" w:eastAsia="zh-CN"/>
        </w:rPr>
      </w:pPr>
      <w:r>
        <w:rPr>
          <w:rFonts w:hint="eastAsia" w:ascii="仿宋" w:hAnsi="仿宋" w:eastAsia="仿宋"/>
          <w:sz w:val="24"/>
          <w:szCs w:val="24"/>
        </w:rPr>
        <w:t xml:space="preserve">3.1.5 </w:t>
      </w:r>
      <w:r>
        <w:rPr>
          <w:rFonts w:hint="eastAsia" w:ascii="仿宋" w:hAnsi="仿宋" w:eastAsia="仿宋"/>
          <w:sz w:val="24"/>
          <w:szCs w:val="24"/>
          <w:lang w:val="en-US" w:eastAsia="zh-CN"/>
        </w:rPr>
        <w:t>发运交接</w:t>
      </w:r>
      <w:r>
        <w:rPr>
          <w:rFonts w:hint="eastAsia" w:ascii="仿宋" w:hAnsi="仿宋" w:eastAsia="仿宋"/>
          <w:sz w:val="24"/>
          <w:szCs w:val="24"/>
        </w:rPr>
        <w:t>：</w:t>
      </w:r>
      <w:r>
        <w:rPr>
          <w:rFonts w:hint="eastAsia" w:ascii="仿宋" w:hAnsi="仿宋" w:eastAsia="仿宋"/>
          <w:sz w:val="24"/>
          <w:szCs w:val="24"/>
          <w:lang w:val="en-US" w:eastAsia="zh-CN"/>
        </w:rPr>
        <w:t>配件销售系统操作，根据销售订单打印拣货单，负责物流发运装车交接工作，</w:t>
      </w:r>
      <w:r>
        <w:rPr>
          <w:rFonts w:hint="eastAsia" w:ascii="仿宋" w:hAnsi="仿宋" w:eastAsia="仿宋"/>
          <w:sz w:val="24"/>
          <w:szCs w:val="24"/>
        </w:rPr>
        <w:t>现场5S管理</w:t>
      </w:r>
      <w:r>
        <w:rPr>
          <w:rFonts w:hint="eastAsia" w:ascii="仿宋" w:hAnsi="仿宋" w:eastAsia="仿宋"/>
          <w:sz w:val="24"/>
          <w:szCs w:val="24"/>
          <w:lang w:val="en-US" w:eastAsia="zh-CN"/>
        </w:rPr>
        <w:t>。</w:t>
      </w:r>
    </w:p>
    <w:p>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3.1.6 退货管理：负责退货清理、入库、上账、上架等工作。</w:t>
      </w:r>
    </w:p>
    <w:p>
      <w:pPr>
        <w:spacing w:line="360" w:lineRule="auto"/>
        <w:rPr>
          <w:rFonts w:hint="eastAsia"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7</w:t>
      </w:r>
      <w:r>
        <w:rPr>
          <w:rFonts w:hint="eastAsia" w:ascii="仿宋" w:hAnsi="仿宋" w:eastAsia="仿宋"/>
          <w:sz w:val="24"/>
          <w:szCs w:val="24"/>
        </w:rPr>
        <w:t xml:space="preserve"> </w:t>
      </w:r>
      <w:r>
        <w:rPr>
          <w:rFonts w:hint="eastAsia" w:ascii="仿宋" w:hAnsi="仿宋" w:eastAsia="仿宋"/>
          <w:sz w:val="24"/>
          <w:szCs w:val="24"/>
          <w:lang w:val="en-US" w:eastAsia="zh-CN"/>
        </w:rPr>
        <w:t>账务管理：根据系统明细，按照公司要求，定期盘点，并形成盘点交付表单。</w:t>
      </w:r>
    </w:p>
    <w:p>
      <w:pPr>
        <w:spacing w:line="360" w:lineRule="auto"/>
        <w:rPr>
          <w:rFonts w:hint="default"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8</w:t>
      </w:r>
      <w:r>
        <w:rPr>
          <w:rFonts w:hint="eastAsia" w:ascii="仿宋" w:hAnsi="仿宋" w:eastAsia="仿宋"/>
          <w:sz w:val="24"/>
          <w:szCs w:val="24"/>
        </w:rPr>
        <w:t xml:space="preserve"> </w:t>
      </w:r>
      <w:r>
        <w:rPr>
          <w:rFonts w:hint="eastAsia" w:ascii="仿宋" w:hAnsi="仿宋" w:eastAsia="仿宋"/>
          <w:sz w:val="24"/>
          <w:szCs w:val="24"/>
          <w:lang w:val="en-US" w:eastAsia="zh-CN"/>
        </w:rPr>
        <w:t>现场管理：按照公司要求做好消防安全防护和现场设备维护及现场5S管理。</w:t>
      </w:r>
    </w:p>
    <w:p>
      <w:pPr>
        <w:numPr>
          <w:ilvl w:val="1"/>
          <w:numId w:val="10"/>
        </w:numPr>
        <w:spacing w:line="360" w:lineRule="auto"/>
        <w:outlineLvl w:val="1"/>
        <w:rPr>
          <w:rFonts w:ascii="仿宋" w:hAnsi="仿宋" w:eastAsia="仿宋"/>
          <w:sz w:val="24"/>
          <w:szCs w:val="24"/>
        </w:rPr>
      </w:pPr>
      <w:bookmarkStart w:id="105" w:name="_Toc3929"/>
      <w:r>
        <w:rPr>
          <w:rFonts w:hint="eastAsia" w:ascii="仿宋" w:hAnsi="仿宋" w:eastAsia="仿宋"/>
          <w:sz w:val="24"/>
          <w:szCs w:val="24"/>
        </w:rPr>
        <w:t>基础参数</w:t>
      </w:r>
      <w:bookmarkEnd w:id="105"/>
    </w:p>
    <w:tbl>
      <w:tblPr>
        <w:tblStyle w:val="41"/>
        <w:tblW w:w="9719" w:type="dxa"/>
        <w:tblInd w:w="53" w:type="dxa"/>
        <w:tblLayout w:type="autofit"/>
        <w:tblCellMar>
          <w:top w:w="0" w:type="dxa"/>
          <w:left w:w="0" w:type="dxa"/>
          <w:bottom w:w="0" w:type="dxa"/>
          <w:right w:w="0" w:type="dxa"/>
        </w:tblCellMar>
      </w:tblPr>
      <w:tblGrid>
        <w:gridCol w:w="2410"/>
        <w:gridCol w:w="3580"/>
        <w:gridCol w:w="3729"/>
      </w:tblGrid>
      <w:tr>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pPr>
              <w:spacing w:line="360" w:lineRule="auto"/>
              <w:jc w:val="center"/>
              <w:rPr>
                <w:rFonts w:ascii="仿宋" w:hAnsi="仿宋" w:eastAsia="仿宋"/>
                <w:szCs w:val="21"/>
              </w:rPr>
            </w:pPr>
            <w:r>
              <w:rPr>
                <w:rFonts w:hint="eastAsia" w:ascii="仿宋" w:hAnsi="仿宋" w:eastAsia="仿宋"/>
                <w:bCs/>
                <w:szCs w:val="21"/>
              </w:rPr>
              <w:t>项目</w:t>
            </w:r>
          </w:p>
        </w:tc>
        <w:tc>
          <w:tcPr>
            <w:tcW w:w="358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pPr>
              <w:spacing w:line="360" w:lineRule="auto"/>
              <w:jc w:val="center"/>
              <w:rPr>
                <w:rFonts w:ascii="仿宋" w:hAnsi="仿宋" w:eastAsia="仿宋"/>
                <w:szCs w:val="21"/>
              </w:rPr>
            </w:pPr>
            <w:r>
              <w:rPr>
                <w:rFonts w:hint="eastAsia" w:ascii="仿宋" w:hAnsi="仿宋" w:eastAsia="仿宋"/>
                <w:bCs/>
                <w:szCs w:val="21"/>
              </w:rPr>
              <w:t>参数</w:t>
            </w:r>
          </w:p>
        </w:tc>
        <w:tc>
          <w:tcPr>
            <w:tcW w:w="372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pPr>
              <w:spacing w:line="360" w:lineRule="auto"/>
              <w:jc w:val="center"/>
              <w:rPr>
                <w:rFonts w:ascii="仿宋" w:hAnsi="仿宋" w:eastAsia="仿宋"/>
                <w:bCs/>
                <w:szCs w:val="21"/>
              </w:rPr>
            </w:pPr>
            <w:r>
              <w:rPr>
                <w:rFonts w:hint="eastAsia" w:ascii="仿宋" w:hAnsi="仿宋" w:eastAsia="仿宋"/>
                <w:bCs/>
                <w:szCs w:val="21"/>
              </w:rPr>
              <w:t>备注及主要生产车型</w:t>
            </w:r>
          </w:p>
        </w:tc>
      </w:tr>
      <w:tr>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bCs/>
                <w:szCs w:val="21"/>
              </w:rPr>
              <w:t>周工作日</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szCs w:val="21"/>
              </w:rPr>
              <w:t>综合工时制（周末根据需求安排</w:t>
            </w:r>
            <w:r>
              <w:rPr>
                <w:rFonts w:hint="eastAsia" w:ascii="仿宋" w:hAnsi="仿宋" w:eastAsia="仿宋"/>
                <w:szCs w:val="21"/>
                <w:lang w:val="en-US" w:eastAsia="zh-CN"/>
              </w:rPr>
              <w:t>上班</w:t>
            </w:r>
            <w:r>
              <w:rPr>
                <w:rFonts w:hint="eastAsia" w:ascii="仿宋" w:hAnsi="仿宋" w:eastAsia="仿宋"/>
                <w:szCs w:val="21"/>
              </w:rPr>
              <w:t>）</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p>
        </w:tc>
      </w:tr>
      <w:tr>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bCs/>
                <w:szCs w:val="21"/>
              </w:rPr>
              <w:t>日工作班制</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r>
              <w:rPr>
                <w:rFonts w:hint="eastAsia" w:ascii="仿宋" w:hAnsi="仿宋" w:eastAsia="仿宋"/>
                <w:szCs w:val="21"/>
              </w:rPr>
              <w:t>8小时（原则上根据需求安排加班）</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pPr>
              <w:spacing w:line="360" w:lineRule="auto"/>
              <w:rPr>
                <w:rFonts w:ascii="仿宋" w:hAnsi="仿宋" w:eastAsia="仿宋"/>
                <w:szCs w:val="21"/>
              </w:rPr>
            </w:pPr>
          </w:p>
        </w:tc>
      </w:tr>
    </w:tbl>
    <w:p>
      <w:pPr>
        <w:pStyle w:val="4"/>
        <w:numPr>
          <w:ilvl w:val="0"/>
          <w:numId w:val="10"/>
        </w:numPr>
        <w:rPr>
          <w:rFonts w:ascii="仿宋" w:hAnsi="仿宋" w:eastAsia="仿宋"/>
          <w:sz w:val="24"/>
          <w:szCs w:val="24"/>
        </w:rPr>
      </w:pPr>
      <w:bookmarkStart w:id="106" w:name="_Toc14186"/>
      <w:r>
        <w:rPr>
          <w:rFonts w:hint="eastAsia" w:ascii="仿宋" w:hAnsi="仿宋" w:eastAsia="仿宋"/>
          <w:sz w:val="24"/>
          <w:szCs w:val="24"/>
        </w:rPr>
        <w:t>合作模式</w:t>
      </w:r>
      <w:bookmarkEnd w:id="106"/>
    </w:p>
    <w:p>
      <w:pPr>
        <w:pStyle w:val="5"/>
        <w:numPr>
          <w:ilvl w:val="1"/>
          <w:numId w:val="10"/>
        </w:numPr>
        <w:rPr>
          <w:rFonts w:hint="default" w:ascii="仿宋" w:hAnsi="仿宋" w:eastAsia="仿宋"/>
        </w:rPr>
      </w:pPr>
      <w:bookmarkStart w:id="107" w:name="_Toc407117195"/>
      <w:bookmarkStart w:id="108" w:name="_Toc407305794"/>
      <w:bookmarkStart w:id="109" w:name="_Toc12174"/>
      <w:bookmarkStart w:id="110" w:name="_Toc407305956"/>
      <w:bookmarkStart w:id="111" w:name="_Toc407115443"/>
      <w:bookmarkStart w:id="112" w:name="_Toc407116958"/>
      <w:r>
        <w:rPr>
          <w:rFonts w:ascii="仿宋" w:hAnsi="仿宋" w:eastAsia="仿宋"/>
        </w:rPr>
        <w:t>合同的签订事宜</w:t>
      </w:r>
      <w:bookmarkEnd w:id="107"/>
      <w:bookmarkEnd w:id="108"/>
      <w:bookmarkEnd w:id="109"/>
      <w:bookmarkEnd w:id="110"/>
      <w:bookmarkEnd w:id="111"/>
      <w:bookmarkEnd w:id="112"/>
    </w:p>
    <w:p>
      <w:pPr>
        <w:spacing w:line="360" w:lineRule="auto"/>
        <w:ind w:firstLine="480" w:firstLineChars="200"/>
        <w:rPr>
          <w:rFonts w:ascii="仿宋" w:hAnsi="仿宋" w:eastAsia="仿宋"/>
          <w:sz w:val="24"/>
          <w:szCs w:val="24"/>
        </w:rPr>
      </w:pPr>
      <w:r>
        <w:rPr>
          <w:rFonts w:hint="eastAsia" w:ascii="仿宋" w:hAnsi="仿宋" w:eastAsia="仿宋"/>
          <w:sz w:val="24"/>
          <w:szCs w:val="24"/>
        </w:rPr>
        <w:t>针对甲方</w:t>
      </w:r>
      <w:r>
        <w:rPr>
          <w:rFonts w:hint="eastAsia" w:ascii="仿宋" w:hAnsi="仿宋" w:eastAsia="仿宋"/>
          <w:sz w:val="24"/>
          <w:szCs w:val="24"/>
          <w:lang w:val="en-US" w:eastAsia="zh-CN"/>
        </w:rPr>
        <w:t>仓储、发运</w:t>
      </w:r>
      <w:r>
        <w:rPr>
          <w:rFonts w:hint="eastAsia" w:ascii="仿宋" w:hAnsi="仿宋" w:eastAsia="仿宋"/>
          <w:sz w:val="24"/>
          <w:szCs w:val="24"/>
        </w:rPr>
        <w:t>外包，乙方在</w:t>
      </w:r>
      <w:r>
        <w:rPr>
          <w:rFonts w:ascii="仿宋" w:hAnsi="仿宋" w:eastAsia="仿宋"/>
          <w:sz w:val="24"/>
          <w:szCs w:val="24"/>
        </w:rPr>
        <w:t>满足</w:t>
      </w:r>
      <w:r>
        <w:rPr>
          <w:rFonts w:hint="eastAsia" w:ascii="仿宋" w:hAnsi="仿宋" w:eastAsia="仿宋"/>
          <w:sz w:val="24"/>
          <w:szCs w:val="24"/>
        </w:rPr>
        <w:t>甲方</w:t>
      </w:r>
      <w:r>
        <w:rPr>
          <w:rFonts w:ascii="仿宋" w:hAnsi="仿宋" w:eastAsia="仿宋"/>
          <w:sz w:val="24"/>
          <w:szCs w:val="24"/>
        </w:rPr>
        <w:t>对软硬件的要求后，</w:t>
      </w:r>
      <w:r>
        <w:rPr>
          <w:rFonts w:hint="eastAsia" w:ascii="仿宋" w:hAnsi="仿宋" w:eastAsia="仿宋"/>
          <w:sz w:val="24"/>
          <w:szCs w:val="24"/>
        </w:rPr>
        <w:t>根据投标时确定的</w:t>
      </w:r>
      <w:r>
        <w:rPr>
          <w:rFonts w:hint="eastAsia" w:ascii="仿宋" w:hAnsi="仿宋" w:eastAsia="仿宋"/>
          <w:sz w:val="24"/>
          <w:szCs w:val="24"/>
          <w:lang w:val="en-US" w:eastAsia="zh-CN"/>
        </w:rPr>
        <w:t>仓储、发运</w:t>
      </w:r>
      <w:r>
        <w:rPr>
          <w:rFonts w:ascii="仿宋" w:hAnsi="仿宋" w:eastAsia="仿宋"/>
          <w:sz w:val="24"/>
          <w:szCs w:val="24"/>
        </w:rPr>
        <w:t>运作方案，并就其合作范围内</w:t>
      </w:r>
      <w:r>
        <w:rPr>
          <w:rFonts w:hint="eastAsia" w:ascii="仿宋" w:hAnsi="仿宋" w:eastAsia="仿宋"/>
          <w:sz w:val="24"/>
          <w:szCs w:val="24"/>
        </w:rPr>
        <w:t>的</w:t>
      </w:r>
      <w:r>
        <w:rPr>
          <w:rFonts w:hint="eastAsia" w:ascii="仿宋" w:hAnsi="仿宋" w:eastAsia="仿宋"/>
          <w:sz w:val="24"/>
          <w:szCs w:val="24"/>
          <w:lang w:val="en-US" w:eastAsia="zh-CN"/>
        </w:rPr>
        <w:t>仓储、发运</w:t>
      </w:r>
      <w:r>
        <w:rPr>
          <w:rFonts w:ascii="仿宋" w:hAnsi="仿宋" w:eastAsia="仿宋"/>
          <w:sz w:val="24"/>
          <w:szCs w:val="24"/>
        </w:rPr>
        <w:t>做出服务费用收取标准，</w:t>
      </w:r>
      <w:r>
        <w:rPr>
          <w:rFonts w:hint="eastAsia" w:ascii="仿宋" w:hAnsi="仿宋" w:eastAsia="仿宋"/>
          <w:sz w:val="24"/>
          <w:szCs w:val="24"/>
        </w:rPr>
        <w:t>经双方协商一致后签订物流服务合同。</w:t>
      </w:r>
    </w:p>
    <w:p>
      <w:pPr>
        <w:pStyle w:val="5"/>
        <w:numPr>
          <w:ilvl w:val="1"/>
          <w:numId w:val="10"/>
        </w:numPr>
        <w:rPr>
          <w:rFonts w:hint="default" w:ascii="仿宋" w:hAnsi="仿宋" w:eastAsia="仿宋"/>
        </w:rPr>
      </w:pPr>
      <w:bookmarkStart w:id="113" w:name="_Toc407305957"/>
      <w:bookmarkStart w:id="114" w:name="_Toc17353"/>
      <w:bookmarkStart w:id="115" w:name="_Toc407117196"/>
      <w:bookmarkStart w:id="116" w:name="_Toc407116959"/>
      <w:bookmarkStart w:id="117" w:name="_Toc407115444"/>
      <w:bookmarkStart w:id="118" w:name="_Toc407305795"/>
      <w:r>
        <w:rPr>
          <w:rFonts w:ascii="仿宋" w:hAnsi="仿宋" w:eastAsia="仿宋"/>
        </w:rPr>
        <w:t>费用结算事宜</w:t>
      </w:r>
      <w:bookmarkEnd w:id="113"/>
      <w:bookmarkEnd w:id="114"/>
      <w:bookmarkEnd w:id="115"/>
      <w:bookmarkEnd w:id="116"/>
      <w:bookmarkEnd w:id="117"/>
      <w:bookmarkEnd w:id="118"/>
    </w:p>
    <w:p>
      <w:pPr>
        <w:spacing w:line="360" w:lineRule="auto"/>
        <w:ind w:firstLine="480" w:firstLineChars="200"/>
        <w:rPr>
          <w:rFonts w:ascii="仿宋" w:hAnsi="仿宋" w:eastAsia="仿宋"/>
          <w:sz w:val="24"/>
          <w:szCs w:val="24"/>
        </w:rPr>
      </w:pPr>
      <w:r>
        <w:rPr>
          <w:rFonts w:hint="eastAsia" w:ascii="仿宋" w:hAnsi="仿宋" w:eastAsia="仿宋"/>
          <w:sz w:val="24"/>
          <w:szCs w:val="24"/>
        </w:rPr>
        <w:t>乙方</w:t>
      </w:r>
      <w:r>
        <w:rPr>
          <w:rFonts w:ascii="仿宋" w:hAnsi="仿宋" w:eastAsia="仿宋"/>
          <w:sz w:val="24"/>
          <w:szCs w:val="24"/>
        </w:rPr>
        <w:t>服务费用</w:t>
      </w:r>
      <w:r>
        <w:rPr>
          <w:rFonts w:hint="eastAsia" w:ascii="仿宋" w:hAnsi="仿宋" w:eastAsia="仿宋"/>
          <w:sz w:val="24"/>
          <w:szCs w:val="24"/>
        </w:rPr>
        <w:t>按月</w:t>
      </w:r>
      <w:r>
        <w:rPr>
          <w:rFonts w:ascii="仿宋" w:hAnsi="仿宋" w:eastAsia="仿宋"/>
          <w:sz w:val="24"/>
          <w:szCs w:val="24"/>
        </w:rPr>
        <w:t>结算</w:t>
      </w:r>
      <w:r>
        <w:rPr>
          <w:rFonts w:hint="eastAsia" w:ascii="仿宋" w:hAnsi="仿宋" w:eastAsia="仿宋"/>
          <w:sz w:val="24"/>
          <w:szCs w:val="24"/>
        </w:rPr>
        <w:t>。</w:t>
      </w:r>
    </w:p>
    <w:p>
      <w:pPr>
        <w:pStyle w:val="5"/>
        <w:numPr>
          <w:ilvl w:val="1"/>
          <w:numId w:val="10"/>
        </w:numPr>
        <w:rPr>
          <w:rFonts w:hint="default" w:ascii="仿宋" w:hAnsi="仿宋" w:eastAsia="仿宋"/>
        </w:rPr>
      </w:pPr>
      <w:bookmarkStart w:id="119" w:name="_Toc407116960"/>
      <w:bookmarkStart w:id="120" w:name="_Toc407305796"/>
      <w:bookmarkStart w:id="121" w:name="_Toc26638"/>
      <w:bookmarkStart w:id="122" w:name="_Toc407115445"/>
      <w:bookmarkStart w:id="123" w:name="_Toc407117197"/>
      <w:bookmarkStart w:id="124" w:name="_Toc407305958"/>
      <w:r>
        <w:rPr>
          <w:rFonts w:ascii="仿宋" w:hAnsi="仿宋" w:eastAsia="仿宋"/>
        </w:rPr>
        <w:t>费用支付方式</w:t>
      </w:r>
      <w:bookmarkEnd w:id="119"/>
      <w:bookmarkEnd w:id="120"/>
      <w:bookmarkEnd w:id="121"/>
      <w:bookmarkEnd w:id="122"/>
      <w:bookmarkEnd w:id="123"/>
      <w:bookmarkEnd w:id="124"/>
    </w:p>
    <w:p>
      <w:pPr>
        <w:spacing w:line="360" w:lineRule="auto"/>
        <w:ind w:firstLine="480" w:firstLineChars="200"/>
        <w:rPr>
          <w:rFonts w:ascii="仿宋" w:hAnsi="仿宋" w:eastAsia="仿宋"/>
          <w:sz w:val="24"/>
          <w:szCs w:val="24"/>
        </w:rPr>
      </w:pPr>
      <w:r>
        <w:rPr>
          <w:rFonts w:hint="eastAsia" w:ascii="仿宋" w:hAnsi="仿宋" w:eastAsia="仿宋"/>
          <w:sz w:val="24"/>
          <w:szCs w:val="24"/>
        </w:rPr>
        <w:t>按商务合同签定的支付条款进行支付。</w:t>
      </w:r>
    </w:p>
    <w:p>
      <w:pPr>
        <w:numPr>
          <w:ilvl w:val="1"/>
          <w:numId w:val="10"/>
        </w:numPr>
        <w:outlineLvl w:val="1"/>
        <w:rPr>
          <w:rFonts w:ascii="仿宋" w:hAnsi="仿宋" w:eastAsia="仿宋"/>
          <w:b/>
          <w:sz w:val="24"/>
          <w:szCs w:val="24"/>
        </w:rPr>
      </w:pPr>
      <w:bookmarkStart w:id="125" w:name="_Toc5009"/>
      <w:r>
        <w:rPr>
          <w:rFonts w:hint="eastAsia" w:ascii="仿宋" w:hAnsi="仿宋" w:eastAsia="仿宋"/>
          <w:b/>
          <w:bCs/>
          <w:sz w:val="24"/>
          <w:szCs w:val="24"/>
        </w:rPr>
        <w:t>系统、人员、场地、设备、能源事宜</w:t>
      </w:r>
      <w:bookmarkEnd w:id="125"/>
    </w:p>
    <w:p>
      <w:pPr>
        <w:numPr>
          <w:ilvl w:val="2"/>
          <w:numId w:val="10"/>
        </w:numPr>
        <w:outlineLvl w:val="2"/>
        <w:rPr>
          <w:rFonts w:ascii="仿宋" w:hAnsi="仿宋" w:eastAsia="仿宋"/>
          <w:b/>
          <w:sz w:val="24"/>
          <w:szCs w:val="24"/>
        </w:rPr>
      </w:pPr>
      <w:r>
        <w:rPr>
          <w:rFonts w:hint="eastAsia" w:ascii="仿宋" w:hAnsi="仿宋" w:eastAsia="仿宋"/>
          <w:b/>
          <w:sz w:val="24"/>
          <w:szCs w:val="24"/>
        </w:rPr>
        <w:t>系统</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甲方目前提供SAP、</w:t>
      </w:r>
      <w:r>
        <w:rPr>
          <w:rFonts w:hint="eastAsia" w:ascii="仿宋" w:hAnsi="仿宋" w:eastAsia="仿宋"/>
          <w:sz w:val="24"/>
          <w:szCs w:val="24"/>
          <w:lang w:val="en-US" w:eastAsia="zh-CN"/>
        </w:rPr>
        <w:t>DM</w:t>
      </w:r>
      <w:r>
        <w:rPr>
          <w:rFonts w:hint="eastAsia" w:ascii="仿宋" w:hAnsi="仿宋" w:eastAsia="仿宋"/>
          <w:sz w:val="24"/>
          <w:szCs w:val="24"/>
        </w:rPr>
        <w:t>S系统供乙方使用，乙方必须严格按操作规定使用信息化系统，严禁将系统权限或系统数据不得向第三方透露。如因乙方过失造成甲方系统数据泄密，甲方将就相关损失和影响进行追偿。</w:t>
      </w:r>
    </w:p>
    <w:p>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人员</w:t>
      </w:r>
    </w:p>
    <w:p>
      <w:pPr>
        <w:spacing w:line="360" w:lineRule="auto"/>
        <w:rPr>
          <w:rFonts w:ascii="仿宋" w:hAnsi="仿宋" w:eastAsia="仿宋" w:cs="仿宋_GB2312"/>
          <w:bCs/>
          <w:kern w:val="44"/>
          <w:sz w:val="24"/>
        </w:rPr>
      </w:pPr>
      <w:r>
        <w:rPr>
          <w:rFonts w:hint="eastAsia" w:ascii="仿宋" w:hAnsi="仿宋" w:eastAsia="仿宋"/>
          <w:sz w:val="24"/>
          <w:szCs w:val="24"/>
        </w:rPr>
        <w:t>4.5.2.1.</w:t>
      </w:r>
      <w:r>
        <w:rPr>
          <w:rFonts w:hint="eastAsia" w:ascii="仿宋" w:hAnsi="仿宋" w:eastAsia="仿宋"/>
          <w:sz w:val="24"/>
          <w:szCs w:val="24"/>
          <w:lang w:val="en-US" w:eastAsia="zh-CN"/>
        </w:rPr>
        <w:t>轻型汽车销售部客户服务中心备件保障室</w:t>
      </w:r>
      <w:r>
        <w:rPr>
          <w:rFonts w:hint="eastAsia" w:ascii="仿宋" w:hAnsi="仿宋" w:eastAsia="仿宋"/>
          <w:sz w:val="24"/>
          <w:szCs w:val="24"/>
        </w:rPr>
        <w:t>现有</w:t>
      </w:r>
      <w:r>
        <w:rPr>
          <w:rFonts w:hint="eastAsia" w:ascii="仿宋" w:hAnsi="仿宋" w:eastAsia="仿宋"/>
          <w:sz w:val="24"/>
          <w:szCs w:val="24"/>
          <w:lang w:val="en-US" w:eastAsia="zh-CN"/>
        </w:rPr>
        <w:t>12</w:t>
      </w:r>
      <w:r>
        <w:rPr>
          <w:rFonts w:hint="eastAsia" w:ascii="仿宋" w:hAnsi="仿宋" w:eastAsia="仿宋"/>
          <w:sz w:val="24"/>
          <w:szCs w:val="24"/>
        </w:rPr>
        <w:t>人，其中管理技术人</w:t>
      </w:r>
      <w:r>
        <w:rPr>
          <w:rFonts w:hint="eastAsia" w:ascii="仿宋" w:hAnsi="仿宋" w:eastAsia="仿宋"/>
          <w:sz w:val="24"/>
          <w:szCs w:val="24"/>
          <w:lang w:val="en-US" w:eastAsia="zh-CN"/>
        </w:rPr>
        <w:t>员</w:t>
      </w:r>
      <w:r>
        <w:rPr>
          <w:rFonts w:hint="eastAsia" w:ascii="仿宋" w:hAnsi="仿宋" w:eastAsia="仿宋"/>
          <w:sz w:val="24"/>
          <w:szCs w:val="24"/>
        </w:rPr>
        <w:t>7人，工人岗人员</w:t>
      </w:r>
      <w:r>
        <w:rPr>
          <w:rFonts w:hint="eastAsia" w:ascii="仿宋" w:hAnsi="仿宋" w:eastAsia="仿宋"/>
          <w:sz w:val="24"/>
          <w:szCs w:val="24"/>
          <w:lang w:val="en-US" w:eastAsia="zh-CN"/>
        </w:rPr>
        <w:t>5</w:t>
      </w:r>
      <w:r>
        <w:rPr>
          <w:rFonts w:hint="eastAsia" w:ascii="仿宋" w:hAnsi="仿宋" w:eastAsia="仿宋"/>
          <w:sz w:val="24"/>
          <w:szCs w:val="24"/>
        </w:rPr>
        <w:t>人。</w:t>
      </w:r>
    </w:p>
    <w:p>
      <w:pPr>
        <w:spacing w:line="360" w:lineRule="auto"/>
        <w:ind w:left="-10"/>
        <w:rPr>
          <w:rFonts w:ascii="仿宋" w:hAnsi="仿宋" w:eastAsia="仿宋" w:cs="仿宋_GB2312"/>
          <w:bCs/>
          <w:kern w:val="44"/>
          <w:sz w:val="24"/>
        </w:rPr>
      </w:pPr>
      <w:r>
        <w:rPr>
          <w:rFonts w:hint="eastAsia" w:ascii="仿宋" w:hAnsi="仿宋" w:eastAsia="仿宋"/>
          <w:sz w:val="24"/>
          <w:szCs w:val="24"/>
        </w:rPr>
        <w:t>4.5.2.2.现有人员中工人岗原则上优先转入外包服务商，转入人员薪酬原则上不得低于现行薪酬标准。</w:t>
      </w:r>
    </w:p>
    <w:p>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场地</w:t>
      </w:r>
    </w:p>
    <w:p>
      <w:pPr>
        <w:spacing w:line="360" w:lineRule="auto"/>
        <w:outlineLvl w:val="3"/>
        <w:rPr>
          <w:rFonts w:ascii="仿宋" w:hAnsi="仿宋" w:eastAsia="仿宋"/>
          <w:sz w:val="24"/>
          <w:szCs w:val="24"/>
        </w:rPr>
      </w:pPr>
      <w:r>
        <w:rPr>
          <w:rFonts w:hint="eastAsia" w:ascii="仿宋" w:hAnsi="仿宋" w:eastAsia="仿宋"/>
          <w:sz w:val="24"/>
          <w:szCs w:val="24"/>
        </w:rPr>
        <w:t>4.5.3.1现有场地情况</w:t>
      </w:r>
    </w:p>
    <w:p>
      <w:pPr>
        <w:spacing w:line="360" w:lineRule="auto"/>
        <w:ind w:firstLine="480" w:firstLineChars="200"/>
        <w:outlineLvl w:val="3"/>
      </w:pPr>
      <w:r>
        <w:rPr>
          <w:rFonts w:hint="eastAsia" w:ascii="仿宋" w:hAnsi="仿宋" w:eastAsia="仿宋"/>
          <w:sz w:val="24"/>
          <w:szCs w:val="24"/>
          <w:lang w:val="en-US" w:eastAsia="zh-CN"/>
        </w:rPr>
        <w:t>轻型汽车销售部客户服务中心</w:t>
      </w:r>
      <w:r>
        <w:rPr>
          <w:rFonts w:hint="eastAsia" w:ascii="仿宋" w:hAnsi="仿宋" w:eastAsia="仿宋"/>
          <w:sz w:val="24"/>
          <w:szCs w:val="24"/>
        </w:rPr>
        <w:t>提供现有</w:t>
      </w:r>
      <w:r>
        <w:rPr>
          <w:rFonts w:hint="eastAsia" w:ascii="仿宋" w:hAnsi="仿宋" w:eastAsia="仿宋"/>
          <w:sz w:val="24"/>
          <w:szCs w:val="24"/>
          <w:lang w:val="en-US" w:eastAsia="zh-CN"/>
        </w:rPr>
        <w:t>库房</w:t>
      </w:r>
      <w:r>
        <w:rPr>
          <w:rFonts w:hint="eastAsia" w:ascii="仿宋" w:hAnsi="仿宋" w:eastAsia="仿宋"/>
          <w:sz w:val="24"/>
          <w:szCs w:val="24"/>
        </w:rPr>
        <w:t>场地（</w:t>
      </w:r>
      <w:r>
        <w:rPr>
          <w:rFonts w:hint="eastAsia" w:ascii="仿宋" w:hAnsi="仿宋" w:eastAsia="仿宋"/>
          <w:sz w:val="24"/>
          <w:szCs w:val="24"/>
          <w:lang w:val="en-US" w:eastAsia="zh-CN"/>
        </w:rPr>
        <w:t>重庆库房</w:t>
      </w:r>
      <w:r>
        <w:rPr>
          <w:rFonts w:hint="eastAsia" w:ascii="仿宋" w:hAnsi="仿宋" w:eastAsia="仿宋"/>
          <w:sz w:val="24"/>
          <w:szCs w:val="24"/>
        </w:rPr>
        <w:t xml:space="preserve">占地面积 </w:t>
      </w:r>
      <w:r>
        <w:rPr>
          <w:rFonts w:hint="eastAsia" w:ascii="仿宋" w:hAnsi="仿宋" w:eastAsia="仿宋"/>
          <w:sz w:val="24"/>
          <w:szCs w:val="24"/>
          <w:lang w:val="en-US" w:eastAsia="zh-CN"/>
        </w:rPr>
        <w:t>200</w:t>
      </w:r>
      <w:r>
        <w:rPr>
          <w:rFonts w:hint="eastAsia" w:ascii="仿宋" w:hAnsi="仿宋" w:eastAsia="仿宋"/>
          <w:sz w:val="24"/>
          <w:szCs w:val="24"/>
        </w:rPr>
        <w:t>0㎡，</w:t>
      </w:r>
      <w:r>
        <w:rPr>
          <w:rFonts w:hint="eastAsia" w:ascii="仿宋" w:hAnsi="仿宋" w:eastAsia="仿宋"/>
          <w:sz w:val="24"/>
          <w:szCs w:val="24"/>
          <w:lang w:val="en-US" w:eastAsia="zh-CN"/>
        </w:rPr>
        <w:t>章丘库房</w:t>
      </w:r>
      <w:r>
        <w:rPr>
          <w:rFonts w:hint="eastAsia" w:ascii="仿宋" w:hAnsi="仿宋" w:eastAsia="仿宋"/>
          <w:sz w:val="24"/>
          <w:szCs w:val="24"/>
        </w:rPr>
        <w:t>占地面积</w:t>
      </w:r>
      <w:r>
        <w:rPr>
          <w:rFonts w:hint="eastAsia" w:ascii="仿宋" w:hAnsi="仿宋" w:eastAsia="仿宋"/>
          <w:sz w:val="24"/>
          <w:szCs w:val="24"/>
          <w:lang w:val="en-US" w:eastAsia="zh-CN"/>
        </w:rPr>
        <w:t>50</w:t>
      </w:r>
      <w:r>
        <w:rPr>
          <w:rFonts w:hint="eastAsia" w:ascii="仿宋" w:hAnsi="仿宋" w:eastAsia="仿宋"/>
          <w:sz w:val="24"/>
          <w:szCs w:val="24"/>
        </w:rPr>
        <w:t>0㎡）。</w:t>
      </w:r>
    </w:p>
    <w:p>
      <w:pPr>
        <w:spacing w:line="360" w:lineRule="auto"/>
        <w:outlineLvl w:val="3"/>
        <w:rPr>
          <w:rFonts w:ascii="仿宋" w:hAnsi="仿宋" w:eastAsia="仿宋" w:cs="仿宋"/>
          <w:b/>
          <w:kern w:val="44"/>
          <w:sz w:val="24"/>
          <w:szCs w:val="24"/>
        </w:rPr>
      </w:pPr>
      <w:r>
        <w:rPr>
          <w:rFonts w:hint="eastAsia" w:ascii="仿宋" w:hAnsi="仿宋" w:eastAsia="仿宋"/>
          <w:sz w:val="24"/>
          <w:szCs w:val="24"/>
        </w:rPr>
        <w:t>4.5.3.2</w:t>
      </w:r>
      <w:r>
        <w:rPr>
          <w:rFonts w:hint="eastAsia" w:ascii="仿宋" w:hAnsi="仿宋" w:eastAsia="仿宋" w:cs="仿宋"/>
          <w:sz w:val="24"/>
          <w:szCs w:val="24"/>
        </w:rPr>
        <w:t>现有场地使用方案</w:t>
      </w:r>
    </w:p>
    <w:p>
      <w:pPr>
        <w:spacing w:line="360" w:lineRule="auto"/>
        <w:ind w:firstLine="480" w:firstLineChars="200"/>
        <w:outlineLvl w:val="3"/>
      </w:pPr>
      <w:r>
        <w:rPr>
          <w:rFonts w:hint="eastAsia" w:ascii="仿宋" w:hAnsi="仿宋" w:eastAsia="仿宋" w:cs="仿宋_GB2312"/>
          <w:bCs/>
          <w:kern w:val="44"/>
          <w:sz w:val="24"/>
          <w:szCs w:val="24"/>
        </w:rPr>
        <w:t>现有</w:t>
      </w:r>
      <w:r>
        <w:rPr>
          <w:rFonts w:hint="eastAsia" w:ascii="仿宋" w:hAnsi="仿宋" w:eastAsia="仿宋" w:cs="仿宋_GB2312"/>
          <w:bCs/>
          <w:kern w:val="44"/>
          <w:sz w:val="24"/>
          <w:szCs w:val="24"/>
          <w:lang w:val="en-US" w:eastAsia="zh-CN"/>
        </w:rPr>
        <w:t>场地库房，</w:t>
      </w:r>
      <w:r>
        <w:rPr>
          <w:rFonts w:hint="eastAsia" w:ascii="仿宋" w:hAnsi="仿宋" w:eastAsia="仿宋" w:cs="仿宋_GB2312"/>
          <w:bCs/>
          <w:kern w:val="44"/>
          <w:sz w:val="24"/>
          <w:szCs w:val="24"/>
        </w:rPr>
        <w:t>由甲方免费提供使用，其所有权归中国重汽集团济南商用车有限公司轻型汽车销售部，场内设施、设备由外包服务商自行维护，主体建筑中国重汽集团济南商用车有限公司轻型汽车销售部统一管理</w:t>
      </w:r>
      <w:r>
        <w:rPr>
          <w:rFonts w:hint="eastAsia" w:ascii="仿宋" w:hAnsi="仿宋" w:eastAsia="仿宋" w:cs="仿宋_GB2312"/>
          <w:b/>
          <w:kern w:val="44"/>
          <w:sz w:val="24"/>
          <w:szCs w:val="24"/>
        </w:rPr>
        <w:t>。</w:t>
      </w:r>
    </w:p>
    <w:p>
      <w:pPr>
        <w:spacing w:line="360" w:lineRule="auto"/>
        <w:jc w:val="left"/>
        <w:outlineLvl w:val="3"/>
        <w:rPr>
          <w:rFonts w:ascii="仿宋" w:hAnsi="仿宋" w:eastAsia="仿宋" w:cs="仿宋"/>
          <w:bCs/>
          <w:sz w:val="24"/>
          <w:szCs w:val="24"/>
        </w:rPr>
      </w:pPr>
      <w:r>
        <w:rPr>
          <w:rFonts w:hint="eastAsia" w:ascii="仿宋" w:hAnsi="仿宋" w:eastAsia="仿宋"/>
          <w:sz w:val="24"/>
          <w:szCs w:val="24"/>
        </w:rPr>
        <w:t>4.5.3.3</w:t>
      </w:r>
      <w:r>
        <w:rPr>
          <w:rFonts w:hint="eastAsia" w:ascii="仿宋" w:hAnsi="仿宋" w:eastAsia="仿宋" w:cs="仿宋"/>
          <w:bCs/>
          <w:kern w:val="44"/>
          <w:sz w:val="24"/>
          <w:szCs w:val="24"/>
        </w:rPr>
        <w:t>仓储设施的增加</w:t>
      </w:r>
    </w:p>
    <w:p>
      <w:pPr>
        <w:spacing w:line="360" w:lineRule="auto"/>
        <w:ind w:firstLine="480" w:firstLineChars="200"/>
        <w:jc w:val="left"/>
        <w:outlineLvl w:val="3"/>
      </w:pPr>
      <w:r>
        <w:rPr>
          <w:rFonts w:hint="eastAsia" w:ascii="仿宋" w:hAnsi="仿宋" w:eastAsia="仿宋" w:cs="仿宋"/>
          <w:bCs/>
          <w:kern w:val="44"/>
          <w:sz w:val="24"/>
          <w:szCs w:val="24"/>
        </w:rPr>
        <w:t>因发展需要，外包服务商根据规划或自行配置的货架的仓储设施，由外包服务商自行投放，维护维修，自交接之日起由外包服务商自行增加的仓储设施其所有权归外包服务商。增加的仓储设施需符合中国重汽集团济南商用车有限公司轻型汽车销售部的整体规划。</w:t>
      </w:r>
      <w:r>
        <w:rPr>
          <w:rFonts w:hint="eastAsia" w:ascii="仿宋" w:hAnsi="仿宋" w:eastAsia="仿宋" w:cs="仿宋"/>
          <w:bCs/>
          <w:color w:val="000000"/>
          <w:sz w:val="24"/>
          <w:szCs w:val="24"/>
        </w:rPr>
        <w:t>本次中标后需供应商在入场时投放</w:t>
      </w:r>
      <w:r>
        <w:rPr>
          <w:rFonts w:hint="eastAsia" w:ascii="仿宋" w:hAnsi="仿宋" w:eastAsia="仿宋" w:cs="仿宋"/>
          <w:bCs/>
          <w:color w:val="000000"/>
          <w:sz w:val="24"/>
          <w:szCs w:val="24"/>
          <w:lang w:val="en-US" w:eastAsia="zh-CN"/>
        </w:rPr>
        <w:t>叉车等仓储设备。</w:t>
      </w:r>
      <w:r>
        <w:rPr>
          <w:rFonts w:hint="eastAsia"/>
        </w:rPr>
        <w:t xml:space="preserve">                           </w:t>
      </w:r>
    </w:p>
    <w:p>
      <w:pPr>
        <w:spacing w:line="360" w:lineRule="auto"/>
        <w:outlineLvl w:val="3"/>
        <w:rPr>
          <w:rFonts w:ascii="仿宋" w:hAnsi="仿宋" w:eastAsia="仿宋"/>
          <w:bCs/>
          <w:sz w:val="24"/>
          <w:szCs w:val="24"/>
        </w:rPr>
      </w:pPr>
      <w:r>
        <w:rPr>
          <w:rFonts w:hint="eastAsia" w:ascii="仿宋" w:hAnsi="仿宋" w:eastAsia="仿宋"/>
          <w:sz w:val="24"/>
          <w:szCs w:val="24"/>
        </w:rPr>
        <w:t>4.5.3.4</w:t>
      </w:r>
      <w:r>
        <w:rPr>
          <w:rFonts w:hint="eastAsia" w:ascii="仿宋" w:hAnsi="仿宋" w:eastAsia="仿宋" w:cs="仿宋_GB2312"/>
          <w:bCs/>
          <w:kern w:val="44"/>
          <w:sz w:val="24"/>
        </w:rPr>
        <w:t>仓储场地补充</w:t>
      </w:r>
    </w:p>
    <w:p>
      <w:pPr>
        <w:spacing w:line="360" w:lineRule="auto"/>
        <w:ind w:firstLine="480" w:firstLineChars="200"/>
        <w:outlineLvl w:val="3"/>
        <w:rPr>
          <w:rFonts w:ascii="仿宋" w:hAnsi="仿宋" w:eastAsia="仿宋"/>
          <w:sz w:val="24"/>
          <w:szCs w:val="24"/>
        </w:rPr>
      </w:pPr>
      <w:r>
        <w:rPr>
          <w:rFonts w:hint="eastAsia" w:ascii="仿宋" w:hAnsi="仿宋" w:eastAsia="仿宋"/>
          <w:sz w:val="24"/>
          <w:szCs w:val="24"/>
        </w:rPr>
        <w:t>现有厂区内场地通过仓储设施建设仍然不足的情况下，业务外包方可在周边租赁</w:t>
      </w:r>
      <w:r>
        <w:rPr>
          <w:rFonts w:hint="eastAsia" w:ascii="仿宋" w:hAnsi="仿宋" w:eastAsia="仿宋"/>
          <w:sz w:val="24"/>
          <w:szCs w:val="24"/>
          <w:lang w:val="en-US" w:eastAsia="zh-CN"/>
        </w:rPr>
        <w:t>仓储服务</w:t>
      </w:r>
      <w:r>
        <w:rPr>
          <w:rFonts w:hint="eastAsia" w:ascii="仿宋" w:hAnsi="仿宋" w:eastAsia="仿宋"/>
          <w:sz w:val="24"/>
          <w:szCs w:val="24"/>
        </w:rPr>
        <w:t>管理，运作服务费用和仓储费用由业务外包方与供应商自行根据具体标准由业务外包方与供应商签署服务协议。具体服务运作费用和仓储费用标准需报由中国重汽集团济南商用车有限公司轻型汽车销售部审批备案后方可执行。</w:t>
      </w:r>
    </w:p>
    <w:p>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物流设备</w:t>
      </w:r>
    </w:p>
    <w:p>
      <w:pPr>
        <w:spacing w:line="360" w:lineRule="auto"/>
        <w:outlineLvl w:val="3"/>
        <w:rPr>
          <w:rFonts w:ascii="仿宋" w:hAnsi="仿宋" w:eastAsia="仿宋"/>
          <w:b/>
          <w:bCs/>
          <w:sz w:val="24"/>
          <w:szCs w:val="24"/>
        </w:rPr>
      </w:pPr>
      <w:r>
        <w:rPr>
          <w:rFonts w:hint="eastAsia" w:ascii="仿宋" w:hAnsi="仿宋" w:eastAsia="仿宋"/>
          <w:sz w:val="24"/>
          <w:szCs w:val="24"/>
        </w:rPr>
        <w:t>4.5.4.1物流设备由乙方根据自行运作需要，所有物流设备由乙方自行提供，设备必须满足甲方需要，所有设备必须为绿色动力电动车，符合国家安全标准。</w:t>
      </w:r>
    </w:p>
    <w:p>
      <w:pPr>
        <w:spacing w:line="360" w:lineRule="auto"/>
        <w:jc w:val="left"/>
        <w:outlineLvl w:val="3"/>
        <w:rPr>
          <w:rFonts w:ascii="仿宋" w:hAnsi="仿宋" w:eastAsia="仿宋"/>
          <w:sz w:val="24"/>
          <w:szCs w:val="24"/>
        </w:rPr>
      </w:pPr>
      <w:r>
        <w:rPr>
          <w:rFonts w:hint="eastAsia" w:ascii="仿宋" w:hAnsi="仿宋" w:eastAsia="仿宋"/>
          <w:sz w:val="24"/>
          <w:szCs w:val="24"/>
        </w:rPr>
        <w:t>4.5.3.2甲方按乙方租赁设备进行业务对接，后期如乙方正常退出，不涉及资产转让和资产残值处理，所有设备维修、维护由乙方自行负责。</w:t>
      </w:r>
    </w:p>
    <w:p>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办公设备</w:t>
      </w:r>
    </w:p>
    <w:p>
      <w:pPr>
        <w:spacing w:line="360" w:lineRule="auto"/>
        <w:ind w:firstLine="480" w:firstLineChars="200"/>
        <w:outlineLvl w:val="3"/>
        <w:rPr>
          <w:rFonts w:ascii="仿宋" w:hAnsi="仿宋" w:eastAsia="仿宋" w:cs="仿宋_GB2312"/>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办公及办公用品，运营过程中使用的辅料及低值易耗品全权由外包服务商即中标方自行负责。</w:t>
      </w:r>
    </w:p>
    <w:p>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资产保管</w:t>
      </w:r>
    </w:p>
    <w:p>
      <w:pPr>
        <w:spacing w:line="360" w:lineRule="auto"/>
        <w:ind w:firstLine="480" w:firstLineChars="200"/>
        <w:outlineLvl w:val="2"/>
        <w:rPr>
          <w:rFonts w:hint="eastAsia" w:ascii="仿宋" w:hAnsi="仿宋" w:eastAsia="仿宋" w:cs="仿宋_GB2312"/>
          <w:color w:val="000000" w:themeColor="text1"/>
          <w:kern w:val="44"/>
          <w:sz w:val="24"/>
          <w:szCs w:val="24"/>
          <w:lang w:eastAsia="zh-CN"/>
          <w14:textFill>
            <w14:solidFill>
              <w14:schemeClr w14:val="tx1"/>
            </w14:solidFill>
          </w14:textFill>
        </w:rPr>
      </w:pPr>
      <w:r>
        <w:rPr>
          <w:rFonts w:hint="eastAsia" w:ascii="仿宋" w:hAnsi="仿宋" w:eastAsia="仿宋" w:cs="仿宋_GB2312"/>
          <w:color w:val="000000" w:themeColor="text1"/>
          <w:kern w:val="44"/>
          <w:sz w:val="24"/>
          <w14:textFill>
            <w14:solidFill>
              <w14:schemeClr w14:val="tx1"/>
            </w14:solidFill>
          </w14:textFill>
        </w:rPr>
        <w:t>外包服输务商需确保投入的车辆、设备</w:t>
      </w:r>
      <w:r>
        <w:rPr>
          <w:rFonts w:hint="eastAsia" w:ascii="仿宋" w:hAnsi="仿宋" w:eastAsia="仿宋" w:cs="仿宋_GB2312"/>
          <w:color w:val="000000" w:themeColor="text1"/>
          <w:kern w:val="44"/>
          <w:sz w:val="24"/>
          <w:lang w:val="en-US" w:eastAsia="zh-CN"/>
          <w14:textFill>
            <w14:solidFill>
              <w14:schemeClr w14:val="tx1"/>
            </w14:solidFill>
          </w14:textFill>
        </w:rPr>
        <w:t>需符合</w:t>
      </w:r>
      <w:r>
        <w:rPr>
          <w:rFonts w:hint="eastAsia" w:ascii="仿宋" w:hAnsi="仿宋" w:eastAsia="仿宋" w:cs="仿宋_GB2312"/>
          <w:color w:val="000000" w:themeColor="text1"/>
          <w:kern w:val="44"/>
          <w:sz w:val="24"/>
          <w14:textFill>
            <w14:solidFill>
              <w14:schemeClr w14:val="tx1"/>
            </w14:solidFill>
          </w14:textFill>
        </w:rPr>
        <w:t>中国重汽集团济南商用车有限公司轻型汽车销售部的运作、安全规定。对于</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所保管或使用的</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厂房、设备、设施及资产，如发生损坏或丢失，</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要负责照价赔偿。外包服务项目中由</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提供给供应商使用的固定资产（场地、设备和设施），权属于</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olor w:val="000000" w:themeColor="text1"/>
          <w:sz w:val="24"/>
          <w:szCs w:val="24"/>
          <w:lang w:eastAsia="zh-CN"/>
          <w14:textFill>
            <w14:solidFill>
              <w14:schemeClr w14:val="tx1"/>
            </w14:solidFill>
          </w14:textFill>
        </w:rPr>
        <w:t>。</w:t>
      </w:r>
    </w:p>
    <w:p>
      <w:pPr>
        <w:numPr>
          <w:ilvl w:val="2"/>
          <w:numId w:val="10"/>
        </w:numPr>
        <w:spacing w:line="360" w:lineRule="auto"/>
        <w:outlineLvl w:val="2"/>
        <w:rPr>
          <w:rFonts w:ascii="仿宋" w:hAnsi="仿宋" w:eastAsia="仿宋" w:cs="仿宋_GB2312"/>
          <w:b/>
          <w:bCs/>
          <w:color w:val="000000" w:themeColor="text1"/>
          <w:kern w:val="44"/>
          <w:sz w:val="24"/>
          <w14:textFill>
            <w14:solidFill>
              <w14:schemeClr w14:val="tx1"/>
            </w14:solidFill>
          </w14:textFill>
        </w:rPr>
      </w:pPr>
      <w:r>
        <w:rPr>
          <w:rFonts w:hint="eastAsia" w:ascii="仿宋" w:hAnsi="仿宋" w:eastAsia="仿宋" w:cs="仿宋_GB2312"/>
          <w:b/>
          <w:bCs/>
          <w:color w:val="000000" w:themeColor="text1"/>
          <w:kern w:val="44"/>
          <w:sz w:val="24"/>
          <w14:textFill>
            <w14:solidFill>
              <w14:schemeClr w14:val="tx1"/>
            </w14:solidFill>
          </w14:textFill>
        </w:rPr>
        <w:t>能源</w:t>
      </w:r>
    </w:p>
    <w:p>
      <w:pPr>
        <w:spacing w:line="360" w:lineRule="auto"/>
        <w:ind w:firstLine="480" w:firstLineChars="200"/>
        <w:outlineLvl w:val="2"/>
        <w:rPr>
          <w:rFonts w:ascii="仿宋" w:hAnsi="仿宋" w:eastAsia="仿宋" w:cs="仿宋_GB2312"/>
          <w:b/>
          <w:bCs/>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所有物流辖区的照明、充电所耗用的能源费用由外包服务商自行管理并单独计量支付。</w:t>
      </w:r>
    </w:p>
    <w:p>
      <w:pPr>
        <w:numPr>
          <w:ilvl w:val="0"/>
          <w:numId w:val="10"/>
        </w:numPr>
        <w:spacing w:line="360" w:lineRule="auto"/>
        <w:jc w:val="left"/>
        <w:outlineLvl w:val="0"/>
        <w:rPr>
          <w:rFonts w:ascii="仿宋" w:hAnsi="仿宋" w:eastAsia="仿宋"/>
          <w:b/>
          <w:sz w:val="24"/>
          <w:szCs w:val="24"/>
        </w:rPr>
      </w:pPr>
      <w:bookmarkStart w:id="126" w:name="_Toc22150"/>
      <w:r>
        <w:rPr>
          <w:rFonts w:hint="eastAsia" w:ascii="仿宋" w:hAnsi="仿宋" w:eastAsia="仿宋"/>
          <w:b/>
          <w:sz w:val="24"/>
          <w:szCs w:val="24"/>
        </w:rPr>
        <w:t>供应商资质能力审查</w:t>
      </w:r>
      <w:bookmarkEnd w:id="126"/>
    </w:p>
    <w:p>
      <w:pPr>
        <w:spacing w:line="360" w:lineRule="auto"/>
        <w:ind w:left="-3"/>
        <w:jc w:val="left"/>
        <w:outlineLvl w:val="1"/>
        <w:rPr>
          <w:rFonts w:ascii="仿宋" w:hAnsi="仿宋" w:eastAsia="仿宋"/>
          <w:sz w:val="24"/>
          <w:szCs w:val="24"/>
        </w:rPr>
      </w:pPr>
      <w:bookmarkStart w:id="127" w:name="_Toc20957"/>
      <w:r>
        <w:rPr>
          <w:rFonts w:hint="eastAsia" w:ascii="仿宋" w:hAnsi="仿宋" w:eastAsia="仿宋"/>
          <w:sz w:val="24"/>
          <w:szCs w:val="24"/>
        </w:rPr>
        <w:t>5.1供应商准入条件</w:t>
      </w:r>
      <w:bookmarkEnd w:id="127"/>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a.企业注册资本</w:t>
      </w:r>
      <w:r>
        <w:rPr>
          <w:rFonts w:hint="eastAsia" w:ascii="仿宋" w:hAnsi="仿宋" w:eastAsia="仿宋" w:cs="仿宋_GB2312"/>
          <w:kern w:val="44"/>
          <w:sz w:val="24"/>
          <w:szCs w:val="28"/>
          <w:highlight w:val="none"/>
          <w:lang w:val="en-US" w:eastAsia="zh-CN"/>
        </w:rPr>
        <w:t>2</w:t>
      </w:r>
      <w:r>
        <w:rPr>
          <w:rFonts w:hint="eastAsia" w:ascii="仿宋" w:hAnsi="仿宋" w:eastAsia="仿宋" w:cs="仿宋_GB2312"/>
          <w:kern w:val="44"/>
          <w:sz w:val="24"/>
          <w:szCs w:val="28"/>
          <w:highlight w:val="none"/>
        </w:rPr>
        <w:t>00万</w:t>
      </w:r>
      <w:r>
        <w:rPr>
          <w:rFonts w:hint="eastAsia" w:ascii="仿宋" w:hAnsi="仿宋" w:eastAsia="仿宋" w:cs="仿宋_GB2312"/>
          <w:kern w:val="44"/>
          <w:sz w:val="24"/>
          <w:szCs w:val="28"/>
          <w:highlight w:val="none"/>
          <w:lang w:val="en-US" w:eastAsia="zh-CN"/>
        </w:rPr>
        <w:t>及</w:t>
      </w:r>
      <w:r>
        <w:rPr>
          <w:rFonts w:hint="eastAsia" w:ascii="仿宋" w:hAnsi="仿宋" w:eastAsia="仿宋" w:cs="仿宋_GB2312"/>
          <w:kern w:val="44"/>
          <w:sz w:val="24"/>
          <w:szCs w:val="28"/>
          <w:highlight w:val="none"/>
        </w:rPr>
        <w:t>以</w:t>
      </w:r>
      <w:r>
        <w:rPr>
          <w:rFonts w:hint="eastAsia" w:ascii="仿宋" w:hAnsi="仿宋" w:eastAsia="仿宋" w:cs="仿宋_GB2312"/>
          <w:kern w:val="44"/>
          <w:sz w:val="24"/>
          <w:szCs w:val="28"/>
        </w:rPr>
        <w:t>上，近3年信用良好且无失信行为；</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b.具有汽车及零部件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运作业绩及案例；具备仓储、配送、运输、整车物流运输等物流服务资质；</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sz w:val="24"/>
          <w:szCs w:val="24"/>
        </w:rPr>
        <w:t>c.</w:t>
      </w:r>
      <w:r>
        <w:rPr>
          <w:rFonts w:hint="eastAsia" w:ascii="仿宋" w:hAnsi="仿宋" w:eastAsia="仿宋"/>
          <w:sz w:val="24"/>
          <w:szCs w:val="24"/>
          <w:highlight w:val="none"/>
        </w:rPr>
        <w:t>乙方须接手甲方现行运营人员;</w:t>
      </w:r>
      <w:r>
        <w:rPr>
          <w:rFonts w:hint="eastAsia" w:ascii="仿宋" w:hAnsi="仿宋" w:eastAsia="仿宋"/>
          <w:sz w:val="24"/>
          <w:szCs w:val="24"/>
        </w:rPr>
        <w:t>设备、办公设备、耗材</w:t>
      </w:r>
      <w:r>
        <w:rPr>
          <w:rFonts w:hint="eastAsia" w:ascii="仿宋" w:hAnsi="仿宋" w:eastAsia="仿宋"/>
          <w:sz w:val="24"/>
          <w:szCs w:val="24"/>
          <w:lang w:val="en-US" w:eastAsia="zh-CN"/>
        </w:rPr>
        <w:t>不满足使用时，</w:t>
      </w:r>
      <w:r>
        <w:rPr>
          <w:rFonts w:hint="eastAsia" w:ascii="仿宋" w:hAnsi="仿宋" w:eastAsia="仿宋"/>
          <w:sz w:val="24"/>
          <w:szCs w:val="24"/>
        </w:rPr>
        <w:t>由乙方自行</w:t>
      </w:r>
      <w:r>
        <w:rPr>
          <w:rFonts w:hint="eastAsia" w:ascii="仿宋" w:hAnsi="仿宋" w:eastAsia="仿宋"/>
          <w:sz w:val="24"/>
          <w:szCs w:val="24"/>
          <w:lang w:val="en-US" w:eastAsia="zh-CN"/>
        </w:rPr>
        <w:t>购买</w:t>
      </w:r>
      <w:r>
        <w:rPr>
          <w:rFonts w:hint="eastAsia" w:ascii="仿宋" w:hAnsi="仿宋" w:eastAsia="仿宋" w:cs="仿宋_GB2312"/>
          <w:kern w:val="44"/>
          <w:sz w:val="24"/>
          <w:szCs w:val="28"/>
        </w:rPr>
        <w:t>。</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服务业务不允许外包；</w:t>
      </w:r>
    </w:p>
    <w:p>
      <w:pPr>
        <w:spacing w:line="360" w:lineRule="auto"/>
        <w:ind w:left="-3"/>
        <w:jc w:val="left"/>
        <w:outlineLvl w:val="1"/>
        <w:rPr>
          <w:rFonts w:ascii="仿宋" w:hAnsi="仿宋" w:eastAsia="仿宋"/>
          <w:sz w:val="24"/>
          <w:szCs w:val="24"/>
        </w:rPr>
      </w:pPr>
      <w:bookmarkStart w:id="128" w:name="_Toc5411"/>
      <w:r>
        <w:rPr>
          <w:rFonts w:hint="eastAsia" w:ascii="仿宋" w:hAnsi="仿宋" w:eastAsia="仿宋"/>
          <w:sz w:val="24"/>
          <w:szCs w:val="24"/>
        </w:rPr>
        <w:t>5.2为保证外包服务商公司的合格性，外包服务商公司应向我公司提供以下资料：</w:t>
      </w:r>
      <w:bookmarkEnd w:id="128"/>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a.企业资质证明(税务登记证副本复印件、营业执照副本复印件、组织机构代码证副本复印件、</w:t>
      </w:r>
      <w:r>
        <w:rPr>
          <w:rFonts w:ascii="仿宋" w:hAnsi="仿宋" w:eastAsia="仿宋" w:cs="仿宋_GB2312"/>
          <w:kern w:val="44"/>
          <w:sz w:val="24"/>
          <w:szCs w:val="28"/>
        </w:rPr>
        <w:t>公司</w:t>
      </w:r>
      <w:r>
        <w:rPr>
          <w:rFonts w:hint="eastAsia" w:ascii="仿宋" w:hAnsi="仿宋" w:eastAsia="仿宋" w:cs="仿宋_GB2312"/>
          <w:kern w:val="44"/>
          <w:sz w:val="24"/>
          <w:szCs w:val="28"/>
        </w:rPr>
        <w:t>法定代表人身份证明书（后附格式）、法定代表人授权委托书（后附格式）。以上文件为复印件的需加盖公司公章，以上文件均需要最新审核版本)；</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b.所做的业绩以及案例；</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c.</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的运作技术方案（参与本项目运作团队和项目经理介绍、如何接手现有甲方自主运营的</w:t>
      </w:r>
      <w:r>
        <w:rPr>
          <w:rFonts w:hint="eastAsia" w:ascii="仿宋" w:hAnsi="仿宋" w:eastAsia="仿宋" w:cs="仿宋_GB2312"/>
          <w:kern w:val="44"/>
          <w:sz w:val="24"/>
          <w:szCs w:val="28"/>
          <w:lang w:val="en-US" w:eastAsia="zh-CN"/>
        </w:rPr>
        <w:t>工人</w:t>
      </w:r>
      <w:r>
        <w:rPr>
          <w:rFonts w:hint="eastAsia" w:ascii="仿宋" w:hAnsi="仿宋" w:eastAsia="仿宋" w:cs="仿宋_GB2312"/>
          <w:kern w:val="44"/>
          <w:sz w:val="24"/>
          <w:szCs w:val="28"/>
        </w:rPr>
        <w:t>团队、账实管理及</w:t>
      </w:r>
      <w:r>
        <w:rPr>
          <w:rFonts w:hint="eastAsia" w:ascii="仿宋" w:hAnsi="仿宋" w:eastAsia="仿宋" w:cs="仿宋_GB2312"/>
          <w:kern w:val="44"/>
          <w:sz w:val="24"/>
          <w:szCs w:val="28"/>
          <w:lang w:val="en-US" w:eastAsia="zh-CN"/>
        </w:rPr>
        <w:t>发运</w:t>
      </w:r>
      <w:r>
        <w:rPr>
          <w:rFonts w:hint="eastAsia" w:ascii="仿宋" w:hAnsi="仿宋" w:eastAsia="仿宋" w:cs="仿宋_GB2312"/>
          <w:kern w:val="44"/>
          <w:sz w:val="24"/>
          <w:szCs w:val="28"/>
        </w:rPr>
        <w:t>规划管理的平稳过渡以及后期比较详细的运作规划方案）；</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d.提供近三年的审计报告或财务报表。(备注：a至d项目证明材料单独密封并加盖公章)</w:t>
      </w:r>
    </w:p>
    <w:p>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e.按</w:t>
      </w:r>
      <w:r>
        <w:rPr>
          <w:rFonts w:hint="eastAsia" w:ascii="仿宋" w:hAnsi="仿宋" w:eastAsia="仿宋" w:cs="仿宋_GB2312"/>
          <w:kern w:val="44"/>
          <w:sz w:val="24"/>
          <w:szCs w:val="28"/>
          <w:highlight w:val="none"/>
          <w:lang w:val="en-US" w:eastAsia="zh-CN"/>
        </w:rPr>
        <w:t>发运量</w:t>
      </w:r>
      <w:r>
        <w:rPr>
          <w:rFonts w:hint="eastAsia" w:ascii="仿宋" w:hAnsi="仿宋" w:eastAsia="仿宋" w:cs="仿宋_GB2312"/>
          <w:kern w:val="44"/>
          <w:sz w:val="24"/>
          <w:szCs w:val="28"/>
          <w:highlight w:val="none"/>
        </w:rPr>
        <w:t>分</w:t>
      </w:r>
      <w:r>
        <w:rPr>
          <w:rFonts w:hint="eastAsia" w:ascii="仿宋" w:hAnsi="仿宋" w:eastAsia="仿宋" w:cs="仿宋_GB2312"/>
          <w:kern w:val="44"/>
          <w:sz w:val="24"/>
          <w:szCs w:val="28"/>
        </w:rPr>
        <w:t>段提报物流服务费用标准（在商务报价中体现单独密封并加盖公章）;</w:t>
      </w:r>
    </w:p>
    <w:p>
      <w:pPr>
        <w:spacing w:line="360" w:lineRule="auto"/>
        <w:jc w:val="left"/>
        <w:outlineLvl w:val="0"/>
        <w:rPr>
          <w:rFonts w:ascii="仿宋" w:hAnsi="仿宋" w:eastAsia="仿宋"/>
          <w:b/>
          <w:sz w:val="24"/>
          <w:szCs w:val="24"/>
        </w:rPr>
      </w:pPr>
      <w:bookmarkStart w:id="129" w:name="_Toc26022"/>
      <w:r>
        <w:rPr>
          <w:rFonts w:hint="eastAsia" w:ascii="仿宋" w:hAnsi="仿宋" w:eastAsia="仿宋"/>
          <w:b/>
          <w:sz w:val="24"/>
          <w:szCs w:val="24"/>
        </w:rPr>
        <w:t>6、业务运作需求</w:t>
      </w:r>
      <w:bookmarkEnd w:id="129"/>
    </w:p>
    <w:p>
      <w:pPr>
        <w:spacing w:line="360" w:lineRule="auto"/>
        <w:ind w:left="-3"/>
        <w:jc w:val="left"/>
        <w:outlineLvl w:val="1"/>
        <w:rPr>
          <w:rFonts w:ascii="仿宋" w:hAnsi="仿宋" w:eastAsia="仿宋"/>
          <w:b/>
          <w:sz w:val="24"/>
          <w:szCs w:val="24"/>
        </w:rPr>
      </w:pPr>
      <w:bookmarkStart w:id="130" w:name="_Toc13963"/>
      <w:r>
        <w:rPr>
          <w:rFonts w:hint="eastAsia" w:ascii="仿宋" w:hAnsi="仿宋" w:eastAsia="仿宋"/>
          <w:b/>
          <w:sz w:val="24"/>
          <w:szCs w:val="24"/>
        </w:rPr>
        <w:t>6.1乙方人员要求</w:t>
      </w:r>
      <w:bookmarkEnd w:id="130"/>
    </w:p>
    <w:p>
      <w:pPr>
        <w:spacing w:line="360" w:lineRule="auto"/>
        <w:rPr>
          <w:rFonts w:ascii="仿宋" w:hAnsi="仿宋" w:eastAsia="仿宋" w:cs="仿宋_GB2312"/>
          <w:kern w:val="44"/>
          <w:sz w:val="24"/>
        </w:rPr>
      </w:pPr>
      <w:r>
        <w:rPr>
          <w:rFonts w:hint="eastAsia" w:ascii="仿宋" w:hAnsi="仿宋" w:eastAsia="仿宋" w:cs="仿宋_GB2312"/>
          <w:kern w:val="44"/>
          <w:sz w:val="24"/>
        </w:rPr>
        <w:t>6.1.1 外包服务商公司根据甲方的整体年</w:t>
      </w:r>
      <w:r>
        <w:rPr>
          <w:rFonts w:hint="eastAsia" w:ascii="仿宋" w:hAnsi="仿宋" w:eastAsia="仿宋" w:cs="仿宋_GB2312"/>
          <w:kern w:val="44"/>
          <w:sz w:val="24"/>
          <w:lang w:val="en-US" w:eastAsia="zh-CN"/>
        </w:rPr>
        <w:t>配件发运量，</w:t>
      </w:r>
      <w:r>
        <w:rPr>
          <w:rFonts w:hint="eastAsia" w:ascii="仿宋" w:hAnsi="仿宋" w:eastAsia="仿宋" w:cs="仿宋_GB2312"/>
          <w:kern w:val="44"/>
          <w:sz w:val="24"/>
        </w:rPr>
        <w:t>规划</w:t>
      </w:r>
      <w:r>
        <w:rPr>
          <w:rFonts w:hint="eastAsia" w:ascii="仿宋" w:hAnsi="仿宋" w:eastAsia="仿宋" w:cs="仿宋_GB2312"/>
          <w:kern w:val="44"/>
          <w:sz w:val="24"/>
          <w:lang w:val="en-US" w:eastAsia="zh-CN"/>
        </w:rPr>
        <w:t>和</w:t>
      </w:r>
      <w:r>
        <w:rPr>
          <w:rFonts w:hint="eastAsia" w:ascii="仿宋" w:hAnsi="仿宋" w:eastAsia="仿宋" w:cs="仿宋_GB2312"/>
          <w:kern w:val="44"/>
          <w:sz w:val="24"/>
        </w:rPr>
        <w:t>设置自身内部组织机构和人员配置，并向甲方定期提交人员组织机构图、岗位说明书以及人员分工表等。组织机构的设置、更改以及人员的配备必须满足甲方的精益生产和业务发展的需要，其中必须具有对安全和质量保证进行管理及监控的功能。</w:t>
      </w:r>
    </w:p>
    <w:p>
      <w:pPr>
        <w:spacing w:line="360" w:lineRule="auto"/>
        <w:rPr>
          <w:rFonts w:ascii="仿宋" w:hAnsi="仿宋" w:eastAsia="仿宋" w:cs="仿宋_GB2312"/>
          <w:kern w:val="44"/>
          <w:sz w:val="24"/>
        </w:rPr>
      </w:pPr>
      <w:r>
        <w:rPr>
          <w:rFonts w:hint="eastAsia" w:ascii="仿宋" w:hAnsi="仿宋" w:eastAsia="仿宋" w:cs="仿宋_GB2312"/>
          <w:kern w:val="44"/>
          <w:sz w:val="24"/>
        </w:rPr>
        <w:t>6.1.2 外包服务商公司应该建立完善的人事管理制度。各级人员应具备“一人多岗”，在管理上要求做到 “一岗多人”。在组织机构设置和人员配备上，外包服务商公司应充分体现这一要求，达到人员的高效。</w:t>
      </w:r>
    </w:p>
    <w:p>
      <w:pPr>
        <w:spacing w:line="360" w:lineRule="auto"/>
        <w:rPr>
          <w:rFonts w:ascii="仿宋" w:hAnsi="仿宋" w:eastAsia="仿宋" w:cs="仿宋_GB2312"/>
          <w:kern w:val="44"/>
          <w:sz w:val="24"/>
        </w:rPr>
      </w:pPr>
      <w:r>
        <w:rPr>
          <w:rFonts w:hint="eastAsia" w:ascii="仿宋" w:hAnsi="仿宋" w:eastAsia="仿宋" w:cs="仿宋_GB2312"/>
          <w:kern w:val="44"/>
          <w:sz w:val="24"/>
        </w:rPr>
        <w:t>6.1.3 外包服务商公司根据甲方的业务需要定期安排人员培训，保存培训记录，培训费用由其自行承担。此类培训必须包括基本操作技能及标准化作业的培训、安全和消防的培训、新业务流程和要求方面的培训、甲方组织的物流业务培训等。如果需要，外包服务商公司应根据甲方要求及时提交培训计划，对新聘的员工在服务前需进行三级培训。</w:t>
      </w:r>
    </w:p>
    <w:p>
      <w:pPr>
        <w:spacing w:line="360" w:lineRule="auto"/>
        <w:rPr>
          <w:rFonts w:ascii="仿宋" w:hAnsi="仿宋" w:eastAsia="仿宋" w:cs="仿宋_GB2312"/>
          <w:kern w:val="44"/>
          <w:sz w:val="24"/>
        </w:rPr>
      </w:pPr>
      <w:r>
        <w:rPr>
          <w:rFonts w:hint="eastAsia" w:ascii="仿宋" w:hAnsi="仿宋" w:eastAsia="仿宋" w:cs="仿宋_GB2312"/>
          <w:kern w:val="44"/>
          <w:sz w:val="24"/>
        </w:rPr>
        <w:t>6.1.4 外包服务商公司所需特种作业证人员均需持有效证件，对特种设备要按规定进行保养、年检等。甲方定期复审及要求外包服务商公司证明工作人员资格、技能和人数的确切资料，外包服务商公司应根据实际业务需求做出相应的调整。</w:t>
      </w:r>
    </w:p>
    <w:p>
      <w:pPr>
        <w:spacing w:line="360" w:lineRule="auto"/>
        <w:rPr>
          <w:rFonts w:ascii="仿宋" w:hAnsi="仿宋" w:eastAsia="仿宋" w:cs="仿宋_GB2312"/>
          <w:kern w:val="44"/>
          <w:sz w:val="24"/>
        </w:rPr>
      </w:pPr>
      <w:r>
        <w:rPr>
          <w:rFonts w:hint="eastAsia" w:ascii="仿宋" w:hAnsi="仿宋" w:eastAsia="仿宋" w:cs="仿宋_GB2312"/>
          <w:kern w:val="44"/>
          <w:sz w:val="24"/>
        </w:rPr>
        <w:t>6.1.5 外包服务商公司员工工作服及劳保用品要符合国家安全委员会的相关规定，颜色及款式报甲方认可，对不符合有关规定者，将不能进入甲方生产区域。</w:t>
      </w:r>
    </w:p>
    <w:p>
      <w:pPr>
        <w:spacing w:line="360" w:lineRule="auto"/>
        <w:rPr>
          <w:rFonts w:ascii="仿宋" w:hAnsi="仿宋" w:eastAsia="仿宋" w:cs="仿宋_GB2312"/>
          <w:kern w:val="44"/>
          <w:sz w:val="24"/>
        </w:rPr>
      </w:pPr>
      <w:r>
        <w:rPr>
          <w:rFonts w:hint="eastAsia" w:ascii="仿宋" w:hAnsi="仿宋" w:eastAsia="仿宋" w:cs="仿宋_GB2312"/>
          <w:kern w:val="44"/>
          <w:sz w:val="24"/>
        </w:rPr>
        <w:t>6.1.6 外包服务商公司的组织机构或管理人员变更前须书面通知甲方物流管理部门，甲方物流管理部门可以就外包服务商公司组织结构及管理人员的任免提出建议。</w:t>
      </w:r>
    </w:p>
    <w:p>
      <w:pPr>
        <w:pStyle w:val="5"/>
        <w:rPr>
          <w:rFonts w:hint="default" w:ascii="仿宋" w:hAnsi="仿宋" w:eastAsia="仿宋" w:cs="仿宋_GB2312"/>
          <w:b w:val="0"/>
          <w:kern w:val="44"/>
        </w:rPr>
      </w:pPr>
      <w:bookmarkStart w:id="131" w:name="_Toc2112"/>
      <w:r>
        <w:rPr>
          <w:rFonts w:ascii="仿宋" w:hAnsi="仿宋" w:eastAsia="仿宋" w:cs="仿宋_GB2312"/>
          <w:kern w:val="44"/>
        </w:rPr>
        <w:t>6.2运作体系</w:t>
      </w:r>
      <w:bookmarkEnd w:id="131"/>
    </w:p>
    <w:p>
      <w:pPr>
        <w:spacing w:line="360" w:lineRule="auto"/>
        <w:rPr>
          <w:rFonts w:ascii="仿宋" w:hAnsi="仿宋" w:eastAsia="仿宋" w:cs="仿宋_GB2312"/>
          <w:kern w:val="44"/>
          <w:sz w:val="24"/>
        </w:rPr>
      </w:pPr>
      <w:r>
        <w:rPr>
          <w:rFonts w:hint="eastAsia" w:ascii="仿宋" w:hAnsi="仿宋" w:eastAsia="仿宋" w:cs="仿宋_GB2312"/>
          <w:kern w:val="44"/>
          <w:sz w:val="24"/>
        </w:rPr>
        <w:t>6.2.1根据甲方的业务宗旨、目标、流程及要求建立完善的业务运作体系，并按要求做好整个物流拉动体系的建设、</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S、目视化标准及规范操作。必须包括改进流程、安全操作制度、紧急业务和突发事件的应对措施等内容。</w:t>
      </w:r>
    </w:p>
    <w:p>
      <w:pPr>
        <w:spacing w:line="360" w:lineRule="auto"/>
        <w:rPr>
          <w:rFonts w:ascii="仿宋" w:hAnsi="仿宋" w:eastAsia="仿宋" w:cs="仿宋_GB2312"/>
          <w:kern w:val="44"/>
          <w:sz w:val="24"/>
        </w:rPr>
      </w:pPr>
      <w:r>
        <w:rPr>
          <w:rFonts w:hint="eastAsia" w:ascii="仿宋" w:hAnsi="仿宋" w:eastAsia="仿宋" w:cs="仿宋_GB2312"/>
          <w:kern w:val="44"/>
          <w:sz w:val="24"/>
        </w:rPr>
        <w:t>6.2.2 必须制订包含量化指标的年度业务实施计划，所有指标均应符合甲方管理部门提出的指标，且须报甲方领导的批准，实施跟踪并执行目视化管理；自觉接受和贯彻实施甲方在操作体系方面所做的不断改进，并及时反馈操作中存在的问题或隐患；实施标准化、目视化、高效率、低成本管理，对自身操作质量实施全面监控，保留检查和整改记录。</w:t>
      </w:r>
    </w:p>
    <w:p>
      <w:pPr>
        <w:spacing w:line="360" w:lineRule="auto"/>
        <w:rPr>
          <w:rFonts w:ascii="仿宋" w:hAnsi="仿宋" w:eastAsia="仿宋" w:cs="仿宋_GB2312"/>
          <w:kern w:val="44"/>
          <w:sz w:val="24"/>
        </w:rPr>
      </w:pPr>
      <w:r>
        <w:rPr>
          <w:rFonts w:hint="eastAsia" w:ascii="仿宋" w:hAnsi="仿宋" w:eastAsia="仿宋" w:cs="仿宋_GB2312"/>
          <w:kern w:val="44"/>
          <w:sz w:val="24"/>
        </w:rPr>
        <w:t>6.2.3 树立“以客户为中心”的服务宗旨，快速响应甲方公司的业务需求、意见和整改要求，并制订和落实相应的行动计划，报甲方评估。严格按照时间节点，安全高效的完成推进计划及服务的各项工作。</w:t>
      </w:r>
    </w:p>
    <w:p>
      <w:pPr>
        <w:spacing w:line="360" w:lineRule="auto"/>
        <w:rPr>
          <w:rFonts w:ascii="仿宋" w:hAnsi="仿宋" w:eastAsia="仿宋" w:cs="仿宋_GB2312"/>
          <w:kern w:val="44"/>
          <w:sz w:val="24"/>
        </w:rPr>
      </w:pPr>
      <w:r>
        <w:rPr>
          <w:rFonts w:hint="eastAsia" w:ascii="仿宋" w:hAnsi="仿宋" w:eastAsia="仿宋" w:cs="仿宋_GB2312"/>
          <w:kern w:val="44"/>
          <w:sz w:val="24"/>
        </w:rPr>
        <w:t>6.2.4 遵守国家、</w:t>
      </w:r>
      <w:r>
        <w:rPr>
          <w:rFonts w:hint="eastAsia" w:ascii="仿宋" w:hAnsi="仿宋" w:eastAsia="仿宋" w:cs="仿宋_GB2312"/>
          <w:kern w:val="44"/>
          <w:sz w:val="24"/>
          <w:lang w:val="en-US" w:eastAsia="zh-CN"/>
        </w:rPr>
        <w:t>当地政府</w:t>
      </w:r>
      <w:r>
        <w:rPr>
          <w:rFonts w:hint="eastAsia" w:ascii="仿宋" w:hAnsi="仿宋" w:eastAsia="仿宋" w:cs="仿宋_GB2312"/>
          <w:kern w:val="44"/>
          <w:sz w:val="24"/>
        </w:rPr>
        <w:t>及甲方有关安全、环保、健康的规定;根据相应的质量体系和环境管理体系的要求，建立一整套的运行管理模式和相应的自检机制。确保质量体系、安全健康、环境体系等管理体系在外包服务商公司区域内有效运行，对因外包服务商公司自身各种原因影响到甲方无法通过外部审核应当承担相应责任。</w:t>
      </w:r>
    </w:p>
    <w:p>
      <w:pPr>
        <w:spacing w:line="360" w:lineRule="auto"/>
        <w:jc w:val="left"/>
        <w:outlineLvl w:val="1"/>
        <w:rPr>
          <w:rFonts w:ascii="仿宋" w:hAnsi="仿宋" w:eastAsia="仿宋"/>
          <w:b/>
          <w:sz w:val="24"/>
          <w:szCs w:val="24"/>
        </w:rPr>
      </w:pPr>
      <w:bookmarkStart w:id="132" w:name="_Toc25320"/>
      <w:r>
        <w:rPr>
          <w:rFonts w:hint="eastAsia" w:ascii="仿宋" w:hAnsi="仿宋" w:eastAsia="仿宋"/>
          <w:b/>
          <w:sz w:val="24"/>
          <w:szCs w:val="24"/>
        </w:rPr>
        <w:t>6.3系统要求</w:t>
      </w:r>
      <w:bookmarkEnd w:id="132"/>
    </w:p>
    <w:p>
      <w:pPr>
        <w:spacing w:line="360" w:lineRule="auto"/>
        <w:rPr>
          <w:rFonts w:ascii="仿宋" w:hAnsi="仿宋" w:eastAsia="仿宋"/>
          <w:sz w:val="24"/>
          <w:szCs w:val="24"/>
        </w:rPr>
      </w:pPr>
      <w:r>
        <w:rPr>
          <w:rFonts w:hint="eastAsia" w:ascii="仿宋" w:hAnsi="仿宋" w:eastAsia="仿宋"/>
          <w:sz w:val="24"/>
          <w:szCs w:val="24"/>
        </w:rPr>
        <w:t>6.3.1甲方目前提供SAP、</w:t>
      </w:r>
      <w:r>
        <w:rPr>
          <w:rFonts w:hint="eastAsia" w:ascii="仿宋" w:hAnsi="仿宋" w:eastAsia="仿宋"/>
          <w:sz w:val="24"/>
          <w:szCs w:val="24"/>
          <w:lang w:val="en-US" w:eastAsia="zh-CN"/>
        </w:rPr>
        <w:t>DMS</w:t>
      </w:r>
      <w:r>
        <w:rPr>
          <w:rFonts w:hint="eastAsia" w:ascii="仿宋" w:hAnsi="仿宋" w:eastAsia="仿宋"/>
          <w:sz w:val="24"/>
          <w:szCs w:val="24"/>
        </w:rPr>
        <w:t>系统供乙方使用，乙方必须严格按操作规定使用信息化系统，严禁将系统权限或系统数据不得向第三方透露。如因乙方过失造成甲方系统数据泄密，甲方将就相关损失和影响进行追偿。</w:t>
      </w:r>
    </w:p>
    <w:p>
      <w:pPr>
        <w:spacing w:line="360" w:lineRule="auto"/>
        <w:rPr>
          <w:rFonts w:ascii="仿宋" w:hAnsi="仿宋" w:eastAsia="仿宋" w:cs="仿宋_GB2312"/>
          <w:kern w:val="44"/>
          <w:sz w:val="24"/>
        </w:rPr>
      </w:pPr>
      <w:r>
        <w:rPr>
          <w:rFonts w:hint="eastAsia" w:ascii="仿宋" w:hAnsi="仿宋" w:eastAsia="仿宋"/>
          <w:sz w:val="24"/>
          <w:szCs w:val="24"/>
        </w:rPr>
        <w:t>6.3.</w:t>
      </w:r>
      <w:r>
        <w:rPr>
          <w:rFonts w:hint="eastAsia" w:ascii="仿宋" w:hAnsi="仿宋" w:eastAsia="仿宋"/>
          <w:sz w:val="24"/>
          <w:szCs w:val="24"/>
          <w:lang w:val="en-US" w:eastAsia="zh-CN"/>
        </w:rPr>
        <w:t>2</w:t>
      </w:r>
      <w:r>
        <w:rPr>
          <w:rFonts w:hint="eastAsia" w:ascii="仿宋" w:hAnsi="仿宋" w:eastAsia="仿宋" w:cs="仿宋_GB2312"/>
          <w:kern w:val="44"/>
          <w:sz w:val="24"/>
        </w:rPr>
        <w:t>不得向甲方以外的第三方透露；没有甲方相关部门书面认可依据，不得更改系统已有信息和数据；对于任何录入系统的数据信息，均需有对应的单证为依据，所有单证需在要求的时间内保留备查，确保可追溯。</w:t>
      </w:r>
    </w:p>
    <w:p>
      <w:pPr>
        <w:spacing w:line="360" w:lineRule="auto"/>
        <w:jc w:val="left"/>
        <w:outlineLvl w:val="1"/>
        <w:rPr>
          <w:rFonts w:ascii="仿宋" w:hAnsi="仿宋" w:eastAsia="仿宋"/>
          <w:b/>
          <w:sz w:val="24"/>
          <w:szCs w:val="24"/>
        </w:rPr>
      </w:pPr>
      <w:bookmarkStart w:id="133" w:name="_Toc19653"/>
      <w:r>
        <w:rPr>
          <w:rFonts w:hint="eastAsia" w:ascii="仿宋" w:hAnsi="仿宋" w:eastAsia="仿宋"/>
          <w:b/>
          <w:sz w:val="24"/>
          <w:szCs w:val="24"/>
        </w:rPr>
        <w:t>6.4</w:t>
      </w:r>
      <w:r>
        <w:rPr>
          <w:rFonts w:hint="eastAsia" w:ascii="仿宋" w:hAnsi="仿宋" w:eastAsia="仿宋" w:cs="仿宋_GB2312"/>
          <w:b/>
          <w:kern w:val="44"/>
          <w:sz w:val="24"/>
        </w:rPr>
        <w:t>场地/设备要求及资产权属</w:t>
      </w:r>
      <w:bookmarkEnd w:id="133"/>
    </w:p>
    <w:p>
      <w:pPr>
        <w:spacing w:line="360" w:lineRule="auto"/>
        <w:rPr>
          <w:rFonts w:hint="eastAsia" w:ascii="仿宋" w:hAnsi="仿宋" w:eastAsia="仿宋" w:cs="仿宋_GB2312"/>
          <w:kern w:val="44"/>
          <w:sz w:val="24"/>
        </w:rPr>
      </w:pPr>
      <w:r>
        <w:rPr>
          <w:rFonts w:hint="eastAsia" w:ascii="仿宋" w:hAnsi="仿宋" w:eastAsia="仿宋" w:cs="仿宋_GB2312"/>
          <w:kern w:val="44"/>
          <w:sz w:val="24"/>
        </w:rPr>
        <w:t>6.4.1 乙方自行补充购置适量、合格的装卸/运输/仓储/通讯/IT/办公设备、辅助包装材料(包括标签纸、打印纸等)及低值易耗品等。确保投入甲方的车辆、设备满足甲方的运作、安全规定。设备维修维护由乙方自行负责。甲方及甲方供应商投放的厂内周转盛具，乙方必须妥善保管，如出现丢失，必须照价赔偿。针对甲方的自有盛具，甲方提供给乙方使用，乙方自行维修维护。</w:t>
      </w:r>
    </w:p>
    <w:p>
      <w:pPr>
        <w:spacing w:line="360" w:lineRule="auto"/>
        <w:rPr>
          <w:rFonts w:ascii="仿宋" w:hAnsi="仿宋" w:eastAsia="仿宋" w:cs="仿宋_GB2312"/>
          <w:kern w:val="44"/>
          <w:sz w:val="24"/>
        </w:rPr>
      </w:pPr>
      <w:r>
        <w:rPr>
          <w:rFonts w:hint="eastAsia" w:ascii="仿宋" w:hAnsi="仿宋" w:eastAsia="仿宋" w:cs="仿宋_GB2312"/>
          <w:kern w:val="44"/>
          <w:sz w:val="24"/>
        </w:rPr>
        <w:t>6.4.2 确保各类设备、设施功能齐全和状态良好；所有问题设备、设施须以醒目标识加以识别。对于外包服务商公司所保管或使用的甲方厂房及资产，如发生损坏或丢失，外包服务商公司要负责照价赔偿。</w:t>
      </w:r>
    </w:p>
    <w:p>
      <w:pPr>
        <w:spacing w:line="360" w:lineRule="auto"/>
        <w:rPr>
          <w:rFonts w:ascii="仿宋" w:hAnsi="仿宋" w:eastAsia="仿宋" w:cs="仿宋_GB2312"/>
          <w:kern w:val="44"/>
          <w:sz w:val="24"/>
          <w:highlight w:val="yellow"/>
        </w:rPr>
      </w:pPr>
      <w:r>
        <w:rPr>
          <w:rFonts w:hint="eastAsia" w:ascii="仿宋" w:hAnsi="仿宋" w:eastAsia="仿宋" w:cs="仿宋_GB2312"/>
          <w:kern w:val="44"/>
          <w:sz w:val="24"/>
        </w:rPr>
        <w:t>6.4.3 外包服务商公司必须对仓库的照明设施做到有日常的检查</w:t>
      </w:r>
      <w:r>
        <w:rPr>
          <w:rFonts w:hint="eastAsia" w:ascii="仿宋" w:hAnsi="仿宋" w:eastAsia="仿宋" w:cs="仿宋_GB2312"/>
          <w:kern w:val="44"/>
          <w:sz w:val="24"/>
          <w:highlight w:val="none"/>
        </w:rPr>
        <w:t>，发现问题要及时维修、报修；工作时，工作区域的照明与电器要按需求开关。乙方使用的场地区域内所有能源费用（水、电、气单独安装表）按甲方缴付标准计费由乙方承担。</w:t>
      </w:r>
    </w:p>
    <w:p>
      <w:pPr>
        <w:spacing w:line="360" w:lineRule="auto"/>
        <w:jc w:val="left"/>
        <w:outlineLvl w:val="1"/>
        <w:rPr>
          <w:rFonts w:ascii="仿宋" w:hAnsi="仿宋" w:eastAsia="仿宋"/>
          <w:b/>
          <w:sz w:val="24"/>
          <w:szCs w:val="24"/>
        </w:rPr>
      </w:pPr>
      <w:bookmarkStart w:id="134" w:name="_Toc9755"/>
      <w:r>
        <w:rPr>
          <w:rFonts w:hint="eastAsia" w:ascii="仿宋" w:hAnsi="仿宋" w:eastAsia="仿宋"/>
          <w:b/>
          <w:sz w:val="24"/>
          <w:szCs w:val="24"/>
        </w:rPr>
        <w:t>6.5账实管理</w:t>
      </w:r>
      <w:bookmarkEnd w:id="134"/>
    </w:p>
    <w:p>
      <w:pPr>
        <w:spacing w:line="360" w:lineRule="auto"/>
        <w:rPr>
          <w:rFonts w:ascii="仿宋" w:hAnsi="仿宋" w:eastAsia="仿宋" w:cs="仿宋_GB2312"/>
          <w:kern w:val="44"/>
          <w:sz w:val="24"/>
        </w:rPr>
      </w:pPr>
      <w:r>
        <w:rPr>
          <w:rFonts w:hint="eastAsia" w:ascii="仿宋" w:hAnsi="仿宋" w:eastAsia="仿宋" w:cs="仿宋_GB2312"/>
          <w:kern w:val="44"/>
          <w:sz w:val="24"/>
        </w:rPr>
        <w:t>6.5.1 外包服务商公司根据其内部管理并结合甲方的相关要求建立物料的接收、入库、仓储、领料、退料各环节完整的账务管理机制进行管理。账务处理方法需满足甲方财务部、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的账务管理要求。以便于甲方财务部及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的相关账务控制，如出现偏离，以甲方财务部要求为准。</w:t>
      </w:r>
    </w:p>
    <w:p>
      <w:pPr>
        <w:spacing w:line="360" w:lineRule="auto"/>
        <w:rPr>
          <w:rFonts w:ascii="仿宋" w:hAnsi="仿宋" w:eastAsia="仿宋" w:cs="仿宋_GB2312"/>
          <w:kern w:val="44"/>
          <w:sz w:val="24"/>
        </w:rPr>
      </w:pPr>
      <w:r>
        <w:rPr>
          <w:rFonts w:hint="eastAsia" w:ascii="仿宋" w:hAnsi="仿宋" w:eastAsia="仿宋" w:cs="仿宋_GB2312"/>
          <w:kern w:val="44"/>
          <w:sz w:val="24"/>
        </w:rPr>
        <w:t>6.5.2 入库物料的相关凭证需有单独联提供给甲方中国重汽集团济南商用车有限公司轻型汽车销售部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将对入库单据进行与甲方的账务系统内数据进行核对。外包服务商必须确保甲方系统账物的一致性，并按要求做到日清。</w:t>
      </w:r>
    </w:p>
    <w:p>
      <w:pPr>
        <w:spacing w:line="360" w:lineRule="auto"/>
        <w:rPr>
          <w:rFonts w:ascii="仿宋" w:hAnsi="仿宋" w:eastAsia="仿宋" w:cs="仿宋_GB2312"/>
          <w:kern w:val="44"/>
          <w:sz w:val="24"/>
        </w:rPr>
      </w:pPr>
      <w:r>
        <w:rPr>
          <w:rFonts w:hint="eastAsia" w:ascii="仿宋" w:hAnsi="仿宋" w:eastAsia="仿宋" w:cs="仿宋_GB2312"/>
          <w:kern w:val="44"/>
          <w:sz w:val="24"/>
        </w:rPr>
        <w:t>6.5.</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 xml:space="preserve"> 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需要的各节点相关报表和日常循环盘点报表、月度盘点报表、季度、年度盘点报表，外包服务商公司必须按照甲方公司要求格式按规定时间节点给予提供。</w:t>
      </w:r>
    </w:p>
    <w:p>
      <w:pPr>
        <w:spacing w:line="360" w:lineRule="auto"/>
        <w:jc w:val="left"/>
        <w:outlineLvl w:val="1"/>
        <w:rPr>
          <w:rFonts w:ascii="仿宋" w:hAnsi="仿宋" w:eastAsia="仿宋"/>
          <w:b/>
          <w:sz w:val="24"/>
          <w:szCs w:val="24"/>
        </w:rPr>
      </w:pPr>
      <w:bookmarkStart w:id="135" w:name="_Toc2052"/>
      <w:r>
        <w:rPr>
          <w:rFonts w:hint="eastAsia" w:ascii="仿宋" w:hAnsi="仿宋" w:eastAsia="仿宋"/>
          <w:b/>
          <w:sz w:val="24"/>
          <w:szCs w:val="24"/>
        </w:rPr>
        <w:t>6.6现场运作管理</w:t>
      </w:r>
      <w:bookmarkEnd w:id="135"/>
    </w:p>
    <w:p>
      <w:pPr>
        <w:spacing w:line="360" w:lineRule="auto"/>
        <w:rPr>
          <w:rFonts w:ascii="仿宋" w:hAnsi="仿宋" w:eastAsia="仿宋"/>
          <w:b/>
          <w:sz w:val="24"/>
          <w:szCs w:val="24"/>
        </w:rPr>
      </w:pPr>
      <w:r>
        <w:rPr>
          <w:rFonts w:hint="eastAsia" w:ascii="仿宋" w:hAnsi="仿宋" w:eastAsia="仿宋"/>
          <w:b/>
          <w:sz w:val="24"/>
          <w:szCs w:val="24"/>
        </w:rPr>
        <w:t>6.6.1 5S管理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仓库区域以及作业时须满足5S管理要求，运作区域整洁、干净、无杂物等，物料达到定置、定位、定量要求。</w:t>
      </w:r>
    </w:p>
    <w:p>
      <w:pPr>
        <w:spacing w:line="360" w:lineRule="auto"/>
        <w:rPr>
          <w:rFonts w:ascii="仿宋" w:hAnsi="仿宋" w:eastAsia="仿宋"/>
          <w:b/>
          <w:sz w:val="24"/>
          <w:szCs w:val="24"/>
        </w:rPr>
      </w:pPr>
      <w:r>
        <w:rPr>
          <w:rFonts w:hint="eastAsia" w:ascii="仿宋" w:hAnsi="仿宋" w:eastAsia="仿宋"/>
          <w:b/>
          <w:sz w:val="24"/>
          <w:szCs w:val="24"/>
        </w:rPr>
        <w:t>6.6.2 目视化管理</w:t>
      </w:r>
    </w:p>
    <w:p>
      <w:pPr>
        <w:spacing w:line="360" w:lineRule="auto"/>
        <w:ind w:firstLine="480" w:firstLineChars="200"/>
        <w:rPr>
          <w:rFonts w:ascii="仿宋" w:hAnsi="仿宋" w:eastAsia="仿宋"/>
          <w:sz w:val="24"/>
          <w:szCs w:val="24"/>
        </w:rPr>
      </w:pPr>
      <w:r>
        <w:rPr>
          <w:rFonts w:hint="eastAsia" w:ascii="仿宋" w:hAnsi="仿宋" w:eastAsia="仿宋"/>
          <w:sz w:val="24"/>
          <w:szCs w:val="24"/>
        </w:rPr>
        <w:t>为便于业务运作开展，推行相关目视化管理。如开展班组管理、先进先出、定置定位、库龄、不良品区等目视化工作</w:t>
      </w:r>
    </w:p>
    <w:p>
      <w:pPr>
        <w:spacing w:line="360" w:lineRule="auto"/>
        <w:rPr>
          <w:rFonts w:ascii="仿宋" w:hAnsi="仿宋" w:eastAsia="仿宋"/>
          <w:b/>
          <w:sz w:val="24"/>
          <w:szCs w:val="24"/>
        </w:rPr>
      </w:pPr>
      <w:r>
        <w:rPr>
          <w:rFonts w:hint="eastAsia" w:ascii="仿宋" w:hAnsi="仿宋" w:eastAsia="仿宋"/>
          <w:b/>
          <w:sz w:val="24"/>
          <w:szCs w:val="24"/>
        </w:rPr>
        <w:t>6.6.3接收</w:t>
      </w:r>
    </w:p>
    <w:p>
      <w:pPr>
        <w:spacing w:line="360" w:lineRule="auto"/>
        <w:rPr>
          <w:rFonts w:ascii="仿宋" w:hAnsi="仿宋" w:eastAsia="仿宋" w:cs="仿宋_GB2312"/>
          <w:color w:val="FF0000"/>
          <w:kern w:val="44"/>
          <w:sz w:val="24"/>
        </w:rPr>
      </w:pPr>
      <w:r>
        <w:rPr>
          <w:rFonts w:hint="eastAsia" w:ascii="仿宋" w:hAnsi="仿宋" w:eastAsia="仿宋" w:cs="仿宋_GB2312"/>
          <w:kern w:val="44"/>
          <w:sz w:val="24"/>
        </w:rPr>
        <w:t>6.6.3.1 外包服务商公司应根据甲方要求建立自身的各类物料接收流程、标准化操作单、岗位作业指导书等、各类操作单证，安排好收货环节车辆入场顺序和卸货道口，组织足够的人力和设备资源及时卸货和报检，切实做到卸货及时，车流、物流有序入场、卸货、报检和入库。</w:t>
      </w:r>
    </w:p>
    <w:p>
      <w:pPr>
        <w:spacing w:line="360" w:lineRule="auto"/>
        <w:rPr>
          <w:rFonts w:ascii="仿宋" w:hAnsi="仿宋" w:eastAsia="仿宋" w:cs="仿宋_GB2312"/>
          <w:color w:val="000000" w:themeColor="text1"/>
          <w:kern w:val="44"/>
          <w:sz w:val="24"/>
          <w14:textFill>
            <w14:solidFill>
              <w14:schemeClr w14:val="tx1"/>
            </w14:solidFill>
          </w14:textFill>
        </w:rPr>
      </w:pPr>
      <w:r>
        <w:rPr>
          <w:rFonts w:hint="eastAsia" w:ascii="仿宋" w:hAnsi="仿宋" w:eastAsia="仿宋" w:cs="仿宋_GB2312"/>
          <w:kern w:val="44"/>
          <w:sz w:val="24"/>
        </w:rPr>
        <w:t xml:space="preserve">6.6.3.2 </w:t>
      </w:r>
      <w:r>
        <w:rPr>
          <w:rFonts w:hint="eastAsia" w:ascii="仿宋" w:hAnsi="仿宋" w:eastAsia="仿宋" w:cs="仿宋_GB2312"/>
          <w:color w:val="000000" w:themeColor="text1"/>
          <w:kern w:val="44"/>
          <w:sz w:val="24"/>
          <w14:textFill>
            <w14:solidFill>
              <w14:schemeClr w14:val="tx1"/>
            </w14:solidFill>
          </w14:textFill>
        </w:rPr>
        <w:t>外包服务商公司的接收人员在</w:t>
      </w:r>
      <w:r>
        <w:rPr>
          <w:rFonts w:hint="eastAsia" w:ascii="仿宋" w:hAnsi="仿宋" w:eastAsia="仿宋" w:cs="仿宋_GB2312"/>
          <w:color w:val="000000" w:themeColor="text1"/>
          <w:kern w:val="44"/>
          <w:sz w:val="24"/>
          <w:lang w:val="en-US" w:eastAsia="zh-CN"/>
          <w14:textFill>
            <w14:solidFill>
              <w14:schemeClr w14:val="tx1"/>
            </w14:solidFill>
          </w14:textFill>
        </w:rPr>
        <w:t>收到</w:t>
      </w:r>
      <w:r>
        <w:rPr>
          <w:rFonts w:hint="eastAsia" w:ascii="仿宋" w:hAnsi="仿宋" w:eastAsia="仿宋" w:cs="仿宋_GB2312"/>
          <w:color w:val="000000" w:themeColor="text1"/>
          <w:kern w:val="44"/>
          <w:sz w:val="24"/>
          <w14:textFill>
            <w14:solidFill>
              <w14:schemeClr w14:val="tx1"/>
            </w14:solidFill>
          </w14:textFill>
        </w:rPr>
        <w:t>供应商到货后，卸货人员在卸货前，先对供货包装确认，发现包装箱变形、破损以及未按甲方规划包装方案执行供货等异常情况，立即向甲方</w:t>
      </w:r>
      <w:r>
        <w:rPr>
          <w:rFonts w:hint="eastAsia" w:ascii="仿宋" w:hAnsi="仿宋" w:eastAsia="仿宋" w:cs="仿宋_GB2312"/>
          <w:color w:val="000000" w:themeColor="text1"/>
          <w:kern w:val="44"/>
          <w:sz w:val="24"/>
          <w:lang w:val="en-US" w:eastAsia="zh-CN"/>
          <w14:textFill>
            <w14:solidFill>
              <w14:schemeClr w14:val="tx1"/>
            </w14:solidFill>
          </w14:textFill>
        </w:rPr>
        <w:t>管理</w:t>
      </w:r>
      <w:r>
        <w:rPr>
          <w:rFonts w:hint="eastAsia" w:ascii="仿宋" w:hAnsi="仿宋" w:eastAsia="仿宋" w:cs="仿宋_GB2312"/>
          <w:color w:val="000000" w:themeColor="text1"/>
          <w:kern w:val="44"/>
          <w:sz w:val="24"/>
          <w14:textFill>
            <w14:solidFill>
              <w14:schemeClr w14:val="tx1"/>
            </w14:solidFill>
          </w14:textFill>
        </w:rPr>
        <w:t>人员反馈，技术人员确认后卸货；收货人员在收货时，认真仔细清点合格物料数量，若发现外检判定合格数量与清点实物数量差异，立即通知</w:t>
      </w:r>
      <w:r>
        <w:rPr>
          <w:rFonts w:hint="eastAsia" w:ascii="仿宋" w:hAnsi="仿宋" w:eastAsia="仿宋" w:cs="仿宋_GB2312"/>
          <w:color w:val="000000" w:themeColor="text1"/>
          <w:kern w:val="44"/>
          <w:sz w:val="24"/>
          <w:lang w:val="en-US" w:eastAsia="zh-CN"/>
          <w14:textFill>
            <w14:solidFill>
              <w14:schemeClr w14:val="tx1"/>
            </w14:solidFill>
          </w14:textFill>
        </w:rPr>
        <w:t>甲方管理人员</w:t>
      </w:r>
      <w:r>
        <w:rPr>
          <w:rFonts w:hint="eastAsia" w:ascii="仿宋" w:hAnsi="仿宋" w:eastAsia="仿宋" w:cs="仿宋_GB2312"/>
          <w:color w:val="000000" w:themeColor="text1"/>
          <w:kern w:val="44"/>
          <w:sz w:val="24"/>
          <w14:textFill>
            <w14:solidFill>
              <w14:schemeClr w14:val="tx1"/>
            </w14:solidFill>
          </w14:textFill>
        </w:rPr>
        <w:t>现场确认（若有厂家售后在场一并参与确认），拍照后对入库数量进行更正签字，同时完成系统数据记录和审验。</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对于物料混装，外包服务商公司接收时要认真核对</w:t>
      </w:r>
      <w:r>
        <w:rPr>
          <w:rFonts w:hint="eastAsia" w:ascii="仿宋" w:hAnsi="仿宋" w:eastAsia="仿宋" w:cs="仿宋_GB2312"/>
          <w:kern w:val="44"/>
          <w:sz w:val="24"/>
          <w:lang w:val="en-US" w:eastAsia="zh-CN"/>
        </w:rPr>
        <w:t>送货单</w:t>
      </w:r>
      <w:r>
        <w:rPr>
          <w:rFonts w:hint="eastAsia" w:ascii="仿宋" w:hAnsi="仿宋" w:eastAsia="仿宋" w:cs="仿宋_GB2312"/>
          <w:kern w:val="44"/>
          <w:sz w:val="24"/>
        </w:rPr>
        <w:t>与系统采购订单，不要错误的收取物料。发现此情况立即拍照存档，并向甲方报告，按照物料混装处理流程进行处理，并存档报告作为考核和向供应商索赔的依据。如在卸料时，外包服务商公司将需求物料损坏，由外包服务商赔偿并承担相应责任。</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4</w:t>
      </w:r>
      <w:r>
        <w:rPr>
          <w:rFonts w:hint="eastAsia" w:ascii="仿宋" w:hAnsi="仿宋" w:eastAsia="仿宋" w:cs="仿宋_GB2312"/>
          <w:kern w:val="44"/>
          <w:sz w:val="24"/>
        </w:rPr>
        <w:t xml:space="preserve"> 外包服务商公司负责对到货包装及零部件外观进行自检，同时根据需要随时对到货数量进行全检</w:t>
      </w:r>
      <w:r>
        <w:rPr>
          <w:rFonts w:hint="eastAsia" w:ascii="仿宋" w:hAnsi="仿宋" w:eastAsia="仿宋" w:cs="仿宋_GB2312"/>
          <w:kern w:val="44"/>
          <w:sz w:val="24"/>
          <w:lang w:val="en-US" w:eastAsia="zh-CN"/>
        </w:rPr>
        <w:t>验收</w:t>
      </w:r>
      <w:r>
        <w:rPr>
          <w:rFonts w:hint="eastAsia" w:ascii="仿宋" w:hAnsi="仿宋" w:eastAsia="仿宋" w:cs="仿宋_GB2312"/>
          <w:kern w:val="44"/>
          <w:sz w:val="24"/>
        </w:rPr>
        <w:t>。</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物料接收后，自检过程中发现的物料到货包装短缺、物料损坏现象造成的损失经供应商售后人员或甲方确认后，开具报告按甲方包装短缺流程进行处理，所造成的一切损失由零部件供应商承担。</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6</w:t>
      </w:r>
      <w:r>
        <w:rPr>
          <w:rFonts w:hint="eastAsia" w:ascii="仿宋" w:hAnsi="仿宋" w:eastAsia="仿宋" w:cs="仿宋_GB2312"/>
          <w:kern w:val="44"/>
          <w:sz w:val="24"/>
        </w:rPr>
        <w:t>物料接收后再发现的物料缺料、损坏等异常损失，应立即在接收现场进行重新检查，如没有发现前一道环节中的问题，则损失由外包服务商公司负责承担。如在前一道环节发现问题，则责任由零部件供应商承担。承担的责任包括往前追溯当年内该零件发生的所有物料损失和视情节进行经济处罚。</w:t>
      </w:r>
    </w:p>
    <w:p>
      <w:pPr>
        <w:spacing w:line="360" w:lineRule="auto"/>
        <w:rPr>
          <w:rFonts w:hint="eastAsia"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7</w:t>
      </w:r>
      <w:r>
        <w:rPr>
          <w:rFonts w:hint="eastAsia" w:ascii="仿宋" w:hAnsi="仿宋" w:eastAsia="仿宋" w:cs="仿宋_GB2312"/>
          <w:kern w:val="44"/>
          <w:sz w:val="24"/>
        </w:rPr>
        <w:t>对于供应商到货后未携带送货凭证的情况，外包服务商公司原则不予接收，如需接收，需外包服务商公司负责人及甲方共同确认后可由甲方申请补单，并记录相关信息。</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8</w:t>
      </w:r>
      <w:r>
        <w:rPr>
          <w:rFonts w:hint="eastAsia" w:ascii="仿宋" w:hAnsi="仿宋" w:eastAsia="仿宋" w:cs="仿宋_GB2312"/>
          <w:kern w:val="44"/>
          <w:sz w:val="24"/>
        </w:rPr>
        <w:t>实物接收检验合格后及时放置到指定区域并按定置定位管理要求归位，在第一时间将接收数据传输到甲方指定的管理系统，物料收发数据必须达到日清，收发数据差异必须在次日下班前查明原因并调整账务。物料收发单据中的</w:t>
      </w:r>
      <w:r>
        <w:rPr>
          <w:rFonts w:hint="eastAsia" w:ascii="仿宋" w:hAnsi="仿宋" w:eastAsia="仿宋" w:cs="仿宋_GB2312"/>
          <w:kern w:val="44"/>
          <w:sz w:val="24"/>
          <w:lang w:val="en-US" w:eastAsia="zh-CN"/>
        </w:rPr>
        <w:t>妥善保存，</w:t>
      </w:r>
      <w:r>
        <w:rPr>
          <w:rFonts w:hint="eastAsia" w:ascii="仿宋" w:hAnsi="仿宋" w:eastAsia="仿宋" w:cs="仿宋_GB2312"/>
          <w:kern w:val="44"/>
          <w:sz w:val="24"/>
        </w:rPr>
        <w:t>以便</w:t>
      </w:r>
      <w:r>
        <w:rPr>
          <w:rFonts w:hint="eastAsia" w:ascii="仿宋" w:hAnsi="仿宋" w:eastAsia="仿宋" w:cs="仿宋_GB2312"/>
          <w:kern w:val="44"/>
          <w:sz w:val="24"/>
          <w:lang w:val="en-US" w:eastAsia="zh-CN"/>
        </w:rPr>
        <w:t>后续</w:t>
      </w:r>
      <w:r>
        <w:rPr>
          <w:rFonts w:hint="eastAsia" w:ascii="仿宋" w:hAnsi="仿宋" w:eastAsia="仿宋" w:cs="仿宋_GB2312"/>
          <w:kern w:val="44"/>
          <w:sz w:val="24"/>
        </w:rPr>
        <w:t>核对使用。</w:t>
      </w:r>
    </w:p>
    <w:p>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9</w:t>
      </w:r>
      <w:r>
        <w:rPr>
          <w:rFonts w:hint="eastAsia" w:ascii="仿宋" w:hAnsi="仿宋" w:eastAsia="仿宋" w:cs="仿宋_GB2312"/>
          <w:kern w:val="44"/>
          <w:sz w:val="24"/>
        </w:rPr>
        <w:t>自觉接受和贯彻实施甲方在收料环节所做的不断改进，并及时反馈操作中存在的问题或隐患。</w:t>
      </w:r>
    </w:p>
    <w:p>
      <w:pPr>
        <w:spacing w:line="360" w:lineRule="auto"/>
        <w:rPr>
          <w:rFonts w:ascii="仿宋" w:hAnsi="仿宋" w:eastAsia="仿宋"/>
          <w:b/>
          <w:sz w:val="24"/>
          <w:szCs w:val="24"/>
        </w:rPr>
      </w:pPr>
      <w:r>
        <w:rPr>
          <w:rFonts w:hint="eastAsia" w:ascii="仿宋" w:hAnsi="仿宋" w:eastAsia="仿宋"/>
          <w:b/>
          <w:sz w:val="24"/>
          <w:szCs w:val="24"/>
        </w:rPr>
        <w:t>6.6.4归位上架</w:t>
      </w:r>
    </w:p>
    <w:p>
      <w:pPr>
        <w:spacing w:line="360" w:lineRule="auto"/>
        <w:ind w:firstLine="480" w:firstLineChars="200"/>
        <w:rPr>
          <w:rFonts w:ascii="仿宋" w:hAnsi="仿宋" w:eastAsia="仿宋" w:cs="仿宋_GB2312"/>
          <w:kern w:val="44"/>
          <w:sz w:val="24"/>
        </w:rPr>
      </w:pPr>
      <w:r>
        <w:rPr>
          <w:rFonts w:hint="eastAsia" w:ascii="仿宋" w:hAnsi="仿宋" w:eastAsia="仿宋"/>
          <w:sz w:val="24"/>
          <w:szCs w:val="24"/>
        </w:rPr>
        <w:t>归位上架遵循先进先出、定置定位原则，确保物料正确安全放置。</w:t>
      </w:r>
      <w:r>
        <w:rPr>
          <w:rFonts w:hint="eastAsia" w:ascii="仿宋" w:hAnsi="仿宋" w:eastAsia="仿宋" w:cs="仿宋_GB2312"/>
          <w:kern w:val="44"/>
          <w:sz w:val="24"/>
        </w:rPr>
        <w:t>合格物料需存放在室内，按不同状态、不同用途分类、分区域储存，并实施定置及目视化管理，确保物料完好、堆放整齐、无灰尘、无污垢、实际存放与系统信息一致，整个区域整齐和清洁。</w:t>
      </w:r>
    </w:p>
    <w:p>
      <w:pPr>
        <w:spacing w:line="360" w:lineRule="auto"/>
        <w:rPr>
          <w:rFonts w:ascii="仿宋" w:hAnsi="仿宋" w:eastAsia="仿宋" w:cs="仿宋_GB2312"/>
          <w:kern w:val="44"/>
          <w:sz w:val="24"/>
        </w:rPr>
      </w:pPr>
      <w:r>
        <w:rPr>
          <w:rFonts w:hint="eastAsia" w:ascii="仿宋" w:hAnsi="仿宋" w:eastAsia="仿宋" w:cs="仿宋_GB2312"/>
          <w:kern w:val="44"/>
          <w:sz w:val="24"/>
        </w:rPr>
        <w:t>① 物料存放应合理、集中，做到重不压轻、大不压小、坏箱单独码放。严格按照甲方的物料码放标准来执行。</w:t>
      </w:r>
    </w:p>
    <w:p>
      <w:pPr>
        <w:spacing w:line="360" w:lineRule="auto"/>
        <w:rPr>
          <w:rFonts w:ascii="仿宋" w:hAnsi="仿宋" w:eastAsia="仿宋" w:cs="仿宋_GB2312"/>
          <w:kern w:val="44"/>
          <w:sz w:val="24"/>
        </w:rPr>
      </w:pPr>
      <w:r>
        <w:rPr>
          <w:rFonts w:hint="eastAsia" w:ascii="仿宋" w:hAnsi="仿宋" w:eastAsia="仿宋" w:cs="仿宋_GB2312"/>
          <w:kern w:val="44"/>
          <w:sz w:val="24"/>
        </w:rPr>
        <w:t>② 拆/翻包后的剩余零头须单独、集中存放，做好目视化标识，并靠近拆包装操作区。</w:t>
      </w:r>
    </w:p>
    <w:p>
      <w:pPr>
        <w:spacing w:line="360" w:lineRule="auto"/>
        <w:rPr>
          <w:rFonts w:ascii="仿宋" w:hAnsi="仿宋" w:eastAsia="仿宋" w:cs="仿宋_GB2312"/>
          <w:kern w:val="44"/>
          <w:sz w:val="24"/>
        </w:rPr>
      </w:pPr>
      <w:r>
        <w:rPr>
          <w:rFonts w:hint="eastAsia" w:ascii="仿宋" w:hAnsi="仿宋" w:eastAsia="仿宋" w:cs="仿宋_GB2312"/>
          <w:kern w:val="44"/>
          <w:sz w:val="24"/>
        </w:rPr>
        <w:t>③ 对品质可疑、待处理的物料需单独、集中存放，并与其它状态的物料分开，要有明显的目视标识。</w:t>
      </w:r>
    </w:p>
    <w:p>
      <w:pPr>
        <w:spacing w:line="360" w:lineRule="auto"/>
        <w:rPr>
          <w:rFonts w:ascii="仿宋" w:hAnsi="仿宋" w:eastAsia="仿宋" w:cs="仿宋_GB2312"/>
          <w:kern w:val="44"/>
          <w:sz w:val="24"/>
        </w:rPr>
      </w:pPr>
      <w:r>
        <w:rPr>
          <w:rFonts w:hint="eastAsia" w:ascii="仿宋" w:hAnsi="仿宋" w:eastAsia="仿宋" w:cs="仿宋_GB2312"/>
          <w:kern w:val="44"/>
          <w:sz w:val="24"/>
        </w:rPr>
        <w:t>④ 对长期不用的零件应做好防护(包括防尘、防损坏等)工作，在使用前应全面检查。</w:t>
      </w:r>
    </w:p>
    <w:p>
      <w:pPr>
        <w:spacing w:line="360" w:lineRule="auto"/>
        <w:rPr>
          <w:rFonts w:ascii="仿宋" w:hAnsi="仿宋" w:eastAsia="仿宋"/>
          <w:b/>
          <w:sz w:val="24"/>
          <w:szCs w:val="24"/>
        </w:rPr>
      </w:pPr>
      <w:r>
        <w:rPr>
          <w:rFonts w:hint="eastAsia" w:ascii="仿宋" w:hAnsi="仿宋" w:eastAsia="仿宋"/>
          <w:b/>
          <w:sz w:val="24"/>
          <w:szCs w:val="24"/>
        </w:rPr>
        <w:t>6.6.</w:t>
      </w:r>
      <w:r>
        <w:rPr>
          <w:rFonts w:hint="eastAsia" w:ascii="仿宋" w:hAnsi="仿宋" w:eastAsia="仿宋"/>
          <w:b/>
          <w:sz w:val="24"/>
          <w:szCs w:val="24"/>
          <w:lang w:val="en-US" w:eastAsia="zh-CN"/>
        </w:rPr>
        <w:t>5</w:t>
      </w:r>
      <w:r>
        <w:rPr>
          <w:rFonts w:hint="eastAsia" w:ascii="仿宋" w:hAnsi="仿宋" w:eastAsia="仿宋"/>
          <w:b/>
          <w:sz w:val="24"/>
          <w:szCs w:val="24"/>
        </w:rPr>
        <w:t>库存、盘点管理</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 外包服务商公司应建立自身的各类零部件储存控制业务流程、标准化操作单、岗位指导书等、各类操作单证，并严格遵守执行，以保证相关储存业务执行的准确、及时。具体业务包括：物料报废、隔离品待处理、返修、售后领料、开箱、翻包、移库、各类库存调整等。</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.2库存控制业务应具备各类完善的物料审批凭证、物料计划凭证、物料交接凭证，以规范实物交接到系统操作之间的单据交接，保证单据在规定时间以规定形式交给规定人员。</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.3应保证使用系统各模块中相关账务处理的及时(日清)、</w:t>
      </w:r>
      <w:r>
        <w:rPr>
          <w:rFonts w:hint="eastAsia" w:ascii="仿宋" w:hAnsi="仿宋" w:eastAsia="仿宋" w:cs="仿宋_GB2312"/>
          <w:color w:val="000000" w:themeColor="text1"/>
          <w:kern w:val="44"/>
          <w:sz w:val="24"/>
          <w14:textFill>
            <w14:solidFill>
              <w14:schemeClr w14:val="tx1"/>
            </w14:solidFill>
          </w14:textFill>
        </w:rPr>
        <w:t>正确、准确。</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.4严格遵循“先进先出”“批次管理”原则并贯穿库存管理的所有日常操作。6.6.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.5外包服务商公司建立库存跟踪和报警流程，积极、主动地跟踪并反馈库存异常情况，于第一时间报告甲方相关业务人员，确保信息准确、及时。</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.6按月提交库存报表，对超过</w:t>
      </w:r>
      <w:r>
        <w:rPr>
          <w:rFonts w:hint="eastAsia" w:ascii="仿宋" w:hAnsi="仿宋" w:eastAsia="仿宋" w:cs="仿宋_GB2312"/>
          <w:kern w:val="44"/>
          <w:sz w:val="24"/>
          <w:lang w:val="en-US" w:eastAsia="zh-CN"/>
        </w:rPr>
        <w:t>1年</w:t>
      </w:r>
      <w:r>
        <w:rPr>
          <w:rFonts w:hint="eastAsia" w:ascii="仿宋" w:hAnsi="仿宋" w:eastAsia="仿宋" w:cs="仿宋_GB2312"/>
          <w:kern w:val="44"/>
          <w:sz w:val="24"/>
        </w:rPr>
        <w:t>无消耗记录的零件库存须以专用报表方式汇总报告甲方。</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7物料库位管理:在库区内针对不同物料设定不同的库位，根据物料供货包装及单托盘数量，设定合理的库位；同时根据存储零部件的需求与状态变动不断更新与维护，要求推行使用条码进行扫描入库及逐步条码进行库位管理。以便于入库物料库位的合理安排及出库物料的先进先出和账物处理同步。并逐步推行到能使用条码扫描盘库，尽量缩短盘库占用时间及保证盘库的准确性。</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8外包服务商公司应根据甲方管理要求建立自身的盘点、循环盘点流程、标准化操作单、岗位作业指导书等各类操作单证，并严格遵守执行，以确保账物相符，对盘点差异及时分析原因制定可行性的整改措施并对每一次的盘点情况形成盘点报告提交</w:t>
      </w:r>
      <w:r>
        <w:rPr>
          <w:rFonts w:hint="eastAsia" w:ascii="仿宋" w:hAnsi="仿宋" w:eastAsia="仿宋" w:cs="仿宋_GB2312"/>
          <w:kern w:val="44"/>
          <w:sz w:val="24"/>
          <w:lang w:val="en-US" w:eastAsia="zh-CN"/>
        </w:rPr>
        <w:t>甲方</w:t>
      </w:r>
      <w:r>
        <w:rPr>
          <w:rFonts w:hint="eastAsia" w:ascii="仿宋" w:hAnsi="仿宋" w:eastAsia="仿宋" w:cs="仿宋_GB2312"/>
          <w:kern w:val="44"/>
          <w:sz w:val="24"/>
        </w:rPr>
        <w:t>。</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.9必须指定专门的盘点协调人员，负责按照甲方</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及财务部的要求进行盘点通知分发，盘点实施以及盘点差异分析工作。在接到物流或财务发出的盘点差异清单后，须在规定的时间内完成盘点差异分析。对于静态盘点要确保物料在无拉动的情况下进行。</w:t>
      </w:r>
    </w:p>
    <w:p>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10对于断点零件、排序零件、待发区域零件、问题零件以及溢库区等特殊区域的零件要账物清楚、摆放有序，以便保证盘点的准确性。在盘点业务中，外包服务商公司对由于其自身责任导致的物料盘点差异按照甲方的物料损失承担全部赔偿责任。</w:t>
      </w:r>
    </w:p>
    <w:p>
      <w:pPr>
        <w:spacing w:line="360" w:lineRule="auto"/>
        <w:jc w:val="left"/>
        <w:outlineLvl w:val="1"/>
        <w:rPr>
          <w:rFonts w:ascii="仿宋" w:hAnsi="仿宋" w:eastAsia="仿宋"/>
          <w:b/>
          <w:sz w:val="24"/>
          <w:szCs w:val="24"/>
        </w:rPr>
      </w:pPr>
      <w:bookmarkStart w:id="136" w:name="_Toc16510"/>
      <w:r>
        <w:rPr>
          <w:rFonts w:hint="eastAsia" w:ascii="仿宋" w:hAnsi="仿宋" w:eastAsia="仿宋"/>
          <w:b/>
          <w:sz w:val="24"/>
          <w:szCs w:val="24"/>
        </w:rPr>
        <w:t>6.7盛具管理</w:t>
      </w:r>
      <w:bookmarkEnd w:id="136"/>
    </w:p>
    <w:p>
      <w:pPr>
        <w:spacing w:line="360" w:lineRule="auto"/>
        <w:rPr>
          <w:rFonts w:ascii="仿宋" w:hAnsi="仿宋" w:eastAsia="仿宋" w:cs="仿宋_GB2312"/>
          <w:kern w:val="44"/>
          <w:sz w:val="24"/>
        </w:rPr>
      </w:pPr>
      <w:r>
        <w:rPr>
          <w:rFonts w:hint="eastAsia" w:ascii="仿宋" w:hAnsi="仿宋" w:eastAsia="仿宋" w:cs="仿宋_GB2312"/>
          <w:kern w:val="44"/>
          <w:sz w:val="24"/>
        </w:rPr>
        <w:t>6.7.1需采用固定的场地用于料箱、料架的整理及返回工作，料箱、料架必须设专人进行现场规整，做到供应商盛具分类并整齐堆放。</w:t>
      </w:r>
    </w:p>
    <w:p>
      <w:pPr>
        <w:spacing w:line="360" w:lineRule="auto"/>
        <w:rPr>
          <w:rFonts w:ascii="仿宋" w:hAnsi="仿宋" w:eastAsia="仿宋" w:cs="仿宋_GB2312"/>
          <w:kern w:val="44"/>
          <w:sz w:val="24"/>
        </w:rPr>
      </w:pPr>
      <w:r>
        <w:rPr>
          <w:rFonts w:hint="eastAsia" w:ascii="仿宋" w:hAnsi="仿宋" w:eastAsia="仿宋" w:cs="仿宋_GB2312"/>
          <w:kern w:val="44"/>
          <w:sz w:val="24"/>
        </w:rPr>
        <w:t>6.7.2及时</w:t>
      </w:r>
      <w:r>
        <w:rPr>
          <w:rFonts w:hint="eastAsia" w:ascii="仿宋" w:hAnsi="仿宋" w:eastAsia="仿宋" w:cs="仿宋_GB2312"/>
          <w:kern w:val="44"/>
          <w:sz w:val="24"/>
          <w:lang w:val="en-US" w:eastAsia="zh-CN"/>
        </w:rPr>
        <w:t>返回</w:t>
      </w:r>
      <w:r>
        <w:rPr>
          <w:rFonts w:hint="eastAsia" w:ascii="仿宋" w:hAnsi="仿宋" w:eastAsia="仿宋" w:cs="仿宋_GB2312"/>
          <w:kern w:val="44"/>
          <w:sz w:val="24"/>
        </w:rPr>
        <w:t>焊接仓储库房、总装仓储库房和生产线旁的空置的料箱、料架及托盘。</w:t>
      </w:r>
    </w:p>
    <w:p>
      <w:pPr>
        <w:spacing w:line="360" w:lineRule="auto"/>
        <w:rPr>
          <w:rFonts w:ascii="仿宋" w:hAnsi="仿宋" w:eastAsia="仿宋" w:cs="仿宋_GB2312"/>
          <w:kern w:val="44"/>
          <w:sz w:val="24"/>
        </w:rPr>
      </w:pPr>
      <w:r>
        <w:rPr>
          <w:rFonts w:hint="eastAsia" w:ascii="仿宋" w:hAnsi="仿宋" w:eastAsia="仿宋" w:cs="仿宋_GB2312"/>
          <w:kern w:val="44"/>
          <w:sz w:val="24"/>
        </w:rPr>
        <w:t>6.7.3规范操作要求和遵守操作规定，铲运和发运物料时应注意不损伤料箱、料架等包装器具，避免跌落造成的盛具损坏。</w:t>
      </w:r>
    </w:p>
    <w:p>
      <w:pPr>
        <w:spacing w:line="360" w:lineRule="auto"/>
        <w:rPr>
          <w:rFonts w:ascii="仿宋" w:hAnsi="仿宋" w:eastAsia="仿宋" w:cs="仿宋_GB2312"/>
          <w:kern w:val="44"/>
          <w:sz w:val="24"/>
        </w:rPr>
      </w:pPr>
      <w:r>
        <w:rPr>
          <w:rFonts w:hint="eastAsia" w:ascii="仿宋" w:hAnsi="仿宋" w:eastAsia="仿宋" w:cs="仿宋_GB2312"/>
          <w:kern w:val="44"/>
          <w:sz w:val="24"/>
        </w:rPr>
        <w:t>6.7.4根据包装规范，在包装材料接收或使用时进行目视化检查，并及时向供应商提交包装材料残损信息，配合修复工作，杜绝将不洁(或残损、潮湿)包装盛具投入使用。</w:t>
      </w:r>
    </w:p>
    <w:p>
      <w:pPr>
        <w:spacing w:line="360" w:lineRule="auto"/>
        <w:jc w:val="left"/>
        <w:outlineLvl w:val="1"/>
        <w:rPr>
          <w:rFonts w:ascii="仿宋" w:hAnsi="仿宋" w:eastAsia="仿宋"/>
          <w:b/>
          <w:sz w:val="24"/>
          <w:szCs w:val="24"/>
        </w:rPr>
      </w:pPr>
      <w:bookmarkStart w:id="137" w:name="_Toc17569"/>
      <w:r>
        <w:rPr>
          <w:rFonts w:hint="eastAsia" w:ascii="仿宋" w:hAnsi="仿宋" w:eastAsia="仿宋"/>
          <w:b/>
          <w:sz w:val="24"/>
          <w:szCs w:val="24"/>
        </w:rPr>
        <w:t>6.8异常紧急情况处理</w:t>
      </w:r>
      <w:bookmarkEnd w:id="137"/>
    </w:p>
    <w:p>
      <w:pPr>
        <w:spacing w:line="360" w:lineRule="auto"/>
        <w:ind w:firstLine="480" w:firstLineChars="200"/>
        <w:rPr>
          <w:rFonts w:ascii="仿宋" w:hAnsi="仿宋" w:eastAsia="仿宋"/>
          <w:sz w:val="24"/>
          <w:szCs w:val="24"/>
        </w:rPr>
      </w:pPr>
      <w:r>
        <w:rPr>
          <w:rFonts w:hint="eastAsia" w:ascii="仿宋" w:hAnsi="仿宋" w:eastAsia="仿宋"/>
          <w:sz w:val="24"/>
          <w:szCs w:val="24"/>
        </w:rPr>
        <w:t>外包服务商公司应做好库存信息、供应商信息、物料信息等备份文件，以防止重要数据在非正常工作或停电等情况下丢失。相关资料备份定期交甲方存档，甲方有权定期对供应商系统进行核对，并要求出具报告。应对意外情况（如系统故障、停电、自然灾害等）须制定应急预案，并通过主管部门和甲方的审核。</w:t>
      </w:r>
    </w:p>
    <w:p>
      <w:pPr>
        <w:spacing w:line="360" w:lineRule="auto"/>
        <w:jc w:val="left"/>
        <w:outlineLvl w:val="1"/>
        <w:rPr>
          <w:rFonts w:ascii="仿宋" w:hAnsi="仿宋" w:eastAsia="仿宋"/>
          <w:b/>
          <w:sz w:val="24"/>
          <w:szCs w:val="24"/>
        </w:rPr>
      </w:pPr>
      <w:bookmarkStart w:id="138" w:name="_Toc5871"/>
      <w:r>
        <w:rPr>
          <w:rFonts w:hint="eastAsia" w:ascii="仿宋" w:hAnsi="仿宋" w:eastAsia="仿宋"/>
          <w:b/>
          <w:sz w:val="24"/>
          <w:szCs w:val="24"/>
        </w:rPr>
        <w:t>6.9物流安全管理</w:t>
      </w:r>
      <w:bookmarkEnd w:id="138"/>
      <w:r>
        <w:rPr>
          <w:rFonts w:hint="eastAsia" w:ascii="仿宋" w:hAnsi="仿宋" w:eastAsia="仿宋"/>
          <w:b/>
          <w:sz w:val="24"/>
          <w:szCs w:val="24"/>
        </w:rPr>
        <w:tab/>
      </w:r>
    </w:p>
    <w:p>
      <w:pPr>
        <w:spacing w:line="360" w:lineRule="auto"/>
        <w:rPr>
          <w:rFonts w:ascii="仿宋" w:hAnsi="仿宋" w:eastAsia="仿宋"/>
          <w:sz w:val="24"/>
          <w:szCs w:val="24"/>
        </w:rPr>
      </w:pPr>
      <w:r>
        <w:rPr>
          <w:rFonts w:hint="eastAsia" w:ascii="仿宋" w:hAnsi="仿宋" w:eastAsia="仿宋"/>
          <w:sz w:val="24"/>
          <w:szCs w:val="24"/>
        </w:rPr>
        <w:t>6.9.1 在仓库的主要出入口应明示人员入库管理条例和库房安全规定，规定要符合甲方要求。及时发现并制止与条例(或规定)相抵触的情况和行为发生，与此同时外包服务商公司人员的举止应文明、规范。</w:t>
      </w:r>
    </w:p>
    <w:p>
      <w:pPr>
        <w:spacing w:line="360" w:lineRule="auto"/>
        <w:rPr>
          <w:rFonts w:ascii="仿宋" w:hAnsi="仿宋" w:eastAsia="仿宋"/>
          <w:sz w:val="24"/>
          <w:szCs w:val="24"/>
        </w:rPr>
      </w:pPr>
      <w:r>
        <w:rPr>
          <w:rFonts w:hint="eastAsia" w:ascii="仿宋" w:hAnsi="仿宋" w:eastAsia="仿宋"/>
          <w:sz w:val="24"/>
          <w:szCs w:val="24"/>
        </w:rPr>
        <w:t>6.9.2 外包服务商公司仓库内所有的接收、发送区域需根据标准的装卸安全规范进行布置。并通过甲方相关部门的审核和批准，所有装卸货操作必须遵守相关安全操作规范。</w:t>
      </w:r>
    </w:p>
    <w:p>
      <w:pPr>
        <w:spacing w:line="360" w:lineRule="auto"/>
        <w:rPr>
          <w:rFonts w:ascii="仿宋" w:hAnsi="仿宋" w:eastAsia="仿宋"/>
          <w:sz w:val="24"/>
          <w:szCs w:val="24"/>
        </w:rPr>
      </w:pPr>
      <w:r>
        <w:rPr>
          <w:rFonts w:hint="eastAsia" w:ascii="仿宋" w:hAnsi="仿宋" w:eastAsia="仿宋"/>
          <w:sz w:val="24"/>
          <w:szCs w:val="24"/>
        </w:rPr>
        <w:t>6.9.3 建立日常巡检制度，做到每日、每班对安全、环境、设备设施、物料存放状况进行检查，记录和保存检查结果，并及时报修、整改。</w:t>
      </w:r>
    </w:p>
    <w:p>
      <w:pPr>
        <w:spacing w:line="360" w:lineRule="auto"/>
        <w:rPr>
          <w:rFonts w:ascii="仿宋" w:hAnsi="仿宋" w:eastAsia="仿宋"/>
          <w:sz w:val="24"/>
          <w:szCs w:val="24"/>
        </w:rPr>
      </w:pPr>
      <w:r>
        <w:rPr>
          <w:rFonts w:hint="eastAsia" w:ascii="仿宋" w:hAnsi="仿宋" w:eastAsia="仿宋"/>
          <w:sz w:val="24"/>
          <w:szCs w:val="24"/>
        </w:rPr>
        <w:t>6.9.4 外包服务商公司负责进入仓库内人员的安全管理。</w:t>
      </w:r>
    </w:p>
    <w:p>
      <w:pPr>
        <w:spacing w:line="360" w:lineRule="auto"/>
        <w:rPr>
          <w:rFonts w:ascii="仿宋" w:hAnsi="仿宋" w:eastAsia="仿宋"/>
          <w:sz w:val="24"/>
          <w:szCs w:val="24"/>
        </w:rPr>
      </w:pPr>
      <w:r>
        <w:rPr>
          <w:rFonts w:hint="eastAsia" w:ascii="仿宋" w:hAnsi="仿宋" w:eastAsia="仿宋"/>
          <w:sz w:val="24"/>
          <w:szCs w:val="24"/>
        </w:rPr>
        <w:t>6.9.4.1 现场实行人、车分流，通道要有醒目的人行或车行标识及通道线，在转弯或交叉处应有醒目的减速或注意标识。</w:t>
      </w:r>
    </w:p>
    <w:p>
      <w:pPr>
        <w:spacing w:line="360" w:lineRule="auto"/>
        <w:rPr>
          <w:rFonts w:ascii="仿宋" w:hAnsi="仿宋" w:eastAsia="仿宋"/>
          <w:sz w:val="24"/>
          <w:szCs w:val="24"/>
        </w:rPr>
      </w:pPr>
      <w:r>
        <w:rPr>
          <w:rFonts w:hint="eastAsia" w:ascii="仿宋" w:hAnsi="仿宋" w:eastAsia="仿宋"/>
          <w:sz w:val="24"/>
          <w:szCs w:val="24"/>
        </w:rPr>
        <w:t>6.9.4.2 除外包服务商公司工作人员及甲方指定的人员外，公司内部其他任何人员不得进入外包服务商公司仓库内。如确有需要，由提出部门填写工作联系单，经外包服务商公司仓库负责人签字后方可进入。</w:t>
      </w:r>
    </w:p>
    <w:p>
      <w:pPr>
        <w:spacing w:line="360" w:lineRule="auto"/>
        <w:rPr>
          <w:rFonts w:ascii="仿宋" w:hAnsi="仿宋" w:eastAsia="仿宋"/>
          <w:sz w:val="24"/>
          <w:szCs w:val="24"/>
        </w:rPr>
      </w:pPr>
      <w:r>
        <w:rPr>
          <w:rFonts w:hint="eastAsia" w:ascii="仿宋" w:hAnsi="仿宋" w:eastAsia="仿宋"/>
          <w:sz w:val="24"/>
          <w:szCs w:val="24"/>
        </w:rPr>
        <w:t>6.9.4.3 坚决禁止外来人员擅自进入仓库内，若因业务需要，需经甲方批准后方可进入，并由</w:t>
      </w:r>
      <w:r>
        <w:rPr>
          <w:rFonts w:hint="eastAsia" w:ascii="仿宋" w:hAnsi="仿宋" w:eastAsia="仿宋"/>
          <w:sz w:val="24"/>
          <w:szCs w:val="24"/>
          <w:lang w:val="en-US" w:eastAsia="zh-CN"/>
        </w:rPr>
        <w:t>外包公司</w:t>
      </w:r>
      <w:r>
        <w:rPr>
          <w:rFonts w:hint="eastAsia" w:ascii="仿宋" w:hAnsi="仿宋" w:eastAsia="仿宋"/>
          <w:sz w:val="24"/>
          <w:szCs w:val="24"/>
        </w:rPr>
        <w:t>相关人员全程陪同。</w:t>
      </w:r>
    </w:p>
    <w:p>
      <w:pPr>
        <w:spacing w:line="360" w:lineRule="auto"/>
        <w:rPr>
          <w:rFonts w:ascii="仿宋" w:hAnsi="仿宋" w:eastAsia="仿宋"/>
          <w:sz w:val="24"/>
          <w:szCs w:val="24"/>
        </w:rPr>
      </w:pPr>
      <w:r>
        <w:rPr>
          <w:rFonts w:hint="eastAsia" w:ascii="仿宋" w:hAnsi="仿宋" w:eastAsia="仿宋"/>
          <w:sz w:val="24"/>
          <w:szCs w:val="24"/>
        </w:rPr>
        <w:t>6.9.4.4 落实防雨、防汛、防火、防震、防盗等异常环境条件的防范工作，必要时要安排人员24小时值班，确保甲方物资和外包服务商公司运作设备、运作设施及物资的安全。</w:t>
      </w:r>
    </w:p>
    <w:p>
      <w:pPr>
        <w:spacing w:line="360" w:lineRule="auto"/>
        <w:rPr>
          <w:rFonts w:ascii="仿宋" w:hAnsi="仿宋" w:eastAsia="仿宋"/>
          <w:sz w:val="24"/>
          <w:szCs w:val="24"/>
        </w:rPr>
      </w:pPr>
      <w:r>
        <w:rPr>
          <w:rFonts w:hint="eastAsia" w:ascii="仿宋" w:hAnsi="仿宋" w:eastAsia="仿宋"/>
          <w:sz w:val="24"/>
          <w:szCs w:val="24"/>
        </w:rPr>
        <w:t>6.9.5 不得将业务资料和信息透露给任何第三方，不得冒用甲方名义从事自身职责范围以外的事务，不得接受甲方汽车零部件供应商的请客和馈赠，不得故意刁难供应商，一经查实，将按甲方相关管理规定严肃处理，情节严重的依法送公安机关处理。</w:t>
      </w:r>
    </w:p>
    <w:p>
      <w:pPr>
        <w:spacing w:line="360" w:lineRule="auto"/>
        <w:rPr>
          <w:rFonts w:ascii="仿宋" w:hAnsi="仿宋" w:eastAsia="仿宋"/>
          <w:sz w:val="24"/>
          <w:szCs w:val="24"/>
        </w:rPr>
      </w:pPr>
      <w:r>
        <w:rPr>
          <w:rFonts w:hint="eastAsia" w:ascii="仿宋" w:hAnsi="仿宋" w:eastAsia="仿宋"/>
          <w:sz w:val="24"/>
          <w:szCs w:val="24"/>
        </w:rPr>
        <w:t>6.9.6 禁止外包服务商公司在甲方所提供的仓库内从事任何非甲方指定业务。</w:t>
      </w:r>
    </w:p>
    <w:p>
      <w:pPr>
        <w:pStyle w:val="5"/>
        <w:rPr>
          <w:rFonts w:hint="default" w:ascii="仿宋" w:hAnsi="仿宋" w:eastAsia="仿宋" w:cs="仿宋_GB2312"/>
          <w:b w:val="0"/>
          <w:kern w:val="44"/>
        </w:rPr>
      </w:pPr>
      <w:bookmarkStart w:id="139" w:name="_Toc3474"/>
      <w:r>
        <w:rPr>
          <w:rFonts w:ascii="仿宋" w:hAnsi="仿宋" w:eastAsia="仿宋" w:cs="仿宋_GB2312"/>
          <w:kern w:val="44"/>
        </w:rPr>
        <w:t>6.10 废弃物处理</w:t>
      </w:r>
      <w:bookmarkEnd w:id="139"/>
    </w:p>
    <w:p>
      <w:pPr>
        <w:spacing w:line="360" w:lineRule="auto"/>
        <w:rPr>
          <w:rFonts w:ascii="仿宋" w:hAnsi="仿宋" w:eastAsia="仿宋"/>
          <w:sz w:val="24"/>
          <w:szCs w:val="24"/>
        </w:rPr>
      </w:pPr>
      <w:r>
        <w:rPr>
          <w:rFonts w:hint="eastAsia" w:ascii="仿宋" w:hAnsi="仿宋" w:eastAsia="仿宋"/>
          <w:sz w:val="24"/>
          <w:szCs w:val="24"/>
        </w:rPr>
        <w:t>6.10.1物流作业产生废弃物种类包括：零部件的原包装物（纸箱）、零件包装物中的隔断、填充物、操作中产生的废弃胶带、手套等垃圾；</w:t>
      </w:r>
    </w:p>
    <w:p>
      <w:pPr>
        <w:spacing w:line="360" w:lineRule="auto"/>
        <w:rPr>
          <w:rFonts w:ascii="仿宋" w:hAnsi="仿宋" w:eastAsia="仿宋"/>
          <w:sz w:val="24"/>
          <w:szCs w:val="24"/>
        </w:rPr>
      </w:pPr>
      <w:r>
        <w:rPr>
          <w:rFonts w:hint="eastAsia" w:ascii="仿宋" w:hAnsi="仿宋" w:eastAsia="仿宋"/>
          <w:sz w:val="24"/>
          <w:szCs w:val="24"/>
        </w:rPr>
        <w:t>6.10.2 废弃物资处理区分原则：</w:t>
      </w:r>
    </w:p>
    <w:p>
      <w:pPr>
        <w:spacing w:line="360" w:lineRule="auto"/>
        <w:rPr>
          <w:rFonts w:ascii="仿宋" w:hAnsi="仿宋" w:eastAsia="仿宋"/>
          <w:sz w:val="24"/>
          <w:szCs w:val="24"/>
        </w:rPr>
      </w:pPr>
      <w:r>
        <w:rPr>
          <w:rFonts w:hint="eastAsia" w:ascii="仿宋" w:hAnsi="仿宋" w:eastAsia="仿宋"/>
          <w:sz w:val="24"/>
          <w:szCs w:val="24"/>
        </w:rPr>
        <w:t>6.10.2.1 一次性包装物（纸箱）价格已含在零部件成本中，属于公司财产，在操作被替换后，应全部定义为甲方物资，全部由甲方指定部门负责处理。外包服务商公司负责将其运送到甲方指定点存放。</w:t>
      </w:r>
    </w:p>
    <w:p>
      <w:pPr>
        <w:spacing w:line="360" w:lineRule="auto"/>
        <w:rPr>
          <w:rFonts w:ascii="仿宋" w:hAnsi="仿宋" w:eastAsia="仿宋"/>
          <w:sz w:val="24"/>
          <w:szCs w:val="24"/>
        </w:rPr>
      </w:pPr>
      <w:r>
        <w:rPr>
          <w:rFonts w:hint="eastAsia" w:ascii="仿宋" w:hAnsi="仿宋" w:eastAsia="仿宋"/>
          <w:sz w:val="24"/>
          <w:szCs w:val="24"/>
        </w:rPr>
        <w:t>6.10.2.2 涉及供应商提供的、器具、货架，处理权全部属于甲方，外包服务商公司没有自行变卖、处理、改造的权利。</w:t>
      </w:r>
    </w:p>
    <w:p>
      <w:pPr>
        <w:spacing w:line="360" w:lineRule="auto"/>
        <w:rPr>
          <w:rFonts w:ascii="仿宋" w:hAnsi="仿宋" w:eastAsia="仿宋"/>
          <w:sz w:val="24"/>
          <w:szCs w:val="24"/>
        </w:rPr>
      </w:pPr>
      <w:r>
        <w:rPr>
          <w:rFonts w:hint="eastAsia" w:ascii="仿宋" w:hAnsi="仿宋" w:eastAsia="仿宋"/>
          <w:sz w:val="24"/>
          <w:szCs w:val="24"/>
        </w:rPr>
        <w:t>6.10.2.3 处罚原则：</w:t>
      </w:r>
    </w:p>
    <w:p>
      <w:pPr>
        <w:spacing w:line="360" w:lineRule="auto"/>
        <w:rPr>
          <w:rFonts w:ascii="仿宋" w:hAnsi="仿宋" w:eastAsia="仿宋"/>
          <w:sz w:val="24"/>
          <w:szCs w:val="24"/>
        </w:rPr>
      </w:pPr>
      <w:r>
        <w:rPr>
          <w:rFonts w:hint="eastAsia" w:ascii="仿宋" w:hAnsi="仿宋" w:eastAsia="仿宋"/>
          <w:sz w:val="24"/>
          <w:szCs w:val="24"/>
        </w:rPr>
        <w:t>a.如未通过供应商报告申请，擅自将包装物回收给供应商的情况，按照此种包装物所承载物料的前三个月消耗总数量进行包装物价格计算，对外包服务商公司进行考核。</w:t>
      </w:r>
    </w:p>
    <w:p>
      <w:pPr>
        <w:spacing w:line="360" w:lineRule="auto"/>
        <w:rPr>
          <w:rFonts w:ascii="仿宋" w:hAnsi="仿宋" w:eastAsia="仿宋"/>
          <w:sz w:val="24"/>
          <w:szCs w:val="24"/>
        </w:rPr>
      </w:pPr>
      <w:r>
        <w:rPr>
          <w:rFonts w:hint="eastAsia" w:ascii="仿宋" w:hAnsi="仿宋" w:eastAsia="仿宋"/>
          <w:sz w:val="24"/>
          <w:szCs w:val="24"/>
        </w:rPr>
        <w:t>b.如有私自处理属甲方所有的其它废弃物的情况（包括包装、器具、货架及其他废弃物），按照处理废弃物的10倍价值进行考核。</w:t>
      </w:r>
    </w:p>
    <w:p>
      <w:pPr>
        <w:spacing w:line="360" w:lineRule="auto"/>
        <w:jc w:val="left"/>
        <w:outlineLvl w:val="1"/>
        <w:rPr>
          <w:rFonts w:ascii="仿宋" w:hAnsi="仿宋" w:eastAsia="仿宋"/>
          <w:b/>
          <w:sz w:val="24"/>
          <w:szCs w:val="24"/>
        </w:rPr>
      </w:pPr>
      <w:bookmarkStart w:id="140" w:name="_Toc1013"/>
      <w:r>
        <w:rPr>
          <w:rFonts w:hint="eastAsia" w:ascii="仿宋" w:hAnsi="仿宋" w:eastAsia="仿宋"/>
          <w:b/>
          <w:sz w:val="24"/>
          <w:szCs w:val="24"/>
        </w:rPr>
        <w:t>6.11 退出机制</w:t>
      </w:r>
      <w:bookmarkEnd w:id="140"/>
    </w:p>
    <w:p>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的退出分为主动退出和被要求退出两种形式。主动退出时，要提交正式的公文或函件，说明退出理由；被要求退出时中国重汽集团济南商用车有限公司轻型汽车销售部正式通知外包服务商。具体管理办法如下：</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6.11.1退出时的提前期时间：一方欲提前终止合同的，应至少提前三个月书面告知对方；经对方书面同意后，合同终止，合同终止后，双方应及时办理费用结算。</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6.11.2人员安排：外包服务商公司自行招聘人员，由外包服务商公司解除与其的劳动合同后，甲方或新接手的外包服务商公司可与员工签订劳动合同。</w:t>
      </w:r>
    </w:p>
    <w:p>
      <w:pPr>
        <w:spacing w:line="360" w:lineRule="auto"/>
        <w:jc w:val="left"/>
        <w:outlineLvl w:val="0"/>
        <w:rPr>
          <w:rFonts w:ascii="仿宋" w:hAnsi="仿宋" w:eastAsia="仿宋"/>
          <w:b/>
          <w:sz w:val="24"/>
          <w:szCs w:val="24"/>
        </w:rPr>
      </w:pPr>
      <w:bookmarkStart w:id="141" w:name="_Toc26905"/>
      <w:r>
        <w:rPr>
          <w:rFonts w:hint="eastAsia" w:ascii="仿宋" w:hAnsi="仿宋" w:eastAsia="仿宋"/>
          <w:b/>
          <w:sz w:val="24"/>
          <w:szCs w:val="24"/>
        </w:rPr>
        <w:t>7、KPI考核</w:t>
      </w:r>
      <w:bookmarkEnd w:id="141"/>
    </w:p>
    <w:p>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在双方平等合作的业务关系的基础上，甲方将建立相应的管理考核标准（详见附件—外包服务商考核细则）和指标对外包服务商公司进行业绩评价和现场管理水平考评。</w:t>
      </w:r>
    </w:p>
    <w:p>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甲方和甲方上级单位对其自身的物流系统所制定的管理考核标准和业绩评价标准，涉及到外包服务商公司工作范围的，由甲方负责分解，外包服务商公司应当遵照执行。如发生变更，甲方以书面形式通知外包服务商公司。</w:t>
      </w:r>
    </w:p>
    <w:p>
      <w:pPr>
        <w:spacing w:line="360" w:lineRule="auto"/>
        <w:jc w:val="left"/>
        <w:outlineLvl w:val="0"/>
        <w:rPr>
          <w:rFonts w:ascii="仿宋" w:hAnsi="仿宋" w:eastAsia="仿宋"/>
          <w:b/>
          <w:sz w:val="24"/>
          <w:szCs w:val="24"/>
        </w:rPr>
      </w:pPr>
      <w:bookmarkStart w:id="142" w:name="_Toc6969"/>
      <w:r>
        <w:rPr>
          <w:rFonts w:hint="eastAsia" w:ascii="仿宋" w:hAnsi="仿宋" w:eastAsia="仿宋"/>
          <w:b/>
          <w:sz w:val="24"/>
          <w:szCs w:val="24"/>
        </w:rPr>
        <w:t>8、知识产权及保密</w:t>
      </w:r>
      <w:bookmarkEnd w:id="142"/>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 xml:space="preserve">8.1 </w:t>
      </w:r>
      <w:r>
        <w:rPr>
          <w:rFonts w:hint="eastAsia" w:ascii="仿宋" w:hAnsi="仿宋" w:eastAsia="仿宋" w:cs="仿宋_GB2312"/>
          <w:kern w:val="44"/>
          <w:sz w:val="24"/>
          <w:szCs w:val="28"/>
          <w:lang w:val="en-US" w:eastAsia="zh-CN"/>
        </w:rPr>
        <w:t>外包</w:t>
      </w:r>
      <w:r>
        <w:rPr>
          <w:rFonts w:hint="eastAsia" w:ascii="仿宋" w:hAnsi="仿宋" w:eastAsia="仿宋" w:cs="仿宋_GB2312"/>
          <w:kern w:val="44"/>
          <w:sz w:val="24"/>
          <w:szCs w:val="28"/>
        </w:rPr>
        <w:t>公司应对在技术交流、合同的协商、签订及履行过程中所接触到的任何</w:t>
      </w:r>
      <w:r>
        <w:rPr>
          <w:rFonts w:hint="eastAsia" w:ascii="仿宋" w:hAnsi="仿宋" w:eastAsia="仿宋" w:cs="仿宋_GB2312"/>
          <w:kern w:val="44"/>
          <w:sz w:val="24"/>
          <w:szCs w:val="28"/>
          <w:lang w:val="en-US" w:eastAsia="zh-CN"/>
        </w:rPr>
        <w:t>甲方</w:t>
      </w:r>
      <w:r>
        <w:rPr>
          <w:rFonts w:hint="eastAsia" w:ascii="仿宋" w:hAnsi="仿宋" w:eastAsia="仿宋" w:cs="仿宋_GB2312"/>
          <w:kern w:val="44"/>
          <w:sz w:val="24"/>
          <w:szCs w:val="28"/>
        </w:rPr>
        <w:t>的技术、经营、管理、供应商信息等承担保密义务。除非法律法规规定或第三方物流公司为履行合同外，未经甲方同意，不得以任何方式使用或透漏给任何第三方。</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8.2 合同解除或终止时，在没有对方特别指示时，双方应立即将收到的载有信息的资料，包括摘录、概要、复制等返还给对方。</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8.3 保密义务在合同终止后10年内仍然继续有效。甲乙双方应要求获知对方信息的全体从业人员，在职中和退职后都以书面形式履行同等的保密义务。</w:t>
      </w: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8.4 如未经甲方事先的书面许可，向任何第三方转让、转借或允许第三方阅览或复制的，</w:t>
      </w: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应赔偿因此给甲方带来的损失。</w:t>
      </w:r>
    </w:p>
    <w:p>
      <w:pPr>
        <w:widowControl/>
        <w:adjustRightInd w:val="0"/>
        <w:snapToGrid w:val="0"/>
        <w:spacing w:line="360" w:lineRule="auto"/>
        <w:contextualSpacing/>
        <w:jc w:val="left"/>
        <w:rPr>
          <w:rFonts w:ascii="仿宋" w:hAnsi="仿宋" w:eastAsia="仿宋" w:cs="仿宋_GB2312"/>
          <w:kern w:val="44"/>
          <w:sz w:val="24"/>
          <w:szCs w:val="28"/>
        </w:rPr>
      </w:pPr>
    </w:p>
    <w:p>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附件：</w:t>
      </w:r>
    </w:p>
    <w:p>
      <w:pPr>
        <w:adjustRightInd w:val="0"/>
        <w:snapToGrid w:val="0"/>
        <w:spacing w:before="78" w:beforeLines="25" w:line="300" w:lineRule="auto"/>
        <w:jc w:val="center"/>
        <w:rPr>
          <w:rFonts w:ascii="Times New Roman" w:hAnsi="Times New Roman" w:eastAsia="黑体"/>
          <w:sz w:val="32"/>
          <w:szCs w:val="32"/>
        </w:rPr>
      </w:pPr>
      <w:r>
        <w:rPr>
          <w:rFonts w:hint="eastAsia" w:ascii="Times New Roman" w:hAnsi="Times New Roman" w:eastAsia="黑体"/>
          <w:sz w:val="32"/>
          <w:szCs w:val="32"/>
          <w:lang w:val="en-US" w:eastAsia="zh-CN"/>
        </w:rPr>
        <w:t>库房仓储、</w:t>
      </w:r>
      <w:r>
        <w:rPr>
          <w:rFonts w:hint="default" w:ascii="Times New Roman" w:hAnsi="Times New Roman" w:eastAsia="黑体"/>
          <w:sz w:val="32"/>
          <w:szCs w:val="32"/>
          <w:lang w:val="en-US" w:eastAsia="zh-CN"/>
        </w:rPr>
        <w:t>包装服务</w:t>
      </w:r>
      <w:r>
        <w:rPr>
          <w:rFonts w:ascii="Times New Roman" w:hAnsi="Times New Roman" w:eastAsia="黑体"/>
          <w:sz w:val="32"/>
          <w:szCs w:val="32"/>
        </w:rPr>
        <w:t>管理规范</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1.配件接收要求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配件到达库房</w:t>
      </w:r>
      <w:r>
        <w:rPr>
          <w:rFonts w:hint="eastAsia" w:ascii="宋体" w:hAnsi="宋体" w:eastAsia="宋体" w:cs="宋体"/>
          <w:kern w:val="0"/>
          <w:sz w:val="21"/>
          <w:szCs w:val="21"/>
          <w:highlight w:val="none"/>
          <w:lang w:val="en-US" w:eastAsia="zh-CN" w:bidi="zh-CN"/>
        </w:rPr>
        <w:t>接收区后，乙方半小时内安排</w:t>
      </w:r>
      <w:r>
        <w:rPr>
          <w:rFonts w:hint="eastAsia" w:cs="宋体"/>
          <w:kern w:val="0"/>
          <w:sz w:val="21"/>
          <w:szCs w:val="21"/>
          <w:highlight w:val="none"/>
          <w:lang w:val="en-US" w:eastAsia="zh-CN" w:bidi="zh-CN"/>
        </w:rPr>
        <w:t>接收人员</w:t>
      </w:r>
      <w:r>
        <w:rPr>
          <w:rFonts w:hint="eastAsia" w:ascii="宋体" w:hAnsi="宋体" w:eastAsia="宋体" w:cs="宋体"/>
          <w:kern w:val="0"/>
          <w:sz w:val="21"/>
          <w:szCs w:val="21"/>
          <w:highlight w:val="none"/>
          <w:lang w:val="en-US" w:eastAsia="zh-CN" w:bidi="zh-CN"/>
        </w:rPr>
        <w:t>卸车，将配件运输至收货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⑵卸车完毕后，乙方接收人员与供货单位发交人员双方共同清点品种、核对数量。</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2.质量检验要求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乙方</w:t>
      </w:r>
      <w:r>
        <w:rPr>
          <w:rFonts w:hint="eastAsia" w:ascii="宋体" w:hAnsi="宋体" w:eastAsia="宋体" w:cs="宋体"/>
          <w:kern w:val="0"/>
          <w:sz w:val="21"/>
          <w:szCs w:val="21"/>
          <w:highlight w:val="none"/>
          <w:lang w:val="en-US" w:eastAsia="zh-CN" w:bidi="zh-CN"/>
        </w:rPr>
        <w:t>在接收供货单位送达的产品时，应对接收产品的外观质量、条码质量进行检验，产品外观不允许磕碰、划伤、锈蚀等，对存放质量问题的产品，第一时间填写《质量信息反馈单》反馈甲方计划人员，最终甲方鉴定意见处理。</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3.入库要求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（1）内采配件：根据甲方计划员指令，乙方安排专人及时打印配件领料单，根据领料单去往工厂指定地点进行领料，</w:t>
      </w:r>
      <w:r>
        <w:rPr>
          <w:rFonts w:hint="eastAsia" w:ascii="宋体" w:hAnsi="宋体" w:eastAsia="宋体" w:cs="宋体"/>
          <w:kern w:val="0"/>
          <w:sz w:val="21"/>
          <w:szCs w:val="21"/>
          <w:highlight w:val="none"/>
          <w:lang w:val="en-US" w:eastAsia="zh-CN" w:bidi="zh-CN"/>
        </w:rPr>
        <w:t>当日16点以前</w:t>
      </w:r>
      <w:r>
        <w:rPr>
          <w:rFonts w:hint="eastAsia" w:cs="宋体"/>
          <w:kern w:val="0"/>
          <w:sz w:val="21"/>
          <w:szCs w:val="21"/>
          <w:highlight w:val="none"/>
          <w:lang w:val="en-US" w:eastAsia="zh-CN" w:bidi="zh-CN"/>
        </w:rPr>
        <w:t>领</w:t>
      </w:r>
      <w:r>
        <w:rPr>
          <w:rFonts w:hint="eastAsia" w:ascii="宋体" w:hAnsi="宋体" w:eastAsia="宋体" w:cs="宋体"/>
          <w:kern w:val="0"/>
          <w:sz w:val="21"/>
          <w:szCs w:val="21"/>
          <w:highlight w:val="none"/>
          <w:lang w:val="en-US" w:eastAsia="zh-CN" w:bidi="zh-CN"/>
        </w:rPr>
        <w:t>的</w:t>
      </w:r>
      <w:r>
        <w:rPr>
          <w:rFonts w:hint="eastAsia" w:cs="宋体"/>
          <w:kern w:val="0"/>
          <w:sz w:val="21"/>
          <w:szCs w:val="21"/>
          <w:highlight w:val="none"/>
          <w:lang w:val="en-US" w:eastAsia="zh-CN" w:bidi="zh-CN"/>
        </w:rPr>
        <w:t>配件</w:t>
      </w:r>
      <w:r>
        <w:rPr>
          <w:rFonts w:hint="eastAsia" w:ascii="宋体" w:hAnsi="宋体" w:eastAsia="宋体" w:cs="宋体"/>
          <w:kern w:val="0"/>
          <w:sz w:val="21"/>
          <w:szCs w:val="21"/>
          <w:highlight w:val="none"/>
          <w:lang w:val="en-US" w:eastAsia="zh-CN" w:bidi="zh-CN"/>
        </w:rPr>
        <w:t>，当日在信息化管理系统完成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入库；当日16点以后送达的产品，最迟在次日工作时间11点前在信息化管理系统完成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（2）外采配件：检验合格后两小时内办理系统</w:t>
      </w:r>
      <w:r>
        <w:rPr>
          <w:rFonts w:hint="eastAsia" w:ascii="宋体" w:hAnsi="宋体" w:eastAsia="宋体" w:cs="宋体"/>
          <w:kern w:val="0"/>
          <w:sz w:val="21"/>
          <w:szCs w:val="21"/>
          <w:highlight w:val="none"/>
          <w:lang w:val="en-US" w:eastAsia="zh-CN" w:bidi="zh-CN"/>
        </w:rPr>
        <w:t>入库</w:t>
      </w:r>
      <w:r>
        <w:rPr>
          <w:rFonts w:hint="eastAsia" w:cs="宋体"/>
          <w:kern w:val="0"/>
          <w:sz w:val="21"/>
          <w:szCs w:val="21"/>
          <w:highlight w:val="none"/>
          <w:lang w:val="en-US" w:eastAsia="zh-CN" w:bidi="zh-CN"/>
        </w:rPr>
        <w:t>。</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left="0" w:leftChars="0" w:firstLine="438" w:firstLineChars="209"/>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在信息化管理系统中完成入库后，在DMS系统打印入库明细（入库留底）</w:t>
      </w:r>
    </w:p>
    <w:p>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（4）打印备件标签（名称、件号和数量），对配件进行分类包装和贴签，并根据备件货位号归类上架，特殊备件或无货位备件进行货位维护或调整。</w:t>
      </w:r>
    </w:p>
    <w:p>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（5）根据现有仓库面积，合理利用仓储区域，例如：前端库房货架存放各品种配件，大批量配件存放后面新库房，等前端库房货架上配件减少或无配件时，及时从新库房搬运至前端库房进行上架补充。</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4.配件包装及出库要求</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1）乙方按照甲方审核后的销售订单打印拣货单，根据拣货单配件种类和数量进行拣货，拣货过程中注意货位情况，及时清理货位上的空包装袋等不用材料，整理配件存放料盒整齐摆放；货位无配件及时进行配件补充。拣货后核对种类和数量，由拣货人员签字，拣货单与所拣配件放在一起进行堆放。</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（2）乙方需安排专人对所拣货物进行包装，包装前根据拣货单再次核对种类和数量，根据货物品性（易碎、电子元件和铸造等）进行分类包装。</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（3）包装完成后，乙方需安排专人根据拣货单号在DMS系统生成装箱单和去向头，打印装箱单，将装箱单随配件一起发运；去向头贴到需发运配件包装箱上，在包装箱上标注拣货单号后五位。</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发运交接，由外包公司根据拣货单号进行货物称重，乙方安排专人从DMS系统进行出库，核对重量等数据后生成交接单号，核对发运地址是否准确，无误后打印《备件运输交接单》一式两份，核对无误后双方签字保存。</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（5）装车发运，三方物流公司进行货物装车，装车完毕后，三方物流粘贴货箱门封条；投标人安排专人从DMS导出当日出库明细，在OA系统申请出门条，出门条由甲方进行审核。</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（6）乙方</w:t>
      </w:r>
      <w:r>
        <w:rPr>
          <w:rFonts w:hint="eastAsia" w:ascii="宋体" w:hAnsi="宋体" w:eastAsia="宋体" w:cs="宋体"/>
          <w:kern w:val="0"/>
          <w:sz w:val="21"/>
          <w:szCs w:val="21"/>
          <w:highlight w:val="none"/>
          <w:lang w:val="en-US" w:eastAsia="zh-CN" w:bidi="zh-CN"/>
        </w:rPr>
        <w:t>按照甲方《包装标准》及包装工艺要求进行包装，不得出现漏包、错报等现象。</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（7）</w:t>
      </w:r>
      <w:r>
        <w:rPr>
          <w:rFonts w:hint="eastAsia" w:ascii="宋体" w:hAnsi="宋体" w:eastAsia="宋体" w:cs="宋体"/>
          <w:kern w:val="0"/>
          <w:sz w:val="21"/>
          <w:szCs w:val="21"/>
          <w:highlight w:val="none"/>
          <w:lang w:val="en-US" w:eastAsia="zh-CN" w:bidi="zh-CN"/>
        </w:rPr>
        <w:t>送达甲方客户后，如出现整体包装完好，打包带或封箱签无破损，整体包装内的配件出现货损、货差时，责任由甲方承担；如因整体包装破损造成配件货损、货差时，责任由承运方</w:t>
      </w:r>
      <w:r>
        <w:rPr>
          <w:rFonts w:hint="eastAsia" w:cs="宋体"/>
          <w:kern w:val="0"/>
          <w:sz w:val="21"/>
          <w:szCs w:val="21"/>
          <w:highlight w:val="none"/>
          <w:lang w:val="en-US" w:eastAsia="zh-CN" w:bidi="zh-CN"/>
        </w:rPr>
        <w:t>（三方物流）</w:t>
      </w:r>
      <w:r>
        <w:rPr>
          <w:rFonts w:hint="eastAsia" w:ascii="宋体" w:hAnsi="宋体" w:eastAsia="宋体" w:cs="宋体"/>
          <w:kern w:val="0"/>
          <w:sz w:val="21"/>
          <w:szCs w:val="21"/>
          <w:highlight w:val="none"/>
          <w:lang w:val="en-US" w:eastAsia="zh-CN" w:bidi="zh-CN"/>
        </w:rPr>
        <w:t>承担。</w:t>
      </w:r>
    </w:p>
    <w:p>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（8）每天根据三方物流公司发出的物流发运单号，匹配已发运的物流信息，做物流发运单号汇总表，核对无误后导入DMS系统配件发运单模块，便于服务站自行查询物流发运信息。</w:t>
      </w:r>
    </w:p>
    <w:p>
      <w:pPr>
        <w:widowControl/>
        <w:adjustRightInd w:val="0"/>
        <w:snapToGrid w:val="0"/>
        <w:spacing w:line="360" w:lineRule="auto"/>
        <w:contextualSpacing/>
        <w:jc w:val="left"/>
        <w:rPr>
          <w:rFonts w:ascii="仿宋" w:hAnsi="仿宋" w:eastAsia="仿宋" w:cs="仿宋_GB2312"/>
          <w:kern w:val="44"/>
          <w:sz w:val="24"/>
          <w:szCs w:val="28"/>
        </w:rPr>
      </w:pPr>
    </w:p>
    <w:p>
      <w:pPr>
        <w:pStyle w:val="2"/>
        <w:sectPr>
          <w:pgSz w:w="11907" w:h="16840"/>
          <w:pgMar w:top="1304" w:right="1418" w:bottom="1304" w:left="1418" w:header="724" w:footer="851" w:gutter="0"/>
          <w:cols w:space="720" w:num="1"/>
          <w:docGrid w:linePitch="290" w:charSpace="-3931"/>
        </w:sectPr>
      </w:pPr>
    </w:p>
    <w:p>
      <w:pPr>
        <w:pStyle w:val="2"/>
      </w:pPr>
    </w:p>
    <w:p>
      <w:pPr>
        <w:pStyle w:val="22"/>
      </w:pPr>
    </w:p>
    <w:p>
      <w:pPr>
        <w:spacing w:line="360" w:lineRule="auto"/>
        <w:jc w:val="center"/>
        <w:outlineLvl w:val="0"/>
        <w:rPr>
          <w:rFonts w:ascii="宋体" w:hAnsi="Calibri" w:eastAsia="宋体" w:cs="Times New Roman"/>
          <w:b/>
          <w:sz w:val="36"/>
          <w:szCs w:val="36"/>
        </w:rPr>
      </w:pPr>
      <w:bookmarkStart w:id="14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3"/>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4" w:name="_Toc8509"/>
      <w:bookmarkStart w:id="145" w:name="_Toc15851"/>
      <w:bookmarkStart w:id="146"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4"/>
      <w:bookmarkEnd w:id="145"/>
      <w:bookmarkEnd w:id="146"/>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59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规格</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报价比例</w:t>
            </w:r>
          </w:p>
          <w:p>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（作业费用占年出库量的比例，</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不高于2.72%）</w:t>
            </w:r>
          </w:p>
        </w:tc>
        <w:tc>
          <w:tcPr>
            <w:tcW w:w="580" w:type="pct"/>
            <w:tcBorders>
              <w:right w:val="single" w:color="000000" w:sz="4" w:space="0"/>
            </w:tcBorders>
            <w:vAlign w:val="center"/>
          </w:tcPr>
          <w:p>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总价（不含税）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center"/>
          </w:tcPr>
          <w:p>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配件仓储作业服务项目</w:t>
            </w:r>
          </w:p>
        </w:tc>
        <w:tc>
          <w:tcPr>
            <w:tcW w:w="864" w:type="pct"/>
            <w:vAlign w:val="center"/>
          </w:tcPr>
          <w:p>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年出库量2000万</w:t>
            </w:r>
          </w:p>
          <w:p>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（轻型车售后配件）</w:t>
            </w:r>
          </w:p>
        </w:tc>
        <w:tc>
          <w:tcPr>
            <w:tcW w:w="318" w:type="pct"/>
            <w:vAlign w:val="center"/>
          </w:tcPr>
          <w:p>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批</w:t>
            </w:r>
          </w:p>
        </w:tc>
        <w:tc>
          <w:tcPr>
            <w:tcW w:w="283" w:type="pct"/>
            <w:vAlign w:val="center"/>
          </w:tcPr>
          <w:p>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1"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1"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1"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80"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3" w:type="default"/>
          <w:pgSz w:w="16841" w:h="11907"/>
          <w:pgMar w:top="400" w:right="1699" w:bottom="1184" w:left="1481"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pPr>
        <w:outlineLvl w:val="2"/>
        <w:rPr>
          <w:rFonts w:hint="eastAsia"/>
        </w:rPr>
      </w:pPr>
      <w:r>
        <w:rPr>
          <w:rFonts w:hint="eastAsia" w:ascii="Times New Roman" w:hAnsi="Times New Roman" w:eastAsia="宋体" w:cs="Times New Roman"/>
          <w:b/>
          <w:bCs/>
          <w:color w:val="000000"/>
          <w:sz w:val="24"/>
          <w:szCs w:val="24"/>
        </w:rPr>
        <w:t>附件14技术标评分标准</w:t>
      </w:r>
    </w:p>
    <w:p>
      <w:pPr>
        <w:bidi w:val="0"/>
        <w:jc w:val="center"/>
        <w:rPr>
          <w:rFonts w:hint="eastAsia"/>
          <w:b/>
          <w:bCs/>
        </w:rPr>
      </w:pPr>
      <w:r>
        <w:rPr>
          <w:rFonts w:hint="eastAsia"/>
          <w:b/>
          <w:bCs/>
        </w:rPr>
        <w:t>技术标评审表（</w:t>
      </w:r>
      <w:r>
        <w:rPr>
          <w:b/>
          <w:bCs/>
        </w:rPr>
        <w:t>10</w:t>
      </w:r>
      <w:r>
        <w:rPr>
          <w:rFonts w:hint="eastAsia"/>
          <w:b/>
          <w:bCs/>
        </w:rPr>
        <w:t>0分）</w:t>
      </w:r>
    </w:p>
    <w:p>
      <w:pPr>
        <w:rPr>
          <w:rFonts w:hint="eastAsia"/>
        </w:rPr>
      </w:pPr>
    </w:p>
    <w:tbl>
      <w:tblPr>
        <w:tblStyle w:val="41"/>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pPr>
              <w:numPr>
                <w:ilvl w:val="0"/>
                <w:numId w:val="11"/>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5"/>
              <w:numPr>
                <w:ilvl w:val="0"/>
                <w:numId w:val="12"/>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DCB42C4"/>
    <w:multiLevelType w:val="multilevel"/>
    <w:tmpl w:val="ADCB42C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1"/>
  </w:num>
  <w:num w:numId="4">
    <w:abstractNumId w:val="6"/>
  </w:num>
  <w:num w:numId="5">
    <w:abstractNumId w:val="4"/>
  </w:num>
  <w:num w:numId="6">
    <w:abstractNumId w:val="8"/>
  </w:num>
  <w:num w:numId="7">
    <w:abstractNumId w:val="3"/>
  </w:num>
  <w:num w:numId="8">
    <w:abstractNumId w:val="7"/>
  </w:num>
  <w:num w:numId="9">
    <w:abstractNumId w:val="2"/>
  </w:num>
  <w:num w:numId="10">
    <w:abstractNumId w:val="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1F2753D"/>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86237C"/>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8708AE"/>
    <w:rsid w:val="09BA1FBB"/>
    <w:rsid w:val="09CB139F"/>
    <w:rsid w:val="09CB3921"/>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9B351C"/>
    <w:rsid w:val="0FA75561"/>
    <w:rsid w:val="0FB83603"/>
    <w:rsid w:val="0FCA77F1"/>
    <w:rsid w:val="0FCD5DCC"/>
    <w:rsid w:val="0FEF02B3"/>
    <w:rsid w:val="10270545"/>
    <w:rsid w:val="103819AC"/>
    <w:rsid w:val="104B7348"/>
    <w:rsid w:val="106E6B14"/>
    <w:rsid w:val="10702C73"/>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1C065F"/>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7A5133"/>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8D5B19"/>
    <w:rsid w:val="3790083E"/>
    <w:rsid w:val="37C77814"/>
    <w:rsid w:val="382C7B34"/>
    <w:rsid w:val="38662298"/>
    <w:rsid w:val="38715CEA"/>
    <w:rsid w:val="388A3751"/>
    <w:rsid w:val="38D65199"/>
    <w:rsid w:val="38E070F2"/>
    <w:rsid w:val="39034314"/>
    <w:rsid w:val="390B0AC4"/>
    <w:rsid w:val="390D33A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C372BE"/>
    <w:rsid w:val="3CED621B"/>
    <w:rsid w:val="3CF86493"/>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8E22BD"/>
    <w:rsid w:val="42FE0080"/>
    <w:rsid w:val="43315D2E"/>
    <w:rsid w:val="43824A1C"/>
    <w:rsid w:val="4390486D"/>
    <w:rsid w:val="4399333D"/>
    <w:rsid w:val="43B2241F"/>
    <w:rsid w:val="43C3013B"/>
    <w:rsid w:val="43CE64CC"/>
    <w:rsid w:val="43D110E1"/>
    <w:rsid w:val="43E873C9"/>
    <w:rsid w:val="44250817"/>
    <w:rsid w:val="4429652B"/>
    <w:rsid w:val="445157F9"/>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9F03AE"/>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B54A87"/>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A53F8F"/>
    <w:rsid w:val="57DB3DF1"/>
    <w:rsid w:val="57F967AD"/>
    <w:rsid w:val="58052975"/>
    <w:rsid w:val="582D112D"/>
    <w:rsid w:val="583152CE"/>
    <w:rsid w:val="58AF0BB8"/>
    <w:rsid w:val="58D802CE"/>
    <w:rsid w:val="58E525CA"/>
    <w:rsid w:val="59351174"/>
    <w:rsid w:val="593B5DDE"/>
    <w:rsid w:val="593D045A"/>
    <w:rsid w:val="59473F47"/>
    <w:rsid w:val="5960739E"/>
    <w:rsid w:val="59896D0A"/>
    <w:rsid w:val="59A51092"/>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50F5C"/>
    <w:rsid w:val="60996A4F"/>
    <w:rsid w:val="60BC76A1"/>
    <w:rsid w:val="61021EFD"/>
    <w:rsid w:val="610B7637"/>
    <w:rsid w:val="612631A2"/>
    <w:rsid w:val="615F5624"/>
    <w:rsid w:val="61720EED"/>
    <w:rsid w:val="61BE4076"/>
    <w:rsid w:val="61C70B52"/>
    <w:rsid w:val="61D215CF"/>
    <w:rsid w:val="621506F6"/>
    <w:rsid w:val="622A5268"/>
    <w:rsid w:val="622C5484"/>
    <w:rsid w:val="623C3E38"/>
    <w:rsid w:val="624049E0"/>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6C75A6"/>
    <w:rsid w:val="6A790129"/>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B9559B"/>
    <w:rsid w:val="6EE013EE"/>
    <w:rsid w:val="6EE079F1"/>
    <w:rsid w:val="6EE42C42"/>
    <w:rsid w:val="6F1B5C73"/>
    <w:rsid w:val="6F211A55"/>
    <w:rsid w:val="6F2D6CBE"/>
    <w:rsid w:val="6F7F7CB0"/>
    <w:rsid w:val="6F952AA2"/>
    <w:rsid w:val="6FBB0A5D"/>
    <w:rsid w:val="6FE0165C"/>
    <w:rsid w:val="6FE6309C"/>
    <w:rsid w:val="6FF0551E"/>
    <w:rsid w:val="7001594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BA4E88"/>
    <w:rsid w:val="77E34EB2"/>
    <w:rsid w:val="78027672"/>
    <w:rsid w:val="781564B8"/>
    <w:rsid w:val="78224ACF"/>
    <w:rsid w:val="78654DF4"/>
    <w:rsid w:val="788A2AAC"/>
    <w:rsid w:val="78936F61"/>
    <w:rsid w:val="78AE162F"/>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393CF4"/>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index 4"/>
    <w:basedOn w:val="1"/>
    <w:next w:val="1"/>
    <w:qFormat/>
    <w:uiPriority w:val="0"/>
    <w:pPr>
      <w:ind w:left="600" w:leftChars="600"/>
    </w:p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2"/>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4"/>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9"/>
    <w:qFormat/>
    <w:uiPriority w:val="9"/>
    <w:rPr>
      <w:rFonts w:ascii="Arial" w:hAnsi="Arial" w:eastAsia="黑体" w:cstheme="minorBidi"/>
      <w:b/>
      <w:kern w:val="2"/>
      <w:sz w:val="24"/>
      <w:szCs w:val="22"/>
    </w:rPr>
  </w:style>
  <w:style w:type="character" w:customStyle="1" w:styleId="150">
    <w:name w:val="标题 7 字符"/>
    <w:basedOn w:val="43"/>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7"/>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72</Pages>
  <Words>9726</Words>
  <Characters>10320</Characters>
  <Lines>371</Lines>
  <Paragraphs>104</Paragraphs>
  <TotalTime>17</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2025-10-15T08:26:19Z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